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71FB1F">
      <w:pPr>
        <w:adjustRightInd w:val="0"/>
        <w:snapToGrid w:val="0"/>
        <w:jc w:val="center"/>
        <w:outlineLvl w:val="0"/>
        <w:rPr>
          <w:rFonts w:ascii="Times New Roman" w:hAnsi="Times New Roman" w:eastAsia="宋体"/>
          <w:bCs/>
          <w:color w:val="auto"/>
          <w:sz w:val="72"/>
          <w:szCs w:val="72"/>
          <w:highlight w:val="none"/>
        </w:rPr>
      </w:pPr>
    </w:p>
    <w:p w14:paraId="6F9A0A04">
      <w:pPr>
        <w:adjustRightInd w:val="0"/>
        <w:snapToGrid w:val="0"/>
        <w:jc w:val="center"/>
        <w:outlineLvl w:val="0"/>
        <w:rPr>
          <w:rFonts w:ascii="Times New Roman" w:hAnsi="Times New Roman" w:eastAsia="宋体"/>
          <w:bCs/>
          <w:color w:val="auto"/>
          <w:sz w:val="72"/>
          <w:szCs w:val="72"/>
          <w:highlight w:val="none"/>
        </w:rPr>
      </w:pPr>
    </w:p>
    <w:p w14:paraId="595ED98F">
      <w:pPr>
        <w:adjustRightInd w:val="0"/>
        <w:snapToGrid w:val="0"/>
        <w:jc w:val="center"/>
        <w:outlineLvl w:val="0"/>
        <w:rPr>
          <w:rFonts w:ascii="Times New Roman" w:hAnsi="Times New Roman" w:eastAsia="宋体"/>
          <w:bCs/>
          <w:color w:val="auto"/>
          <w:sz w:val="72"/>
          <w:szCs w:val="72"/>
          <w:highlight w:val="none"/>
        </w:rPr>
      </w:pPr>
      <w:r>
        <w:rPr>
          <w:rFonts w:ascii="Times New Roman" w:hAnsi="Times New Roman" w:eastAsia="宋体"/>
          <w:bCs/>
          <w:color w:val="auto"/>
          <w:sz w:val="72"/>
          <w:szCs w:val="72"/>
          <w:highlight w:val="none"/>
        </w:rPr>
        <w:t>建设项目环境影响报告表</w:t>
      </w:r>
    </w:p>
    <w:p w14:paraId="252DCE19">
      <w:pPr>
        <w:adjustRightInd w:val="0"/>
        <w:snapToGrid w:val="0"/>
        <w:spacing w:before="192" w:beforeLines="80"/>
        <w:jc w:val="center"/>
        <w:rPr>
          <w:rFonts w:ascii="Times New Roman" w:hAnsi="Times New Roman" w:eastAsia="宋体"/>
          <w:bCs/>
          <w:color w:val="auto"/>
          <w:sz w:val="48"/>
          <w:szCs w:val="48"/>
          <w:highlight w:val="none"/>
        </w:rPr>
      </w:pPr>
      <w:r>
        <w:rPr>
          <w:rFonts w:ascii="Times New Roman" w:hAnsi="Times New Roman" w:eastAsia="宋体"/>
          <w:bCs/>
          <w:color w:val="auto"/>
          <w:sz w:val="48"/>
          <w:szCs w:val="48"/>
          <w:highlight w:val="none"/>
        </w:rPr>
        <w:t>（污染影响类）</w:t>
      </w:r>
      <w:bookmarkStart w:id="3" w:name="_GoBack"/>
      <w:bookmarkEnd w:id="3"/>
    </w:p>
    <w:p w14:paraId="3BA6EF30">
      <w:pPr>
        <w:adjustRightInd w:val="0"/>
        <w:snapToGrid w:val="0"/>
        <w:spacing w:line="288" w:lineRule="auto"/>
        <w:jc w:val="center"/>
        <w:rPr>
          <w:rFonts w:ascii="Times New Roman" w:hAnsi="Times New Roman" w:eastAsia="宋体"/>
          <w:color w:val="auto"/>
          <w:kern w:val="44"/>
          <w:sz w:val="44"/>
          <w:szCs w:val="44"/>
          <w:highlight w:val="none"/>
        </w:rPr>
      </w:pPr>
    </w:p>
    <w:p w14:paraId="51BA8433">
      <w:pPr>
        <w:jc w:val="center"/>
        <w:rPr>
          <w:rFonts w:ascii="Times New Roman" w:hAnsi="Times New Roman" w:eastAsia="宋体"/>
          <w:color w:val="auto"/>
          <w:sz w:val="52"/>
          <w:szCs w:val="52"/>
          <w:highlight w:val="none"/>
        </w:rPr>
      </w:pPr>
    </w:p>
    <w:p w14:paraId="30E561BB">
      <w:pPr>
        <w:ind w:firstLine="1040"/>
        <w:rPr>
          <w:rFonts w:ascii="Times New Roman" w:hAnsi="Times New Roman" w:eastAsia="宋体"/>
          <w:color w:val="auto"/>
          <w:sz w:val="44"/>
          <w:szCs w:val="44"/>
          <w:highlight w:val="none"/>
        </w:rPr>
      </w:pPr>
    </w:p>
    <w:p w14:paraId="4AB1F04F">
      <w:pPr>
        <w:ind w:firstLine="1040"/>
        <w:rPr>
          <w:rFonts w:ascii="Times New Roman" w:hAnsi="Times New Roman" w:eastAsia="宋体"/>
          <w:color w:val="auto"/>
          <w:sz w:val="44"/>
          <w:szCs w:val="44"/>
          <w:highlight w:val="none"/>
        </w:rPr>
      </w:pPr>
    </w:p>
    <w:p w14:paraId="2C6FC5B3">
      <w:pPr>
        <w:ind w:firstLine="1040"/>
        <w:rPr>
          <w:rFonts w:ascii="Times New Roman" w:hAnsi="Times New Roman" w:eastAsia="宋体"/>
          <w:color w:val="auto"/>
          <w:sz w:val="44"/>
          <w:szCs w:val="44"/>
          <w:highlight w:val="none"/>
        </w:rPr>
      </w:pPr>
    </w:p>
    <w:p w14:paraId="2E7441FF">
      <w:pPr>
        <w:pStyle w:val="50"/>
        <w:jc w:val="both"/>
        <w:rPr>
          <w:rFonts w:ascii="Times New Roman" w:hAnsi="Times New Roman" w:eastAsia="宋体"/>
          <w:color w:val="auto"/>
          <w:sz w:val="44"/>
          <w:szCs w:val="44"/>
          <w:highlight w:val="none"/>
        </w:rPr>
      </w:pPr>
    </w:p>
    <w:p w14:paraId="52D3A708">
      <w:pPr>
        <w:pStyle w:val="8"/>
        <w:rPr>
          <w:rFonts w:ascii="Times New Roman" w:hAnsi="Times New Roman" w:eastAsia="宋体"/>
          <w:color w:val="auto"/>
          <w:highlight w:val="none"/>
        </w:rPr>
      </w:pPr>
    </w:p>
    <w:p w14:paraId="7AA71B39">
      <w:pPr>
        <w:ind w:firstLine="1040"/>
        <w:rPr>
          <w:rFonts w:ascii="Times New Roman" w:hAnsi="Times New Roman" w:eastAsia="宋体"/>
          <w:color w:val="auto"/>
          <w:sz w:val="44"/>
          <w:szCs w:val="44"/>
          <w:highlight w:val="none"/>
        </w:rPr>
      </w:pPr>
    </w:p>
    <w:p w14:paraId="300AB768">
      <w:pPr>
        <w:adjustRightInd w:val="0"/>
        <w:snapToGrid w:val="0"/>
        <w:spacing w:line="288" w:lineRule="auto"/>
        <w:ind w:left="719" w:leftChars="171" w:hanging="360" w:hangingChars="100"/>
        <w:rPr>
          <w:rFonts w:hint="eastAsia" w:ascii="Times New Roman" w:hAnsi="Times New Roman" w:eastAsia="宋体"/>
          <w:color w:val="auto"/>
          <w:sz w:val="36"/>
          <w:szCs w:val="36"/>
          <w:highlight w:val="none"/>
          <w:u w:val="single"/>
          <w:lang w:eastAsia="zh-CN"/>
        </w:rPr>
      </w:pPr>
      <w:r>
        <w:rPr>
          <w:rFonts w:ascii="Times New Roman" w:hAnsi="Times New Roman" w:eastAsia="宋体"/>
          <w:color w:val="auto"/>
          <w:sz w:val="36"/>
          <w:szCs w:val="36"/>
          <w:highlight w:val="none"/>
        </w:rPr>
        <w:t>项目名称</w:t>
      </w:r>
      <w:r>
        <w:rPr>
          <w:rFonts w:ascii="Times New Roman" w:hAnsi="Times New Roman" w:eastAsia="宋体"/>
          <w:color w:val="auto"/>
          <w:sz w:val="36"/>
          <w:szCs w:val="36"/>
          <w:highlight w:val="none"/>
          <w:u w:val="none"/>
        </w:rPr>
        <w:t>：</w:t>
      </w:r>
      <w:r>
        <w:rPr>
          <w:rFonts w:hint="eastAsia" w:ascii="Times New Roman" w:hAnsi="Times New Roman" w:eastAsia="宋体"/>
          <w:color w:val="auto"/>
          <w:sz w:val="36"/>
          <w:szCs w:val="36"/>
          <w:highlight w:val="none"/>
          <w:u w:val="single"/>
        </w:rPr>
        <w:t xml:space="preserve"> </w:t>
      </w:r>
      <w:r>
        <w:rPr>
          <w:rFonts w:hint="eastAsia" w:ascii="Times New Roman" w:hAnsi="Times New Roman" w:eastAsia="宋体"/>
          <w:color w:val="auto"/>
          <w:sz w:val="36"/>
          <w:szCs w:val="36"/>
          <w:highlight w:val="none"/>
          <w:u w:val="single"/>
          <w:lang w:eastAsia="zh-CN"/>
        </w:rPr>
        <w:t>博罗县合晟包装制品有限公司</w:t>
      </w:r>
      <w:r>
        <w:rPr>
          <w:rFonts w:hint="eastAsia"/>
          <w:color w:val="auto"/>
          <w:sz w:val="36"/>
          <w:szCs w:val="36"/>
          <w:highlight w:val="none"/>
          <w:u w:val="single"/>
          <w:lang w:val="en-US" w:eastAsia="zh-CN"/>
        </w:rPr>
        <w:t>迁改扩建</w:t>
      </w:r>
      <w:r>
        <w:rPr>
          <w:rFonts w:hint="eastAsia" w:ascii="Times New Roman" w:hAnsi="Times New Roman" w:eastAsia="宋体"/>
          <w:color w:val="auto"/>
          <w:sz w:val="36"/>
          <w:szCs w:val="36"/>
          <w:highlight w:val="none"/>
          <w:u w:val="single"/>
        </w:rPr>
        <w:t>项目</w:t>
      </w:r>
    </w:p>
    <w:p w14:paraId="70715CC4">
      <w:pPr>
        <w:adjustRightInd w:val="0"/>
        <w:snapToGrid w:val="0"/>
        <w:spacing w:line="288" w:lineRule="auto"/>
        <w:ind w:firstLine="360" w:firstLineChars="100"/>
        <w:rPr>
          <w:rFonts w:hint="eastAsia" w:ascii="Times New Roman" w:hAnsi="Times New Roman" w:eastAsia="宋体"/>
          <w:color w:val="auto"/>
          <w:sz w:val="36"/>
          <w:szCs w:val="36"/>
          <w:highlight w:val="none"/>
          <w:lang w:eastAsia="zh-CN"/>
        </w:rPr>
      </w:pPr>
      <w:r>
        <w:rPr>
          <w:rFonts w:ascii="Times New Roman" w:hAnsi="Times New Roman" w:eastAsia="宋体"/>
          <w:color w:val="auto"/>
          <w:sz w:val="36"/>
          <w:szCs w:val="36"/>
          <w:highlight w:val="none"/>
        </w:rPr>
        <w:t>建设单位（盖章）：</w:t>
      </w:r>
      <w:r>
        <w:rPr>
          <w:rFonts w:hint="eastAsia" w:ascii="Times New Roman" w:hAnsi="Times New Roman" w:eastAsia="宋体"/>
          <w:color w:val="auto"/>
          <w:sz w:val="36"/>
          <w:szCs w:val="36"/>
          <w:highlight w:val="none"/>
          <w:u w:val="single"/>
          <w:lang w:eastAsia="zh-CN"/>
        </w:rPr>
        <w:t>博罗县合晟包装制品有限公司</w:t>
      </w:r>
      <w:r>
        <w:rPr>
          <w:rFonts w:hint="eastAsia" w:ascii="Times New Roman" w:hAnsi="Times New Roman" w:eastAsia="宋体"/>
          <w:color w:val="auto"/>
          <w:sz w:val="36"/>
          <w:szCs w:val="36"/>
          <w:highlight w:val="none"/>
          <w:u w:val="single"/>
        </w:rPr>
        <w:t xml:space="preserve">    </w:t>
      </w:r>
    </w:p>
    <w:p w14:paraId="17746E90">
      <w:pPr>
        <w:adjustRightInd w:val="0"/>
        <w:snapToGrid w:val="0"/>
        <w:spacing w:line="288" w:lineRule="auto"/>
        <w:ind w:firstLine="360" w:firstLineChars="100"/>
        <w:rPr>
          <w:rFonts w:ascii="Times New Roman" w:hAnsi="Times New Roman" w:eastAsia="宋体"/>
          <w:color w:val="auto"/>
          <w:sz w:val="36"/>
          <w:szCs w:val="36"/>
          <w:highlight w:val="none"/>
          <w:u w:val="single"/>
        </w:rPr>
      </w:pPr>
      <w:r>
        <w:rPr>
          <w:rFonts w:ascii="Times New Roman" w:hAnsi="Times New Roman" w:eastAsia="宋体"/>
          <w:color w:val="auto"/>
          <w:sz w:val="36"/>
          <w:szCs w:val="36"/>
          <w:highlight w:val="none"/>
        </w:rPr>
        <w:t>编制日期：</w:t>
      </w:r>
      <w:r>
        <w:rPr>
          <w:rFonts w:ascii="Times New Roman" w:hAnsi="Times New Roman" w:eastAsia="宋体"/>
          <w:color w:val="auto"/>
          <w:sz w:val="36"/>
          <w:szCs w:val="36"/>
          <w:highlight w:val="none"/>
          <w:u w:val="single"/>
        </w:rPr>
        <w:t xml:space="preserve">  </w:t>
      </w:r>
      <w:r>
        <w:rPr>
          <w:rFonts w:hint="eastAsia" w:ascii="Times New Roman" w:hAnsi="Times New Roman" w:eastAsia="宋体"/>
          <w:color w:val="auto"/>
          <w:sz w:val="36"/>
          <w:szCs w:val="36"/>
          <w:highlight w:val="none"/>
          <w:u w:val="single"/>
        </w:rPr>
        <w:t xml:space="preserve"> </w:t>
      </w:r>
      <w:r>
        <w:rPr>
          <w:rFonts w:hint="eastAsia" w:ascii="Times New Roman" w:hAnsi="Times New Roman" w:eastAsia="宋体"/>
          <w:color w:val="auto"/>
          <w:sz w:val="36"/>
          <w:szCs w:val="36"/>
          <w:highlight w:val="none"/>
          <w:u w:val="single"/>
          <w:lang w:val="en-US" w:eastAsia="zh-CN"/>
        </w:rPr>
        <w:t xml:space="preserve">     </w:t>
      </w:r>
      <w:r>
        <w:rPr>
          <w:rFonts w:hint="eastAsia"/>
          <w:color w:val="auto"/>
          <w:sz w:val="36"/>
          <w:szCs w:val="36"/>
          <w:highlight w:val="none"/>
          <w:u w:val="single"/>
          <w:lang w:val="en-US" w:eastAsia="zh-CN"/>
        </w:rPr>
        <w:t xml:space="preserve"> </w:t>
      </w:r>
      <w:r>
        <w:rPr>
          <w:rFonts w:hint="eastAsia" w:ascii="Times New Roman" w:hAnsi="Times New Roman" w:eastAsia="宋体"/>
          <w:color w:val="auto"/>
          <w:sz w:val="36"/>
          <w:szCs w:val="36"/>
          <w:highlight w:val="none"/>
          <w:u w:val="single"/>
          <w:lang w:val="en-US" w:eastAsia="zh-CN"/>
        </w:rPr>
        <w:t xml:space="preserve">    </w:t>
      </w:r>
      <w:r>
        <w:rPr>
          <w:rFonts w:hint="eastAsia" w:ascii="Times New Roman" w:hAnsi="Times New Roman" w:eastAsia="宋体"/>
          <w:color w:val="auto"/>
          <w:sz w:val="36"/>
          <w:szCs w:val="36"/>
          <w:highlight w:val="none"/>
          <w:u w:val="single"/>
        </w:rPr>
        <w:t xml:space="preserve"> </w:t>
      </w:r>
      <w:r>
        <w:rPr>
          <w:rFonts w:ascii="Times New Roman" w:hAnsi="Times New Roman" w:eastAsia="宋体"/>
          <w:color w:val="auto"/>
          <w:sz w:val="36"/>
          <w:szCs w:val="36"/>
          <w:highlight w:val="none"/>
          <w:u w:val="single"/>
        </w:rPr>
        <w:t xml:space="preserve"> 202</w:t>
      </w:r>
      <w:r>
        <w:rPr>
          <w:rFonts w:hint="eastAsia" w:ascii="Times New Roman" w:hAnsi="Times New Roman" w:eastAsia="宋体"/>
          <w:color w:val="auto"/>
          <w:sz w:val="36"/>
          <w:szCs w:val="36"/>
          <w:highlight w:val="none"/>
          <w:u w:val="single"/>
          <w:lang w:val="en-US" w:eastAsia="zh-CN"/>
        </w:rPr>
        <w:t>5</w:t>
      </w:r>
      <w:r>
        <w:rPr>
          <w:rFonts w:ascii="Times New Roman" w:hAnsi="Times New Roman" w:eastAsia="宋体"/>
          <w:color w:val="auto"/>
          <w:sz w:val="36"/>
          <w:szCs w:val="36"/>
          <w:highlight w:val="none"/>
          <w:u w:val="single"/>
        </w:rPr>
        <w:t>年</w:t>
      </w:r>
      <w:r>
        <w:rPr>
          <w:rFonts w:hint="eastAsia" w:ascii="Times New Roman" w:hAnsi="Times New Roman" w:eastAsia="宋体"/>
          <w:color w:val="auto"/>
          <w:sz w:val="36"/>
          <w:szCs w:val="36"/>
          <w:highlight w:val="none"/>
          <w:u w:val="single"/>
          <w:lang w:val="en-US" w:eastAsia="zh-CN"/>
        </w:rPr>
        <w:t>5</w:t>
      </w:r>
      <w:r>
        <w:rPr>
          <w:rFonts w:ascii="Times New Roman" w:hAnsi="Times New Roman" w:eastAsia="宋体"/>
          <w:color w:val="auto"/>
          <w:sz w:val="36"/>
          <w:szCs w:val="36"/>
          <w:highlight w:val="none"/>
          <w:u w:val="single"/>
        </w:rPr>
        <w:t xml:space="preserve">月             </w:t>
      </w:r>
    </w:p>
    <w:p w14:paraId="5260E742">
      <w:pPr>
        <w:adjustRightInd w:val="0"/>
        <w:snapToGrid w:val="0"/>
        <w:spacing w:line="288" w:lineRule="auto"/>
        <w:ind w:firstLine="1040"/>
        <w:rPr>
          <w:rFonts w:ascii="Times New Roman" w:hAnsi="Times New Roman" w:eastAsia="宋体"/>
          <w:color w:val="auto"/>
          <w:sz w:val="36"/>
          <w:szCs w:val="36"/>
          <w:highlight w:val="none"/>
          <w:u w:val="single"/>
        </w:rPr>
      </w:pPr>
      <w:bookmarkStart w:id="0" w:name="_Hlk57884087"/>
    </w:p>
    <w:p w14:paraId="29FEECE5">
      <w:pPr>
        <w:adjustRightInd w:val="0"/>
        <w:snapToGrid w:val="0"/>
        <w:spacing w:line="288" w:lineRule="auto"/>
        <w:ind w:firstLine="1040"/>
        <w:rPr>
          <w:rFonts w:ascii="Times New Roman" w:hAnsi="Times New Roman" w:eastAsia="宋体"/>
          <w:color w:val="auto"/>
          <w:sz w:val="36"/>
          <w:szCs w:val="36"/>
          <w:highlight w:val="none"/>
        </w:rPr>
      </w:pPr>
    </w:p>
    <w:p w14:paraId="49A59E5D">
      <w:pPr>
        <w:adjustRightInd w:val="0"/>
        <w:snapToGrid w:val="0"/>
        <w:spacing w:line="288" w:lineRule="auto"/>
        <w:ind w:firstLine="1040"/>
        <w:rPr>
          <w:rFonts w:ascii="Times New Roman" w:hAnsi="Times New Roman" w:eastAsia="宋体"/>
          <w:color w:val="auto"/>
          <w:sz w:val="36"/>
          <w:szCs w:val="36"/>
          <w:highlight w:val="none"/>
        </w:rPr>
      </w:pPr>
    </w:p>
    <w:p w14:paraId="7B6078B2">
      <w:pPr>
        <w:adjustRightInd w:val="0"/>
        <w:snapToGrid w:val="0"/>
        <w:spacing w:line="288" w:lineRule="auto"/>
        <w:ind w:firstLine="1040"/>
        <w:rPr>
          <w:rFonts w:ascii="Times New Roman" w:hAnsi="Times New Roman" w:eastAsia="宋体"/>
          <w:color w:val="auto"/>
          <w:sz w:val="36"/>
          <w:szCs w:val="36"/>
          <w:highlight w:val="none"/>
        </w:rPr>
      </w:pPr>
    </w:p>
    <w:bookmarkEnd w:id="0"/>
    <w:p w14:paraId="49CB7DD1">
      <w:pPr>
        <w:pStyle w:val="37"/>
        <w:jc w:val="center"/>
        <w:rPr>
          <w:rFonts w:ascii="Times New Roman" w:hAnsi="Times New Roman" w:eastAsia="宋体"/>
          <w:color w:val="auto"/>
          <w:sz w:val="36"/>
          <w:szCs w:val="36"/>
          <w:highlight w:val="none"/>
        </w:rPr>
      </w:pPr>
      <w:r>
        <w:rPr>
          <w:rFonts w:ascii="Times New Roman" w:hAnsi="Times New Roman" w:eastAsia="宋体"/>
          <w:color w:val="auto"/>
          <w:sz w:val="36"/>
          <w:szCs w:val="36"/>
          <w:highlight w:val="none"/>
        </w:rPr>
        <w:t>中华人民共和国生态环境部制</w:t>
      </w:r>
    </w:p>
    <w:p w14:paraId="558B78AE">
      <w:pPr>
        <w:rPr>
          <w:rFonts w:ascii="Times New Roman" w:hAnsi="Times New Roman" w:eastAsia="宋体"/>
          <w:color w:val="auto"/>
          <w:sz w:val="36"/>
          <w:szCs w:val="36"/>
          <w:highlight w:val="none"/>
        </w:rPr>
      </w:pPr>
      <w:r>
        <w:rPr>
          <w:rFonts w:ascii="Times New Roman" w:hAnsi="Times New Roman" w:eastAsia="宋体"/>
          <w:color w:val="auto"/>
          <w:sz w:val="36"/>
          <w:szCs w:val="36"/>
          <w:highlight w:val="none"/>
        </w:rPr>
        <w:br w:type="page"/>
      </w:r>
    </w:p>
    <w:p w14:paraId="29EA9A10">
      <w:pPr>
        <w:pStyle w:val="37"/>
        <w:jc w:val="center"/>
        <w:rPr>
          <w:rFonts w:ascii="Times New Roman" w:hAnsi="Times New Roman" w:eastAsia="宋体"/>
          <w:color w:val="auto"/>
          <w:sz w:val="36"/>
          <w:szCs w:val="36"/>
          <w:highlight w:val="none"/>
        </w:rPr>
      </w:pPr>
    </w:p>
    <w:p w14:paraId="017FBBB8">
      <w:pPr>
        <w:pStyle w:val="37"/>
        <w:jc w:val="center"/>
        <w:rPr>
          <w:rFonts w:hint="eastAsia" w:ascii="Times New Roman" w:hAnsi="Times New Roman" w:eastAsia="宋体"/>
          <w:snapToGrid w:val="0"/>
          <w:color w:val="auto"/>
          <w:sz w:val="30"/>
          <w:szCs w:val="30"/>
          <w:highlight w:val="none"/>
        </w:rPr>
        <w:sectPr>
          <w:headerReference r:id="rId3" w:type="default"/>
          <w:footerReference r:id="rId4" w:type="default"/>
          <w:pgSz w:w="11906" w:h="16838"/>
          <w:pgMar w:top="1417" w:right="1417" w:bottom="1417" w:left="1417" w:header="0" w:footer="0" w:gutter="0"/>
          <w:pgBorders>
            <w:top w:val="none" w:sz="0" w:space="0"/>
            <w:left w:val="none" w:sz="0" w:space="0"/>
            <w:bottom w:val="none" w:sz="0" w:space="0"/>
            <w:right w:val="none" w:sz="0" w:space="0"/>
          </w:pgBorders>
          <w:pgNumType w:start="1"/>
          <w:cols w:space="720" w:num="1"/>
          <w:docGrid w:linePitch="312" w:charSpace="0"/>
        </w:sectPr>
      </w:pPr>
      <w:r>
        <w:rPr>
          <w:rFonts w:ascii="Times New Roman" w:hAnsi="Times New Roman" w:eastAsia="宋体"/>
          <w:color w:val="auto"/>
          <w:sz w:val="36"/>
          <w:szCs w:val="36"/>
          <w:highlight w:val="none"/>
        </w:rPr>
        <w:br w:type="page"/>
      </w:r>
    </w:p>
    <w:p w14:paraId="27222F9B">
      <w:pPr>
        <w:pStyle w:val="37"/>
        <w:jc w:val="center"/>
        <w:outlineLvl w:val="0"/>
        <w:rPr>
          <w:rFonts w:ascii="Times New Roman" w:hAnsi="Times New Roman" w:eastAsia="宋体"/>
          <w:snapToGrid w:val="0"/>
          <w:color w:val="auto"/>
          <w:sz w:val="30"/>
          <w:szCs w:val="30"/>
          <w:highlight w:val="none"/>
        </w:rPr>
      </w:pPr>
      <w:r>
        <w:rPr>
          <w:rFonts w:ascii="Times New Roman" w:hAnsi="Times New Roman" w:eastAsia="宋体"/>
          <w:snapToGrid w:val="0"/>
          <w:color w:val="auto"/>
          <w:sz w:val="30"/>
          <w:szCs w:val="30"/>
          <w:highlight w:val="none"/>
        </w:rPr>
        <w:t>一、建设项目基本情况</w:t>
      </w:r>
    </w:p>
    <w:tbl>
      <w:tblPr>
        <w:tblStyle w:val="41"/>
        <w:tblW w:w="498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203"/>
        <w:gridCol w:w="2908"/>
        <w:gridCol w:w="2071"/>
        <w:gridCol w:w="2892"/>
      </w:tblGrid>
      <w:tr w14:paraId="1EE55C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63" w:type="pct"/>
            <w:noWrap w:val="0"/>
            <w:tcMar>
              <w:top w:w="16" w:type="dxa"/>
              <w:left w:w="16" w:type="dxa"/>
              <w:right w:w="16" w:type="dxa"/>
            </w:tcMar>
            <w:vAlign w:val="center"/>
          </w:tcPr>
          <w:p w14:paraId="2DFA92D6">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建设项目名称</w:t>
            </w:r>
          </w:p>
        </w:tc>
        <w:tc>
          <w:tcPr>
            <w:tcW w:w="4336" w:type="pct"/>
            <w:gridSpan w:val="3"/>
            <w:noWrap w:val="0"/>
            <w:vAlign w:val="center"/>
          </w:tcPr>
          <w:p w14:paraId="04082B29">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eastAsia="zh-CN"/>
              </w:rPr>
              <w:t>博罗县合晟包装制品有限公司</w:t>
            </w:r>
            <w:r>
              <w:rPr>
                <w:rFonts w:hint="eastAsia" w:cs="Times New Roman"/>
                <w:color w:val="auto"/>
                <w:sz w:val="21"/>
                <w:szCs w:val="21"/>
                <w:highlight w:val="none"/>
                <w:lang w:val="en-US" w:eastAsia="zh-CN"/>
              </w:rPr>
              <w:t>迁改扩建</w:t>
            </w:r>
            <w:r>
              <w:rPr>
                <w:rFonts w:hint="eastAsia" w:ascii="Times New Roman" w:hAnsi="Times New Roman" w:eastAsia="宋体" w:cs="Times New Roman"/>
                <w:color w:val="auto"/>
                <w:sz w:val="21"/>
                <w:szCs w:val="21"/>
                <w:highlight w:val="none"/>
              </w:rPr>
              <w:t>项目</w:t>
            </w:r>
          </w:p>
        </w:tc>
      </w:tr>
      <w:tr w14:paraId="49BC56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63" w:type="pct"/>
            <w:noWrap w:val="0"/>
            <w:tcMar>
              <w:top w:w="16" w:type="dxa"/>
              <w:left w:w="16" w:type="dxa"/>
              <w:right w:w="16" w:type="dxa"/>
            </w:tcMar>
            <w:vAlign w:val="center"/>
          </w:tcPr>
          <w:p w14:paraId="6E06520C">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项目代码</w:t>
            </w:r>
          </w:p>
        </w:tc>
        <w:tc>
          <w:tcPr>
            <w:tcW w:w="4336" w:type="pct"/>
            <w:gridSpan w:val="3"/>
            <w:noWrap w:val="0"/>
            <w:vAlign w:val="center"/>
          </w:tcPr>
          <w:p w14:paraId="150D04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2505-441322-04-01-</w:t>
            </w:r>
            <w:r>
              <w:rPr>
                <w:rFonts w:hint="eastAsia" w:cs="Times New Roman"/>
                <w:color w:val="auto"/>
                <w:sz w:val="21"/>
                <w:szCs w:val="21"/>
                <w:highlight w:val="none"/>
                <w:lang w:val="en-US" w:eastAsia="zh-CN"/>
              </w:rPr>
              <w:t>******</w:t>
            </w:r>
          </w:p>
        </w:tc>
      </w:tr>
      <w:tr w14:paraId="4CD227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63" w:type="pct"/>
            <w:noWrap w:val="0"/>
            <w:tcMar>
              <w:top w:w="16" w:type="dxa"/>
              <w:left w:w="16" w:type="dxa"/>
              <w:right w:w="16" w:type="dxa"/>
            </w:tcMar>
            <w:vAlign w:val="center"/>
          </w:tcPr>
          <w:p w14:paraId="67AD9C9F">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建设单位联系人</w:t>
            </w:r>
          </w:p>
        </w:tc>
        <w:tc>
          <w:tcPr>
            <w:tcW w:w="1602" w:type="pct"/>
            <w:noWrap w:val="0"/>
            <w:vAlign w:val="center"/>
          </w:tcPr>
          <w:p w14:paraId="1728532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赖</w:t>
            </w:r>
            <w:r>
              <w:rPr>
                <w:rFonts w:hint="eastAsia" w:cs="Times New Roman"/>
                <w:color w:val="auto"/>
                <w:sz w:val="21"/>
                <w:szCs w:val="21"/>
                <w:highlight w:val="none"/>
                <w:lang w:val="en-US" w:eastAsia="zh-CN"/>
              </w:rPr>
              <w:t>**</w:t>
            </w:r>
          </w:p>
        </w:tc>
        <w:tc>
          <w:tcPr>
            <w:tcW w:w="1141" w:type="pct"/>
            <w:noWrap w:val="0"/>
            <w:vAlign w:val="center"/>
          </w:tcPr>
          <w:p w14:paraId="23398705">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联系方式</w:t>
            </w:r>
          </w:p>
        </w:tc>
        <w:tc>
          <w:tcPr>
            <w:tcW w:w="1593" w:type="pct"/>
            <w:noWrap w:val="0"/>
            <w:vAlign w:val="center"/>
          </w:tcPr>
          <w:p w14:paraId="20B9C30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13</w:t>
            </w:r>
            <w:r>
              <w:rPr>
                <w:rFonts w:hint="eastAsia" w:ascii="Times New Roman" w:hAnsi="Times New Roman" w:eastAsia="宋体" w:cs="Times New Roman"/>
                <w:color w:val="auto"/>
                <w:sz w:val="21"/>
                <w:szCs w:val="21"/>
                <w:highlight w:val="none"/>
                <w:lang w:val="en-US" w:eastAsia="zh-CN"/>
              </w:rPr>
              <w:t>5</w:t>
            </w:r>
            <w:r>
              <w:rPr>
                <w:rFonts w:hint="eastAsia"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5765</w:t>
            </w:r>
          </w:p>
        </w:tc>
      </w:tr>
      <w:tr w14:paraId="113B33B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63" w:type="pct"/>
            <w:noWrap w:val="0"/>
            <w:tcMar>
              <w:top w:w="16" w:type="dxa"/>
              <w:left w:w="16" w:type="dxa"/>
              <w:right w:w="16" w:type="dxa"/>
            </w:tcMar>
            <w:vAlign w:val="center"/>
          </w:tcPr>
          <w:p w14:paraId="4EA638BE">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建设地点</w:t>
            </w:r>
          </w:p>
        </w:tc>
        <w:tc>
          <w:tcPr>
            <w:tcW w:w="4336" w:type="pct"/>
            <w:gridSpan w:val="3"/>
            <w:noWrap w:val="0"/>
            <w:vAlign w:val="center"/>
          </w:tcPr>
          <w:p w14:paraId="0C30948B">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惠州市博罗县梅花村鸿达九路198号6号厂房605室、7号厂房705室</w:t>
            </w:r>
          </w:p>
        </w:tc>
      </w:tr>
      <w:tr w14:paraId="4E5B31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63" w:type="pct"/>
            <w:noWrap w:val="0"/>
            <w:tcMar>
              <w:top w:w="16" w:type="dxa"/>
              <w:left w:w="16" w:type="dxa"/>
              <w:right w:w="16" w:type="dxa"/>
            </w:tcMar>
            <w:vAlign w:val="center"/>
          </w:tcPr>
          <w:p w14:paraId="18628CB1">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地理坐标</w:t>
            </w:r>
          </w:p>
        </w:tc>
        <w:tc>
          <w:tcPr>
            <w:tcW w:w="4336" w:type="pct"/>
            <w:gridSpan w:val="3"/>
            <w:noWrap w:val="0"/>
            <w:vAlign w:val="center"/>
          </w:tcPr>
          <w:p w14:paraId="7E5AAECC">
            <w:pPr>
              <w:keepNext w:val="0"/>
              <w:keepLines w:val="0"/>
              <w:suppressLineNumbers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东经</w:t>
            </w:r>
            <w:r>
              <w:rPr>
                <w:rFonts w:ascii="Times New Roman" w:hAnsi="Times New Roman" w:eastAsia="宋体" w:cs="Times New Roman"/>
                <w:color w:val="auto"/>
                <w:sz w:val="21"/>
                <w:szCs w:val="21"/>
                <w:highlight w:val="none"/>
                <w:u w:val="single"/>
              </w:rPr>
              <w:t>11</w:t>
            </w:r>
            <w:r>
              <w:rPr>
                <w:rFonts w:hint="eastAsia" w:ascii="Times New Roman" w:hAnsi="Times New Roman" w:eastAsia="宋体" w:cs="Times New Roman"/>
                <w:color w:val="auto"/>
                <w:sz w:val="21"/>
                <w:szCs w:val="21"/>
                <w:highlight w:val="none"/>
                <w:u w:val="single"/>
                <w:lang w:val="en-US" w:eastAsia="zh-CN"/>
              </w:rPr>
              <w:t>4</w:t>
            </w:r>
            <w:r>
              <w:rPr>
                <w:rFonts w:ascii="Times New Roman" w:hAnsi="Times New Roman" w:eastAsia="宋体" w:cs="Times New Roman"/>
                <w:color w:val="auto"/>
                <w:sz w:val="21"/>
                <w:szCs w:val="21"/>
                <w:highlight w:val="none"/>
              </w:rPr>
              <w:t>度</w:t>
            </w:r>
            <w:r>
              <w:rPr>
                <w:rFonts w:hint="eastAsia" w:ascii="Times New Roman" w:hAnsi="Times New Roman" w:eastAsia="宋体" w:cs="Times New Roman"/>
                <w:color w:val="auto"/>
                <w:sz w:val="21"/>
                <w:szCs w:val="21"/>
                <w:highlight w:val="none"/>
                <w:u w:val="single"/>
                <w:lang w:val="en-US" w:eastAsia="zh-CN"/>
              </w:rPr>
              <w:t>1</w:t>
            </w:r>
            <w:r>
              <w:rPr>
                <w:rFonts w:hint="eastAsia" w:ascii="Times New Roman" w:hAnsi="Times New Roman" w:eastAsia="宋体" w:cs="Times New Roman"/>
                <w:color w:val="auto"/>
                <w:sz w:val="21"/>
                <w:szCs w:val="21"/>
                <w:highlight w:val="none"/>
                <w:u w:val="single"/>
              </w:rPr>
              <w:t>5</w:t>
            </w:r>
            <w:r>
              <w:rPr>
                <w:rFonts w:ascii="Times New Roman" w:hAnsi="Times New Roman" w:eastAsia="宋体" w:cs="Times New Roman"/>
                <w:color w:val="auto"/>
                <w:sz w:val="21"/>
                <w:szCs w:val="21"/>
                <w:highlight w:val="none"/>
              </w:rPr>
              <w:t>分</w:t>
            </w:r>
            <w:r>
              <w:rPr>
                <w:rFonts w:hint="eastAsia" w:ascii="Times New Roman" w:hAnsi="Times New Roman" w:eastAsia="宋体" w:cs="Times New Roman"/>
                <w:color w:val="auto"/>
                <w:sz w:val="21"/>
                <w:szCs w:val="21"/>
                <w:highlight w:val="none"/>
                <w:u w:val="single"/>
                <w:lang w:val="en-US" w:eastAsia="zh-CN"/>
              </w:rPr>
              <w:t>30.799</w:t>
            </w:r>
            <w:r>
              <w:rPr>
                <w:rFonts w:ascii="Times New Roman" w:hAnsi="Times New Roman" w:eastAsia="宋体" w:cs="Times New Roman"/>
                <w:color w:val="auto"/>
                <w:sz w:val="21"/>
                <w:szCs w:val="21"/>
                <w:highlight w:val="none"/>
              </w:rPr>
              <w:t>秒，北纬</w:t>
            </w:r>
            <w:r>
              <w:rPr>
                <w:rFonts w:ascii="Times New Roman" w:hAnsi="Times New Roman" w:eastAsia="宋体" w:cs="Times New Roman"/>
                <w:color w:val="auto"/>
                <w:sz w:val="21"/>
                <w:szCs w:val="21"/>
                <w:highlight w:val="none"/>
                <w:u w:val="single"/>
              </w:rPr>
              <w:t>23</w:t>
            </w:r>
            <w:r>
              <w:rPr>
                <w:rFonts w:ascii="Times New Roman" w:hAnsi="Times New Roman" w:eastAsia="宋体" w:cs="Times New Roman"/>
                <w:color w:val="auto"/>
                <w:sz w:val="21"/>
                <w:szCs w:val="21"/>
                <w:highlight w:val="none"/>
              </w:rPr>
              <w:t>度</w:t>
            </w:r>
            <w:r>
              <w:rPr>
                <w:rFonts w:hint="eastAsia" w:ascii="Times New Roman" w:hAnsi="Times New Roman" w:eastAsia="宋体" w:cs="Times New Roman"/>
                <w:color w:val="auto"/>
                <w:sz w:val="21"/>
                <w:szCs w:val="21"/>
                <w:highlight w:val="none"/>
                <w:u w:val="single"/>
                <w:lang w:val="en-US" w:eastAsia="zh-CN"/>
              </w:rPr>
              <w:t>12</w:t>
            </w:r>
            <w:r>
              <w:rPr>
                <w:rFonts w:ascii="Times New Roman" w:hAnsi="Times New Roman" w:eastAsia="宋体" w:cs="Times New Roman"/>
                <w:color w:val="auto"/>
                <w:sz w:val="21"/>
                <w:szCs w:val="21"/>
                <w:highlight w:val="none"/>
              </w:rPr>
              <w:t>分</w:t>
            </w:r>
            <w:r>
              <w:rPr>
                <w:rFonts w:hint="eastAsia" w:ascii="Times New Roman" w:hAnsi="Times New Roman" w:eastAsia="宋体" w:cs="Times New Roman"/>
                <w:color w:val="auto"/>
                <w:sz w:val="21"/>
                <w:szCs w:val="21"/>
                <w:highlight w:val="none"/>
                <w:u w:val="single"/>
                <w:lang w:val="en-US" w:eastAsia="zh-CN"/>
              </w:rPr>
              <w:t>11.980</w:t>
            </w:r>
            <w:r>
              <w:rPr>
                <w:rFonts w:ascii="Times New Roman" w:hAnsi="Times New Roman" w:eastAsia="宋体" w:cs="Times New Roman"/>
                <w:color w:val="auto"/>
                <w:sz w:val="21"/>
                <w:szCs w:val="21"/>
                <w:highlight w:val="none"/>
              </w:rPr>
              <w:t>秒</w:t>
            </w:r>
          </w:p>
        </w:tc>
      </w:tr>
      <w:tr w14:paraId="3E4163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63" w:type="pct"/>
            <w:noWrap w:val="0"/>
            <w:tcMar>
              <w:top w:w="16" w:type="dxa"/>
              <w:left w:w="16" w:type="dxa"/>
              <w:right w:w="16" w:type="dxa"/>
            </w:tcMar>
            <w:vAlign w:val="center"/>
          </w:tcPr>
          <w:p w14:paraId="1DCD15B6">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国民经济</w:t>
            </w:r>
          </w:p>
          <w:p w14:paraId="5A4A0898">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行业类别</w:t>
            </w:r>
          </w:p>
        </w:tc>
        <w:tc>
          <w:tcPr>
            <w:tcW w:w="1602" w:type="pct"/>
            <w:noWrap w:val="0"/>
            <w:vAlign w:val="center"/>
          </w:tcPr>
          <w:p w14:paraId="4FBE6320">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C2929塑料零件及其他塑料制品制造、C2231纸和纸板容器制造</w:t>
            </w:r>
          </w:p>
        </w:tc>
        <w:tc>
          <w:tcPr>
            <w:tcW w:w="1141" w:type="pct"/>
            <w:noWrap w:val="0"/>
            <w:vAlign w:val="center"/>
          </w:tcPr>
          <w:p w14:paraId="529E2A6E">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rPr>
            </w:pPr>
            <w:bookmarkStart w:id="1" w:name="_Hlk49843745"/>
            <w:r>
              <w:rPr>
                <w:rFonts w:hint="eastAsia" w:ascii="Times New Roman" w:hAnsi="Times New Roman" w:eastAsia="宋体" w:cs="Times New Roman"/>
                <w:color w:val="auto"/>
                <w:sz w:val="21"/>
                <w:szCs w:val="21"/>
                <w:highlight w:val="none"/>
              </w:rPr>
              <w:t>建设项目</w:t>
            </w:r>
          </w:p>
          <w:p w14:paraId="0F01CE99">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行业类别</w:t>
            </w:r>
            <w:bookmarkEnd w:id="1"/>
          </w:p>
        </w:tc>
        <w:tc>
          <w:tcPr>
            <w:tcW w:w="1593" w:type="pct"/>
            <w:noWrap w:val="0"/>
            <w:vAlign w:val="center"/>
          </w:tcPr>
          <w:p w14:paraId="1148584E">
            <w:pPr>
              <w:keepNext w:val="0"/>
              <w:keepLines w:val="0"/>
              <w:numPr>
                <w:ilvl w:val="0"/>
                <w:numId w:val="3"/>
              </w:numPr>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塑料制品业292；</w:t>
            </w:r>
          </w:p>
          <w:p w14:paraId="237D6C39">
            <w:pPr>
              <w:keepNext w:val="0"/>
              <w:keepLines w:val="0"/>
              <w:numPr>
                <w:ilvl w:val="0"/>
                <w:numId w:val="0"/>
              </w:numPr>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38、纸制品制造223*</w:t>
            </w:r>
          </w:p>
        </w:tc>
      </w:tr>
      <w:tr w14:paraId="44EC87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63" w:type="pct"/>
            <w:noWrap w:val="0"/>
            <w:tcMar>
              <w:top w:w="16" w:type="dxa"/>
              <w:left w:w="16" w:type="dxa"/>
              <w:right w:w="16" w:type="dxa"/>
            </w:tcMar>
            <w:vAlign w:val="center"/>
          </w:tcPr>
          <w:p w14:paraId="1699D4BA">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建设性质</w:t>
            </w:r>
          </w:p>
        </w:tc>
        <w:tc>
          <w:tcPr>
            <w:tcW w:w="1602" w:type="pct"/>
            <w:noWrap w:val="0"/>
            <w:vAlign w:val="center"/>
          </w:tcPr>
          <w:p w14:paraId="4010337C">
            <w:pPr>
              <w:keepNext w:val="0"/>
              <w:keepLines w:val="0"/>
              <w:suppressLineNumbers w:val="0"/>
              <w:spacing w:before="0" w:beforeAutospacing="0" w:after="0" w:afterAutospacing="0"/>
              <w:ind w:left="0" w:right="0"/>
              <w:jc w:val="left"/>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sym w:font="Wingdings 2" w:char="0052"/>
            </w:r>
            <w:r>
              <w:rPr>
                <w:rFonts w:ascii="Times New Roman" w:hAnsi="Times New Roman" w:eastAsia="宋体" w:cs="Times New Roman"/>
                <w:color w:val="auto"/>
                <w:sz w:val="21"/>
                <w:szCs w:val="21"/>
                <w:highlight w:val="none"/>
              </w:rPr>
              <w:t>新建（迁建）</w:t>
            </w:r>
          </w:p>
          <w:p w14:paraId="203095F6">
            <w:pPr>
              <w:keepNext w:val="0"/>
              <w:keepLines w:val="0"/>
              <w:suppressLineNumbers w:val="0"/>
              <w:spacing w:before="0" w:beforeAutospacing="0" w:after="0" w:afterAutospacing="0"/>
              <w:ind w:left="0" w:right="0"/>
              <w:jc w:val="left"/>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sym w:font="Wingdings 2" w:char="0052"/>
            </w:r>
            <w:r>
              <w:rPr>
                <w:rFonts w:ascii="Times New Roman" w:hAnsi="Times New Roman" w:eastAsia="宋体" w:cs="Times New Roman"/>
                <w:color w:val="auto"/>
                <w:sz w:val="21"/>
                <w:szCs w:val="21"/>
                <w:highlight w:val="none"/>
              </w:rPr>
              <w:t>改建</w:t>
            </w:r>
          </w:p>
          <w:p w14:paraId="15C3E2AA">
            <w:pPr>
              <w:keepNext w:val="0"/>
              <w:keepLines w:val="0"/>
              <w:suppressLineNumbers w:val="0"/>
              <w:spacing w:before="0" w:beforeAutospacing="0" w:after="0" w:afterAutospacing="0"/>
              <w:ind w:left="0" w:right="0"/>
              <w:jc w:val="left"/>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sym w:font="Wingdings 2" w:char="0052"/>
            </w:r>
            <w:r>
              <w:rPr>
                <w:rFonts w:ascii="Times New Roman" w:hAnsi="Times New Roman" w:eastAsia="宋体" w:cs="Times New Roman"/>
                <w:color w:val="auto"/>
                <w:sz w:val="21"/>
                <w:szCs w:val="21"/>
                <w:highlight w:val="none"/>
              </w:rPr>
              <w:t>扩建</w:t>
            </w:r>
          </w:p>
          <w:p w14:paraId="38056BB5">
            <w:pPr>
              <w:keepNext w:val="0"/>
              <w:keepLines w:val="0"/>
              <w:suppressLineNumbers w:val="0"/>
              <w:spacing w:before="0" w:beforeAutospacing="0" w:after="0" w:afterAutospacing="0"/>
              <w:ind w:left="0" w:right="0"/>
              <w:jc w:val="left"/>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sym w:font="Wingdings 2" w:char="00A3"/>
            </w:r>
            <w:r>
              <w:rPr>
                <w:rFonts w:ascii="Times New Roman" w:hAnsi="Times New Roman" w:eastAsia="宋体" w:cs="Times New Roman"/>
                <w:color w:val="auto"/>
                <w:sz w:val="21"/>
                <w:szCs w:val="21"/>
                <w:highlight w:val="none"/>
              </w:rPr>
              <w:t>技术改造</w:t>
            </w:r>
          </w:p>
        </w:tc>
        <w:tc>
          <w:tcPr>
            <w:tcW w:w="1141" w:type="pct"/>
            <w:noWrap w:val="0"/>
            <w:vAlign w:val="center"/>
          </w:tcPr>
          <w:p w14:paraId="6F44126B">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建设项目</w:t>
            </w:r>
          </w:p>
          <w:p w14:paraId="4F79A551">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申报情形</w:t>
            </w:r>
          </w:p>
        </w:tc>
        <w:tc>
          <w:tcPr>
            <w:tcW w:w="1593" w:type="pct"/>
            <w:noWrap w:val="0"/>
            <w:vAlign w:val="center"/>
          </w:tcPr>
          <w:p w14:paraId="7AB1952B">
            <w:pPr>
              <w:keepNext w:val="0"/>
              <w:keepLines w:val="0"/>
              <w:suppressLineNumbers w:val="0"/>
              <w:spacing w:before="0" w:beforeAutospacing="0" w:after="0" w:afterAutospacing="0"/>
              <w:ind w:left="0" w:right="0"/>
              <w:jc w:val="left"/>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sym w:font="Wingdings 2" w:char="0052"/>
            </w:r>
            <w:r>
              <w:rPr>
                <w:rFonts w:ascii="Times New Roman" w:hAnsi="Times New Roman" w:eastAsia="宋体" w:cs="Times New Roman"/>
                <w:color w:val="auto"/>
                <w:sz w:val="21"/>
                <w:szCs w:val="21"/>
                <w:highlight w:val="none"/>
              </w:rPr>
              <w:t>首次申报项目</w:t>
            </w:r>
          </w:p>
          <w:p w14:paraId="1AF62EAF">
            <w:pPr>
              <w:keepNext w:val="0"/>
              <w:keepLines w:val="0"/>
              <w:suppressLineNumbers w:val="0"/>
              <w:spacing w:before="0" w:beforeAutospacing="0" w:after="0" w:afterAutospacing="0"/>
              <w:ind w:left="0" w:right="0"/>
              <w:jc w:val="left"/>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sym w:font="Wingdings 2" w:char="00A3"/>
            </w:r>
            <w:r>
              <w:rPr>
                <w:rFonts w:ascii="Times New Roman" w:hAnsi="Times New Roman" w:eastAsia="宋体" w:cs="Times New Roman"/>
                <w:color w:val="auto"/>
                <w:sz w:val="21"/>
                <w:szCs w:val="21"/>
                <w:highlight w:val="none"/>
              </w:rPr>
              <w:t>不予批准后再次申报项目</w:t>
            </w:r>
          </w:p>
          <w:p w14:paraId="0635014C">
            <w:pPr>
              <w:keepNext w:val="0"/>
              <w:keepLines w:val="0"/>
              <w:suppressLineNumbers w:val="0"/>
              <w:spacing w:before="0" w:beforeAutospacing="0" w:after="0" w:afterAutospacing="0"/>
              <w:ind w:left="0" w:right="0"/>
              <w:jc w:val="left"/>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sym w:font="Wingdings 2" w:char="00A3"/>
            </w:r>
            <w:r>
              <w:rPr>
                <w:rFonts w:ascii="Times New Roman" w:hAnsi="Times New Roman" w:eastAsia="宋体" w:cs="Times New Roman"/>
                <w:color w:val="auto"/>
                <w:sz w:val="21"/>
                <w:szCs w:val="21"/>
                <w:highlight w:val="none"/>
              </w:rPr>
              <w:t>超五年重新审核项目</w:t>
            </w:r>
          </w:p>
          <w:p w14:paraId="36763353">
            <w:pPr>
              <w:keepNext w:val="0"/>
              <w:keepLines w:val="0"/>
              <w:suppressLineNumbers w:val="0"/>
              <w:spacing w:before="0" w:beforeAutospacing="0" w:after="0" w:afterAutospacing="0"/>
              <w:ind w:left="0" w:right="0"/>
              <w:jc w:val="left"/>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sym w:font="Wingdings 2" w:char="00A3"/>
            </w:r>
            <w:r>
              <w:rPr>
                <w:rFonts w:ascii="Times New Roman" w:hAnsi="Times New Roman" w:eastAsia="宋体" w:cs="Times New Roman"/>
                <w:color w:val="auto"/>
                <w:sz w:val="21"/>
                <w:szCs w:val="21"/>
                <w:highlight w:val="none"/>
              </w:rPr>
              <w:t>重大变动重新报批项目</w:t>
            </w:r>
          </w:p>
        </w:tc>
      </w:tr>
      <w:tr w14:paraId="66989E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63" w:type="pct"/>
            <w:noWrap w:val="0"/>
            <w:tcMar>
              <w:top w:w="16" w:type="dxa"/>
              <w:left w:w="16" w:type="dxa"/>
              <w:right w:w="16" w:type="dxa"/>
            </w:tcMar>
            <w:vAlign w:val="center"/>
          </w:tcPr>
          <w:p w14:paraId="72452C68">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项目审批（核准/</w:t>
            </w:r>
          </w:p>
          <w:p w14:paraId="4597FA24">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备案）部门（选填）</w:t>
            </w:r>
          </w:p>
        </w:tc>
        <w:tc>
          <w:tcPr>
            <w:tcW w:w="1602" w:type="pct"/>
            <w:noWrap w:val="0"/>
            <w:vAlign w:val="center"/>
          </w:tcPr>
          <w:p w14:paraId="561D7A18">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w:t>
            </w:r>
          </w:p>
        </w:tc>
        <w:tc>
          <w:tcPr>
            <w:tcW w:w="1141" w:type="pct"/>
            <w:noWrap w:val="0"/>
            <w:vAlign w:val="center"/>
          </w:tcPr>
          <w:p w14:paraId="749DBA6A">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项目审批（核准/</w:t>
            </w:r>
          </w:p>
          <w:p w14:paraId="1DA6550A">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备案）文号（选填）</w:t>
            </w:r>
          </w:p>
        </w:tc>
        <w:tc>
          <w:tcPr>
            <w:tcW w:w="1593" w:type="pct"/>
            <w:noWrap w:val="0"/>
            <w:vAlign w:val="center"/>
          </w:tcPr>
          <w:p w14:paraId="0CB6E06F">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w:t>
            </w:r>
          </w:p>
        </w:tc>
      </w:tr>
      <w:tr w14:paraId="480D57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73" w:hRule="atLeast"/>
          <w:jc w:val="center"/>
        </w:trPr>
        <w:tc>
          <w:tcPr>
            <w:tcW w:w="663" w:type="pct"/>
            <w:noWrap w:val="0"/>
            <w:tcMar>
              <w:top w:w="16" w:type="dxa"/>
              <w:left w:w="16" w:type="dxa"/>
              <w:right w:w="16" w:type="dxa"/>
            </w:tcMar>
            <w:vAlign w:val="center"/>
          </w:tcPr>
          <w:p w14:paraId="3B59FF74">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总投资（万元）</w:t>
            </w:r>
          </w:p>
        </w:tc>
        <w:tc>
          <w:tcPr>
            <w:tcW w:w="1602" w:type="pct"/>
            <w:noWrap w:val="0"/>
            <w:vAlign w:val="center"/>
          </w:tcPr>
          <w:p w14:paraId="4768FA2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rPr>
              <w:t>00</w:t>
            </w:r>
            <w:r>
              <w:rPr>
                <w:rFonts w:hint="eastAsia" w:ascii="Times New Roman" w:hAnsi="Times New Roman" w:eastAsia="宋体" w:cs="Times New Roman"/>
                <w:color w:val="auto"/>
                <w:sz w:val="21"/>
                <w:szCs w:val="21"/>
                <w:highlight w:val="none"/>
                <w:lang w:val="en-US" w:eastAsia="zh-CN"/>
              </w:rPr>
              <w:t>.0</w:t>
            </w:r>
            <w:r>
              <w:rPr>
                <w:rFonts w:hint="eastAsia" w:cs="Times New Roman"/>
                <w:color w:val="auto"/>
                <w:sz w:val="21"/>
                <w:szCs w:val="21"/>
                <w:highlight w:val="none"/>
                <w:lang w:val="en-US" w:eastAsia="zh-CN"/>
              </w:rPr>
              <w:t>0</w:t>
            </w:r>
          </w:p>
        </w:tc>
        <w:tc>
          <w:tcPr>
            <w:tcW w:w="1141" w:type="pct"/>
            <w:noWrap w:val="0"/>
            <w:tcMar>
              <w:top w:w="16" w:type="dxa"/>
              <w:left w:w="16" w:type="dxa"/>
              <w:right w:w="16" w:type="dxa"/>
            </w:tcMar>
            <w:vAlign w:val="center"/>
          </w:tcPr>
          <w:p w14:paraId="61188F85">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环保投资（万元）</w:t>
            </w:r>
          </w:p>
        </w:tc>
        <w:tc>
          <w:tcPr>
            <w:tcW w:w="1593" w:type="pct"/>
            <w:noWrap w:val="0"/>
            <w:vAlign w:val="center"/>
          </w:tcPr>
          <w:p w14:paraId="2B77BBB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20.00</w:t>
            </w:r>
          </w:p>
        </w:tc>
      </w:tr>
      <w:tr w14:paraId="54B750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11" w:hRule="atLeast"/>
          <w:jc w:val="center"/>
        </w:trPr>
        <w:tc>
          <w:tcPr>
            <w:tcW w:w="663" w:type="pct"/>
            <w:noWrap w:val="0"/>
            <w:tcMar>
              <w:top w:w="16" w:type="dxa"/>
              <w:left w:w="16" w:type="dxa"/>
              <w:right w:w="16" w:type="dxa"/>
            </w:tcMar>
            <w:vAlign w:val="center"/>
          </w:tcPr>
          <w:p w14:paraId="4BD70FC5">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环保投资占比（%）</w:t>
            </w:r>
          </w:p>
        </w:tc>
        <w:tc>
          <w:tcPr>
            <w:tcW w:w="1602" w:type="pct"/>
            <w:noWrap w:val="0"/>
            <w:vAlign w:val="center"/>
          </w:tcPr>
          <w:p w14:paraId="42E4E1E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6.67</w:t>
            </w:r>
          </w:p>
        </w:tc>
        <w:tc>
          <w:tcPr>
            <w:tcW w:w="1141" w:type="pct"/>
            <w:noWrap w:val="0"/>
            <w:tcMar>
              <w:top w:w="16" w:type="dxa"/>
              <w:left w:w="16" w:type="dxa"/>
              <w:right w:w="16" w:type="dxa"/>
            </w:tcMar>
            <w:vAlign w:val="center"/>
          </w:tcPr>
          <w:p w14:paraId="5A748747">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施工工期</w:t>
            </w:r>
          </w:p>
        </w:tc>
        <w:tc>
          <w:tcPr>
            <w:tcW w:w="1593" w:type="pct"/>
            <w:noWrap w:val="0"/>
            <w:vAlign w:val="center"/>
          </w:tcPr>
          <w:p w14:paraId="29A0B3A1">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w:t>
            </w:r>
          </w:p>
        </w:tc>
      </w:tr>
      <w:tr w14:paraId="7C85D0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01" w:hRule="atLeast"/>
          <w:jc w:val="center"/>
        </w:trPr>
        <w:tc>
          <w:tcPr>
            <w:tcW w:w="663" w:type="pct"/>
            <w:noWrap w:val="0"/>
            <w:tcMar>
              <w:top w:w="16" w:type="dxa"/>
              <w:left w:w="16" w:type="dxa"/>
              <w:right w:w="16" w:type="dxa"/>
            </w:tcMar>
            <w:vAlign w:val="center"/>
          </w:tcPr>
          <w:p w14:paraId="0624A1CE">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是否开工建设</w:t>
            </w:r>
          </w:p>
        </w:tc>
        <w:tc>
          <w:tcPr>
            <w:tcW w:w="1602" w:type="pct"/>
            <w:noWrap w:val="0"/>
            <w:vAlign w:val="center"/>
          </w:tcPr>
          <w:p w14:paraId="4E02FBF5">
            <w:pPr>
              <w:keepNext w:val="0"/>
              <w:keepLines w:val="0"/>
              <w:suppressLineNumbers w:val="0"/>
              <w:adjustRightInd w:val="0"/>
              <w:snapToGrid w:val="0"/>
              <w:spacing w:before="0" w:beforeAutospacing="0" w:after="0" w:afterAutospacing="0"/>
              <w:ind w:left="0" w:right="0"/>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sym w:font="Wingdings 2" w:char="0052"/>
            </w:r>
            <w:r>
              <w:rPr>
                <w:rFonts w:ascii="Times New Roman" w:hAnsi="Times New Roman" w:eastAsia="宋体" w:cs="Times New Roman"/>
                <w:color w:val="auto"/>
                <w:sz w:val="21"/>
                <w:szCs w:val="21"/>
                <w:highlight w:val="none"/>
              </w:rPr>
              <w:t>否</w:t>
            </w:r>
          </w:p>
          <w:p w14:paraId="0985FE2E">
            <w:pPr>
              <w:keepNext w:val="0"/>
              <w:keepLines w:val="0"/>
              <w:suppressLineNumbers w:val="0"/>
              <w:adjustRightInd w:val="0"/>
              <w:snapToGrid w:val="0"/>
              <w:spacing w:before="0" w:beforeAutospacing="0" w:after="0" w:afterAutospacing="0"/>
              <w:ind w:left="0" w:right="0"/>
              <w:rPr>
                <w:rFonts w:ascii="Times New Roman" w:hAnsi="Times New Roman" w:eastAsia="宋体" w:cs="Times New Roman"/>
                <w:color w:val="auto"/>
                <w:sz w:val="21"/>
                <w:szCs w:val="21"/>
                <w:highlight w:val="none"/>
                <w:u w:val="single"/>
              </w:rPr>
            </w:pPr>
            <w:r>
              <w:rPr>
                <w:rFonts w:ascii="Times New Roman" w:hAnsi="Times New Roman" w:eastAsia="宋体" w:cs="Times New Roman"/>
                <w:color w:val="auto"/>
                <w:sz w:val="21"/>
                <w:szCs w:val="21"/>
                <w:highlight w:val="none"/>
              </w:rPr>
              <w:sym w:font="Wingdings 2" w:char="00A3"/>
            </w:r>
            <w:r>
              <w:rPr>
                <w:rFonts w:ascii="Times New Roman" w:hAnsi="Times New Roman" w:eastAsia="宋体" w:cs="Times New Roman"/>
                <w:color w:val="auto"/>
                <w:sz w:val="21"/>
                <w:szCs w:val="21"/>
                <w:highlight w:val="none"/>
              </w:rPr>
              <w:t>是：</w:t>
            </w:r>
            <w:r>
              <w:rPr>
                <w:rFonts w:ascii="Times New Roman" w:hAnsi="Times New Roman" w:eastAsia="宋体" w:cs="Times New Roman"/>
                <w:color w:val="auto"/>
                <w:sz w:val="21"/>
                <w:szCs w:val="21"/>
                <w:highlight w:val="none"/>
                <w:u w:val="single"/>
              </w:rPr>
              <w:t xml:space="preserve">             </w:t>
            </w:r>
          </w:p>
        </w:tc>
        <w:tc>
          <w:tcPr>
            <w:tcW w:w="1141" w:type="pct"/>
            <w:noWrap w:val="0"/>
            <w:tcMar>
              <w:top w:w="16" w:type="dxa"/>
              <w:left w:w="16" w:type="dxa"/>
              <w:right w:w="16" w:type="dxa"/>
            </w:tcMar>
            <w:vAlign w:val="center"/>
          </w:tcPr>
          <w:p w14:paraId="251BA021">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pacing w:val="-6"/>
                <w:sz w:val="21"/>
                <w:szCs w:val="21"/>
                <w:highlight w:val="none"/>
              </w:rPr>
            </w:pPr>
            <w:r>
              <w:rPr>
                <w:rFonts w:hint="eastAsia" w:ascii="Times New Roman" w:hAnsi="Times New Roman" w:eastAsia="宋体" w:cs="Times New Roman"/>
                <w:color w:val="auto"/>
                <w:spacing w:val="-6"/>
                <w:sz w:val="21"/>
                <w:szCs w:val="21"/>
                <w:highlight w:val="none"/>
              </w:rPr>
              <w:t>新增</w:t>
            </w:r>
            <w:r>
              <w:rPr>
                <w:rFonts w:ascii="Times New Roman" w:hAnsi="Times New Roman" w:eastAsia="宋体" w:cs="Times New Roman"/>
                <w:color w:val="auto"/>
                <w:spacing w:val="-6"/>
                <w:sz w:val="21"/>
                <w:szCs w:val="21"/>
                <w:highlight w:val="none"/>
              </w:rPr>
              <w:t>用地（用海）</w:t>
            </w:r>
          </w:p>
          <w:p w14:paraId="625BB846">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pacing w:val="-6"/>
                <w:sz w:val="21"/>
                <w:szCs w:val="21"/>
                <w:highlight w:val="none"/>
              </w:rPr>
              <w:t>面积（m</w:t>
            </w:r>
            <w:r>
              <w:rPr>
                <w:rFonts w:ascii="Times New Roman" w:hAnsi="Times New Roman" w:eastAsia="宋体" w:cs="Times New Roman"/>
                <w:color w:val="auto"/>
                <w:spacing w:val="-6"/>
                <w:sz w:val="21"/>
                <w:szCs w:val="21"/>
                <w:highlight w:val="none"/>
                <w:vertAlign w:val="superscript"/>
              </w:rPr>
              <w:t>2</w:t>
            </w:r>
            <w:r>
              <w:rPr>
                <w:rFonts w:ascii="Times New Roman" w:hAnsi="Times New Roman" w:eastAsia="宋体" w:cs="Times New Roman"/>
                <w:color w:val="auto"/>
                <w:spacing w:val="-6"/>
                <w:sz w:val="21"/>
                <w:szCs w:val="21"/>
                <w:highlight w:val="none"/>
              </w:rPr>
              <w:t>）</w:t>
            </w:r>
          </w:p>
        </w:tc>
        <w:tc>
          <w:tcPr>
            <w:tcW w:w="1593" w:type="pct"/>
            <w:noWrap w:val="0"/>
            <w:vAlign w:val="center"/>
          </w:tcPr>
          <w:p w14:paraId="4A656CD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2400.00</w:t>
            </w:r>
          </w:p>
        </w:tc>
      </w:tr>
      <w:tr w14:paraId="7CEB4C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663" w:type="pct"/>
            <w:noWrap w:val="0"/>
            <w:vAlign w:val="center"/>
          </w:tcPr>
          <w:p w14:paraId="011F8DCD">
            <w:pPr>
              <w:keepNext w:val="0"/>
              <w:keepLines w:val="0"/>
              <w:suppressLineNumbers w:val="0"/>
              <w:autoSpaceDE w:val="0"/>
              <w:autoSpaceDN w:val="0"/>
              <w:adjustRightInd w:val="0"/>
              <w:snapToGrid w:val="0"/>
              <w:spacing w:before="0" w:beforeAutospacing="0" w:after="0" w:afterAutospacing="0"/>
              <w:ind w:left="0" w:right="0"/>
              <w:jc w:val="center"/>
              <w:rPr>
                <w:rFonts w:ascii="Times New Roman" w:hAnsi="Times New Roman" w:eastAsia="宋体" w:cs="Times New Roman"/>
                <w:color w:val="auto"/>
                <w:kern w:val="0"/>
                <w:sz w:val="21"/>
                <w:szCs w:val="21"/>
                <w:highlight w:val="none"/>
              </w:rPr>
            </w:pPr>
            <w:r>
              <w:rPr>
                <w:rFonts w:ascii="Times New Roman" w:hAnsi="Times New Roman" w:eastAsia="宋体" w:cs="Times New Roman"/>
                <w:color w:val="auto"/>
                <w:kern w:val="0"/>
                <w:sz w:val="21"/>
                <w:szCs w:val="21"/>
                <w:highlight w:val="none"/>
              </w:rPr>
              <w:t>专项评价设置情况</w:t>
            </w:r>
          </w:p>
        </w:tc>
        <w:tc>
          <w:tcPr>
            <w:tcW w:w="4336" w:type="pct"/>
            <w:gridSpan w:val="3"/>
            <w:noWrap w:val="0"/>
            <w:vAlign w:val="center"/>
          </w:tcPr>
          <w:p w14:paraId="42EFA413">
            <w:pPr>
              <w:keepNext w:val="0"/>
              <w:keepLines w:val="0"/>
              <w:suppressLineNumbers w:val="0"/>
              <w:autoSpaceDE w:val="0"/>
              <w:autoSpaceDN w:val="0"/>
              <w:adjustRightInd w:val="0"/>
              <w:snapToGrid w:val="0"/>
              <w:spacing w:before="0" w:beforeAutospacing="0" w:after="0" w:afterAutospacing="0"/>
              <w:ind w:left="0" w:right="0"/>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lang w:val="zh-CN"/>
              </w:rPr>
              <w:t>无</w:t>
            </w:r>
          </w:p>
        </w:tc>
      </w:tr>
      <w:tr w14:paraId="1F82F7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663" w:type="pct"/>
            <w:noWrap w:val="0"/>
            <w:vAlign w:val="center"/>
          </w:tcPr>
          <w:p w14:paraId="0C3DA7F4">
            <w:pPr>
              <w:keepNext w:val="0"/>
              <w:keepLines w:val="0"/>
              <w:suppressLineNumbers w:val="0"/>
              <w:autoSpaceDE w:val="0"/>
              <w:autoSpaceDN w:val="0"/>
              <w:adjustRightInd w:val="0"/>
              <w:snapToGrid w:val="0"/>
              <w:spacing w:before="0" w:beforeAutospacing="0" w:after="0" w:afterAutospacing="0"/>
              <w:ind w:left="0" w:right="0"/>
              <w:jc w:val="center"/>
              <w:rPr>
                <w:rFonts w:ascii="Times New Roman" w:hAnsi="Times New Roman" w:eastAsia="宋体" w:cs="Times New Roman"/>
                <w:color w:val="auto"/>
                <w:kern w:val="0"/>
                <w:sz w:val="21"/>
                <w:szCs w:val="21"/>
                <w:highlight w:val="none"/>
              </w:rPr>
            </w:pPr>
            <w:r>
              <w:rPr>
                <w:rFonts w:ascii="Times New Roman" w:hAnsi="Times New Roman" w:eastAsia="宋体" w:cs="Times New Roman"/>
                <w:color w:val="auto"/>
                <w:sz w:val="21"/>
                <w:szCs w:val="21"/>
                <w:highlight w:val="none"/>
              </w:rPr>
              <w:t>规划情况</w:t>
            </w:r>
          </w:p>
        </w:tc>
        <w:tc>
          <w:tcPr>
            <w:tcW w:w="4336" w:type="pct"/>
            <w:gridSpan w:val="3"/>
            <w:noWrap w:val="0"/>
            <w:vAlign w:val="center"/>
          </w:tcPr>
          <w:p w14:paraId="2DA936EF">
            <w:pPr>
              <w:keepNext w:val="0"/>
              <w:keepLines w:val="0"/>
              <w:suppressLineNumbers w:val="0"/>
              <w:autoSpaceDE w:val="0"/>
              <w:autoSpaceDN w:val="0"/>
              <w:adjustRightInd w:val="0"/>
              <w:snapToGrid w:val="0"/>
              <w:spacing w:before="0" w:beforeAutospacing="0" w:after="0" w:afterAutospacing="0"/>
              <w:ind w:left="0" w:right="0"/>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lang w:val="zh-CN"/>
              </w:rPr>
              <w:t>无</w:t>
            </w:r>
          </w:p>
        </w:tc>
      </w:tr>
      <w:tr w14:paraId="433752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6" w:hRule="atLeast"/>
          <w:jc w:val="center"/>
        </w:trPr>
        <w:tc>
          <w:tcPr>
            <w:tcW w:w="663" w:type="pct"/>
            <w:noWrap w:val="0"/>
            <w:vAlign w:val="center"/>
          </w:tcPr>
          <w:p w14:paraId="2630D15B">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kern w:val="0"/>
                <w:sz w:val="21"/>
                <w:szCs w:val="21"/>
                <w:highlight w:val="none"/>
              </w:rPr>
            </w:pPr>
            <w:r>
              <w:rPr>
                <w:rFonts w:ascii="Times New Roman" w:hAnsi="Times New Roman" w:eastAsia="宋体" w:cs="Times New Roman"/>
                <w:color w:val="auto"/>
                <w:sz w:val="21"/>
                <w:szCs w:val="21"/>
                <w:highlight w:val="none"/>
              </w:rPr>
              <w:t>规划环境影响评价情况</w:t>
            </w:r>
          </w:p>
        </w:tc>
        <w:tc>
          <w:tcPr>
            <w:tcW w:w="4336" w:type="pct"/>
            <w:gridSpan w:val="3"/>
            <w:noWrap w:val="0"/>
            <w:vAlign w:val="center"/>
          </w:tcPr>
          <w:p w14:paraId="394F6A4A">
            <w:pPr>
              <w:keepNext w:val="0"/>
              <w:keepLines w:val="0"/>
              <w:suppressLineNumbers w:val="0"/>
              <w:autoSpaceDE w:val="0"/>
              <w:autoSpaceDN w:val="0"/>
              <w:adjustRightInd w:val="0"/>
              <w:snapToGrid w:val="0"/>
              <w:spacing w:before="0" w:beforeAutospacing="0" w:after="0" w:afterAutospacing="0"/>
              <w:ind w:left="0" w:right="0"/>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lang w:val="zh-CN"/>
              </w:rPr>
              <w:t>无</w:t>
            </w:r>
          </w:p>
        </w:tc>
      </w:tr>
      <w:tr w14:paraId="5EB7FC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39" w:hRule="atLeast"/>
          <w:jc w:val="center"/>
        </w:trPr>
        <w:tc>
          <w:tcPr>
            <w:tcW w:w="663" w:type="pct"/>
            <w:noWrap w:val="0"/>
            <w:vAlign w:val="center"/>
          </w:tcPr>
          <w:p w14:paraId="3B1DB591">
            <w:pPr>
              <w:keepNext w:val="0"/>
              <w:keepLines w:val="0"/>
              <w:suppressLineNumbers w:val="0"/>
              <w:autoSpaceDE w:val="0"/>
              <w:autoSpaceDN w:val="0"/>
              <w:adjustRightInd w:val="0"/>
              <w:snapToGrid w:val="0"/>
              <w:spacing w:before="0" w:beforeAutospacing="0" w:after="0" w:afterAutospacing="0"/>
              <w:ind w:left="0" w:right="0"/>
              <w:jc w:val="center"/>
              <w:rPr>
                <w:rFonts w:ascii="Times New Roman" w:hAnsi="Times New Roman" w:eastAsia="宋体" w:cs="Times New Roman"/>
                <w:color w:val="auto"/>
                <w:kern w:val="0"/>
                <w:sz w:val="21"/>
                <w:szCs w:val="21"/>
                <w:highlight w:val="none"/>
              </w:rPr>
            </w:pPr>
            <w:r>
              <w:rPr>
                <w:rFonts w:ascii="Times New Roman" w:hAnsi="Times New Roman" w:eastAsia="宋体" w:cs="Times New Roman"/>
                <w:color w:val="auto"/>
                <w:kern w:val="0"/>
                <w:sz w:val="21"/>
                <w:szCs w:val="21"/>
                <w:highlight w:val="none"/>
              </w:rPr>
              <w:t>规划及规划环境影响评价符合性分析</w:t>
            </w:r>
          </w:p>
        </w:tc>
        <w:tc>
          <w:tcPr>
            <w:tcW w:w="4336" w:type="pct"/>
            <w:gridSpan w:val="3"/>
            <w:noWrap w:val="0"/>
            <w:vAlign w:val="center"/>
          </w:tcPr>
          <w:p w14:paraId="3C0ECC5B">
            <w:pPr>
              <w:keepNext w:val="0"/>
              <w:keepLines w:val="0"/>
              <w:suppressLineNumbers w:val="0"/>
              <w:autoSpaceDE w:val="0"/>
              <w:autoSpaceDN w:val="0"/>
              <w:adjustRightInd w:val="0"/>
              <w:snapToGrid w:val="0"/>
              <w:spacing w:before="0" w:beforeAutospacing="0" w:after="0" w:afterAutospacing="0"/>
              <w:ind w:left="0" w:right="0"/>
              <w:jc w:val="center"/>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kern w:val="0"/>
                <w:sz w:val="21"/>
                <w:szCs w:val="21"/>
                <w:highlight w:val="none"/>
                <w:lang w:val="zh-CN"/>
              </w:rPr>
              <w:t>无</w:t>
            </w:r>
          </w:p>
        </w:tc>
      </w:tr>
      <w:tr w14:paraId="1876F0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663" w:type="pct"/>
            <w:noWrap w:val="0"/>
            <w:vAlign w:val="center"/>
          </w:tcPr>
          <w:p w14:paraId="59E5633F">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其他符合性分析</w:t>
            </w:r>
          </w:p>
        </w:tc>
        <w:tc>
          <w:tcPr>
            <w:tcW w:w="4336" w:type="pct"/>
            <w:gridSpan w:val="3"/>
            <w:noWrap w:val="0"/>
            <w:vAlign w:val="center"/>
          </w:tcPr>
          <w:p w14:paraId="5C549928">
            <w:pPr>
              <w:pStyle w:val="33"/>
              <w:keepNext w:val="0"/>
              <w:keepLines w:val="0"/>
              <w:suppressLineNumbers w:val="0"/>
              <w:spacing w:before="0" w:beforeAutospacing="0" w:after="0" w:afterAutospacing="0" w:line="360" w:lineRule="auto"/>
              <w:ind w:left="0" w:leftChars="0" w:right="0" w:firstLine="422" w:firstLineChars="200"/>
              <w:jc w:val="left"/>
              <w:rPr>
                <w:rFonts w:hint="eastAsia" w:ascii="Times New Roman" w:hAnsi="Times New Roman" w:eastAsia="宋体" w:cs="Times New Roman"/>
                <w:b/>
                <w:bCs/>
                <w:color w:val="auto"/>
                <w:kern w:val="0"/>
                <w:sz w:val="21"/>
                <w:szCs w:val="21"/>
                <w:highlight w:val="none"/>
                <w:lang w:val="zh-CN"/>
              </w:rPr>
            </w:pPr>
            <w:r>
              <w:rPr>
                <w:rFonts w:hint="eastAsia" w:ascii="Times New Roman" w:hAnsi="Times New Roman" w:eastAsia="宋体" w:cs="Times New Roman"/>
                <w:b/>
                <w:bCs/>
                <w:color w:val="auto"/>
                <w:kern w:val="0"/>
                <w:sz w:val="21"/>
                <w:szCs w:val="21"/>
                <w:highlight w:val="none"/>
                <w:lang w:val="zh-CN"/>
              </w:rPr>
              <w:t>1、与博罗县“三线一单”管控方案的相符性分析</w:t>
            </w:r>
          </w:p>
          <w:p w14:paraId="0CE69E35">
            <w:pPr>
              <w:pStyle w:val="33"/>
              <w:keepNext w:val="0"/>
              <w:keepLines w:val="0"/>
              <w:suppressLineNumbers w:val="0"/>
              <w:spacing w:before="0" w:beforeAutospacing="0" w:after="0" w:afterAutospacing="0" w:line="360" w:lineRule="auto"/>
              <w:ind w:left="0" w:leftChars="0" w:right="0" w:firstLine="420" w:firstLineChars="200"/>
              <w:jc w:val="left"/>
              <w:rPr>
                <w:rFonts w:hint="eastAsia" w:ascii="Times New Roman" w:hAnsi="Times New Roman" w:eastAsia="宋体" w:cs="Times New Roman"/>
                <w:color w:val="auto"/>
                <w:kern w:val="0"/>
                <w:sz w:val="21"/>
                <w:szCs w:val="21"/>
                <w:highlight w:val="none"/>
                <w:lang w:val="zh-CN"/>
              </w:rPr>
            </w:pPr>
            <w:r>
              <w:rPr>
                <w:rFonts w:hint="eastAsia" w:ascii="Times New Roman" w:hAnsi="Times New Roman" w:eastAsia="宋体" w:cs="Times New Roman"/>
                <w:color w:val="auto"/>
                <w:kern w:val="0"/>
                <w:sz w:val="21"/>
                <w:szCs w:val="21"/>
                <w:highlight w:val="none"/>
                <w:lang w:val="zh-CN"/>
              </w:rPr>
              <w:t>根据《惠州市人民政府关于印发惠州市“三线一单”生态环境分区管控方案的通知》(惠府</w:t>
            </w:r>
            <w:r>
              <w:rPr>
                <w:rFonts w:hint="eastAsia" w:ascii="Times New Roman" w:hAnsi="Times New Roman" w:eastAsia="宋体" w:cs="Times New Roman"/>
                <w:b w:val="0"/>
                <w:bCs w:val="0"/>
                <w:color w:val="auto"/>
                <w:kern w:val="0"/>
                <w:sz w:val="21"/>
                <w:szCs w:val="21"/>
                <w:highlight w:val="none"/>
                <w:lang w:val="en-US" w:eastAsia="zh-CN"/>
              </w:rPr>
              <w:t>〔202</w:t>
            </w:r>
            <w:r>
              <w:rPr>
                <w:rFonts w:hint="eastAsia" w:cs="Times New Roman"/>
                <w:b w:val="0"/>
                <w:bCs w:val="0"/>
                <w:color w:val="auto"/>
                <w:kern w:val="0"/>
                <w:sz w:val="21"/>
                <w:szCs w:val="21"/>
                <w:highlight w:val="none"/>
                <w:lang w:val="en-US" w:eastAsia="zh-CN"/>
              </w:rPr>
              <w:t>1</w:t>
            </w:r>
            <w:r>
              <w:rPr>
                <w:rFonts w:hint="eastAsia" w:ascii="Times New Roman" w:hAnsi="Times New Roman" w:eastAsia="宋体" w:cs="Times New Roman"/>
                <w:b w:val="0"/>
                <w:bCs w:val="0"/>
                <w:color w:val="auto"/>
                <w:kern w:val="0"/>
                <w:sz w:val="21"/>
                <w:szCs w:val="21"/>
                <w:highlight w:val="none"/>
                <w:lang w:val="en-US" w:eastAsia="zh-CN"/>
              </w:rPr>
              <w:t>〕</w:t>
            </w:r>
            <w:r>
              <w:rPr>
                <w:rFonts w:hint="eastAsia" w:ascii="Times New Roman" w:hAnsi="Times New Roman" w:eastAsia="宋体" w:cs="Times New Roman"/>
                <w:color w:val="auto"/>
                <w:kern w:val="0"/>
                <w:sz w:val="21"/>
                <w:szCs w:val="21"/>
                <w:highlight w:val="none"/>
                <w:lang w:val="zh-CN"/>
              </w:rPr>
              <w:t>23号)、《惠州市生态环境局关于印发惠州市“三线一单”生态环境分区管控方案2023年度动态更新成果的通知》以及《博罗县生态保护红线、环境质量底线、资源利用上线和环境准入清单研究报告》的相关要求，本项目位于</w:t>
            </w:r>
            <w:r>
              <w:rPr>
                <w:rFonts w:hint="eastAsia" w:ascii="Times New Roman" w:hAnsi="Times New Roman" w:eastAsia="宋体" w:cs="Times New Roman"/>
                <w:color w:val="auto"/>
                <w:sz w:val="21"/>
                <w:szCs w:val="21"/>
                <w:highlight w:val="none"/>
              </w:rPr>
              <w:t>惠州市博罗县梅花村鸿达九路198号6号厂房605室、7号厂房705室</w:t>
            </w:r>
            <w:r>
              <w:rPr>
                <w:rFonts w:hint="eastAsia" w:ascii="Times New Roman" w:hAnsi="Times New Roman" w:eastAsia="宋体" w:cs="Times New Roman"/>
                <w:color w:val="auto"/>
                <w:kern w:val="0"/>
                <w:sz w:val="21"/>
                <w:szCs w:val="21"/>
                <w:highlight w:val="none"/>
                <w:lang w:val="zh-CN"/>
              </w:rPr>
              <w:t>，所在地属于重点管控单元，环境管控单元编码ZH44132220002，环境管控单元名称为博罗东江干流重点管控单元</w:t>
            </w:r>
            <w:r>
              <w:rPr>
                <w:rFonts w:hint="eastAsia" w:cs="Times New Roman"/>
                <w:color w:val="auto"/>
                <w:kern w:val="0"/>
                <w:sz w:val="21"/>
                <w:szCs w:val="21"/>
                <w:highlight w:val="none"/>
                <w:lang w:val="zh-CN"/>
              </w:rPr>
              <w:t>（</w:t>
            </w:r>
            <w:r>
              <w:rPr>
                <w:rFonts w:hint="eastAsia" w:ascii="Times New Roman" w:hAnsi="Times New Roman" w:eastAsia="宋体" w:cs="Times New Roman"/>
                <w:color w:val="auto"/>
                <w:kern w:val="0"/>
                <w:sz w:val="21"/>
                <w:szCs w:val="21"/>
                <w:highlight w:val="none"/>
                <w:lang w:val="zh-CN"/>
              </w:rPr>
              <w:t>见附图1</w:t>
            </w:r>
            <w:r>
              <w:rPr>
                <w:rFonts w:hint="eastAsia" w:cs="Times New Roman"/>
                <w:color w:val="auto"/>
                <w:kern w:val="0"/>
                <w:sz w:val="21"/>
                <w:szCs w:val="21"/>
                <w:highlight w:val="none"/>
                <w:lang w:val="en-US" w:eastAsia="zh-CN"/>
              </w:rPr>
              <w:t>1</w:t>
            </w:r>
            <w:r>
              <w:rPr>
                <w:rFonts w:hint="eastAsia" w:cs="Times New Roman"/>
                <w:color w:val="auto"/>
                <w:kern w:val="0"/>
                <w:sz w:val="21"/>
                <w:szCs w:val="21"/>
                <w:highlight w:val="none"/>
                <w:lang w:val="zh-CN"/>
              </w:rPr>
              <w:t>）</w:t>
            </w:r>
            <w:r>
              <w:rPr>
                <w:rFonts w:hint="eastAsia" w:ascii="Times New Roman" w:hAnsi="Times New Roman" w:eastAsia="宋体" w:cs="Times New Roman"/>
                <w:color w:val="auto"/>
                <w:kern w:val="0"/>
                <w:sz w:val="21"/>
                <w:szCs w:val="21"/>
                <w:highlight w:val="none"/>
                <w:lang w:val="zh-CN"/>
              </w:rPr>
              <w:t>。相符性分析见下表。</w:t>
            </w:r>
          </w:p>
          <w:p w14:paraId="062D1FCE">
            <w:pPr>
              <w:keepNext w:val="0"/>
              <w:keepLines w:val="0"/>
              <w:widowControl/>
              <w:numPr>
                <w:ilvl w:val="0"/>
                <w:numId w:val="4"/>
              </w:numPr>
              <w:suppressLineNumbers w:val="0"/>
              <w:adjustRightInd w:val="0"/>
              <w:snapToGrid w:val="0"/>
              <w:spacing w:before="0" w:beforeAutospacing="0" w:after="0" w:afterAutospacing="0" w:line="360" w:lineRule="auto"/>
              <w:ind w:right="0"/>
              <w:jc w:val="center"/>
              <w:rPr>
                <w:rFonts w:hint="eastAsia" w:ascii="Times New Roman" w:hAnsi="Times New Roman" w:eastAsia="宋体" w:cs="Times New Roman"/>
                <w:b/>
                <w:bCs/>
                <w:color w:val="auto"/>
                <w:kern w:val="0"/>
                <w:sz w:val="21"/>
                <w:szCs w:val="21"/>
                <w:highlight w:val="none"/>
                <w:lang w:val="zh-CN"/>
              </w:rPr>
            </w:pPr>
            <w:r>
              <w:rPr>
                <w:rFonts w:hint="eastAsia" w:cs="Times New Roman"/>
                <w:b/>
                <w:bCs/>
                <w:color w:val="auto"/>
                <w:kern w:val="0"/>
                <w:sz w:val="21"/>
                <w:szCs w:val="21"/>
                <w:highlight w:val="none"/>
                <w:lang w:val="en-US" w:eastAsia="zh-CN"/>
              </w:rPr>
              <w:t>与</w:t>
            </w:r>
            <w:r>
              <w:rPr>
                <w:rFonts w:hint="eastAsia" w:ascii="Times New Roman" w:hAnsi="Times New Roman" w:eastAsia="宋体" w:cs="Times New Roman"/>
                <w:b/>
                <w:bCs/>
                <w:color w:val="auto"/>
                <w:kern w:val="0"/>
                <w:sz w:val="21"/>
                <w:szCs w:val="21"/>
                <w:highlight w:val="none"/>
                <w:lang w:val="en-US" w:eastAsia="zh-CN"/>
              </w:rPr>
              <w:t>博罗县“三线一单”对照分析情况表</w:t>
            </w:r>
          </w:p>
          <w:tbl>
            <w:tblPr>
              <w:tblStyle w:val="42"/>
              <w:tblW w:w="0" w:type="auto"/>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6"/>
              <w:gridCol w:w="578"/>
              <w:gridCol w:w="2897"/>
              <w:gridCol w:w="2129"/>
              <w:gridCol w:w="595"/>
            </w:tblGrid>
            <w:tr w14:paraId="676EF53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 w:type="dxa"/>
                  <w:tcBorders>
                    <w:tl2br w:val="nil"/>
                    <w:tr2bl w:val="nil"/>
                  </w:tcBorders>
                  <w:noWrap w:val="0"/>
                  <w:vAlign w:val="center"/>
                </w:tcPr>
                <w:p w14:paraId="60DCF9D0">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auto"/>
                      <w:kern w:val="0"/>
                      <w:sz w:val="18"/>
                      <w:szCs w:val="18"/>
                      <w:highlight w:val="none"/>
                      <w:vertAlign w:val="baseline"/>
                      <w:lang w:val="en-US" w:eastAsia="zh-CN"/>
                    </w:rPr>
                  </w:pPr>
                  <w:r>
                    <w:rPr>
                      <w:rFonts w:hint="eastAsia" w:ascii="Times New Roman" w:hAnsi="Times New Roman" w:eastAsia="宋体" w:cs="Times New Roman"/>
                      <w:b/>
                      <w:bCs/>
                      <w:color w:val="auto"/>
                      <w:sz w:val="18"/>
                      <w:szCs w:val="18"/>
                      <w:highlight w:val="none"/>
                      <w:lang w:val="en-US" w:eastAsia="zh-CN"/>
                    </w:rPr>
                    <w:t>类别</w:t>
                  </w:r>
                </w:p>
              </w:tc>
              <w:tc>
                <w:tcPr>
                  <w:tcW w:w="3937" w:type="dxa"/>
                  <w:gridSpan w:val="2"/>
                  <w:tcBorders>
                    <w:tl2br w:val="nil"/>
                    <w:tr2bl w:val="nil"/>
                  </w:tcBorders>
                  <w:noWrap w:val="0"/>
                  <w:vAlign w:val="center"/>
                </w:tcPr>
                <w:p w14:paraId="2C78A57B">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auto"/>
                      <w:kern w:val="0"/>
                      <w:sz w:val="18"/>
                      <w:szCs w:val="18"/>
                      <w:highlight w:val="none"/>
                      <w:vertAlign w:val="baseline"/>
                      <w:lang w:val="en-US" w:eastAsia="zh-CN"/>
                    </w:rPr>
                  </w:pPr>
                  <w:r>
                    <w:rPr>
                      <w:rFonts w:hint="eastAsia" w:ascii="Times New Roman" w:hAnsi="Times New Roman" w:eastAsia="宋体" w:cs="Times New Roman"/>
                      <w:b/>
                      <w:bCs/>
                      <w:color w:val="auto"/>
                      <w:sz w:val="18"/>
                      <w:szCs w:val="18"/>
                      <w:highlight w:val="none"/>
                      <w:lang w:eastAsia="zh-CN"/>
                    </w:rPr>
                    <w:t>“</w:t>
                  </w:r>
                  <w:r>
                    <w:rPr>
                      <w:rFonts w:hint="eastAsia" w:ascii="Times New Roman" w:hAnsi="Times New Roman" w:eastAsia="宋体" w:cs="Times New Roman"/>
                      <w:b/>
                      <w:bCs/>
                      <w:color w:val="auto"/>
                      <w:sz w:val="18"/>
                      <w:szCs w:val="18"/>
                      <w:highlight w:val="none"/>
                      <w:lang w:val="en-US" w:eastAsia="zh-CN"/>
                    </w:rPr>
                    <w:t>三线一单”内容</w:t>
                  </w:r>
                </w:p>
              </w:tc>
              <w:tc>
                <w:tcPr>
                  <w:tcW w:w="2867" w:type="dxa"/>
                  <w:gridSpan w:val="2"/>
                  <w:tcBorders>
                    <w:tl2br w:val="nil"/>
                    <w:tr2bl w:val="nil"/>
                  </w:tcBorders>
                  <w:noWrap w:val="0"/>
                  <w:vAlign w:val="center"/>
                </w:tcPr>
                <w:p w14:paraId="4D0FCD34">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auto"/>
                      <w:kern w:val="0"/>
                      <w:sz w:val="18"/>
                      <w:szCs w:val="18"/>
                      <w:highlight w:val="none"/>
                      <w:vertAlign w:val="baseline"/>
                      <w:lang w:val="en-US" w:eastAsia="zh-CN"/>
                    </w:rPr>
                  </w:pPr>
                  <w:r>
                    <w:rPr>
                      <w:rFonts w:hint="eastAsia" w:ascii="Times New Roman" w:hAnsi="Times New Roman" w:eastAsia="宋体" w:cs="Times New Roman"/>
                      <w:b/>
                      <w:bCs/>
                      <w:color w:val="auto"/>
                      <w:sz w:val="18"/>
                      <w:szCs w:val="18"/>
                      <w:highlight w:val="none"/>
                      <w:lang w:val="en-US" w:eastAsia="zh-CN"/>
                    </w:rPr>
                    <w:t>符合性分析</w:t>
                  </w:r>
                </w:p>
              </w:tc>
            </w:tr>
            <w:tr w14:paraId="6255D8A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 w:type="dxa"/>
                  <w:tcBorders>
                    <w:tl2br w:val="nil"/>
                    <w:tr2bl w:val="nil"/>
                  </w:tcBorders>
                  <w:noWrap w:val="0"/>
                  <w:vAlign w:val="center"/>
                </w:tcPr>
                <w:p w14:paraId="7452A152">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auto"/>
                      <w:kern w:val="0"/>
                      <w:sz w:val="18"/>
                      <w:szCs w:val="18"/>
                      <w:highlight w:val="none"/>
                      <w:vertAlign w:val="baseline"/>
                      <w:lang w:val="en-US" w:eastAsia="zh-CN"/>
                    </w:rPr>
                  </w:pPr>
                  <w:r>
                    <w:rPr>
                      <w:rFonts w:hint="eastAsia" w:ascii="Times New Roman" w:hAnsi="Times New Roman" w:eastAsia="宋体" w:cs="Times New Roman"/>
                      <w:color w:val="auto"/>
                      <w:sz w:val="18"/>
                      <w:szCs w:val="18"/>
                      <w:highlight w:val="none"/>
                      <w:lang w:val="en-US" w:eastAsia="zh-CN"/>
                    </w:rPr>
                    <w:t>生态保护红线</w:t>
                  </w:r>
                </w:p>
              </w:tc>
              <w:tc>
                <w:tcPr>
                  <w:tcW w:w="3937" w:type="dxa"/>
                  <w:gridSpan w:val="2"/>
                  <w:tcBorders>
                    <w:tl2br w:val="nil"/>
                    <w:tr2bl w:val="nil"/>
                  </w:tcBorders>
                  <w:noWrap w:val="0"/>
                  <w:vAlign w:val="center"/>
                </w:tcPr>
                <w:p w14:paraId="69007460">
                  <w:pPr>
                    <w:pStyle w:val="154"/>
                    <w:keepNext w:val="0"/>
                    <w:keepLines w:val="0"/>
                    <w:suppressLineNumbers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val="en-US" w:eastAsia="zh-CN"/>
                    </w:rPr>
                    <w:t>表1-1</w:t>
                  </w:r>
                  <w:r>
                    <w:rPr>
                      <w:rFonts w:hint="eastAsia" w:ascii="Times New Roman" w:hAnsi="Times New Roman" w:eastAsia="宋体" w:cs="Times New Roman"/>
                      <w:color w:val="auto"/>
                      <w:sz w:val="18"/>
                      <w:szCs w:val="18"/>
                      <w:highlight w:val="none"/>
                      <w:lang w:eastAsia="zh-CN"/>
                    </w:rPr>
                    <w:t>罗阳镇生态空间管控分区面积（平方公里）</w:t>
                  </w:r>
                </w:p>
                <w:tbl>
                  <w:tblPr>
                    <w:tblStyle w:val="41"/>
                    <w:tblW w:w="499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460"/>
                    <w:gridCol w:w="793"/>
                  </w:tblGrid>
                  <w:tr w14:paraId="49AE1B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1" w:hRule="atLeast"/>
                      <w:jc w:val="center"/>
                    </w:trPr>
                    <w:tc>
                      <w:tcPr>
                        <w:tcW w:w="3781" w:type="pct"/>
                        <w:noWrap w:val="0"/>
                        <w:vAlign w:val="center"/>
                      </w:tcPr>
                      <w:p w14:paraId="27BFD5B1">
                        <w:pPr>
                          <w:pStyle w:val="154"/>
                          <w:keepNext w:val="0"/>
                          <w:keepLines w:val="0"/>
                          <w:suppressLineNumbers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生态保护红线</w:t>
                        </w:r>
                      </w:p>
                    </w:tc>
                    <w:tc>
                      <w:tcPr>
                        <w:tcW w:w="1218" w:type="pct"/>
                        <w:noWrap w:val="0"/>
                        <w:vAlign w:val="center"/>
                      </w:tcPr>
                      <w:p w14:paraId="4D0177FD">
                        <w:pPr>
                          <w:keepNext w:val="0"/>
                          <w:keepLines w:val="0"/>
                          <w:suppressLineNumbers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0</w:t>
                        </w:r>
                      </w:p>
                    </w:tc>
                  </w:tr>
                  <w:tr w14:paraId="20E2B4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 w:hRule="atLeast"/>
                      <w:jc w:val="center"/>
                    </w:trPr>
                    <w:tc>
                      <w:tcPr>
                        <w:tcW w:w="3781" w:type="pct"/>
                        <w:noWrap w:val="0"/>
                        <w:vAlign w:val="center"/>
                      </w:tcPr>
                      <w:p w14:paraId="474ED18C">
                        <w:pPr>
                          <w:pStyle w:val="154"/>
                          <w:keepNext w:val="0"/>
                          <w:keepLines w:val="0"/>
                          <w:suppressLineNumbers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一般生态空间</w:t>
                        </w:r>
                      </w:p>
                    </w:tc>
                    <w:tc>
                      <w:tcPr>
                        <w:tcW w:w="1218" w:type="pct"/>
                        <w:noWrap w:val="0"/>
                        <w:vAlign w:val="center"/>
                      </w:tcPr>
                      <w:p w14:paraId="2DEB726F">
                        <w:pPr>
                          <w:keepNext w:val="0"/>
                          <w:keepLines w:val="0"/>
                          <w:suppressLineNumbers w:val="0"/>
                          <w:spacing w:before="0" w:beforeAutospacing="0" w:after="0" w:afterAutospacing="0"/>
                          <w:ind w:left="42" w:leftChars="20" w:right="0"/>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3.086</w:t>
                        </w:r>
                      </w:p>
                    </w:tc>
                  </w:tr>
                  <w:tr w14:paraId="4D271B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9" w:hRule="atLeast"/>
                      <w:jc w:val="center"/>
                    </w:trPr>
                    <w:tc>
                      <w:tcPr>
                        <w:tcW w:w="3781" w:type="pct"/>
                        <w:noWrap w:val="0"/>
                        <w:vAlign w:val="center"/>
                      </w:tcPr>
                      <w:p w14:paraId="2FA162F6">
                        <w:pPr>
                          <w:pStyle w:val="154"/>
                          <w:keepNext w:val="0"/>
                          <w:keepLines w:val="0"/>
                          <w:suppressLineNumbers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生态空间一般管控区</w:t>
                        </w:r>
                      </w:p>
                    </w:tc>
                    <w:tc>
                      <w:tcPr>
                        <w:tcW w:w="1218" w:type="pct"/>
                        <w:noWrap w:val="0"/>
                        <w:vAlign w:val="center"/>
                      </w:tcPr>
                      <w:p w14:paraId="246D197B">
                        <w:pPr>
                          <w:keepNext w:val="0"/>
                          <w:keepLines w:val="0"/>
                          <w:suppressLineNumbers w:val="0"/>
                          <w:spacing w:before="0" w:beforeAutospacing="0" w:after="0" w:afterAutospacing="0"/>
                          <w:ind w:left="42" w:leftChars="20" w:right="0"/>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107.63</w:t>
                        </w:r>
                      </w:p>
                    </w:tc>
                  </w:tr>
                </w:tbl>
                <w:p w14:paraId="5009A904">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auto"/>
                      <w:kern w:val="0"/>
                      <w:sz w:val="18"/>
                      <w:szCs w:val="18"/>
                      <w:highlight w:val="none"/>
                      <w:vertAlign w:val="baseline"/>
                      <w:lang w:val="en-US" w:eastAsia="zh-CN"/>
                    </w:rPr>
                  </w:pPr>
                </w:p>
              </w:tc>
              <w:tc>
                <w:tcPr>
                  <w:tcW w:w="2867" w:type="dxa"/>
                  <w:gridSpan w:val="2"/>
                  <w:tcBorders>
                    <w:tl2br w:val="nil"/>
                    <w:tr2bl w:val="nil"/>
                  </w:tcBorders>
                  <w:noWrap w:val="0"/>
                  <w:vAlign w:val="center"/>
                </w:tcPr>
                <w:p w14:paraId="4133B285">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auto"/>
                      <w:kern w:val="0"/>
                      <w:sz w:val="18"/>
                      <w:szCs w:val="18"/>
                      <w:highlight w:val="none"/>
                      <w:vertAlign w:val="baseline"/>
                      <w:lang w:val="en-US" w:eastAsia="zh-CN"/>
                    </w:rPr>
                  </w:pPr>
                  <w:r>
                    <w:rPr>
                      <w:rFonts w:hint="eastAsia" w:ascii="Times New Roman" w:hAnsi="Times New Roman" w:eastAsia="宋体" w:cs="Times New Roman"/>
                      <w:color w:val="auto"/>
                      <w:sz w:val="18"/>
                      <w:szCs w:val="18"/>
                      <w:highlight w:val="none"/>
                      <w:lang w:eastAsia="zh-CN"/>
                    </w:rPr>
                    <w:t>根据《博罗县“三线一单”生态环境分区管控图集》（以下简称《图集》）图7博罗县生态空间最终划定情况（详见附图1</w:t>
                  </w:r>
                  <w:r>
                    <w:rPr>
                      <w:rFonts w:hint="eastAsia" w:ascii="Times New Roman" w:hAnsi="Times New Roman" w:eastAsia="宋体" w:cs="Times New Roman"/>
                      <w:color w:val="auto"/>
                      <w:sz w:val="18"/>
                      <w:szCs w:val="18"/>
                      <w:highlight w:val="none"/>
                      <w:lang w:val="en-US" w:eastAsia="zh-CN"/>
                    </w:rPr>
                    <w:t>4</w:t>
                  </w:r>
                  <w:r>
                    <w:rPr>
                      <w:rFonts w:hint="eastAsia" w:ascii="Times New Roman" w:hAnsi="Times New Roman" w:eastAsia="宋体" w:cs="Times New Roman"/>
                      <w:color w:val="auto"/>
                      <w:sz w:val="18"/>
                      <w:szCs w:val="18"/>
                      <w:highlight w:val="none"/>
                      <w:lang w:eastAsia="zh-CN"/>
                    </w:rPr>
                    <w:t>），项目属于生态空间一般管控区，不位于生态保护红线和一般生态空间范围内。</w:t>
                  </w:r>
                </w:p>
              </w:tc>
            </w:tr>
            <w:tr w14:paraId="17F00C4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 w:type="dxa"/>
                  <w:vMerge w:val="restart"/>
                  <w:tcBorders>
                    <w:tl2br w:val="nil"/>
                    <w:tr2bl w:val="nil"/>
                  </w:tcBorders>
                  <w:noWrap w:val="0"/>
                  <w:vAlign w:val="center"/>
                </w:tcPr>
                <w:p w14:paraId="0FB5C170">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auto"/>
                      <w:kern w:val="0"/>
                      <w:sz w:val="18"/>
                      <w:szCs w:val="18"/>
                      <w:highlight w:val="none"/>
                      <w:vertAlign w:val="baseline"/>
                      <w:lang w:val="en-US" w:eastAsia="zh-CN"/>
                    </w:rPr>
                  </w:pPr>
                  <w:r>
                    <w:rPr>
                      <w:rFonts w:hint="eastAsia" w:ascii="Times New Roman" w:hAnsi="Times New Roman" w:eastAsia="宋体" w:cs="Times New Roman"/>
                      <w:color w:val="auto"/>
                      <w:sz w:val="18"/>
                      <w:szCs w:val="18"/>
                      <w:highlight w:val="none"/>
                      <w:lang w:eastAsia="zh-CN"/>
                    </w:rPr>
                    <w:t>环境质量底线</w:t>
                  </w:r>
                </w:p>
              </w:tc>
              <w:tc>
                <w:tcPr>
                  <w:tcW w:w="3937" w:type="dxa"/>
                  <w:gridSpan w:val="2"/>
                  <w:tcBorders>
                    <w:tl2br w:val="nil"/>
                    <w:tr2bl w:val="nil"/>
                  </w:tcBorders>
                  <w:noWrap w:val="0"/>
                  <w:vAlign w:val="center"/>
                </w:tcPr>
                <w:p w14:paraId="48E5CBB6">
                  <w:pPr>
                    <w:pStyle w:val="154"/>
                    <w:keepNext w:val="0"/>
                    <w:keepLines w:val="0"/>
                    <w:suppressLineNumbers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val="en-US" w:eastAsia="zh-CN"/>
                    </w:rPr>
                    <w:t>表1-2罗阳</w:t>
                  </w:r>
                  <w:r>
                    <w:rPr>
                      <w:rFonts w:hint="eastAsia" w:ascii="Times New Roman" w:hAnsi="Times New Roman" w:eastAsia="宋体" w:cs="Times New Roman"/>
                      <w:color w:val="auto"/>
                      <w:sz w:val="18"/>
                      <w:szCs w:val="18"/>
                      <w:highlight w:val="none"/>
                      <w:lang w:eastAsia="zh-CN"/>
                    </w:rPr>
                    <w:t>镇大气环境质量底线（面积：km</w:t>
                  </w:r>
                  <w:r>
                    <w:rPr>
                      <w:rFonts w:hint="eastAsia" w:ascii="Times New Roman" w:hAnsi="Times New Roman" w:eastAsia="宋体" w:cs="Times New Roman"/>
                      <w:color w:val="auto"/>
                      <w:sz w:val="18"/>
                      <w:szCs w:val="18"/>
                      <w:highlight w:val="none"/>
                      <w:vertAlign w:val="superscript"/>
                      <w:lang w:eastAsia="zh-CN"/>
                    </w:rPr>
                    <w:t>2</w:t>
                  </w:r>
                  <w:r>
                    <w:rPr>
                      <w:rFonts w:hint="eastAsia" w:ascii="Times New Roman" w:hAnsi="Times New Roman" w:eastAsia="宋体" w:cs="Times New Roman"/>
                      <w:color w:val="auto"/>
                      <w:sz w:val="18"/>
                      <w:szCs w:val="18"/>
                      <w:highlight w:val="none"/>
                      <w:lang w:eastAsia="zh-CN"/>
                    </w:rPr>
                    <w:t>）</w:t>
                  </w:r>
                </w:p>
                <w:tbl>
                  <w:tblPr>
                    <w:tblStyle w:val="41"/>
                    <w:tblW w:w="499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563"/>
                    <w:gridCol w:w="690"/>
                  </w:tblGrid>
                  <w:tr w14:paraId="560F47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jc w:val="center"/>
                    </w:trPr>
                    <w:tc>
                      <w:tcPr>
                        <w:tcW w:w="3938" w:type="pct"/>
                        <w:noWrap w:val="0"/>
                        <w:vAlign w:val="center"/>
                      </w:tcPr>
                      <w:p w14:paraId="072922F9">
                        <w:pPr>
                          <w:pStyle w:val="154"/>
                          <w:keepNext w:val="0"/>
                          <w:keepLines w:val="0"/>
                          <w:suppressLineNumbers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大气环境优先保护区面积</w:t>
                        </w:r>
                      </w:p>
                    </w:tc>
                    <w:tc>
                      <w:tcPr>
                        <w:tcW w:w="1061" w:type="pct"/>
                        <w:noWrap w:val="0"/>
                        <w:vAlign w:val="center"/>
                      </w:tcPr>
                      <w:p w14:paraId="59CC45DB">
                        <w:pPr>
                          <w:keepNext w:val="0"/>
                          <w:keepLines w:val="0"/>
                          <w:suppressLineNumbers w:val="0"/>
                          <w:spacing w:before="0" w:beforeAutospacing="0" w:after="0" w:afterAutospacing="0"/>
                          <w:ind w:left="42" w:leftChars="2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40.999</w:t>
                        </w:r>
                      </w:p>
                    </w:tc>
                  </w:tr>
                  <w:tr w14:paraId="555BAD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9" w:hRule="atLeast"/>
                      <w:jc w:val="center"/>
                    </w:trPr>
                    <w:tc>
                      <w:tcPr>
                        <w:tcW w:w="3938" w:type="pct"/>
                        <w:noWrap w:val="0"/>
                        <w:vAlign w:val="center"/>
                      </w:tcPr>
                      <w:p w14:paraId="636806D3">
                        <w:pPr>
                          <w:pStyle w:val="154"/>
                          <w:keepNext w:val="0"/>
                          <w:keepLines w:val="0"/>
                          <w:suppressLineNumbers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大气环境布局敏感重点管控区面积</w:t>
                        </w:r>
                      </w:p>
                    </w:tc>
                    <w:tc>
                      <w:tcPr>
                        <w:tcW w:w="1061" w:type="pct"/>
                        <w:noWrap w:val="0"/>
                        <w:vAlign w:val="center"/>
                      </w:tcPr>
                      <w:p w14:paraId="5E5BFEB4">
                        <w:pPr>
                          <w:keepNext w:val="0"/>
                          <w:keepLines w:val="0"/>
                          <w:suppressLineNumbers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0</w:t>
                        </w:r>
                      </w:p>
                    </w:tc>
                  </w:tr>
                  <w:tr w14:paraId="151E2D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9" w:hRule="atLeast"/>
                      <w:jc w:val="center"/>
                    </w:trPr>
                    <w:tc>
                      <w:tcPr>
                        <w:tcW w:w="3938" w:type="pct"/>
                        <w:noWrap w:val="0"/>
                        <w:vAlign w:val="center"/>
                      </w:tcPr>
                      <w:p w14:paraId="6CE4C362">
                        <w:pPr>
                          <w:pStyle w:val="154"/>
                          <w:keepNext w:val="0"/>
                          <w:keepLines w:val="0"/>
                          <w:suppressLineNumbers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大气环境高排放重点管控区面积</w:t>
                        </w:r>
                      </w:p>
                    </w:tc>
                    <w:tc>
                      <w:tcPr>
                        <w:tcW w:w="1061" w:type="pct"/>
                        <w:noWrap w:val="0"/>
                        <w:vAlign w:val="center"/>
                      </w:tcPr>
                      <w:p w14:paraId="391ECA76">
                        <w:pPr>
                          <w:keepNext w:val="0"/>
                          <w:keepLines w:val="0"/>
                          <w:suppressLineNumbers w:val="0"/>
                          <w:spacing w:before="0" w:beforeAutospacing="0" w:after="0" w:afterAutospacing="0"/>
                          <w:ind w:left="42" w:leftChars="2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82.433</w:t>
                        </w:r>
                      </w:p>
                    </w:tc>
                  </w:tr>
                  <w:tr w14:paraId="4AC501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9" w:hRule="atLeast"/>
                      <w:jc w:val="center"/>
                    </w:trPr>
                    <w:tc>
                      <w:tcPr>
                        <w:tcW w:w="3938" w:type="pct"/>
                        <w:noWrap w:val="0"/>
                        <w:vAlign w:val="center"/>
                      </w:tcPr>
                      <w:p w14:paraId="2DE63D15">
                        <w:pPr>
                          <w:pStyle w:val="154"/>
                          <w:keepNext w:val="0"/>
                          <w:keepLines w:val="0"/>
                          <w:suppressLineNumbers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大气环境弱扩散重点管控区面积</w:t>
                        </w:r>
                      </w:p>
                    </w:tc>
                    <w:tc>
                      <w:tcPr>
                        <w:tcW w:w="1061" w:type="pct"/>
                        <w:noWrap w:val="0"/>
                        <w:vAlign w:val="center"/>
                      </w:tcPr>
                      <w:p w14:paraId="0E2D92E6">
                        <w:pPr>
                          <w:keepNext w:val="0"/>
                          <w:keepLines w:val="0"/>
                          <w:suppressLineNumbers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0</w:t>
                        </w:r>
                      </w:p>
                    </w:tc>
                  </w:tr>
                  <w:tr w14:paraId="697E93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3" w:hRule="atLeast"/>
                      <w:jc w:val="center"/>
                    </w:trPr>
                    <w:tc>
                      <w:tcPr>
                        <w:tcW w:w="3938" w:type="pct"/>
                        <w:noWrap w:val="0"/>
                        <w:vAlign w:val="center"/>
                      </w:tcPr>
                      <w:p w14:paraId="3C85D5A6">
                        <w:pPr>
                          <w:pStyle w:val="154"/>
                          <w:keepNext w:val="0"/>
                          <w:keepLines w:val="0"/>
                          <w:suppressLineNumbers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大气环境一般管控区面积</w:t>
                        </w:r>
                      </w:p>
                    </w:tc>
                    <w:tc>
                      <w:tcPr>
                        <w:tcW w:w="1061" w:type="pct"/>
                        <w:noWrap w:val="0"/>
                        <w:vAlign w:val="center"/>
                      </w:tcPr>
                      <w:p w14:paraId="3B0A49BA">
                        <w:pPr>
                          <w:keepNext w:val="0"/>
                          <w:keepLines w:val="0"/>
                          <w:suppressLineNumbers w:val="0"/>
                          <w:spacing w:before="0" w:beforeAutospacing="0" w:after="0" w:afterAutospacing="0"/>
                          <w:ind w:left="42" w:leftChars="2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128.195</w:t>
                        </w:r>
                      </w:p>
                    </w:tc>
                  </w:tr>
                </w:tbl>
                <w:p w14:paraId="3596CBAB">
                  <w:pPr>
                    <w:pStyle w:val="50"/>
                    <w:keepNext w:val="0"/>
                    <w:keepLines w:val="0"/>
                    <w:suppressLineNumbers w:val="0"/>
                    <w:spacing w:before="0" w:beforeAutospacing="0" w:after="0" w:afterAutospacing="0"/>
                    <w:ind w:left="0" w:right="0"/>
                    <w:jc w:val="left"/>
                    <w:rPr>
                      <w:rFonts w:hint="eastAsia" w:ascii="Times New Roman" w:hAnsi="Times New Roman" w:eastAsia="宋体" w:cs="Times New Roman"/>
                      <w:b w:val="0"/>
                      <w:bCs w:val="0"/>
                      <w:color w:val="auto"/>
                      <w:kern w:val="0"/>
                      <w:sz w:val="18"/>
                      <w:szCs w:val="18"/>
                      <w:highlight w:val="none"/>
                      <w:vertAlign w:val="baseline"/>
                      <w:lang w:val="en-US" w:eastAsia="zh-CN"/>
                    </w:rPr>
                  </w:pPr>
                  <w:r>
                    <w:rPr>
                      <w:rFonts w:hint="eastAsia" w:ascii="Times New Roman" w:hAnsi="Times New Roman" w:eastAsia="宋体" w:cs="Times New Roman"/>
                      <w:b w:val="0"/>
                      <w:bCs w:val="0"/>
                      <w:color w:val="auto"/>
                      <w:kern w:val="0"/>
                      <w:sz w:val="18"/>
                      <w:szCs w:val="18"/>
                      <w:highlight w:val="none"/>
                      <w:vertAlign w:val="baseline"/>
                      <w:lang w:val="en-US" w:eastAsia="zh-CN"/>
                    </w:rPr>
                    <w:t>大气环境高排放重点管控区管控要求：</w:t>
                  </w:r>
                </w:p>
                <w:p w14:paraId="551993B4">
                  <w:pPr>
                    <w:pStyle w:val="50"/>
                    <w:keepNext w:val="0"/>
                    <w:keepLines w:val="0"/>
                    <w:suppressLineNumbers w:val="0"/>
                    <w:spacing w:before="0" w:beforeAutospacing="0" w:after="0" w:afterAutospacing="0"/>
                    <w:ind w:left="0" w:right="0"/>
                    <w:jc w:val="left"/>
                    <w:rPr>
                      <w:rFonts w:hint="eastAsia" w:eastAsia="宋体" w:cs="Times New Roman"/>
                      <w:color w:val="auto"/>
                      <w:sz w:val="18"/>
                      <w:szCs w:val="18"/>
                      <w:highlight w:val="none"/>
                      <w:lang w:val="en-US" w:eastAsia="zh-CN"/>
                    </w:rPr>
                  </w:pPr>
                  <w:r>
                    <w:rPr>
                      <w:rFonts w:hint="eastAsia" w:ascii="Times New Roman" w:hAnsi="Times New Roman" w:eastAsia="宋体" w:cs="Times New Roman"/>
                      <w:b w:val="0"/>
                      <w:bCs w:val="0"/>
                      <w:color w:val="auto"/>
                      <w:kern w:val="0"/>
                      <w:sz w:val="18"/>
                      <w:szCs w:val="18"/>
                      <w:highlight w:val="none"/>
                      <w:vertAlign w:val="baseline"/>
                      <w:lang w:val="en-US" w:eastAsia="zh-CN"/>
                    </w:rPr>
                    <w:t>现有源提标升级改造：①对大气环境高排放重点管控区进行环保集中整治，限期进行达标改造，减少工业集聚区污染；②鼓励大气环境高排放重点管控区建设集中的喷涂工程中心和有机废弃物回收再生利用中心，并配备高效治理设施。</w:t>
                  </w:r>
                </w:p>
              </w:tc>
              <w:tc>
                <w:tcPr>
                  <w:tcW w:w="2867" w:type="dxa"/>
                  <w:gridSpan w:val="2"/>
                  <w:tcBorders>
                    <w:tl2br w:val="nil"/>
                    <w:tr2bl w:val="nil"/>
                  </w:tcBorders>
                  <w:noWrap w:val="0"/>
                  <w:vAlign w:val="center"/>
                </w:tcPr>
                <w:p w14:paraId="2468DCC6">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根据《博罗县“三线一单”生态环境分区管控图集》（以下简称《图集》）图14博罗县大气环境质量底线管控分区划定情况（详见附图1</w:t>
                  </w:r>
                  <w:r>
                    <w:rPr>
                      <w:rFonts w:hint="eastAsia" w:ascii="Times New Roman" w:cs="Times New Roman"/>
                      <w:color w:val="auto"/>
                      <w:sz w:val="18"/>
                      <w:szCs w:val="18"/>
                      <w:highlight w:val="none"/>
                      <w:lang w:val="en-US" w:eastAsia="zh-CN"/>
                    </w:rPr>
                    <w:t>7</w:t>
                  </w:r>
                  <w:r>
                    <w:rPr>
                      <w:rFonts w:hint="eastAsia" w:ascii="Times New Roman" w:hAnsi="Times New Roman" w:eastAsia="宋体" w:cs="Times New Roman"/>
                      <w:color w:val="auto"/>
                      <w:sz w:val="18"/>
                      <w:szCs w:val="18"/>
                      <w:highlight w:val="none"/>
                      <w:lang w:val="en-US" w:eastAsia="zh-CN"/>
                    </w:rPr>
                    <w:t>），项目位于大气环境一般管控区。</w:t>
                  </w:r>
                </w:p>
                <w:p w14:paraId="61455A45">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auto"/>
                      <w:kern w:val="0"/>
                      <w:sz w:val="18"/>
                      <w:szCs w:val="18"/>
                      <w:highlight w:val="none"/>
                      <w:vertAlign w:val="baseline"/>
                      <w:lang w:val="en-US" w:eastAsia="zh-CN"/>
                    </w:rPr>
                  </w:pPr>
                  <w:r>
                    <w:rPr>
                      <w:rFonts w:hint="eastAsia" w:ascii="Times New Roman" w:hAnsi="Times New Roman" w:eastAsia="宋体" w:cs="Times New Roman"/>
                      <w:color w:val="auto"/>
                      <w:sz w:val="18"/>
                      <w:szCs w:val="18"/>
                      <w:highlight w:val="none"/>
                      <w:lang w:val="en-US" w:eastAsia="zh-CN"/>
                    </w:rPr>
                    <w:t>本项目产生的废气在采取相应的废气处理设施后预计可达标排放，不会突破大气环境质量底线。</w:t>
                  </w:r>
                </w:p>
              </w:tc>
            </w:tr>
            <w:tr w14:paraId="568DCC8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 w:type="dxa"/>
                  <w:vMerge w:val="continue"/>
                  <w:tcBorders>
                    <w:tl2br w:val="nil"/>
                    <w:tr2bl w:val="nil"/>
                  </w:tcBorders>
                  <w:noWrap w:val="0"/>
                  <w:vAlign w:val="center"/>
                </w:tcPr>
                <w:p w14:paraId="6BF2DA53">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eastAsia="zh-CN"/>
                    </w:rPr>
                  </w:pPr>
                </w:p>
              </w:tc>
              <w:tc>
                <w:tcPr>
                  <w:tcW w:w="3937" w:type="dxa"/>
                  <w:gridSpan w:val="2"/>
                  <w:tcBorders>
                    <w:tl2br w:val="nil"/>
                    <w:tr2bl w:val="nil"/>
                  </w:tcBorders>
                  <w:noWrap w:val="0"/>
                  <w:vAlign w:val="center"/>
                </w:tcPr>
                <w:p w14:paraId="0D008854">
                  <w:pPr>
                    <w:pStyle w:val="154"/>
                    <w:keepNext w:val="0"/>
                    <w:keepLines w:val="0"/>
                    <w:suppressLineNumbers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val="en-US" w:eastAsia="zh-CN"/>
                    </w:rPr>
                    <w:t>表1-3罗阳</w:t>
                  </w:r>
                  <w:r>
                    <w:rPr>
                      <w:rFonts w:hint="eastAsia" w:ascii="Times New Roman" w:hAnsi="Times New Roman" w:eastAsia="宋体" w:cs="Times New Roman"/>
                      <w:color w:val="auto"/>
                      <w:sz w:val="18"/>
                      <w:szCs w:val="18"/>
                      <w:highlight w:val="none"/>
                      <w:lang w:eastAsia="zh-CN"/>
                    </w:rPr>
                    <w:t>镇</w:t>
                  </w:r>
                  <w:r>
                    <w:rPr>
                      <w:rFonts w:hint="eastAsia" w:ascii="Times New Roman" w:hAnsi="Times New Roman" w:eastAsia="宋体" w:cs="Times New Roman"/>
                      <w:color w:val="auto"/>
                      <w:sz w:val="18"/>
                      <w:szCs w:val="18"/>
                      <w:highlight w:val="none"/>
                      <w:lang w:val="en-US" w:eastAsia="zh-CN"/>
                    </w:rPr>
                    <w:t>水</w:t>
                  </w:r>
                  <w:r>
                    <w:rPr>
                      <w:rFonts w:hint="eastAsia" w:ascii="Times New Roman" w:hAnsi="Times New Roman" w:eastAsia="宋体" w:cs="Times New Roman"/>
                      <w:color w:val="auto"/>
                      <w:sz w:val="18"/>
                      <w:szCs w:val="18"/>
                      <w:highlight w:val="none"/>
                      <w:lang w:eastAsia="zh-CN"/>
                    </w:rPr>
                    <w:t>环境质量底线（面积：km</w:t>
                  </w:r>
                  <w:r>
                    <w:rPr>
                      <w:rFonts w:hint="eastAsia" w:ascii="Times New Roman" w:hAnsi="Times New Roman" w:eastAsia="宋体" w:cs="Times New Roman"/>
                      <w:color w:val="auto"/>
                      <w:sz w:val="18"/>
                      <w:szCs w:val="18"/>
                      <w:highlight w:val="none"/>
                      <w:vertAlign w:val="superscript"/>
                      <w:lang w:eastAsia="zh-CN"/>
                    </w:rPr>
                    <w:t>2</w:t>
                  </w:r>
                  <w:r>
                    <w:rPr>
                      <w:rFonts w:hint="eastAsia" w:ascii="Times New Roman" w:hAnsi="Times New Roman" w:eastAsia="宋体" w:cs="Times New Roman"/>
                      <w:color w:val="auto"/>
                      <w:sz w:val="18"/>
                      <w:szCs w:val="18"/>
                      <w:highlight w:val="none"/>
                      <w:lang w:eastAsia="zh-CN"/>
                    </w:rPr>
                    <w:t>）</w:t>
                  </w:r>
                </w:p>
                <w:tbl>
                  <w:tblPr>
                    <w:tblStyle w:val="41"/>
                    <w:tblW w:w="499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582"/>
                    <w:gridCol w:w="671"/>
                  </w:tblGrid>
                  <w:tr w14:paraId="36AF01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1" w:hRule="atLeast"/>
                      <w:jc w:val="center"/>
                    </w:trPr>
                    <w:tc>
                      <w:tcPr>
                        <w:tcW w:w="3968" w:type="pct"/>
                        <w:noWrap w:val="0"/>
                        <w:vAlign w:val="center"/>
                      </w:tcPr>
                      <w:p w14:paraId="5D4B9653">
                        <w:pPr>
                          <w:keepNext w:val="0"/>
                          <w:keepLines w:val="0"/>
                          <w:suppressLineNumbers w:val="0"/>
                          <w:adjustRightInd w:val="0"/>
                          <w:snapToGrid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水环境优先保护区面积</w:t>
                        </w:r>
                      </w:p>
                    </w:tc>
                    <w:tc>
                      <w:tcPr>
                        <w:tcW w:w="1031" w:type="pct"/>
                        <w:noWrap w:val="0"/>
                        <w:vAlign w:val="center"/>
                      </w:tcPr>
                      <w:p w14:paraId="0FF7C978">
                        <w:pPr>
                          <w:keepNext w:val="0"/>
                          <w:keepLines w:val="0"/>
                          <w:suppressLineNumbers w:val="0"/>
                          <w:adjustRightInd w:val="0"/>
                          <w:snapToGrid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0</w:t>
                        </w:r>
                      </w:p>
                    </w:tc>
                  </w:tr>
                  <w:tr w14:paraId="1C8B3A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 w:hRule="atLeast"/>
                      <w:jc w:val="center"/>
                    </w:trPr>
                    <w:tc>
                      <w:tcPr>
                        <w:tcW w:w="3968" w:type="pct"/>
                        <w:noWrap w:val="0"/>
                        <w:vAlign w:val="center"/>
                      </w:tcPr>
                      <w:p w14:paraId="4E47ACD2">
                        <w:pPr>
                          <w:keepNext w:val="0"/>
                          <w:keepLines w:val="0"/>
                          <w:suppressLineNumbers w:val="0"/>
                          <w:adjustRightInd w:val="0"/>
                          <w:snapToGrid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水环境生活污染重点管控区面积</w:t>
                        </w:r>
                      </w:p>
                    </w:tc>
                    <w:tc>
                      <w:tcPr>
                        <w:tcW w:w="1031" w:type="pct"/>
                        <w:noWrap w:val="0"/>
                        <w:vAlign w:val="center"/>
                      </w:tcPr>
                      <w:p w14:paraId="67A21DB5">
                        <w:pPr>
                          <w:keepNext w:val="0"/>
                          <w:keepLines w:val="0"/>
                          <w:suppressLineNumbers w:val="0"/>
                          <w:adjustRightInd w:val="0"/>
                          <w:snapToGrid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45.964</w:t>
                        </w:r>
                      </w:p>
                    </w:tc>
                  </w:tr>
                  <w:tr w14:paraId="69A306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 w:hRule="atLeast"/>
                      <w:jc w:val="center"/>
                    </w:trPr>
                    <w:tc>
                      <w:tcPr>
                        <w:tcW w:w="3968" w:type="pct"/>
                        <w:noWrap w:val="0"/>
                        <w:vAlign w:val="center"/>
                      </w:tcPr>
                      <w:p w14:paraId="6B25AE36">
                        <w:pPr>
                          <w:keepNext w:val="0"/>
                          <w:keepLines w:val="0"/>
                          <w:suppressLineNumbers w:val="0"/>
                          <w:adjustRightInd w:val="0"/>
                          <w:snapToGrid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水环境工业污染重点管控区面积</w:t>
                        </w:r>
                      </w:p>
                    </w:tc>
                    <w:tc>
                      <w:tcPr>
                        <w:tcW w:w="1031" w:type="pct"/>
                        <w:noWrap w:val="0"/>
                        <w:vAlign w:val="center"/>
                      </w:tcPr>
                      <w:p w14:paraId="56C89EC5">
                        <w:pPr>
                          <w:keepNext w:val="0"/>
                          <w:keepLines w:val="0"/>
                          <w:suppressLineNumbers w:val="0"/>
                          <w:adjustRightInd w:val="0"/>
                          <w:snapToGrid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28.062</w:t>
                        </w:r>
                      </w:p>
                    </w:tc>
                  </w:tr>
                  <w:tr w14:paraId="0DE674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9" w:hRule="atLeast"/>
                      <w:jc w:val="center"/>
                    </w:trPr>
                    <w:tc>
                      <w:tcPr>
                        <w:tcW w:w="3968" w:type="pct"/>
                        <w:noWrap w:val="0"/>
                        <w:vAlign w:val="center"/>
                      </w:tcPr>
                      <w:p w14:paraId="0BB5E912">
                        <w:pPr>
                          <w:keepNext w:val="0"/>
                          <w:keepLines w:val="0"/>
                          <w:suppressLineNumbers w:val="0"/>
                          <w:adjustRightInd w:val="0"/>
                          <w:snapToGrid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水环境一般管控区面积</w:t>
                        </w:r>
                      </w:p>
                    </w:tc>
                    <w:tc>
                      <w:tcPr>
                        <w:tcW w:w="1031" w:type="pct"/>
                        <w:noWrap w:val="0"/>
                        <w:vAlign w:val="center"/>
                      </w:tcPr>
                      <w:p w14:paraId="4261ACA8">
                        <w:pPr>
                          <w:keepNext w:val="0"/>
                          <w:keepLines w:val="0"/>
                          <w:suppressLineNumbers w:val="0"/>
                          <w:adjustRightInd w:val="0"/>
                          <w:snapToGrid w:val="0"/>
                          <w:spacing w:before="0" w:beforeAutospacing="0" w:after="0" w:afterAutospacing="0"/>
                          <w:ind w:left="42" w:leftChars="20" w:right="0"/>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36.69</w:t>
                        </w:r>
                      </w:p>
                    </w:tc>
                  </w:tr>
                </w:tbl>
                <w:p w14:paraId="545ECC04">
                  <w:pPr>
                    <w:pStyle w:val="50"/>
                    <w:keepNext w:val="0"/>
                    <w:keepLines w:val="0"/>
                    <w:suppressLineNumbers w:val="0"/>
                    <w:spacing w:before="0" w:beforeAutospacing="0" w:after="0" w:afterAutospacing="0"/>
                    <w:ind w:left="0" w:right="0"/>
                    <w:jc w:val="left"/>
                    <w:rPr>
                      <w:rFonts w:hint="eastAsia" w:ascii="Times New Roman" w:hAnsi="Times New Roman" w:eastAsia="宋体" w:cs="Times New Roman"/>
                      <w:b/>
                      <w:bCs/>
                      <w:color w:val="auto"/>
                      <w:kern w:val="0"/>
                      <w:sz w:val="18"/>
                      <w:szCs w:val="18"/>
                      <w:highlight w:val="none"/>
                      <w:vertAlign w:val="baseline"/>
                      <w:lang w:val="en-US" w:eastAsia="zh-CN"/>
                    </w:rPr>
                  </w:pPr>
                </w:p>
              </w:tc>
              <w:tc>
                <w:tcPr>
                  <w:tcW w:w="2867" w:type="dxa"/>
                  <w:gridSpan w:val="2"/>
                  <w:tcBorders>
                    <w:tl2br w:val="nil"/>
                    <w:tr2bl w:val="nil"/>
                  </w:tcBorders>
                  <w:noWrap w:val="0"/>
                  <w:vAlign w:val="center"/>
                </w:tcPr>
                <w:p w14:paraId="61264579">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auto"/>
                      <w:kern w:val="0"/>
                      <w:sz w:val="18"/>
                      <w:szCs w:val="18"/>
                      <w:highlight w:val="none"/>
                      <w:vertAlign w:val="baseline"/>
                      <w:lang w:val="en-US" w:eastAsia="zh-CN"/>
                    </w:rPr>
                  </w:pPr>
                  <w:r>
                    <w:rPr>
                      <w:rFonts w:hint="eastAsia" w:ascii="Times New Roman" w:hAnsi="Times New Roman" w:eastAsia="宋体" w:cs="Times New Roman"/>
                      <w:color w:val="auto"/>
                      <w:sz w:val="18"/>
                      <w:szCs w:val="18"/>
                      <w:highlight w:val="none"/>
                      <w:lang w:val="en-US" w:eastAsia="zh-CN"/>
                    </w:rPr>
                    <w:t>根据《博罗县“三线一单”生态环境分区管控图集》（以下简称《图集》）图1</w:t>
                  </w:r>
                  <w:r>
                    <w:rPr>
                      <w:rFonts w:hint="eastAsia" w:ascii="Times New Roman" w:cs="Times New Roman"/>
                      <w:color w:val="auto"/>
                      <w:sz w:val="18"/>
                      <w:szCs w:val="18"/>
                      <w:highlight w:val="none"/>
                      <w:lang w:val="en-US" w:eastAsia="zh-CN"/>
                    </w:rPr>
                    <w:t>0</w:t>
                  </w:r>
                  <w:r>
                    <w:rPr>
                      <w:rFonts w:hint="eastAsia" w:ascii="Times New Roman" w:hAnsi="Times New Roman" w:eastAsia="宋体" w:cs="Times New Roman"/>
                      <w:color w:val="auto"/>
                      <w:sz w:val="18"/>
                      <w:szCs w:val="18"/>
                      <w:highlight w:val="none"/>
                      <w:lang w:val="en-US" w:eastAsia="zh-CN"/>
                    </w:rPr>
                    <w:t>博罗县水环境质量底线管控分区划定情况（详见附图16），本项目位于水环境生活污染重点管控区。本项目无生产废水排放，生活污水经三级化粪池预处理后排入博罗县城污水处理厂处理，不会突破水环境质量底线。</w:t>
                  </w:r>
                </w:p>
              </w:tc>
            </w:tr>
            <w:tr w14:paraId="4995720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 w:type="dxa"/>
                  <w:vMerge w:val="continue"/>
                  <w:tcBorders>
                    <w:tl2br w:val="nil"/>
                    <w:tr2bl w:val="nil"/>
                  </w:tcBorders>
                  <w:noWrap w:val="0"/>
                  <w:vAlign w:val="center"/>
                </w:tcPr>
                <w:p w14:paraId="791BB028">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eastAsia="zh-CN"/>
                    </w:rPr>
                  </w:pPr>
                </w:p>
              </w:tc>
              <w:tc>
                <w:tcPr>
                  <w:tcW w:w="3937" w:type="dxa"/>
                  <w:gridSpan w:val="2"/>
                  <w:tcBorders>
                    <w:tl2br w:val="nil"/>
                    <w:tr2bl w:val="nil"/>
                  </w:tcBorders>
                  <w:noWrap w:val="0"/>
                  <w:vAlign w:val="center"/>
                </w:tcPr>
                <w:p w14:paraId="0C288015">
                  <w:pPr>
                    <w:pStyle w:val="154"/>
                    <w:keepNext w:val="0"/>
                    <w:keepLines w:val="0"/>
                    <w:suppressLineNumbers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val="en-US" w:eastAsia="zh-CN"/>
                    </w:rPr>
                    <w:t>表1-4土壤环境管控区</w:t>
                  </w:r>
                  <w:r>
                    <w:rPr>
                      <w:rFonts w:hint="eastAsia" w:ascii="Times New Roman" w:hAnsi="Times New Roman" w:eastAsia="宋体" w:cs="Times New Roman"/>
                      <w:color w:val="auto"/>
                      <w:sz w:val="18"/>
                      <w:szCs w:val="18"/>
                      <w:highlight w:val="none"/>
                      <w:lang w:eastAsia="zh-CN"/>
                    </w:rPr>
                    <w:t>（面积：km</w:t>
                  </w:r>
                  <w:r>
                    <w:rPr>
                      <w:rFonts w:hint="eastAsia" w:ascii="Times New Roman" w:hAnsi="Times New Roman" w:eastAsia="宋体" w:cs="Times New Roman"/>
                      <w:color w:val="auto"/>
                      <w:sz w:val="18"/>
                      <w:szCs w:val="18"/>
                      <w:highlight w:val="none"/>
                      <w:vertAlign w:val="superscript"/>
                      <w:lang w:eastAsia="zh-CN"/>
                    </w:rPr>
                    <w:t>2</w:t>
                  </w:r>
                  <w:r>
                    <w:rPr>
                      <w:rFonts w:hint="eastAsia" w:ascii="Times New Roman" w:hAnsi="Times New Roman" w:eastAsia="宋体" w:cs="Times New Roman"/>
                      <w:color w:val="auto"/>
                      <w:sz w:val="18"/>
                      <w:szCs w:val="18"/>
                      <w:highlight w:val="none"/>
                      <w:lang w:eastAsia="zh-CN"/>
                    </w:rPr>
                    <w:t>）</w:t>
                  </w:r>
                </w:p>
                <w:tbl>
                  <w:tblPr>
                    <w:tblStyle w:val="41"/>
                    <w:tblW w:w="4998"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260"/>
                    <w:gridCol w:w="993"/>
                  </w:tblGrid>
                  <w:tr w14:paraId="682B3B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1" w:hRule="atLeast"/>
                      <w:jc w:val="center"/>
                    </w:trPr>
                    <w:tc>
                      <w:tcPr>
                        <w:tcW w:w="3968" w:type="pct"/>
                        <w:noWrap w:val="0"/>
                        <w:vAlign w:val="center"/>
                      </w:tcPr>
                      <w:p w14:paraId="323AC0B2">
                        <w:pPr>
                          <w:keepNext w:val="0"/>
                          <w:keepLines w:val="0"/>
                          <w:suppressLineNumbers w:val="0"/>
                          <w:adjustRightInd w:val="0"/>
                          <w:snapToGrid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博罗县建设用地土壤污染风险重点管控区面积</w:t>
                        </w:r>
                      </w:p>
                    </w:tc>
                    <w:tc>
                      <w:tcPr>
                        <w:tcW w:w="1031" w:type="pct"/>
                        <w:noWrap w:val="0"/>
                        <w:vAlign w:val="center"/>
                      </w:tcPr>
                      <w:p w14:paraId="032A3EB3">
                        <w:pPr>
                          <w:keepNext w:val="0"/>
                          <w:keepLines w:val="0"/>
                          <w:suppressLineNumbers w:val="0"/>
                          <w:adjustRightInd w:val="0"/>
                          <w:snapToGrid w:val="0"/>
                          <w:spacing w:before="0" w:beforeAutospacing="0" w:after="0" w:afterAutospacing="0"/>
                          <w:ind w:left="42" w:leftChars="2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340.8688125</w:t>
                        </w:r>
                      </w:p>
                    </w:tc>
                  </w:tr>
                  <w:tr w14:paraId="21AE44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 w:hRule="atLeast"/>
                      <w:jc w:val="center"/>
                    </w:trPr>
                    <w:tc>
                      <w:tcPr>
                        <w:tcW w:w="3968" w:type="pct"/>
                        <w:noWrap w:val="0"/>
                        <w:vAlign w:val="center"/>
                      </w:tcPr>
                      <w:p w14:paraId="016130E2">
                        <w:pPr>
                          <w:keepNext w:val="0"/>
                          <w:keepLines w:val="0"/>
                          <w:suppressLineNumbers w:val="0"/>
                          <w:adjustRightInd w:val="0"/>
                          <w:snapToGrid w:val="0"/>
                          <w:spacing w:before="0" w:beforeAutospacing="0" w:after="0" w:afterAutospacing="0"/>
                          <w:ind w:left="42" w:leftChars="2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罗阳镇建设用地一般管控区面积</w:t>
                        </w:r>
                      </w:p>
                    </w:tc>
                    <w:tc>
                      <w:tcPr>
                        <w:tcW w:w="1031" w:type="pct"/>
                        <w:noWrap w:val="0"/>
                        <w:vAlign w:val="center"/>
                      </w:tcPr>
                      <w:p w14:paraId="7515100F">
                        <w:pPr>
                          <w:keepNext w:val="0"/>
                          <w:keepLines w:val="0"/>
                          <w:suppressLineNumbers w:val="0"/>
                          <w:adjustRightInd w:val="0"/>
                          <w:snapToGrid w:val="0"/>
                          <w:spacing w:before="0" w:beforeAutospacing="0" w:after="0" w:afterAutospacing="0"/>
                          <w:ind w:left="42" w:leftChars="2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40.187</w:t>
                        </w:r>
                      </w:p>
                    </w:tc>
                  </w:tr>
                  <w:tr w14:paraId="40194F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6" w:hRule="atLeast"/>
                      <w:jc w:val="center"/>
                    </w:trPr>
                    <w:tc>
                      <w:tcPr>
                        <w:tcW w:w="3968" w:type="pct"/>
                        <w:noWrap w:val="0"/>
                        <w:vAlign w:val="center"/>
                      </w:tcPr>
                      <w:p w14:paraId="0F54AE0B">
                        <w:pPr>
                          <w:keepNext w:val="0"/>
                          <w:keepLines w:val="0"/>
                          <w:suppressLineNumbers w:val="0"/>
                          <w:adjustRightInd w:val="0"/>
                          <w:snapToGrid w:val="0"/>
                          <w:spacing w:before="0" w:beforeAutospacing="0" w:after="0" w:afterAutospacing="0"/>
                          <w:ind w:left="42" w:leftChars="2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罗阳镇未利用地一般管控区面积</w:t>
                        </w:r>
                      </w:p>
                    </w:tc>
                    <w:tc>
                      <w:tcPr>
                        <w:tcW w:w="1031" w:type="pct"/>
                        <w:noWrap w:val="0"/>
                        <w:vAlign w:val="center"/>
                      </w:tcPr>
                      <w:p w14:paraId="75645CF3">
                        <w:pPr>
                          <w:keepNext w:val="0"/>
                          <w:keepLines w:val="0"/>
                          <w:suppressLineNumbers w:val="0"/>
                          <w:adjustRightInd w:val="0"/>
                          <w:snapToGrid w:val="0"/>
                          <w:spacing w:before="0" w:beforeAutospacing="0" w:after="0" w:afterAutospacing="0"/>
                          <w:ind w:left="42" w:leftChars="2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17.406</w:t>
                        </w:r>
                      </w:p>
                    </w:tc>
                  </w:tr>
                  <w:tr w14:paraId="2427DCD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9" w:hRule="atLeast"/>
                      <w:jc w:val="center"/>
                    </w:trPr>
                    <w:tc>
                      <w:tcPr>
                        <w:tcW w:w="3968" w:type="pct"/>
                        <w:noWrap w:val="0"/>
                        <w:vAlign w:val="center"/>
                      </w:tcPr>
                      <w:p w14:paraId="1245361F">
                        <w:pPr>
                          <w:keepNext w:val="0"/>
                          <w:keepLines w:val="0"/>
                          <w:suppressLineNumbers w:val="0"/>
                          <w:adjustRightInd w:val="0"/>
                          <w:snapToGrid w:val="0"/>
                          <w:spacing w:before="0" w:beforeAutospacing="0" w:after="0" w:afterAutospacing="0"/>
                          <w:ind w:left="42" w:leftChars="2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博罗县土壤环境一般管控区面积</w:t>
                        </w:r>
                      </w:p>
                    </w:tc>
                    <w:tc>
                      <w:tcPr>
                        <w:tcW w:w="1031" w:type="pct"/>
                        <w:noWrap w:val="0"/>
                        <w:vAlign w:val="center"/>
                      </w:tcPr>
                      <w:p w14:paraId="5B53FD59">
                        <w:pPr>
                          <w:keepNext w:val="0"/>
                          <w:keepLines w:val="0"/>
                          <w:suppressLineNumbers w:val="0"/>
                          <w:adjustRightInd w:val="0"/>
                          <w:snapToGrid w:val="0"/>
                          <w:spacing w:before="0" w:beforeAutospacing="0" w:after="0" w:afterAutospacing="0"/>
                          <w:ind w:left="42" w:leftChars="2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373.767</w:t>
                        </w:r>
                      </w:p>
                    </w:tc>
                  </w:tr>
                </w:tbl>
                <w:p w14:paraId="3C659C95">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auto"/>
                      <w:kern w:val="0"/>
                      <w:sz w:val="18"/>
                      <w:szCs w:val="18"/>
                      <w:highlight w:val="none"/>
                      <w:vertAlign w:val="baseline"/>
                      <w:lang w:val="en-US" w:eastAsia="zh-CN"/>
                    </w:rPr>
                  </w:pPr>
                </w:p>
              </w:tc>
              <w:tc>
                <w:tcPr>
                  <w:tcW w:w="2867" w:type="dxa"/>
                  <w:gridSpan w:val="2"/>
                  <w:tcBorders>
                    <w:tl2br w:val="nil"/>
                    <w:tr2bl w:val="nil"/>
                  </w:tcBorders>
                  <w:noWrap w:val="0"/>
                  <w:vAlign w:val="center"/>
                </w:tcPr>
                <w:p w14:paraId="697C0957">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根据《博罗县“三线一单”生态环境分区管控图集》（以下简称《图集》）图15博罗县建设用地土壤管控分区划定情况（详见附图18），项目位于博罗县土壤环境一般管控区-不含农用地，生产过程产生的一般工业固体废物、危险废物妥善处置，不会污染土壤环境。</w:t>
                  </w:r>
                </w:p>
              </w:tc>
            </w:tr>
            <w:tr w14:paraId="4DD21B0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 w:type="dxa"/>
                  <w:vMerge w:val="restart"/>
                  <w:tcBorders>
                    <w:tl2br w:val="nil"/>
                    <w:tr2bl w:val="nil"/>
                  </w:tcBorders>
                  <w:noWrap w:val="0"/>
                  <w:vAlign w:val="center"/>
                </w:tcPr>
                <w:p w14:paraId="2547473F">
                  <w:pPr>
                    <w:pStyle w:val="50"/>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资源利用上线</w:t>
                  </w:r>
                </w:p>
              </w:tc>
              <w:tc>
                <w:tcPr>
                  <w:tcW w:w="3937" w:type="dxa"/>
                  <w:gridSpan w:val="2"/>
                  <w:tcBorders>
                    <w:tl2br w:val="nil"/>
                    <w:tr2bl w:val="nil"/>
                  </w:tcBorders>
                  <w:noWrap w:val="0"/>
                  <w:vAlign w:val="center"/>
                </w:tcPr>
                <w:p w14:paraId="04C63296">
                  <w:pPr>
                    <w:pStyle w:val="154"/>
                    <w:keepNext w:val="0"/>
                    <w:keepLines w:val="0"/>
                    <w:suppressLineNumbers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val="en-US" w:eastAsia="zh-CN"/>
                    </w:rPr>
                    <w:t>表1-5博罗县土地资源优先保护区面积统计（平方公里）</w:t>
                  </w:r>
                </w:p>
                <w:tbl>
                  <w:tblPr>
                    <w:tblStyle w:val="41"/>
                    <w:tblW w:w="4997"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397"/>
                    <w:gridCol w:w="855"/>
                  </w:tblGrid>
                  <w:tr w14:paraId="6CA36A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1" w:hRule="atLeast"/>
                      <w:jc w:val="center"/>
                    </w:trPr>
                    <w:tc>
                      <w:tcPr>
                        <w:tcW w:w="3685" w:type="pct"/>
                        <w:noWrap w:val="0"/>
                        <w:vAlign w:val="center"/>
                      </w:tcPr>
                      <w:p w14:paraId="6DC9E2E2">
                        <w:pPr>
                          <w:keepNext w:val="0"/>
                          <w:keepLines w:val="0"/>
                          <w:suppressLineNumbers w:val="0"/>
                          <w:adjustRightInd w:val="0"/>
                          <w:snapToGrid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土地资源优先保护区面积</w:t>
                        </w:r>
                      </w:p>
                    </w:tc>
                    <w:tc>
                      <w:tcPr>
                        <w:tcW w:w="1314" w:type="pct"/>
                        <w:noWrap w:val="0"/>
                        <w:vAlign w:val="center"/>
                      </w:tcPr>
                      <w:p w14:paraId="62FA63BA">
                        <w:pPr>
                          <w:keepNext w:val="0"/>
                          <w:keepLines w:val="0"/>
                          <w:suppressLineNumbers w:val="0"/>
                          <w:adjustRightInd w:val="0"/>
                          <w:snapToGrid w:val="0"/>
                          <w:spacing w:before="0" w:beforeAutospacing="0" w:after="0" w:afterAutospacing="0"/>
                          <w:ind w:left="42" w:leftChars="2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834.505</w:t>
                        </w:r>
                      </w:p>
                    </w:tc>
                  </w:tr>
                  <w:tr w14:paraId="7D28D4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 w:hRule="atLeast"/>
                      <w:jc w:val="center"/>
                    </w:trPr>
                    <w:tc>
                      <w:tcPr>
                        <w:tcW w:w="3685" w:type="pct"/>
                        <w:noWrap w:val="0"/>
                        <w:vAlign w:val="center"/>
                      </w:tcPr>
                      <w:p w14:paraId="5AD72030">
                        <w:pPr>
                          <w:keepNext w:val="0"/>
                          <w:keepLines w:val="0"/>
                          <w:suppressLineNumbers w:val="0"/>
                          <w:adjustRightInd w:val="0"/>
                          <w:snapToGrid w:val="0"/>
                          <w:spacing w:before="0" w:beforeAutospacing="0" w:after="0" w:afterAutospacing="0"/>
                          <w:ind w:left="42" w:leftChars="2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土地资源优先保护区比例</w:t>
                        </w:r>
                      </w:p>
                    </w:tc>
                    <w:tc>
                      <w:tcPr>
                        <w:tcW w:w="1314" w:type="pct"/>
                        <w:noWrap w:val="0"/>
                        <w:vAlign w:val="center"/>
                      </w:tcPr>
                      <w:p w14:paraId="24B8C640">
                        <w:pPr>
                          <w:keepNext w:val="0"/>
                          <w:keepLines w:val="0"/>
                          <w:suppressLineNumbers w:val="0"/>
                          <w:adjustRightInd w:val="0"/>
                          <w:snapToGrid w:val="0"/>
                          <w:spacing w:before="0" w:beforeAutospacing="0" w:after="0" w:afterAutospacing="0"/>
                          <w:ind w:left="42" w:leftChars="2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29.23%</w:t>
                        </w:r>
                      </w:p>
                    </w:tc>
                  </w:tr>
                </w:tbl>
                <w:p w14:paraId="7237DF1F">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auto"/>
                      <w:kern w:val="0"/>
                      <w:sz w:val="18"/>
                      <w:szCs w:val="18"/>
                      <w:highlight w:val="none"/>
                      <w:vertAlign w:val="baseline"/>
                      <w:lang w:val="en-US" w:eastAsia="zh-CN"/>
                    </w:rPr>
                  </w:pPr>
                </w:p>
              </w:tc>
              <w:tc>
                <w:tcPr>
                  <w:tcW w:w="2867" w:type="dxa"/>
                  <w:gridSpan w:val="2"/>
                  <w:tcBorders>
                    <w:tl2br w:val="nil"/>
                    <w:tr2bl w:val="nil"/>
                  </w:tcBorders>
                  <w:noWrap w:val="0"/>
                  <w:vAlign w:val="center"/>
                </w:tcPr>
                <w:p w14:paraId="17300545">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根据《博罗县“三线一单”生态环境分区管控图集》图16博罗县资源利用上线-土地资源优先保护区划定情况（详见附图19），项目不位于土壤资源优先保护区。</w:t>
                  </w:r>
                </w:p>
              </w:tc>
            </w:tr>
            <w:tr w14:paraId="206BDCA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 w:type="dxa"/>
                  <w:vMerge w:val="continue"/>
                  <w:tcBorders>
                    <w:tl2br w:val="nil"/>
                    <w:tr2bl w:val="nil"/>
                  </w:tcBorders>
                  <w:noWrap w:val="0"/>
                  <w:vAlign w:val="center"/>
                </w:tcPr>
                <w:p w14:paraId="3C3694EE">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eastAsia="zh-CN"/>
                    </w:rPr>
                  </w:pPr>
                </w:p>
              </w:tc>
              <w:tc>
                <w:tcPr>
                  <w:tcW w:w="3937" w:type="dxa"/>
                  <w:gridSpan w:val="2"/>
                  <w:tcBorders>
                    <w:tl2br w:val="nil"/>
                    <w:tr2bl w:val="nil"/>
                  </w:tcBorders>
                  <w:noWrap w:val="0"/>
                  <w:vAlign w:val="center"/>
                </w:tcPr>
                <w:p w14:paraId="2FAC1867">
                  <w:pPr>
                    <w:pStyle w:val="154"/>
                    <w:keepNext w:val="0"/>
                    <w:keepLines w:val="0"/>
                    <w:suppressLineNumbers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val="en-US" w:eastAsia="zh-CN"/>
                    </w:rPr>
                    <w:t>表1-6博罗县能源（煤炭）重点管控区面积统计（平方公里）</w:t>
                  </w:r>
                </w:p>
                <w:tbl>
                  <w:tblPr>
                    <w:tblStyle w:val="41"/>
                    <w:tblW w:w="4997"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397"/>
                    <w:gridCol w:w="855"/>
                  </w:tblGrid>
                  <w:tr w14:paraId="42CC61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1" w:hRule="atLeast"/>
                      <w:jc w:val="center"/>
                    </w:trPr>
                    <w:tc>
                      <w:tcPr>
                        <w:tcW w:w="3685" w:type="pct"/>
                        <w:noWrap w:val="0"/>
                        <w:vAlign w:val="center"/>
                      </w:tcPr>
                      <w:p w14:paraId="204139EA">
                        <w:pPr>
                          <w:keepNext w:val="0"/>
                          <w:keepLines w:val="0"/>
                          <w:suppressLineNumbers w:val="0"/>
                          <w:adjustRightInd w:val="0"/>
                          <w:snapToGrid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高污染燃料禁燃区面积</w:t>
                        </w:r>
                      </w:p>
                    </w:tc>
                    <w:tc>
                      <w:tcPr>
                        <w:tcW w:w="1314" w:type="pct"/>
                        <w:noWrap w:val="0"/>
                        <w:vAlign w:val="center"/>
                      </w:tcPr>
                      <w:p w14:paraId="5591BD21">
                        <w:pPr>
                          <w:keepNext w:val="0"/>
                          <w:keepLines w:val="0"/>
                          <w:suppressLineNumbers w:val="0"/>
                          <w:adjustRightInd w:val="0"/>
                          <w:snapToGrid w:val="0"/>
                          <w:spacing w:before="0" w:beforeAutospacing="0" w:after="0" w:afterAutospacing="0"/>
                          <w:ind w:left="42" w:leftChars="2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394.927</w:t>
                        </w:r>
                      </w:p>
                    </w:tc>
                  </w:tr>
                  <w:tr w14:paraId="6A61A9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 w:hRule="atLeast"/>
                      <w:jc w:val="center"/>
                    </w:trPr>
                    <w:tc>
                      <w:tcPr>
                        <w:tcW w:w="3685" w:type="pct"/>
                        <w:noWrap w:val="0"/>
                        <w:vAlign w:val="center"/>
                      </w:tcPr>
                      <w:p w14:paraId="5EC4048B">
                        <w:pPr>
                          <w:keepNext w:val="0"/>
                          <w:keepLines w:val="0"/>
                          <w:suppressLineNumbers w:val="0"/>
                          <w:adjustRightInd w:val="0"/>
                          <w:snapToGrid w:val="0"/>
                          <w:spacing w:before="0" w:beforeAutospacing="0" w:after="0" w:afterAutospacing="0"/>
                          <w:ind w:left="42" w:leftChars="2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高污染燃料禁燃区比例</w:t>
                        </w:r>
                      </w:p>
                    </w:tc>
                    <w:tc>
                      <w:tcPr>
                        <w:tcW w:w="1314" w:type="pct"/>
                        <w:noWrap w:val="0"/>
                        <w:vAlign w:val="center"/>
                      </w:tcPr>
                      <w:p w14:paraId="2BD43A05">
                        <w:pPr>
                          <w:keepNext w:val="0"/>
                          <w:keepLines w:val="0"/>
                          <w:suppressLineNumbers w:val="0"/>
                          <w:adjustRightInd w:val="0"/>
                          <w:snapToGrid w:val="0"/>
                          <w:spacing w:before="0" w:beforeAutospacing="0" w:after="0" w:afterAutospacing="0"/>
                          <w:ind w:left="42" w:leftChars="2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13.83%</w:t>
                        </w:r>
                      </w:p>
                    </w:tc>
                  </w:tr>
                </w:tbl>
                <w:p w14:paraId="77A535C9">
                  <w:pPr>
                    <w:pStyle w:val="50"/>
                    <w:keepNext w:val="0"/>
                    <w:keepLines w:val="0"/>
                    <w:suppressLineNumbers w:val="0"/>
                    <w:spacing w:before="0" w:beforeAutospacing="0" w:after="0" w:afterAutospacing="0"/>
                    <w:ind w:left="0" w:right="0"/>
                    <w:jc w:val="both"/>
                    <w:rPr>
                      <w:rFonts w:hint="eastAsia" w:ascii="Times New Roman" w:hAnsi="Times New Roman" w:eastAsia="宋体" w:cs="Times New Roman"/>
                      <w:b/>
                      <w:bCs/>
                      <w:color w:val="auto"/>
                      <w:kern w:val="0"/>
                      <w:sz w:val="18"/>
                      <w:szCs w:val="18"/>
                      <w:highlight w:val="none"/>
                      <w:vertAlign w:val="baseline"/>
                      <w:lang w:val="en-US" w:eastAsia="zh-CN"/>
                    </w:rPr>
                  </w:pPr>
                </w:p>
              </w:tc>
              <w:tc>
                <w:tcPr>
                  <w:tcW w:w="2867" w:type="dxa"/>
                  <w:gridSpan w:val="2"/>
                  <w:tcBorders>
                    <w:tl2br w:val="nil"/>
                    <w:tr2bl w:val="nil"/>
                  </w:tcBorders>
                  <w:noWrap w:val="0"/>
                  <w:vAlign w:val="center"/>
                </w:tcPr>
                <w:p w14:paraId="0248E916">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根据《博罗县“三线一单”生态环境分区管控图集》图18博罗县资源利用上线-高污染燃料禁燃区划定情况（详见附图</w:t>
                  </w:r>
                  <w:r>
                    <w:rPr>
                      <w:rFonts w:hint="eastAsia" w:ascii="Times New Roman" w:cs="Times New Roman"/>
                      <w:color w:val="auto"/>
                      <w:sz w:val="18"/>
                      <w:szCs w:val="18"/>
                      <w:highlight w:val="none"/>
                      <w:lang w:val="en-US" w:eastAsia="zh-CN"/>
                    </w:rPr>
                    <w:t>20</w:t>
                  </w:r>
                  <w:r>
                    <w:rPr>
                      <w:rFonts w:hint="eastAsia" w:ascii="Times New Roman" w:hAnsi="Times New Roman" w:eastAsia="宋体" w:cs="Times New Roman"/>
                      <w:color w:val="auto"/>
                      <w:sz w:val="18"/>
                      <w:szCs w:val="18"/>
                      <w:highlight w:val="none"/>
                      <w:lang w:val="en-US" w:eastAsia="zh-CN"/>
                    </w:rPr>
                    <w:t>），本项目属于高污染燃料禁燃区。本项目所有设备均使用电能，不使用高污染燃料。</w:t>
                  </w:r>
                </w:p>
              </w:tc>
            </w:tr>
            <w:tr w14:paraId="089E83F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 w:type="dxa"/>
                  <w:vMerge w:val="continue"/>
                  <w:tcBorders>
                    <w:tl2br w:val="nil"/>
                    <w:tr2bl w:val="nil"/>
                  </w:tcBorders>
                  <w:noWrap w:val="0"/>
                  <w:vAlign w:val="center"/>
                </w:tcPr>
                <w:p w14:paraId="65032AD4">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eastAsia="zh-CN"/>
                    </w:rPr>
                  </w:pPr>
                </w:p>
              </w:tc>
              <w:tc>
                <w:tcPr>
                  <w:tcW w:w="3937" w:type="dxa"/>
                  <w:gridSpan w:val="2"/>
                  <w:tcBorders>
                    <w:tl2br w:val="nil"/>
                    <w:tr2bl w:val="nil"/>
                  </w:tcBorders>
                  <w:noWrap w:val="0"/>
                  <w:vAlign w:val="center"/>
                </w:tcPr>
                <w:p w14:paraId="7A8A069E">
                  <w:pPr>
                    <w:pStyle w:val="154"/>
                    <w:keepNext w:val="0"/>
                    <w:keepLines w:val="0"/>
                    <w:suppressLineNumbers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val="en-US" w:eastAsia="zh-CN"/>
                    </w:rPr>
                    <w:t>表1-6博罗县矿产资源开采敏感区面积统计（平方公里）</w:t>
                  </w:r>
                </w:p>
                <w:tbl>
                  <w:tblPr>
                    <w:tblStyle w:val="41"/>
                    <w:tblW w:w="4997"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2397"/>
                    <w:gridCol w:w="855"/>
                  </w:tblGrid>
                  <w:tr w14:paraId="7E24EE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1" w:hRule="atLeast"/>
                      <w:jc w:val="center"/>
                    </w:trPr>
                    <w:tc>
                      <w:tcPr>
                        <w:tcW w:w="3685" w:type="pct"/>
                        <w:noWrap w:val="0"/>
                        <w:vAlign w:val="center"/>
                      </w:tcPr>
                      <w:p w14:paraId="656EEED2">
                        <w:pPr>
                          <w:keepNext w:val="0"/>
                          <w:keepLines w:val="0"/>
                          <w:suppressLineNumbers w:val="0"/>
                          <w:adjustRightInd w:val="0"/>
                          <w:snapToGrid w:val="0"/>
                          <w:spacing w:before="0" w:beforeAutospacing="0" w:after="0" w:afterAutospacing="0"/>
                          <w:ind w:left="42" w:leftChars="20" w:right="0"/>
                          <w:jc w:val="center"/>
                          <w:rPr>
                            <w:rFonts w:hint="eastAsia"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矿产资源开采敏感区面积</w:t>
                        </w:r>
                      </w:p>
                    </w:tc>
                    <w:tc>
                      <w:tcPr>
                        <w:tcW w:w="1314" w:type="pct"/>
                        <w:noWrap w:val="0"/>
                        <w:vAlign w:val="center"/>
                      </w:tcPr>
                      <w:p w14:paraId="4EAFA4EC">
                        <w:pPr>
                          <w:keepNext w:val="0"/>
                          <w:keepLines w:val="0"/>
                          <w:suppressLineNumbers w:val="0"/>
                          <w:adjustRightInd w:val="0"/>
                          <w:snapToGrid w:val="0"/>
                          <w:spacing w:before="0" w:beforeAutospacing="0" w:after="0" w:afterAutospacing="0"/>
                          <w:ind w:left="42" w:leftChars="2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633.776</w:t>
                        </w:r>
                      </w:p>
                    </w:tc>
                  </w:tr>
                  <w:tr w14:paraId="22A815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7" w:hRule="atLeast"/>
                      <w:jc w:val="center"/>
                    </w:trPr>
                    <w:tc>
                      <w:tcPr>
                        <w:tcW w:w="3685" w:type="pct"/>
                        <w:noWrap w:val="0"/>
                        <w:vAlign w:val="center"/>
                      </w:tcPr>
                      <w:p w14:paraId="7D291C39">
                        <w:pPr>
                          <w:keepNext w:val="0"/>
                          <w:keepLines w:val="0"/>
                          <w:suppressLineNumbers w:val="0"/>
                          <w:adjustRightInd w:val="0"/>
                          <w:snapToGrid w:val="0"/>
                          <w:spacing w:before="0" w:beforeAutospacing="0" w:after="0" w:afterAutospacing="0"/>
                          <w:ind w:left="42" w:leftChars="20" w:right="0"/>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矿产资源开采敏感区比例</w:t>
                        </w:r>
                      </w:p>
                    </w:tc>
                    <w:tc>
                      <w:tcPr>
                        <w:tcW w:w="1314" w:type="pct"/>
                        <w:noWrap w:val="0"/>
                        <w:vAlign w:val="center"/>
                      </w:tcPr>
                      <w:p w14:paraId="5D1C608D">
                        <w:pPr>
                          <w:keepNext w:val="0"/>
                          <w:keepLines w:val="0"/>
                          <w:suppressLineNumbers w:val="0"/>
                          <w:adjustRightInd w:val="0"/>
                          <w:snapToGrid w:val="0"/>
                          <w:spacing w:before="0" w:beforeAutospacing="0" w:after="0" w:afterAutospacing="0"/>
                          <w:ind w:left="42" w:leftChars="2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22.20%</w:t>
                        </w:r>
                      </w:p>
                    </w:tc>
                  </w:tr>
                </w:tbl>
                <w:p w14:paraId="0B0EA724">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auto"/>
                      <w:kern w:val="0"/>
                      <w:sz w:val="18"/>
                      <w:szCs w:val="18"/>
                      <w:highlight w:val="none"/>
                      <w:vertAlign w:val="baseline"/>
                      <w:lang w:val="en-US" w:eastAsia="zh-CN"/>
                    </w:rPr>
                  </w:pPr>
                </w:p>
              </w:tc>
              <w:tc>
                <w:tcPr>
                  <w:tcW w:w="2867" w:type="dxa"/>
                  <w:gridSpan w:val="2"/>
                  <w:tcBorders>
                    <w:tl2br w:val="nil"/>
                    <w:tr2bl w:val="nil"/>
                  </w:tcBorders>
                  <w:noWrap w:val="0"/>
                  <w:vAlign w:val="center"/>
                </w:tcPr>
                <w:p w14:paraId="7BE2229F">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根据《博罗县“三线一单”生态环境分区管控图集》图17博罗县资源利用上线-矿产资源开发敏感区划定情况（详见附图</w:t>
                  </w:r>
                  <w:r>
                    <w:rPr>
                      <w:rFonts w:hint="eastAsia" w:ascii="Times New Roman" w:cs="Times New Roman"/>
                      <w:color w:val="auto"/>
                      <w:sz w:val="18"/>
                      <w:szCs w:val="18"/>
                      <w:highlight w:val="none"/>
                      <w:lang w:val="en-US" w:eastAsia="zh-CN"/>
                    </w:rPr>
                    <w:t>21</w:t>
                  </w:r>
                  <w:r>
                    <w:rPr>
                      <w:rFonts w:hint="eastAsia" w:ascii="Times New Roman" w:hAnsi="Times New Roman" w:eastAsia="宋体" w:cs="Times New Roman"/>
                      <w:color w:val="auto"/>
                      <w:sz w:val="18"/>
                      <w:szCs w:val="18"/>
                      <w:highlight w:val="none"/>
                      <w:lang w:val="en-US" w:eastAsia="zh-CN"/>
                    </w:rPr>
                    <w:t>），本项目不位于矿产资源开采敏感区。</w:t>
                  </w:r>
                </w:p>
              </w:tc>
            </w:tr>
            <w:tr w14:paraId="6F38018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 w:type="dxa"/>
                  <w:vMerge w:val="continue"/>
                  <w:tcBorders>
                    <w:tl2br w:val="nil"/>
                    <w:tr2bl w:val="nil"/>
                  </w:tcBorders>
                  <w:noWrap w:val="0"/>
                  <w:vAlign w:val="center"/>
                </w:tcPr>
                <w:p w14:paraId="43FB5646">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eastAsia="zh-CN"/>
                    </w:rPr>
                  </w:pPr>
                </w:p>
              </w:tc>
              <w:tc>
                <w:tcPr>
                  <w:tcW w:w="3937" w:type="dxa"/>
                  <w:gridSpan w:val="2"/>
                  <w:tcBorders>
                    <w:tl2br w:val="nil"/>
                    <w:tr2bl w:val="nil"/>
                  </w:tcBorders>
                  <w:noWrap w:val="0"/>
                  <w:vAlign w:val="center"/>
                </w:tcPr>
                <w:p w14:paraId="66F54201">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资源利用管控要求：强化水资源节约集约利用。推动农业节水增效；推进工业节水减排；开展城镇节水降损；保障江河湖库生态流量。推进土地资源节约集约利用。科学划定生态保护红线、永久基本农田、城镇开发边界三条控制线，统筹布局生态、农业、城镇空间；按照“工业优先、以用为先”的原则，调整存量和扩大增量建设用地，优先保障“3+7”重点工业园区等重大平台、重大项目的用地需求。</w:t>
                  </w:r>
                </w:p>
              </w:tc>
              <w:tc>
                <w:tcPr>
                  <w:tcW w:w="2867" w:type="dxa"/>
                  <w:gridSpan w:val="2"/>
                  <w:tcBorders>
                    <w:tl2br w:val="nil"/>
                    <w:tr2bl w:val="nil"/>
                  </w:tcBorders>
                  <w:noWrap w:val="0"/>
                  <w:vAlign w:val="center"/>
                </w:tcPr>
                <w:p w14:paraId="13556863">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本项目无生产废水排放，生活污水经三级化粪池预处理后排入博罗县城污水处理厂处理。根据建设单位提供的不动产权证（附件</w:t>
                  </w:r>
                  <w:r>
                    <w:rPr>
                      <w:rFonts w:hint="eastAsia" w:ascii="Times New Roman" w:cs="Times New Roman"/>
                      <w:color w:val="auto"/>
                      <w:sz w:val="18"/>
                      <w:szCs w:val="18"/>
                      <w:highlight w:val="none"/>
                      <w:lang w:val="en-US" w:eastAsia="zh-CN"/>
                    </w:rPr>
                    <w:t>6</w:t>
                  </w:r>
                  <w:r>
                    <w:rPr>
                      <w:rFonts w:hint="eastAsia" w:ascii="Times New Roman" w:hAnsi="Times New Roman" w:eastAsia="宋体" w:cs="Times New Roman"/>
                      <w:color w:val="auto"/>
                      <w:sz w:val="18"/>
                      <w:szCs w:val="18"/>
                      <w:highlight w:val="none"/>
                      <w:lang w:val="en-US" w:eastAsia="zh-CN"/>
                    </w:rPr>
                    <w:t>），本项目为工业用地，满足建设用地要求。</w:t>
                  </w:r>
                </w:p>
              </w:tc>
            </w:tr>
            <w:tr w14:paraId="32F2936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5" w:type="dxa"/>
                  <w:gridSpan w:val="5"/>
                  <w:tcBorders>
                    <w:tl2br w:val="nil"/>
                    <w:tr2bl w:val="nil"/>
                  </w:tcBorders>
                  <w:noWrap w:val="0"/>
                  <w:vAlign w:val="center"/>
                </w:tcPr>
                <w:p w14:paraId="025DB1A5">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auto"/>
                      <w:sz w:val="18"/>
                      <w:szCs w:val="18"/>
                      <w:highlight w:val="none"/>
                      <w:lang w:val="en-US" w:eastAsia="zh-CN"/>
                    </w:rPr>
                  </w:pPr>
                  <w:r>
                    <w:rPr>
                      <w:rFonts w:hint="eastAsia" w:ascii="Times New Roman" w:hAnsi="Times New Roman" w:eastAsia="宋体" w:cs="Times New Roman"/>
                      <w:b/>
                      <w:bCs/>
                      <w:color w:val="auto"/>
                      <w:sz w:val="18"/>
                      <w:szCs w:val="18"/>
                      <w:highlight w:val="none"/>
                      <w:lang w:val="en-US" w:eastAsia="zh-CN"/>
                    </w:rPr>
                    <w:t>陆域管控单元生态环境准入清单</w:t>
                  </w:r>
                </w:p>
              </w:tc>
            </w:tr>
            <w:tr w14:paraId="49F5D7B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 w:type="dxa"/>
                  <w:tcBorders>
                    <w:tl2br w:val="nil"/>
                    <w:tr2bl w:val="nil"/>
                  </w:tcBorders>
                  <w:noWrap w:val="0"/>
                  <w:vAlign w:val="center"/>
                </w:tcPr>
                <w:p w14:paraId="0B82CA26">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auto"/>
                      <w:sz w:val="18"/>
                      <w:szCs w:val="18"/>
                      <w:highlight w:val="none"/>
                      <w:lang w:eastAsia="zh-CN"/>
                    </w:rPr>
                  </w:pPr>
                  <w:r>
                    <w:rPr>
                      <w:rFonts w:hint="eastAsia" w:ascii="Times New Roman" w:hAnsi="Times New Roman" w:eastAsia="宋体" w:cs="Times New Roman"/>
                      <w:b/>
                      <w:bCs/>
                      <w:color w:val="auto"/>
                      <w:sz w:val="18"/>
                      <w:szCs w:val="18"/>
                      <w:highlight w:val="none"/>
                      <w:lang w:eastAsia="zh-CN"/>
                    </w:rPr>
                    <w:t>环境管控单元名称</w:t>
                  </w:r>
                </w:p>
              </w:tc>
              <w:tc>
                <w:tcPr>
                  <w:tcW w:w="3937" w:type="dxa"/>
                  <w:gridSpan w:val="2"/>
                  <w:tcBorders>
                    <w:tl2br w:val="nil"/>
                    <w:tr2bl w:val="nil"/>
                  </w:tcBorders>
                  <w:noWrap w:val="0"/>
                  <w:vAlign w:val="center"/>
                </w:tcPr>
                <w:p w14:paraId="37B981E0">
                  <w:pPr>
                    <w:pStyle w:val="50"/>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18"/>
                      <w:szCs w:val="18"/>
                      <w:highlight w:val="none"/>
                      <w:lang w:val="en-US" w:eastAsia="zh-CN"/>
                    </w:rPr>
                  </w:pPr>
                  <w:r>
                    <w:rPr>
                      <w:rFonts w:hint="eastAsia" w:ascii="Times New Roman" w:hAnsi="Times New Roman" w:eastAsia="宋体" w:cs="Times New Roman"/>
                      <w:b/>
                      <w:bCs/>
                      <w:color w:val="auto"/>
                      <w:sz w:val="18"/>
                      <w:szCs w:val="18"/>
                      <w:highlight w:val="none"/>
                      <w:lang w:val="en-US" w:eastAsia="zh-CN"/>
                    </w:rPr>
                    <w:t>管控要求</w:t>
                  </w:r>
                </w:p>
              </w:tc>
              <w:tc>
                <w:tcPr>
                  <w:tcW w:w="2227" w:type="dxa"/>
                  <w:tcBorders>
                    <w:tl2br w:val="nil"/>
                    <w:tr2bl w:val="nil"/>
                  </w:tcBorders>
                  <w:noWrap w:val="0"/>
                  <w:vAlign w:val="center"/>
                </w:tcPr>
                <w:p w14:paraId="6EC4A4F0">
                  <w:pPr>
                    <w:pStyle w:val="50"/>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18"/>
                      <w:szCs w:val="18"/>
                      <w:highlight w:val="none"/>
                      <w:lang w:val="en-US" w:eastAsia="zh-CN"/>
                    </w:rPr>
                  </w:pPr>
                  <w:r>
                    <w:rPr>
                      <w:rFonts w:hint="eastAsia" w:ascii="Times New Roman" w:hAnsi="Times New Roman" w:eastAsia="宋体" w:cs="Times New Roman"/>
                      <w:b/>
                      <w:bCs/>
                      <w:color w:val="auto"/>
                      <w:sz w:val="18"/>
                      <w:szCs w:val="18"/>
                      <w:highlight w:val="none"/>
                      <w:lang w:val="en-US" w:eastAsia="zh-CN"/>
                    </w:rPr>
                    <w:t>本项目情况</w:t>
                  </w:r>
                </w:p>
              </w:tc>
              <w:tc>
                <w:tcPr>
                  <w:tcW w:w="640" w:type="dxa"/>
                  <w:tcBorders>
                    <w:tl2br w:val="nil"/>
                    <w:tr2bl w:val="nil"/>
                  </w:tcBorders>
                  <w:noWrap w:val="0"/>
                  <w:vAlign w:val="center"/>
                </w:tcPr>
                <w:p w14:paraId="0EDCC333">
                  <w:pPr>
                    <w:pStyle w:val="50"/>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18"/>
                      <w:szCs w:val="18"/>
                      <w:highlight w:val="none"/>
                      <w:lang w:val="en-US" w:eastAsia="zh-CN"/>
                    </w:rPr>
                  </w:pPr>
                  <w:r>
                    <w:rPr>
                      <w:rFonts w:hint="eastAsia" w:ascii="Times New Roman" w:hAnsi="Times New Roman" w:eastAsia="宋体" w:cs="Times New Roman"/>
                      <w:b/>
                      <w:bCs/>
                      <w:color w:val="auto"/>
                      <w:sz w:val="18"/>
                      <w:szCs w:val="18"/>
                      <w:highlight w:val="none"/>
                      <w:lang w:val="en-US" w:eastAsia="zh-CN"/>
                    </w:rPr>
                    <w:t>符合性结论</w:t>
                  </w:r>
                </w:p>
              </w:tc>
            </w:tr>
            <w:tr w14:paraId="040E8C0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 w:type="dxa"/>
                  <w:vMerge w:val="restart"/>
                  <w:tcBorders>
                    <w:tl2br w:val="nil"/>
                    <w:tr2bl w:val="nil"/>
                  </w:tcBorders>
                  <w:noWrap w:val="0"/>
                  <w:vAlign w:val="center"/>
                </w:tcPr>
                <w:p w14:paraId="2D1B996B">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ZH44132220002博罗东江干流重点管控单元</w:t>
                  </w:r>
                </w:p>
              </w:tc>
              <w:tc>
                <w:tcPr>
                  <w:tcW w:w="600" w:type="dxa"/>
                  <w:tcBorders>
                    <w:tl2br w:val="nil"/>
                    <w:tr2bl w:val="nil"/>
                  </w:tcBorders>
                  <w:noWrap w:val="0"/>
                  <w:vAlign w:val="center"/>
                </w:tcPr>
                <w:p w14:paraId="0A8EC840">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区域布局管控要求</w:t>
                  </w:r>
                </w:p>
              </w:tc>
              <w:tc>
                <w:tcPr>
                  <w:tcW w:w="3337" w:type="dxa"/>
                  <w:tcBorders>
                    <w:tl2br w:val="nil"/>
                    <w:tr2bl w:val="nil"/>
                  </w:tcBorders>
                  <w:noWrap w:val="0"/>
                  <w:vAlign w:val="center"/>
                </w:tcPr>
                <w:p w14:paraId="0FD35921">
                  <w:pPr>
                    <w:pStyle w:val="50"/>
                    <w:keepNext w:val="0"/>
                    <w:keepLines w:val="0"/>
                    <w:suppressLineNumbers w:val="0"/>
                    <w:spacing w:before="0" w:beforeAutospacing="0" w:after="0" w:afterAutospacing="0"/>
                    <w:ind w:left="0" w:right="0"/>
                    <w:jc w:val="left"/>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1-1.【产业/鼓励引导类】饮用水水源保护区外的区域，重点发展先进制造业、高新技术产业、生态旅游等产业。</w:t>
                  </w:r>
                </w:p>
                <w:p w14:paraId="60101BB1">
                  <w:pPr>
                    <w:pStyle w:val="50"/>
                    <w:keepNext w:val="0"/>
                    <w:keepLines w:val="0"/>
                    <w:suppressLineNumbers w:val="0"/>
                    <w:spacing w:before="0" w:beforeAutospacing="0" w:after="0" w:afterAutospacing="0"/>
                    <w:ind w:left="0" w:right="0"/>
                    <w:jc w:val="left"/>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14:paraId="3D75A678">
                  <w:pPr>
                    <w:pStyle w:val="50"/>
                    <w:keepNext w:val="0"/>
                    <w:keepLines w:val="0"/>
                    <w:suppressLineNumbers w:val="0"/>
                    <w:spacing w:before="0" w:beforeAutospacing="0" w:after="0" w:afterAutospacing="0"/>
                    <w:ind w:left="0" w:right="0"/>
                    <w:jc w:val="left"/>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1-3.【产业/限制类】严格限制化工、包装印刷、工业涂装等高VOCs排放建设项目。</w:t>
                  </w:r>
                </w:p>
                <w:p w14:paraId="21DB70F3">
                  <w:pPr>
                    <w:pStyle w:val="50"/>
                    <w:keepNext w:val="0"/>
                    <w:keepLines w:val="0"/>
                    <w:suppressLineNumbers w:val="0"/>
                    <w:spacing w:before="0" w:beforeAutospacing="0" w:after="0" w:afterAutospacing="0"/>
                    <w:ind w:left="0" w:right="0"/>
                    <w:jc w:val="left"/>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-4.【生态/禁止类】生态保护红线执行《关于在国土空间规划中统筹划定落实三条控制线的指导意见》中的准入要求，红线内自然保护地核心保护区原则上禁止人为活动，其他区域严格禁止开发性、生产性建设活动，在符合现行法律法规前提下，除国家重大战略项目外，仅允许对生态功能不造成破坏的有限人为活动。</w:t>
                  </w:r>
                </w:p>
                <w:p w14:paraId="290CD0B1">
                  <w:pPr>
                    <w:pStyle w:val="50"/>
                    <w:keepNext w:val="0"/>
                    <w:keepLines w:val="0"/>
                    <w:suppressLineNumbers w:val="0"/>
                    <w:spacing w:before="0" w:beforeAutospacing="0" w:after="0" w:afterAutospacing="0"/>
                    <w:ind w:left="0" w:right="0"/>
                    <w:jc w:val="left"/>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-5.【生态/限制类】一般生态空间内可开展生态保护红线内允许的活动，在不影响主导生态功能的前提下，还可开展国家和省规定不纳入环评管理的项目建设，以及生态旅游、基础设施建设、村庄建设等人为活动。</w:t>
                  </w:r>
                </w:p>
                <w:p w14:paraId="07054128">
                  <w:pPr>
                    <w:pStyle w:val="50"/>
                    <w:keepNext w:val="0"/>
                    <w:keepLines w:val="0"/>
                    <w:suppressLineNumbers w:val="0"/>
                    <w:spacing w:before="0" w:beforeAutospacing="0" w:after="0" w:afterAutospacing="0"/>
                    <w:ind w:left="0" w:right="0"/>
                    <w:jc w:val="left"/>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-6.【水/禁止类】饮用水水源保护区涉及罗阳镇东江饮用水水源保护区、潼湖镇东江饮用水水源保护区、龙溪镇东江饮用水水源保护区、东江龙溪新围村饮用水水源保护区、东江龙溪陈屋村饮用水水源保护区，饮用水水源保护区按照《广东省水污染防治条例》“第五章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p w14:paraId="7F43FC31">
                  <w:pPr>
                    <w:pStyle w:val="50"/>
                    <w:keepNext w:val="0"/>
                    <w:keepLines w:val="0"/>
                    <w:suppressLineNumbers w:val="0"/>
                    <w:spacing w:before="0" w:beforeAutospacing="0" w:after="0" w:afterAutospacing="0"/>
                    <w:ind w:left="0" w:right="0"/>
                    <w:jc w:val="left"/>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1-7.【水/禁止类】禁止在东江干流两岸最高水位线外延五百米范围内新建废弃物堆放场和处理场。已有的堆放场和处理场需采取有效的防治污染措施，危及水体水质安全的，由县级以上人民政府责令限期搬迁。</w:t>
                  </w:r>
                </w:p>
                <w:p w14:paraId="76BD878E">
                  <w:pPr>
                    <w:pStyle w:val="50"/>
                    <w:keepNext w:val="0"/>
                    <w:keepLines w:val="0"/>
                    <w:suppressLineNumbers w:val="0"/>
                    <w:spacing w:before="0" w:beforeAutospacing="0" w:after="0" w:afterAutospacing="0"/>
                    <w:ind w:left="0" w:right="0"/>
                    <w:jc w:val="left"/>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1-8.【水/禁止类】畜禽禁养区内不得从事畜禽养殖业。</w:t>
                  </w:r>
                </w:p>
                <w:p w14:paraId="6570C0F4">
                  <w:pPr>
                    <w:pStyle w:val="50"/>
                    <w:keepNext w:val="0"/>
                    <w:keepLines w:val="0"/>
                    <w:suppressLineNumbers w:val="0"/>
                    <w:spacing w:before="0" w:beforeAutospacing="0" w:after="0" w:afterAutospacing="0"/>
                    <w:ind w:left="0" w:right="0"/>
                    <w:jc w:val="left"/>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-9.【大气/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p w14:paraId="2B2E3FD1">
                  <w:pPr>
                    <w:pStyle w:val="50"/>
                    <w:keepNext w:val="0"/>
                    <w:keepLines w:val="0"/>
                    <w:suppressLineNumbers w:val="0"/>
                    <w:spacing w:before="0" w:beforeAutospacing="0" w:after="0" w:afterAutospacing="0"/>
                    <w:ind w:left="0" w:right="0"/>
                    <w:jc w:val="left"/>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1-10.【大气/鼓励引导类】大气环境高排放重点管控区内，强化达标监管，引导工业项目落地集聚发展，有序推进区域内行业企业提标改造。</w:t>
                  </w:r>
                </w:p>
                <w:p w14:paraId="62E6DE66">
                  <w:pPr>
                    <w:pStyle w:val="50"/>
                    <w:keepNext w:val="0"/>
                    <w:keepLines w:val="0"/>
                    <w:suppressLineNumbers w:val="0"/>
                    <w:spacing w:before="0" w:beforeAutospacing="0" w:after="0" w:afterAutospacing="0"/>
                    <w:ind w:left="0" w:right="0"/>
                    <w:jc w:val="left"/>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1-11.【土壤/禁止类】禁止在重金属重点防控区域内新建、改建、扩建增加重金属污染物排放总量的建设项目。</w:t>
                  </w:r>
                </w:p>
                <w:p w14:paraId="57D0BCA8">
                  <w:pPr>
                    <w:pStyle w:val="50"/>
                    <w:keepNext w:val="0"/>
                    <w:keepLines w:val="0"/>
                    <w:suppressLineNumbers w:val="0"/>
                    <w:spacing w:before="0" w:beforeAutospacing="0" w:after="0" w:afterAutospacing="0"/>
                    <w:ind w:left="0" w:right="0"/>
                    <w:jc w:val="left"/>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-12.【土壤/限制类】重金属污染防控非重点区新建、改扩建重金属排放项目，应落实重金属总量替代与削减要求，严格控制重点行业发展规模。强化涉重金属污染行业建设项目环评审批管理，严格执行环保“三同时”制度。</w:t>
                  </w:r>
                </w:p>
                <w:p w14:paraId="77B3C043">
                  <w:pPr>
                    <w:pStyle w:val="50"/>
                    <w:keepNext w:val="0"/>
                    <w:keepLines w:val="0"/>
                    <w:suppressLineNumbers w:val="0"/>
                    <w:spacing w:before="0" w:beforeAutospacing="0" w:after="0" w:afterAutospacing="0"/>
                    <w:ind w:left="0" w:right="0"/>
                    <w:jc w:val="left"/>
                    <w:rPr>
                      <w:rFonts w:hint="eastAsia" w:eastAsia="宋体" w:cs="Times New Roman"/>
                      <w:color w:val="auto"/>
                      <w:highlight w:val="none"/>
                      <w:lang w:val="en-US" w:eastAsia="zh-CN"/>
                    </w:rPr>
                  </w:pPr>
                  <w:r>
                    <w:rPr>
                      <w:rFonts w:hint="eastAsia" w:ascii="Times New Roman" w:hAnsi="Times New Roman" w:eastAsia="宋体" w:cs="Times New Roman"/>
                      <w:color w:val="auto"/>
                      <w:sz w:val="18"/>
                      <w:szCs w:val="18"/>
                      <w:highlight w:val="none"/>
                      <w:lang w:val="en-US" w:eastAsia="zh-CN"/>
                    </w:rPr>
                    <w:t>1-13.【岸线/综合类】严格水域岸线用途管制，土地开发利用应按照有关法律法规和技术标准要求，留足河道和湖库的管理和保护范围，非法挤占的应限期退出。</w:t>
                  </w:r>
                </w:p>
              </w:tc>
              <w:tc>
                <w:tcPr>
                  <w:tcW w:w="2227" w:type="dxa"/>
                  <w:tcBorders>
                    <w:tl2br w:val="nil"/>
                    <w:tr2bl w:val="nil"/>
                  </w:tcBorders>
                  <w:noWrap w:val="0"/>
                  <w:vAlign w:val="center"/>
                </w:tcPr>
                <w:p w14:paraId="3083E9DC">
                  <w:pPr>
                    <w:pStyle w:val="50"/>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1-1.【产业/鼓励引导类】本项目为C2929塑料零件及其他塑料制品制造、C2231纸和纸板容器制造，不属于产业鼓励引导类。</w:t>
                  </w:r>
                </w:p>
                <w:p w14:paraId="67D010D2">
                  <w:pPr>
                    <w:pStyle w:val="50"/>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1-2.【产业/禁止类】本项目为C2929塑料零件及其他塑料制品制造、C2231纸和纸板容器制造，使用的原料不涉及汞、砷、镉、铬、铅等，不属于产业禁止类。</w:t>
                  </w:r>
                </w:p>
                <w:p w14:paraId="4364F2E7">
                  <w:pPr>
                    <w:pStyle w:val="50"/>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1-3.【产业/限制类】本项目使用的</w:t>
                  </w:r>
                  <w:r>
                    <w:rPr>
                      <w:rFonts w:hint="default" w:ascii="Times New Roman" w:hAnsi="Times New Roman" w:eastAsia="宋体" w:cs="Times New Roman"/>
                      <w:color w:val="auto"/>
                      <w:sz w:val="18"/>
                      <w:szCs w:val="18"/>
                      <w:highlight w:val="none"/>
                      <w:lang w:val="en-US" w:eastAsia="zh-CN"/>
                    </w:rPr>
                    <w:t>水性油墨VOCs含量为未检出，小于5%，满足《油墨中可挥发性有机化合物（VOCs）含量的限值》（GB38507-2020）</w:t>
                  </w:r>
                  <w:r>
                    <w:rPr>
                      <w:rFonts w:hint="eastAsia" w:ascii="Times New Roman" w:hAnsi="Times New Roman" w:eastAsia="宋体" w:cs="Times New Roman"/>
                      <w:color w:val="auto"/>
                      <w:sz w:val="18"/>
                      <w:szCs w:val="18"/>
                      <w:highlight w:val="none"/>
                      <w:lang w:val="en-US" w:eastAsia="zh-CN"/>
                    </w:rPr>
                    <w:t>“水</w:t>
                  </w:r>
                  <w:r>
                    <w:rPr>
                      <w:rFonts w:hint="default" w:ascii="Times New Roman" w:hAnsi="Times New Roman" w:eastAsia="宋体" w:cs="Times New Roman"/>
                      <w:color w:val="auto"/>
                      <w:sz w:val="18"/>
                      <w:szCs w:val="18"/>
                      <w:highlight w:val="none"/>
                      <w:lang w:val="en-US" w:eastAsia="zh-CN"/>
                    </w:rPr>
                    <w:t>性油墨—柔性油墨—吸收性承印</w:t>
                  </w:r>
                  <w:r>
                    <w:rPr>
                      <w:rFonts w:hint="eastAsia" w:ascii="Times New Roman" w:hAnsi="Times New Roman" w:eastAsia="宋体" w:cs="Times New Roman"/>
                      <w:color w:val="auto"/>
                      <w:sz w:val="18"/>
                      <w:szCs w:val="18"/>
                      <w:highlight w:val="none"/>
                      <w:lang w:val="en-US" w:eastAsia="zh-CN"/>
                    </w:rPr>
                    <w:t>物”的</w:t>
                  </w:r>
                  <w:r>
                    <w:rPr>
                      <w:rFonts w:hint="default" w:ascii="Times New Roman" w:hAnsi="Times New Roman" w:eastAsia="宋体" w:cs="Times New Roman"/>
                      <w:color w:val="auto"/>
                      <w:sz w:val="18"/>
                      <w:szCs w:val="18"/>
                      <w:highlight w:val="none"/>
                      <w:lang w:val="en-US" w:eastAsia="zh-CN"/>
                    </w:rPr>
                    <w:t>标准要求（≤5%），属于低挥发性有机物含量的油墨</w:t>
                  </w:r>
                  <w:r>
                    <w:rPr>
                      <w:rFonts w:hint="eastAsia" w:ascii="Times New Roman" w:hAnsi="Times New Roman" w:eastAsia="宋体" w:cs="Times New Roman"/>
                      <w:color w:val="auto"/>
                      <w:sz w:val="18"/>
                      <w:szCs w:val="18"/>
                      <w:highlight w:val="none"/>
                      <w:lang w:val="en-US" w:eastAsia="zh-CN"/>
                    </w:rPr>
                    <w:t>，生产过程产生的有机废气均收集处理后高空排放，不属于高VOCs排放项目。</w:t>
                  </w:r>
                </w:p>
                <w:p w14:paraId="005B701B">
                  <w:pPr>
                    <w:pStyle w:val="50"/>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1-4.【生态/禁止类】本项目不属于生态禁止类项目。</w:t>
                  </w:r>
                </w:p>
                <w:p w14:paraId="1B9306F8">
                  <w:pPr>
                    <w:pStyle w:val="50"/>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1-5.【生态/限制类】本项目不位于一般生态空间内。</w:t>
                  </w:r>
                </w:p>
                <w:p w14:paraId="1C3408A7">
                  <w:pPr>
                    <w:pStyle w:val="50"/>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1-6.【水/禁止类】本项目不位于饮用水水源保护区域内，不属于水禁止类项目。</w:t>
                  </w:r>
                </w:p>
                <w:p w14:paraId="71B24405">
                  <w:pPr>
                    <w:pStyle w:val="50"/>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1-7.【水/禁止类】本项目不属于新建废弃物堆放场和处理场项目。</w:t>
                  </w:r>
                </w:p>
                <w:p w14:paraId="205FCABD">
                  <w:pPr>
                    <w:pStyle w:val="50"/>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1-8.【水/禁止类】本项目不属于畜禽养殖业。</w:t>
                  </w:r>
                </w:p>
                <w:p w14:paraId="2F3C57B4">
                  <w:pPr>
                    <w:pStyle w:val="50"/>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1-9.【大气/限制类】本项目不位于大气环境受体敏感重点管控区，不属于新建储油库项目，且不使用高挥发性原辅材料。</w:t>
                  </w:r>
                </w:p>
                <w:p w14:paraId="56F8BBAA">
                  <w:pPr>
                    <w:pStyle w:val="50"/>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1-10.【大气/鼓励引导类】本项目位于大气环境</w:t>
                  </w:r>
                  <w:r>
                    <w:rPr>
                      <w:rFonts w:hint="eastAsia" w:ascii="Times New Roman" w:cs="Times New Roman"/>
                      <w:color w:val="auto"/>
                      <w:sz w:val="18"/>
                      <w:szCs w:val="18"/>
                      <w:highlight w:val="none"/>
                      <w:lang w:val="en-US" w:eastAsia="zh-CN"/>
                    </w:rPr>
                    <w:t>一般</w:t>
                  </w:r>
                  <w:r>
                    <w:rPr>
                      <w:rFonts w:hint="eastAsia" w:ascii="Times New Roman" w:hAnsi="Times New Roman" w:eastAsia="宋体" w:cs="Times New Roman"/>
                      <w:color w:val="auto"/>
                      <w:sz w:val="18"/>
                      <w:szCs w:val="18"/>
                      <w:highlight w:val="none"/>
                      <w:lang w:val="en-US" w:eastAsia="zh-CN"/>
                    </w:rPr>
                    <w:t>管控区，产生的废气拟经收集至废气处理设施处理达标后排放，待项目建成后按要求定期开展自行监测，确保废气达标排放。</w:t>
                  </w:r>
                </w:p>
                <w:p w14:paraId="7D5DAC1A">
                  <w:pPr>
                    <w:pStyle w:val="50"/>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1-11.【土壤/禁止类】本项目无重金属污染物产生及排放。</w:t>
                  </w:r>
                </w:p>
                <w:p w14:paraId="430C7232">
                  <w:pPr>
                    <w:pStyle w:val="50"/>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1-12.【土壤/限制类】本项目无重金属污染物产生及排放。</w:t>
                  </w:r>
                </w:p>
                <w:p w14:paraId="50F5989D">
                  <w:pPr>
                    <w:pStyle w:val="50"/>
                    <w:keepNext w:val="0"/>
                    <w:keepLines w:val="0"/>
                    <w:suppressLineNumbers w:val="0"/>
                    <w:spacing w:before="0" w:beforeAutospacing="0" w:after="0" w:afterAutospacing="0"/>
                    <w:ind w:left="0" w:right="0"/>
                    <w:jc w:val="both"/>
                    <w:rPr>
                      <w:rFonts w:hint="eastAsia" w:eastAsia="宋体" w:cs="Times New Roman"/>
                      <w:color w:val="auto"/>
                      <w:highlight w:val="none"/>
                      <w:lang w:val="en-US" w:eastAsia="zh-CN"/>
                    </w:rPr>
                  </w:pPr>
                  <w:r>
                    <w:rPr>
                      <w:rFonts w:hint="eastAsia" w:ascii="Times New Roman" w:hAnsi="Times New Roman" w:eastAsia="宋体" w:cs="Times New Roman"/>
                      <w:color w:val="auto"/>
                      <w:sz w:val="18"/>
                      <w:szCs w:val="18"/>
                      <w:highlight w:val="none"/>
                      <w:lang w:val="en-US" w:eastAsia="zh-CN"/>
                    </w:rPr>
                    <w:t>1-13.【岸线/综合类】本项目不位于水域岸线。</w:t>
                  </w:r>
                </w:p>
              </w:tc>
              <w:tc>
                <w:tcPr>
                  <w:tcW w:w="640" w:type="dxa"/>
                  <w:tcBorders>
                    <w:tl2br w:val="nil"/>
                    <w:tr2bl w:val="nil"/>
                  </w:tcBorders>
                  <w:noWrap w:val="0"/>
                  <w:vAlign w:val="center"/>
                </w:tcPr>
                <w:p w14:paraId="01023C75">
                  <w:pPr>
                    <w:pStyle w:val="50"/>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符合</w:t>
                  </w:r>
                </w:p>
              </w:tc>
            </w:tr>
            <w:tr w14:paraId="7EC7AFA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 w:type="dxa"/>
                  <w:vMerge w:val="continue"/>
                  <w:tcBorders>
                    <w:tl2br w:val="nil"/>
                    <w:tr2bl w:val="nil"/>
                  </w:tcBorders>
                  <w:noWrap w:val="0"/>
                  <w:vAlign w:val="center"/>
                </w:tcPr>
                <w:p w14:paraId="62D8977D">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eastAsia="zh-CN"/>
                    </w:rPr>
                  </w:pPr>
                </w:p>
              </w:tc>
              <w:tc>
                <w:tcPr>
                  <w:tcW w:w="600" w:type="dxa"/>
                  <w:tcBorders>
                    <w:tl2br w:val="nil"/>
                    <w:tr2bl w:val="nil"/>
                  </w:tcBorders>
                  <w:noWrap w:val="0"/>
                  <w:vAlign w:val="center"/>
                </w:tcPr>
                <w:p w14:paraId="7FDD52DE">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能源资源利用要求</w:t>
                  </w:r>
                </w:p>
              </w:tc>
              <w:tc>
                <w:tcPr>
                  <w:tcW w:w="3337" w:type="dxa"/>
                  <w:tcBorders>
                    <w:tl2br w:val="nil"/>
                    <w:tr2bl w:val="nil"/>
                  </w:tcBorders>
                  <w:noWrap w:val="0"/>
                  <w:vAlign w:val="center"/>
                </w:tcPr>
                <w:p w14:paraId="142385DA">
                  <w:pPr>
                    <w:pStyle w:val="50"/>
                    <w:keepNext w:val="0"/>
                    <w:keepLines w:val="0"/>
                    <w:suppressLineNumbers w:val="0"/>
                    <w:spacing w:before="0" w:beforeAutospacing="0" w:after="0" w:afterAutospacing="0"/>
                    <w:ind w:left="0" w:right="0"/>
                    <w:jc w:val="left"/>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2-1.【能源/鼓励引导类】鼓励降低煤炭消耗、能源消耗，引导光伏等多种形式的新能源利用。</w:t>
                  </w:r>
                </w:p>
                <w:p w14:paraId="7921E96C">
                  <w:pPr>
                    <w:pStyle w:val="50"/>
                    <w:keepNext w:val="0"/>
                    <w:keepLines w:val="0"/>
                    <w:suppressLineNumbers w:val="0"/>
                    <w:spacing w:before="0" w:beforeAutospacing="0" w:after="0" w:afterAutospacing="0"/>
                    <w:ind w:left="0" w:right="0"/>
                    <w:jc w:val="left"/>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2-2.【能源/综合类】根据本地区大气环境质量改善要求逐步扩大高污染燃料禁燃区范围。</w:t>
                  </w:r>
                </w:p>
              </w:tc>
              <w:tc>
                <w:tcPr>
                  <w:tcW w:w="2227" w:type="dxa"/>
                  <w:tcBorders>
                    <w:tl2br w:val="nil"/>
                    <w:tr2bl w:val="nil"/>
                  </w:tcBorders>
                  <w:noWrap w:val="0"/>
                  <w:vAlign w:val="center"/>
                </w:tcPr>
                <w:p w14:paraId="1508A2DB">
                  <w:pPr>
                    <w:pStyle w:val="50"/>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项目生产均采用电能，不属于高能源消耗企业，且未涉及煤炭。</w:t>
                  </w:r>
                </w:p>
              </w:tc>
              <w:tc>
                <w:tcPr>
                  <w:tcW w:w="640" w:type="dxa"/>
                  <w:tcBorders>
                    <w:tl2br w:val="nil"/>
                    <w:tr2bl w:val="nil"/>
                  </w:tcBorders>
                  <w:noWrap w:val="0"/>
                  <w:vAlign w:val="center"/>
                </w:tcPr>
                <w:p w14:paraId="07380F82">
                  <w:pPr>
                    <w:pStyle w:val="50"/>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符合</w:t>
                  </w:r>
                </w:p>
              </w:tc>
            </w:tr>
            <w:tr w14:paraId="23FFFCE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 w:type="dxa"/>
                  <w:vMerge w:val="continue"/>
                  <w:tcBorders>
                    <w:tl2br w:val="nil"/>
                    <w:tr2bl w:val="nil"/>
                  </w:tcBorders>
                  <w:noWrap w:val="0"/>
                  <w:vAlign w:val="center"/>
                </w:tcPr>
                <w:p w14:paraId="696F93D7">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eastAsia="zh-CN"/>
                    </w:rPr>
                  </w:pPr>
                </w:p>
              </w:tc>
              <w:tc>
                <w:tcPr>
                  <w:tcW w:w="600" w:type="dxa"/>
                  <w:tcBorders>
                    <w:tl2br w:val="nil"/>
                    <w:tr2bl w:val="nil"/>
                  </w:tcBorders>
                  <w:noWrap w:val="0"/>
                  <w:vAlign w:val="center"/>
                </w:tcPr>
                <w:p w14:paraId="1F88C3EE">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污染物排放管控要求</w:t>
                  </w:r>
                </w:p>
              </w:tc>
              <w:tc>
                <w:tcPr>
                  <w:tcW w:w="3337" w:type="dxa"/>
                  <w:tcBorders>
                    <w:tl2br w:val="nil"/>
                    <w:tr2bl w:val="nil"/>
                  </w:tcBorders>
                  <w:noWrap w:val="0"/>
                  <w:vAlign w:val="center"/>
                </w:tcPr>
                <w:p w14:paraId="69D644FF">
                  <w:pPr>
                    <w:pStyle w:val="50"/>
                    <w:keepNext w:val="0"/>
                    <w:keepLines w:val="0"/>
                    <w:suppressLineNumbers w:val="0"/>
                    <w:spacing w:before="0" w:beforeAutospacing="0" w:after="0" w:afterAutospacing="0"/>
                    <w:ind w:left="0" w:right="0"/>
                    <w:jc w:val="left"/>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3-1.【水/限制类】严格控制稿树下水、马嘶河（龙溪水）、江东、榕溪沥（罗阳）、廖洞等直排东江的排水渠流域内增加水污染物排放或对东江水质、水环境安全构成影响的项目。</w:t>
                  </w:r>
                </w:p>
                <w:p w14:paraId="7CB08DA5">
                  <w:pPr>
                    <w:pStyle w:val="50"/>
                    <w:keepNext w:val="0"/>
                    <w:keepLines w:val="0"/>
                    <w:suppressLineNumbers w:val="0"/>
                    <w:spacing w:before="0" w:beforeAutospacing="0" w:after="0" w:afterAutospacing="0"/>
                    <w:ind w:left="0" w:right="0"/>
                    <w:jc w:val="left"/>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3-2.【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p w14:paraId="1AEB217C">
                  <w:pPr>
                    <w:pStyle w:val="50"/>
                    <w:keepNext w:val="0"/>
                    <w:keepLines w:val="0"/>
                    <w:suppressLineNumbers w:val="0"/>
                    <w:spacing w:before="0" w:beforeAutospacing="0" w:after="0" w:afterAutospacing="0"/>
                    <w:ind w:left="0" w:right="0"/>
                    <w:jc w:val="left"/>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3-3.【水/限制类】加强流域内涉重金属废水排放企业的管理，减少含重金属废水排放。</w:t>
                  </w:r>
                </w:p>
                <w:p w14:paraId="53959E71">
                  <w:pPr>
                    <w:pStyle w:val="50"/>
                    <w:keepNext w:val="0"/>
                    <w:keepLines w:val="0"/>
                    <w:suppressLineNumbers w:val="0"/>
                    <w:spacing w:before="0" w:beforeAutospacing="0" w:after="0" w:afterAutospacing="0"/>
                    <w:ind w:left="0" w:right="0"/>
                    <w:jc w:val="left"/>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3-4.【水/综合类】强化农业面源污染治理，控制农药化肥使用量。</w:t>
                  </w:r>
                </w:p>
                <w:p w14:paraId="12F39BCD">
                  <w:pPr>
                    <w:pStyle w:val="50"/>
                    <w:keepNext w:val="0"/>
                    <w:keepLines w:val="0"/>
                    <w:suppressLineNumbers w:val="0"/>
                    <w:spacing w:before="0" w:beforeAutospacing="0" w:after="0" w:afterAutospacing="0"/>
                    <w:ind w:left="0" w:right="0"/>
                    <w:jc w:val="left"/>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3-5.【大气/限制类】重点行业新建涉VOCs排放的工业企业原则上应入园进区。新建项目VOCs实施倍量替代。</w:t>
                  </w:r>
                </w:p>
                <w:p w14:paraId="3C80F999">
                  <w:pPr>
                    <w:pStyle w:val="50"/>
                    <w:keepNext w:val="0"/>
                    <w:keepLines w:val="0"/>
                    <w:suppressLineNumbers w:val="0"/>
                    <w:spacing w:before="0" w:beforeAutospacing="0" w:after="0" w:afterAutospacing="0"/>
                    <w:ind w:left="0" w:right="0"/>
                    <w:jc w:val="left"/>
                    <w:rPr>
                      <w:rFonts w:hint="eastAsia" w:eastAsia="宋体" w:cs="Times New Roman"/>
                      <w:color w:val="auto"/>
                      <w:highlight w:val="none"/>
                      <w:lang w:val="en-US" w:eastAsia="zh-CN"/>
                    </w:rPr>
                  </w:pPr>
                  <w:r>
                    <w:rPr>
                      <w:rFonts w:hint="eastAsia" w:ascii="Times New Roman" w:hAnsi="Times New Roman" w:eastAsia="宋体" w:cs="Times New Roman"/>
                      <w:color w:val="auto"/>
                      <w:sz w:val="18"/>
                      <w:szCs w:val="18"/>
                      <w:highlight w:val="none"/>
                      <w:lang w:val="en-US" w:eastAsia="zh-CN"/>
                    </w:rPr>
                    <w:t>3-6.【土壤/禁止类】禁止向农用地排放重金属或者其他有毒有害物质含量超标的污水、污泥，以及可能造成土壤污染的清淤底泥、尾矿、矿渣等。</w:t>
                  </w:r>
                </w:p>
              </w:tc>
              <w:tc>
                <w:tcPr>
                  <w:tcW w:w="2227" w:type="dxa"/>
                  <w:tcBorders>
                    <w:tl2br w:val="nil"/>
                    <w:tr2bl w:val="nil"/>
                  </w:tcBorders>
                  <w:noWrap w:val="0"/>
                  <w:vAlign w:val="center"/>
                </w:tcPr>
                <w:p w14:paraId="466FD16B">
                  <w:pPr>
                    <w:pStyle w:val="50"/>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3-1.【水/限制类】本项目无生产废水排放，生活污水经三级化粪池处理后排入博罗县城污水处理厂，不属于水限制类。</w:t>
                  </w:r>
                </w:p>
                <w:p w14:paraId="33C91E7F">
                  <w:pPr>
                    <w:pStyle w:val="50"/>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3-2.【水/综合类】本项目无生产废水排放，生活污水经三级化粪池处理后排入博罗县城污水处理厂，不属于水综合类。</w:t>
                  </w:r>
                </w:p>
                <w:p w14:paraId="58B61273">
                  <w:pPr>
                    <w:pStyle w:val="50"/>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3-3.【水/限制类】本项目无重金属废水排放。</w:t>
                  </w:r>
                </w:p>
                <w:p w14:paraId="26B10E66">
                  <w:pPr>
                    <w:pStyle w:val="50"/>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3-4.【水/综合类】项目不涉及农业污染。</w:t>
                  </w:r>
                </w:p>
                <w:p w14:paraId="488E5296">
                  <w:pPr>
                    <w:pStyle w:val="50"/>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3-5.【大气/限制类】本项目项目产生的废气经废气处理设施处理后排放，本项目VOCs总量由惠州市生态环境局博罗分局进行倍量替代。</w:t>
                  </w:r>
                </w:p>
                <w:p w14:paraId="16239055">
                  <w:pPr>
                    <w:pStyle w:val="50"/>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3-6.【土壤/禁止类】本项目没有重金属、有毒有害金属产生及排放，不属于土壤/禁止类项目。</w:t>
                  </w:r>
                </w:p>
              </w:tc>
              <w:tc>
                <w:tcPr>
                  <w:tcW w:w="640" w:type="dxa"/>
                  <w:tcBorders>
                    <w:tl2br w:val="nil"/>
                    <w:tr2bl w:val="nil"/>
                  </w:tcBorders>
                  <w:noWrap w:val="0"/>
                  <w:vAlign w:val="center"/>
                </w:tcPr>
                <w:p w14:paraId="482D1994">
                  <w:pPr>
                    <w:pStyle w:val="50"/>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符合</w:t>
                  </w:r>
                </w:p>
              </w:tc>
            </w:tr>
            <w:tr w14:paraId="332F8AD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 w:type="dxa"/>
                  <w:vMerge w:val="continue"/>
                  <w:tcBorders>
                    <w:tl2br w:val="nil"/>
                    <w:tr2bl w:val="nil"/>
                  </w:tcBorders>
                  <w:noWrap w:val="0"/>
                  <w:vAlign w:val="center"/>
                </w:tcPr>
                <w:p w14:paraId="5004817E">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eastAsia="zh-CN"/>
                    </w:rPr>
                  </w:pPr>
                </w:p>
              </w:tc>
              <w:tc>
                <w:tcPr>
                  <w:tcW w:w="600" w:type="dxa"/>
                  <w:tcBorders>
                    <w:tl2br w:val="nil"/>
                    <w:tr2bl w:val="nil"/>
                  </w:tcBorders>
                  <w:noWrap w:val="0"/>
                  <w:vAlign w:val="center"/>
                </w:tcPr>
                <w:p w14:paraId="22033D99">
                  <w:pPr>
                    <w:pStyle w:val="50"/>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环境风险防控要求</w:t>
                  </w:r>
                </w:p>
              </w:tc>
              <w:tc>
                <w:tcPr>
                  <w:tcW w:w="3337" w:type="dxa"/>
                  <w:tcBorders>
                    <w:tl2br w:val="nil"/>
                    <w:tr2bl w:val="nil"/>
                  </w:tcBorders>
                  <w:noWrap w:val="0"/>
                  <w:vAlign w:val="center"/>
                </w:tcPr>
                <w:p w14:paraId="4B71C37A">
                  <w:pPr>
                    <w:pStyle w:val="50"/>
                    <w:keepNext w:val="0"/>
                    <w:keepLines w:val="0"/>
                    <w:suppressLineNumbers w:val="0"/>
                    <w:spacing w:before="0" w:beforeAutospacing="0" w:after="0" w:afterAutospacing="0"/>
                    <w:ind w:left="0" w:right="0"/>
                    <w:jc w:val="left"/>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4-1.【水/综合类】城镇污水处理厂应采取有效措施，防止事故废水直接排入水体。</w:t>
                  </w:r>
                </w:p>
                <w:p w14:paraId="219BC640">
                  <w:pPr>
                    <w:pStyle w:val="50"/>
                    <w:keepNext w:val="0"/>
                    <w:keepLines w:val="0"/>
                    <w:suppressLineNumbers w:val="0"/>
                    <w:spacing w:before="0" w:beforeAutospacing="0" w:after="0" w:afterAutospacing="0"/>
                    <w:ind w:left="0" w:right="0"/>
                    <w:jc w:val="left"/>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4-2.【水/综合类】加强饮用水水源保护区内环境风险排查，开展风险评估、水环境预警监测以及水环境应急演练。</w:t>
                  </w:r>
                </w:p>
                <w:p w14:paraId="4AE2670B">
                  <w:pPr>
                    <w:pStyle w:val="50"/>
                    <w:keepNext w:val="0"/>
                    <w:keepLines w:val="0"/>
                    <w:suppressLineNumbers w:val="0"/>
                    <w:spacing w:before="0" w:beforeAutospacing="0" w:after="0" w:afterAutospacing="0"/>
                    <w:ind w:left="0" w:right="0"/>
                    <w:jc w:val="left"/>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4-3.【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2227" w:type="dxa"/>
                  <w:tcBorders>
                    <w:tl2br w:val="nil"/>
                    <w:tr2bl w:val="nil"/>
                  </w:tcBorders>
                  <w:noWrap w:val="0"/>
                  <w:vAlign w:val="center"/>
                </w:tcPr>
                <w:p w14:paraId="2F3ECC39">
                  <w:pPr>
                    <w:pStyle w:val="50"/>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4-1.【水/综合类】本项目不属于城镇污水处理厂。</w:t>
                  </w:r>
                </w:p>
                <w:p w14:paraId="43879C80">
                  <w:pPr>
                    <w:pStyle w:val="50"/>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4-2.【水/综合类】项目不位于饮用水水源保护区。</w:t>
                  </w:r>
                </w:p>
                <w:p w14:paraId="0F1239CC">
                  <w:pPr>
                    <w:pStyle w:val="50"/>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4-3.【大气/综合类】项目不属于生产、储存和使用有毒有害气体的企业。</w:t>
                  </w:r>
                </w:p>
              </w:tc>
              <w:tc>
                <w:tcPr>
                  <w:tcW w:w="640" w:type="dxa"/>
                  <w:tcBorders>
                    <w:tl2br w:val="nil"/>
                    <w:tr2bl w:val="nil"/>
                  </w:tcBorders>
                  <w:noWrap w:val="0"/>
                  <w:vAlign w:val="center"/>
                </w:tcPr>
                <w:p w14:paraId="2AFD6627">
                  <w:pPr>
                    <w:pStyle w:val="50"/>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符合</w:t>
                  </w:r>
                </w:p>
              </w:tc>
            </w:tr>
          </w:tbl>
          <w:p w14:paraId="3EAA5A28">
            <w:pPr>
              <w:pStyle w:val="3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leftChars="0" w:right="0" w:firstLine="420" w:firstLineChars="200"/>
              <w:jc w:val="left"/>
              <w:textAlignment w:val="auto"/>
              <w:rPr>
                <w:rFonts w:hint="default"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综上所述，</w:t>
            </w:r>
            <w:r>
              <w:rPr>
                <w:rFonts w:hint="eastAsia" w:cs="Times New Roman"/>
                <w:b w:val="0"/>
                <w:bCs w:val="0"/>
                <w:color w:val="auto"/>
                <w:kern w:val="0"/>
                <w:sz w:val="21"/>
                <w:szCs w:val="21"/>
                <w:highlight w:val="none"/>
                <w:lang w:val="en-US" w:eastAsia="zh-CN"/>
              </w:rPr>
              <w:t>本项目总体上能够符合《惠州市人民政府关于印发惠州市“三线一单”生态环境分区管控方案的通知》（惠府</w:t>
            </w:r>
            <w:r>
              <w:rPr>
                <w:rFonts w:hint="eastAsia" w:ascii="Times New Roman" w:hAnsi="Times New Roman" w:eastAsia="宋体" w:cs="Times New Roman"/>
                <w:b w:val="0"/>
                <w:bCs w:val="0"/>
                <w:color w:val="auto"/>
                <w:kern w:val="0"/>
                <w:sz w:val="21"/>
                <w:szCs w:val="21"/>
                <w:highlight w:val="none"/>
                <w:lang w:val="en-US" w:eastAsia="zh-CN"/>
              </w:rPr>
              <w:t>〔202</w:t>
            </w:r>
            <w:r>
              <w:rPr>
                <w:rFonts w:hint="eastAsia" w:cs="Times New Roman"/>
                <w:b w:val="0"/>
                <w:bCs w:val="0"/>
                <w:color w:val="auto"/>
                <w:kern w:val="0"/>
                <w:sz w:val="21"/>
                <w:szCs w:val="21"/>
                <w:highlight w:val="none"/>
                <w:lang w:val="en-US" w:eastAsia="zh-CN"/>
              </w:rPr>
              <w:t>1</w:t>
            </w:r>
            <w:r>
              <w:rPr>
                <w:rFonts w:hint="eastAsia" w:ascii="Times New Roman" w:hAnsi="Times New Roman" w:eastAsia="宋体" w:cs="Times New Roman"/>
                <w:b w:val="0"/>
                <w:bCs w:val="0"/>
                <w:color w:val="auto"/>
                <w:kern w:val="0"/>
                <w:sz w:val="21"/>
                <w:szCs w:val="21"/>
                <w:highlight w:val="none"/>
                <w:lang w:val="en-US" w:eastAsia="zh-CN"/>
              </w:rPr>
              <w:t>〕</w:t>
            </w:r>
            <w:r>
              <w:rPr>
                <w:rFonts w:hint="eastAsia" w:cs="Times New Roman"/>
                <w:b w:val="0"/>
                <w:bCs w:val="0"/>
                <w:color w:val="auto"/>
                <w:kern w:val="0"/>
                <w:sz w:val="21"/>
                <w:szCs w:val="21"/>
                <w:highlight w:val="none"/>
                <w:lang w:val="en-US" w:eastAsia="zh-CN"/>
              </w:rPr>
              <w:t>23号）以及《博罗县生态保护红线、环境质量底线、资源利用上线和环境准入清单研究报告》的管理要求。</w:t>
            </w:r>
          </w:p>
          <w:p w14:paraId="310B03C7">
            <w:pPr>
              <w:pStyle w:val="33"/>
              <w:keepNext w:val="0"/>
              <w:keepLines w:val="0"/>
              <w:suppressLineNumbers w:val="0"/>
              <w:spacing w:before="0" w:beforeAutospacing="0" w:after="0" w:afterAutospacing="0" w:line="360" w:lineRule="auto"/>
              <w:ind w:left="0" w:leftChars="0" w:right="0" w:firstLine="422" w:firstLineChars="200"/>
              <w:jc w:val="left"/>
              <w:rPr>
                <w:rFonts w:hint="eastAsia" w:ascii="Times New Roman" w:hAnsi="Times New Roman" w:eastAsia="宋体" w:cs="Times New Roman"/>
                <w:b/>
                <w:bCs/>
                <w:color w:val="auto"/>
                <w:kern w:val="0"/>
                <w:sz w:val="21"/>
                <w:szCs w:val="21"/>
                <w:highlight w:val="none"/>
                <w:lang w:val="en-US" w:eastAsia="zh-CN"/>
              </w:rPr>
            </w:pPr>
            <w:r>
              <w:rPr>
                <w:rFonts w:hint="eastAsia" w:ascii="Times New Roman" w:hAnsi="Times New Roman" w:eastAsia="宋体" w:cs="Times New Roman"/>
                <w:b/>
                <w:bCs/>
                <w:color w:val="auto"/>
                <w:kern w:val="0"/>
                <w:sz w:val="21"/>
                <w:szCs w:val="21"/>
                <w:highlight w:val="none"/>
                <w:lang w:val="en-US" w:eastAsia="zh-CN"/>
              </w:rPr>
              <w:t>2、项目与产业政策符合性分析</w:t>
            </w:r>
          </w:p>
          <w:p w14:paraId="279158E3">
            <w:pPr>
              <w:pStyle w:val="33"/>
              <w:keepNext w:val="0"/>
              <w:keepLines w:val="0"/>
              <w:suppressLineNumbers w:val="0"/>
              <w:spacing w:before="0" w:beforeAutospacing="0" w:after="0" w:afterAutospacing="0" w:line="360" w:lineRule="auto"/>
              <w:ind w:left="0" w:leftChars="0" w:right="0" w:firstLine="420" w:firstLineChars="200"/>
              <w:jc w:val="left"/>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本项目主要从事</w:t>
            </w:r>
            <w:r>
              <w:rPr>
                <w:rFonts w:hint="eastAsia" w:cs="Times New Roman"/>
                <w:b w:val="0"/>
                <w:bCs w:val="0"/>
                <w:color w:val="auto"/>
                <w:kern w:val="0"/>
                <w:sz w:val="21"/>
                <w:szCs w:val="21"/>
                <w:highlight w:val="none"/>
                <w:lang w:val="en-US" w:eastAsia="zh-CN"/>
              </w:rPr>
              <w:t>吸塑</w:t>
            </w:r>
            <w:r>
              <w:rPr>
                <w:rFonts w:hint="eastAsia" w:ascii="Times New Roman" w:hAnsi="Times New Roman" w:eastAsia="宋体" w:cs="Times New Roman"/>
                <w:b w:val="0"/>
                <w:bCs w:val="0"/>
                <w:color w:val="auto"/>
                <w:kern w:val="0"/>
                <w:sz w:val="21"/>
                <w:szCs w:val="21"/>
                <w:highlight w:val="none"/>
                <w:lang w:val="en-US" w:eastAsia="zh-CN"/>
              </w:rPr>
              <w:t>制品</w:t>
            </w:r>
            <w:r>
              <w:rPr>
                <w:rFonts w:hint="eastAsia" w:cs="Times New Roman"/>
                <w:b w:val="0"/>
                <w:bCs w:val="0"/>
                <w:color w:val="auto"/>
                <w:kern w:val="0"/>
                <w:sz w:val="21"/>
                <w:szCs w:val="21"/>
                <w:highlight w:val="none"/>
                <w:lang w:val="en-US" w:eastAsia="zh-CN"/>
              </w:rPr>
              <w:t>和包装纸箱</w:t>
            </w:r>
            <w:r>
              <w:rPr>
                <w:rFonts w:hint="eastAsia" w:ascii="Times New Roman" w:hAnsi="Times New Roman" w:eastAsia="宋体" w:cs="Times New Roman"/>
                <w:b w:val="0"/>
                <w:bCs w:val="0"/>
                <w:color w:val="auto"/>
                <w:kern w:val="0"/>
                <w:sz w:val="21"/>
                <w:szCs w:val="21"/>
                <w:highlight w:val="none"/>
                <w:lang w:val="en-US" w:eastAsia="zh-CN"/>
              </w:rPr>
              <w:t>的生产，属于《国民经济行业分类》</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GB/T4754-2017</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按第1号修改单修订）中的C2929塑料零件及其他塑料制品制造、C2231纸和纸板容器制造。项目不属于《产业结构调整指导目录（2024年本）》（国家发展改革委令第7号）中的鼓励类、限制类和淘汰类，故项目符合《产业结构调整指导目录（2024年本）》（国家发展改革委令第7号）；项目不属于《市场准入负面清单（202</w:t>
            </w:r>
            <w:r>
              <w:rPr>
                <w:rFonts w:hint="eastAsia" w:cs="Times New Roman"/>
                <w:b w:val="0"/>
                <w:bCs w:val="0"/>
                <w:color w:val="auto"/>
                <w:kern w:val="0"/>
                <w:sz w:val="21"/>
                <w:szCs w:val="21"/>
                <w:highlight w:val="none"/>
                <w:lang w:val="en-US" w:eastAsia="zh-CN"/>
              </w:rPr>
              <w:t>5</w:t>
            </w:r>
            <w:r>
              <w:rPr>
                <w:rFonts w:hint="eastAsia" w:ascii="Times New Roman" w:hAnsi="Times New Roman" w:eastAsia="宋体" w:cs="Times New Roman"/>
                <w:b w:val="0"/>
                <w:bCs w:val="0"/>
                <w:color w:val="auto"/>
                <w:kern w:val="0"/>
                <w:sz w:val="21"/>
                <w:szCs w:val="21"/>
                <w:highlight w:val="none"/>
                <w:lang w:val="en-US" w:eastAsia="zh-CN"/>
              </w:rPr>
              <w:t>年版）》（发改体改规〔2025〕466号）禁止或需要许可的类别，项目建设符合《市场准入负面清单（202</w:t>
            </w:r>
            <w:r>
              <w:rPr>
                <w:rFonts w:hint="eastAsia" w:cs="Times New Roman"/>
                <w:b w:val="0"/>
                <w:bCs w:val="0"/>
                <w:color w:val="auto"/>
                <w:kern w:val="0"/>
                <w:sz w:val="21"/>
                <w:szCs w:val="21"/>
                <w:highlight w:val="none"/>
                <w:lang w:val="en-US" w:eastAsia="zh-CN"/>
              </w:rPr>
              <w:t>5</w:t>
            </w:r>
            <w:r>
              <w:rPr>
                <w:rFonts w:hint="eastAsia" w:ascii="Times New Roman" w:hAnsi="Times New Roman" w:eastAsia="宋体" w:cs="Times New Roman"/>
                <w:b w:val="0"/>
                <w:bCs w:val="0"/>
                <w:color w:val="auto"/>
                <w:kern w:val="0"/>
                <w:sz w:val="21"/>
                <w:szCs w:val="21"/>
                <w:highlight w:val="none"/>
                <w:lang w:val="en-US" w:eastAsia="zh-CN"/>
              </w:rPr>
              <w:t>年版）》</w:t>
            </w:r>
            <w:r>
              <w:rPr>
                <w:rFonts w:hint="eastAsia" w:cs="Times New Roman"/>
                <w:b w:val="0"/>
                <w:bCs w:val="0"/>
                <w:color w:val="auto"/>
                <w:kern w:val="0"/>
                <w:sz w:val="21"/>
                <w:szCs w:val="21"/>
                <w:highlight w:val="none"/>
                <w:lang w:val="en-US" w:eastAsia="zh-CN"/>
              </w:rPr>
              <w:t>要求</w:t>
            </w:r>
            <w:r>
              <w:rPr>
                <w:rFonts w:hint="eastAsia" w:ascii="Times New Roman" w:hAnsi="Times New Roman" w:eastAsia="宋体" w:cs="Times New Roman"/>
                <w:b w:val="0"/>
                <w:bCs w:val="0"/>
                <w:color w:val="auto"/>
                <w:kern w:val="0"/>
                <w:sz w:val="21"/>
                <w:szCs w:val="21"/>
                <w:highlight w:val="none"/>
                <w:lang w:val="en-US" w:eastAsia="zh-CN"/>
              </w:rPr>
              <w:t>。</w:t>
            </w:r>
          </w:p>
          <w:p w14:paraId="184F4799">
            <w:pPr>
              <w:pStyle w:val="33"/>
              <w:keepNext w:val="0"/>
              <w:keepLines w:val="0"/>
              <w:suppressLineNumbers w:val="0"/>
              <w:spacing w:before="0" w:beforeAutospacing="0" w:after="0" w:afterAutospacing="0" w:line="360" w:lineRule="auto"/>
              <w:ind w:left="0" w:leftChars="0" w:right="0" w:firstLine="422" w:firstLineChars="200"/>
              <w:jc w:val="left"/>
              <w:rPr>
                <w:rFonts w:hint="eastAsia" w:ascii="Times New Roman" w:hAnsi="Times New Roman" w:eastAsia="宋体" w:cs="Times New Roman"/>
                <w:b/>
                <w:bCs/>
                <w:color w:val="auto"/>
                <w:kern w:val="0"/>
                <w:sz w:val="21"/>
                <w:szCs w:val="21"/>
                <w:highlight w:val="none"/>
                <w:lang w:val="en-US" w:eastAsia="zh-CN"/>
              </w:rPr>
            </w:pPr>
            <w:r>
              <w:rPr>
                <w:rFonts w:hint="eastAsia" w:ascii="Times New Roman" w:hAnsi="Times New Roman" w:eastAsia="宋体" w:cs="Times New Roman"/>
                <w:b/>
                <w:bCs/>
                <w:color w:val="auto"/>
                <w:kern w:val="0"/>
                <w:sz w:val="21"/>
                <w:szCs w:val="21"/>
                <w:highlight w:val="none"/>
                <w:lang w:val="en-US" w:eastAsia="zh-CN"/>
              </w:rPr>
              <w:t>3、项目与用地规划相符性分析</w:t>
            </w:r>
          </w:p>
          <w:p w14:paraId="59653F13">
            <w:pPr>
              <w:pStyle w:val="33"/>
              <w:keepNext w:val="0"/>
              <w:keepLines w:val="0"/>
              <w:suppressLineNumbers w:val="0"/>
              <w:spacing w:before="0" w:beforeAutospacing="0" w:after="0" w:afterAutospacing="0" w:line="360" w:lineRule="auto"/>
              <w:ind w:left="0" w:leftChars="0" w:right="0" w:firstLine="420" w:firstLineChars="200"/>
              <w:jc w:val="left"/>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本项目用地位于</w:t>
            </w:r>
            <w:r>
              <w:rPr>
                <w:rFonts w:hint="eastAsia" w:ascii="Times New Roman" w:hAnsi="Times New Roman" w:eastAsia="宋体" w:cs="Times New Roman"/>
                <w:color w:val="auto"/>
                <w:sz w:val="21"/>
                <w:szCs w:val="21"/>
                <w:highlight w:val="none"/>
              </w:rPr>
              <w:t>惠州市博罗县梅花村鸿达九路198号6号厂房605室、7号厂房705室</w:t>
            </w:r>
            <w:r>
              <w:rPr>
                <w:rFonts w:hint="eastAsia" w:ascii="Times New Roman" w:hAnsi="Times New Roman" w:eastAsia="宋体" w:cs="Times New Roman"/>
                <w:b w:val="0"/>
                <w:bCs w:val="0"/>
                <w:color w:val="auto"/>
                <w:kern w:val="0"/>
                <w:sz w:val="21"/>
                <w:szCs w:val="21"/>
                <w:highlight w:val="none"/>
                <w:lang w:val="en-US" w:eastAsia="zh-CN"/>
              </w:rPr>
              <w:t>，根据建设单位提供的不动产权证（详见附件</w:t>
            </w:r>
            <w:r>
              <w:rPr>
                <w:rFonts w:hint="eastAsia" w:cs="Times New Roman"/>
                <w:b w:val="0"/>
                <w:bCs w:val="0"/>
                <w:color w:val="auto"/>
                <w:kern w:val="0"/>
                <w:sz w:val="21"/>
                <w:szCs w:val="21"/>
                <w:highlight w:val="none"/>
                <w:lang w:val="en-US" w:eastAsia="zh-CN"/>
              </w:rPr>
              <w:t>6</w:t>
            </w:r>
            <w:r>
              <w:rPr>
                <w:rFonts w:hint="eastAsia" w:ascii="Times New Roman" w:hAnsi="Times New Roman" w:eastAsia="宋体" w:cs="Times New Roman"/>
                <w:b w:val="0"/>
                <w:bCs w:val="0"/>
                <w:color w:val="auto"/>
                <w:kern w:val="0"/>
                <w:sz w:val="21"/>
                <w:szCs w:val="21"/>
                <w:highlight w:val="none"/>
                <w:lang w:val="en-US" w:eastAsia="zh-CN"/>
              </w:rPr>
              <w:t>）及</w:t>
            </w:r>
            <w:r>
              <w:rPr>
                <w:rFonts w:hint="eastAsia" w:cs="Times New Roman"/>
                <w:b w:val="0"/>
                <w:bCs w:val="0"/>
                <w:color w:val="auto"/>
                <w:kern w:val="0"/>
                <w:sz w:val="21"/>
                <w:szCs w:val="21"/>
                <w:highlight w:val="none"/>
                <w:lang w:val="en-US" w:eastAsia="zh-CN"/>
              </w:rPr>
              <w:t>《博罗县国土空间总体规划（2021-2035年）》（详见附图12）和</w:t>
            </w:r>
            <w:r>
              <w:rPr>
                <w:rFonts w:hint="eastAsia" w:ascii="Times New Roman" w:hAnsi="Times New Roman" w:eastAsia="宋体" w:cs="Times New Roman"/>
                <w:b w:val="0"/>
                <w:bCs w:val="0"/>
                <w:color w:val="auto"/>
                <w:kern w:val="0"/>
                <w:sz w:val="21"/>
                <w:szCs w:val="21"/>
                <w:highlight w:val="none"/>
                <w:lang w:val="en-US" w:eastAsia="zh-CN"/>
              </w:rPr>
              <w:t>《博罗县城梅花东片区控制性详细规划》（详见附图</w:t>
            </w:r>
            <w:r>
              <w:rPr>
                <w:rFonts w:hint="eastAsia" w:cs="Times New Roman"/>
                <w:b w:val="0"/>
                <w:bCs w:val="0"/>
                <w:color w:val="auto"/>
                <w:kern w:val="0"/>
                <w:sz w:val="21"/>
                <w:szCs w:val="21"/>
                <w:highlight w:val="none"/>
                <w:lang w:val="en-US" w:eastAsia="zh-CN"/>
              </w:rPr>
              <w:t>13</w:t>
            </w:r>
            <w:r>
              <w:rPr>
                <w:rFonts w:hint="eastAsia" w:ascii="Times New Roman" w:hAnsi="Times New Roman" w:eastAsia="宋体" w:cs="Times New Roman"/>
                <w:b w:val="0"/>
                <w:bCs w:val="0"/>
                <w:color w:val="auto"/>
                <w:kern w:val="0"/>
                <w:sz w:val="21"/>
                <w:szCs w:val="21"/>
                <w:highlight w:val="none"/>
                <w:lang w:val="en-US" w:eastAsia="zh-CN"/>
              </w:rPr>
              <w:t>），项目所在地用地性质为工业用地，故项目用地符合土地利用性质的要求。</w:t>
            </w:r>
          </w:p>
          <w:p w14:paraId="204EBF1A">
            <w:pPr>
              <w:pStyle w:val="33"/>
              <w:keepNext w:val="0"/>
              <w:keepLines w:val="0"/>
              <w:suppressLineNumbers w:val="0"/>
              <w:spacing w:before="0" w:beforeAutospacing="0" w:after="0" w:afterAutospacing="0" w:line="360" w:lineRule="auto"/>
              <w:ind w:left="0" w:leftChars="0" w:right="0" w:firstLine="422" w:firstLineChars="200"/>
              <w:jc w:val="left"/>
              <w:rPr>
                <w:rFonts w:hint="eastAsia" w:ascii="Times New Roman" w:hAnsi="Times New Roman" w:eastAsia="宋体" w:cs="Times New Roman"/>
                <w:b/>
                <w:bCs/>
                <w:color w:val="auto"/>
                <w:kern w:val="0"/>
                <w:sz w:val="21"/>
                <w:szCs w:val="21"/>
                <w:highlight w:val="none"/>
                <w:lang w:val="en-US" w:eastAsia="zh-CN"/>
              </w:rPr>
            </w:pPr>
            <w:r>
              <w:rPr>
                <w:rFonts w:hint="eastAsia" w:ascii="Times New Roman" w:hAnsi="Times New Roman" w:eastAsia="宋体" w:cs="Times New Roman"/>
                <w:b/>
                <w:bCs/>
                <w:color w:val="auto"/>
                <w:kern w:val="0"/>
                <w:sz w:val="21"/>
                <w:szCs w:val="21"/>
                <w:highlight w:val="none"/>
                <w:lang w:val="en-US" w:eastAsia="zh-CN"/>
              </w:rPr>
              <w:t>4、项目与环境功能区相符性分析</w:t>
            </w:r>
          </w:p>
          <w:p w14:paraId="64DEA630">
            <w:pPr>
              <w:pStyle w:val="33"/>
              <w:keepNext w:val="0"/>
              <w:keepLines w:val="0"/>
              <w:suppressLineNumbers w:val="0"/>
              <w:spacing w:before="0" w:beforeAutospacing="0" w:after="0" w:afterAutospacing="0" w:line="360" w:lineRule="auto"/>
              <w:ind w:left="0" w:leftChars="0" w:right="0" w:firstLine="420" w:firstLineChars="200"/>
              <w:jc w:val="left"/>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根据《惠州市饮用水源保护区划调整方案》（粤府函〔20</w:t>
            </w:r>
            <w:r>
              <w:rPr>
                <w:rFonts w:hint="eastAsia" w:cs="Times New Roman"/>
                <w:b w:val="0"/>
                <w:bCs w:val="0"/>
                <w:color w:val="auto"/>
                <w:kern w:val="0"/>
                <w:sz w:val="21"/>
                <w:szCs w:val="21"/>
                <w:highlight w:val="none"/>
                <w:lang w:val="en-US" w:eastAsia="zh-CN"/>
              </w:rPr>
              <w:t>14</w:t>
            </w:r>
            <w:r>
              <w:rPr>
                <w:rFonts w:hint="eastAsia" w:ascii="Times New Roman" w:hAnsi="Times New Roman" w:eastAsia="宋体" w:cs="Times New Roman"/>
                <w:b w:val="0"/>
                <w:bCs w:val="0"/>
                <w:color w:val="auto"/>
                <w:kern w:val="0"/>
                <w:sz w:val="21"/>
                <w:szCs w:val="21"/>
                <w:highlight w:val="none"/>
                <w:lang w:val="en-US" w:eastAsia="zh-CN"/>
              </w:rPr>
              <w:t>〕188号）、《广东省人民政府关于调整惠州市部分饮用水水源保护区的批复》（粤府函〔2019〕270号）以及《惠州市人民政府关于＜惠州市乡镇及以下集中式引用水水源保护区划定（调整）方案＞的批复》（惠府函〔202</w:t>
            </w:r>
            <w:r>
              <w:rPr>
                <w:rFonts w:hint="eastAsia" w:cs="Times New Roman"/>
                <w:b w:val="0"/>
                <w:bCs w:val="0"/>
                <w:color w:val="auto"/>
                <w:kern w:val="0"/>
                <w:sz w:val="21"/>
                <w:szCs w:val="21"/>
                <w:highlight w:val="none"/>
                <w:lang w:val="en-US" w:eastAsia="zh-CN"/>
              </w:rPr>
              <w:t>0</w:t>
            </w:r>
            <w:r>
              <w:rPr>
                <w:rFonts w:hint="eastAsia" w:ascii="Times New Roman" w:hAnsi="Times New Roman" w:eastAsia="宋体" w:cs="Times New Roman"/>
                <w:b w:val="0"/>
                <w:bCs w:val="0"/>
                <w:color w:val="auto"/>
                <w:kern w:val="0"/>
                <w:sz w:val="21"/>
                <w:szCs w:val="21"/>
                <w:highlight w:val="none"/>
                <w:lang w:val="en-US" w:eastAsia="zh-CN"/>
              </w:rPr>
              <w:t>〕317号），本项目所在地不属于饮用水源保护区。</w:t>
            </w:r>
          </w:p>
          <w:p w14:paraId="375EA870">
            <w:pPr>
              <w:pStyle w:val="33"/>
              <w:keepNext w:val="0"/>
              <w:keepLines w:val="0"/>
              <w:suppressLineNumbers w:val="0"/>
              <w:spacing w:before="0" w:beforeAutospacing="0" w:after="0" w:afterAutospacing="0" w:line="360" w:lineRule="auto"/>
              <w:ind w:left="0" w:leftChars="0" w:right="0" w:firstLine="420" w:firstLineChars="200"/>
              <w:jc w:val="left"/>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根据《关于印发&lt;广东省地表水环境功能区划&gt;的通知》（粤环〔20</w:t>
            </w:r>
            <w:r>
              <w:rPr>
                <w:rFonts w:hint="eastAsia" w:cs="Times New Roman"/>
                <w:b w:val="0"/>
                <w:bCs w:val="0"/>
                <w:color w:val="auto"/>
                <w:kern w:val="0"/>
                <w:sz w:val="21"/>
                <w:szCs w:val="21"/>
                <w:highlight w:val="none"/>
                <w:lang w:val="en-US" w:eastAsia="zh-CN"/>
              </w:rPr>
              <w:t>11</w:t>
            </w:r>
            <w:r>
              <w:rPr>
                <w:rFonts w:hint="eastAsia" w:ascii="Times New Roman" w:hAnsi="Times New Roman" w:eastAsia="宋体" w:cs="Times New Roman"/>
                <w:b w:val="0"/>
                <w:bCs w:val="0"/>
                <w:color w:val="auto"/>
                <w:kern w:val="0"/>
                <w:sz w:val="21"/>
                <w:szCs w:val="21"/>
                <w:highlight w:val="none"/>
                <w:lang w:val="en-US" w:eastAsia="zh-CN"/>
              </w:rPr>
              <w:t>〕14号）的规定，东江（自江西省界至东莞石龙）水域功能为饮工农航，水质目标为《地表水环境质量标准》（GB3838-2002）II类标准；另粤环函[2014]14号中未对新角排渠进行功能区划，根据《关于印发&lt;博罗县2024年水污染防治工作方案&gt;的通知》（博环攻坚办〔2024〕68号），新角排渠执行《地表水环境质量标准》</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GB3838-2002</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中V类标准。</w:t>
            </w:r>
          </w:p>
          <w:p w14:paraId="307E40F2">
            <w:pPr>
              <w:pStyle w:val="33"/>
              <w:keepNext w:val="0"/>
              <w:keepLines w:val="0"/>
              <w:suppressLineNumbers w:val="0"/>
              <w:spacing w:before="0" w:beforeAutospacing="0" w:after="0" w:afterAutospacing="0" w:line="360" w:lineRule="auto"/>
              <w:ind w:left="0" w:leftChars="0" w:right="0" w:firstLine="420" w:firstLineChars="200"/>
              <w:jc w:val="left"/>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根据《惠州市环境空气质量功能区划》（2024年修订）（惠市环〔202</w:t>
            </w:r>
            <w:r>
              <w:rPr>
                <w:rFonts w:hint="eastAsia" w:cs="Times New Roman"/>
                <w:b w:val="0"/>
                <w:bCs w:val="0"/>
                <w:color w:val="auto"/>
                <w:kern w:val="0"/>
                <w:sz w:val="21"/>
                <w:szCs w:val="21"/>
                <w:highlight w:val="none"/>
                <w:lang w:val="en-US" w:eastAsia="zh-CN"/>
              </w:rPr>
              <w:t>4</w:t>
            </w:r>
            <w:r>
              <w:rPr>
                <w:rFonts w:hint="eastAsia" w:ascii="Times New Roman" w:hAnsi="Times New Roman" w:eastAsia="宋体" w:cs="Times New Roman"/>
                <w:b w:val="0"/>
                <w:bCs w:val="0"/>
                <w:color w:val="auto"/>
                <w:kern w:val="0"/>
                <w:sz w:val="21"/>
                <w:szCs w:val="21"/>
                <w:highlight w:val="none"/>
                <w:lang w:val="en-US" w:eastAsia="zh-CN"/>
              </w:rPr>
              <w:t>〕16号），本项目所在区域空气环境功能区划为二类区，环境空气质量比较好；根据《惠州市生态环境局关于印发&lt;惠州市声环境功能区划分方案（2022年）&gt;的通知》（惠市环〔2022〕33号）中“博罗县中心城区声环境功能区示意图”（详见附图</w:t>
            </w:r>
            <w:r>
              <w:rPr>
                <w:rFonts w:hint="eastAsia" w:cs="Times New Roman"/>
                <w:b w:val="0"/>
                <w:bCs w:val="0"/>
                <w:color w:val="auto"/>
                <w:kern w:val="0"/>
                <w:sz w:val="21"/>
                <w:szCs w:val="21"/>
                <w:highlight w:val="none"/>
                <w:lang w:val="en-US" w:eastAsia="zh-CN"/>
              </w:rPr>
              <w:t>8</w:t>
            </w:r>
            <w:r>
              <w:rPr>
                <w:rFonts w:hint="eastAsia" w:ascii="Times New Roman" w:hAnsi="Times New Roman" w:eastAsia="宋体" w:cs="Times New Roman"/>
                <w:b w:val="0"/>
                <w:bCs w:val="0"/>
                <w:color w:val="auto"/>
                <w:kern w:val="0"/>
                <w:sz w:val="21"/>
                <w:szCs w:val="21"/>
                <w:highlight w:val="none"/>
                <w:lang w:val="en-US" w:eastAsia="zh-CN"/>
              </w:rPr>
              <w:t>），项目所在区域为声环境3类区，不属于声环境1类区</w:t>
            </w:r>
            <w:r>
              <w:rPr>
                <w:rFonts w:hint="eastAsia" w:cs="Times New Roman"/>
                <w:b w:val="0"/>
                <w:bCs w:val="0"/>
                <w:color w:val="auto"/>
                <w:kern w:val="0"/>
                <w:sz w:val="21"/>
                <w:szCs w:val="21"/>
                <w:highlight w:val="none"/>
                <w:lang w:val="en-US" w:eastAsia="zh-CN"/>
              </w:rPr>
              <w:t>。</w:t>
            </w:r>
          </w:p>
          <w:p w14:paraId="0330066B">
            <w:pPr>
              <w:pStyle w:val="33"/>
              <w:keepNext w:val="0"/>
              <w:keepLines w:val="0"/>
              <w:suppressLineNumbers w:val="0"/>
              <w:spacing w:before="0" w:beforeAutospacing="0" w:after="0" w:afterAutospacing="0" w:line="360" w:lineRule="auto"/>
              <w:ind w:left="0" w:leftChars="0" w:right="0" w:firstLine="420" w:firstLineChars="200"/>
              <w:jc w:val="left"/>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本项目周围无国家、省、市、区重点保护的文物、古迹、无名胜风景区、自然保护区等，没有占用基本农业用地和林地，符合惠州市城市建设和环境功能区规划的要求，且具有水、电等供应有保障，交通便利等条件。故本项目选址是合理的，选址符合环境功能区划的要求。</w:t>
            </w:r>
          </w:p>
          <w:p w14:paraId="7E1413A9">
            <w:pPr>
              <w:pStyle w:val="33"/>
              <w:keepNext w:val="0"/>
              <w:keepLines w:val="0"/>
              <w:suppressLineNumbers w:val="0"/>
              <w:spacing w:before="0" w:beforeAutospacing="0" w:after="0" w:afterAutospacing="0" w:line="360" w:lineRule="auto"/>
              <w:ind w:left="0" w:leftChars="0" w:right="0" w:firstLine="422" w:firstLineChars="200"/>
              <w:jc w:val="left"/>
              <w:rPr>
                <w:rFonts w:hint="eastAsia" w:ascii="Times New Roman" w:hAnsi="Times New Roman" w:eastAsia="宋体" w:cs="Times New Roman"/>
                <w:b/>
                <w:bCs/>
                <w:color w:val="auto"/>
                <w:kern w:val="0"/>
                <w:sz w:val="21"/>
                <w:szCs w:val="21"/>
                <w:highlight w:val="none"/>
                <w:lang w:val="en-US" w:eastAsia="zh-CN"/>
              </w:rPr>
            </w:pPr>
            <w:r>
              <w:rPr>
                <w:rFonts w:hint="eastAsia" w:ascii="Times New Roman" w:hAnsi="Times New Roman" w:eastAsia="宋体" w:cs="Times New Roman"/>
                <w:b/>
                <w:bCs/>
                <w:color w:val="auto"/>
                <w:kern w:val="0"/>
                <w:sz w:val="21"/>
                <w:szCs w:val="21"/>
                <w:highlight w:val="none"/>
                <w:lang w:val="en-US" w:eastAsia="zh-CN"/>
              </w:rPr>
              <w:t>5、与《关于严格限制东江流域水污染项目建设进一步做好东江水质保护工作的通知》</w:t>
            </w:r>
            <w:r>
              <w:rPr>
                <w:rFonts w:hint="eastAsia" w:cs="Times New Roman"/>
                <w:b/>
                <w:bCs/>
                <w:color w:val="auto"/>
                <w:kern w:val="0"/>
                <w:sz w:val="21"/>
                <w:szCs w:val="21"/>
                <w:highlight w:val="none"/>
                <w:lang w:val="en-US" w:eastAsia="zh-CN"/>
              </w:rPr>
              <w:t>（</w:t>
            </w:r>
            <w:r>
              <w:rPr>
                <w:rFonts w:hint="eastAsia" w:ascii="Times New Roman" w:hAnsi="Times New Roman" w:eastAsia="宋体" w:cs="Times New Roman"/>
                <w:b/>
                <w:bCs/>
                <w:color w:val="auto"/>
                <w:kern w:val="0"/>
                <w:sz w:val="21"/>
                <w:szCs w:val="21"/>
                <w:highlight w:val="none"/>
                <w:lang w:val="en-US" w:eastAsia="zh-CN"/>
              </w:rPr>
              <w:t>粤府函〔20</w:t>
            </w:r>
            <w:r>
              <w:rPr>
                <w:rFonts w:hint="eastAsia" w:cs="Times New Roman"/>
                <w:b/>
                <w:bCs/>
                <w:color w:val="auto"/>
                <w:kern w:val="0"/>
                <w:sz w:val="21"/>
                <w:szCs w:val="21"/>
                <w:highlight w:val="none"/>
                <w:lang w:val="en-US" w:eastAsia="zh-CN"/>
              </w:rPr>
              <w:t>11</w:t>
            </w:r>
            <w:r>
              <w:rPr>
                <w:rFonts w:hint="eastAsia" w:ascii="Times New Roman" w:hAnsi="Times New Roman" w:eastAsia="宋体" w:cs="Times New Roman"/>
                <w:b/>
                <w:bCs/>
                <w:color w:val="auto"/>
                <w:kern w:val="0"/>
                <w:sz w:val="21"/>
                <w:szCs w:val="21"/>
                <w:highlight w:val="none"/>
                <w:lang w:val="en-US" w:eastAsia="zh-CN"/>
              </w:rPr>
              <w:t>〕339号</w:t>
            </w:r>
            <w:r>
              <w:rPr>
                <w:rFonts w:hint="eastAsia" w:cs="Times New Roman"/>
                <w:b/>
                <w:bCs/>
                <w:color w:val="auto"/>
                <w:kern w:val="0"/>
                <w:sz w:val="21"/>
                <w:szCs w:val="21"/>
                <w:highlight w:val="none"/>
                <w:lang w:val="en-US" w:eastAsia="zh-CN"/>
              </w:rPr>
              <w:t>）</w:t>
            </w:r>
            <w:r>
              <w:rPr>
                <w:rFonts w:hint="eastAsia" w:ascii="Times New Roman" w:hAnsi="Times New Roman" w:eastAsia="宋体" w:cs="Times New Roman"/>
                <w:b/>
                <w:bCs/>
                <w:color w:val="auto"/>
                <w:kern w:val="0"/>
                <w:sz w:val="21"/>
                <w:szCs w:val="21"/>
                <w:highlight w:val="none"/>
                <w:lang w:val="en-US" w:eastAsia="zh-CN"/>
              </w:rPr>
              <w:t>及《广东省人民政府关于严格限制东江流域水污染项目建设进一步做好东江水质保护工作的补充通知》</w:t>
            </w:r>
            <w:r>
              <w:rPr>
                <w:rFonts w:hint="eastAsia" w:cs="Times New Roman"/>
                <w:b/>
                <w:bCs/>
                <w:color w:val="auto"/>
                <w:kern w:val="0"/>
                <w:sz w:val="21"/>
                <w:szCs w:val="21"/>
                <w:highlight w:val="none"/>
                <w:lang w:val="en-US" w:eastAsia="zh-CN"/>
              </w:rPr>
              <w:t>（</w:t>
            </w:r>
            <w:r>
              <w:rPr>
                <w:rFonts w:hint="eastAsia" w:ascii="Times New Roman" w:hAnsi="Times New Roman" w:eastAsia="宋体" w:cs="Times New Roman"/>
                <w:b/>
                <w:bCs/>
                <w:color w:val="auto"/>
                <w:kern w:val="0"/>
                <w:sz w:val="21"/>
                <w:szCs w:val="21"/>
                <w:highlight w:val="none"/>
                <w:lang w:val="en-US" w:eastAsia="zh-CN"/>
              </w:rPr>
              <w:t>粤府函〔20</w:t>
            </w:r>
            <w:r>
              <w:rPr>
                <w:rFonts w:hint="eastAsia" w:cs="Times New Roman"/>
                <w:b/>
                <w:bCs/>
                <w:color w:val="auto"/>
                <w:kern w:val="0"/>
                <w:sz w:val="21"/>
                <w:szCs w:val="21"/>
                <w:highlight w:val="none"/>
                <w:lang w:val="en-US" w:eastAsia="zh-CN"/>
              </w:rPr>
              <w:t>13</w:t>
            </w:r>
            <w:r>
              <w:rPr>
                <w:rFonts w:hint="eastAsia" w:ascii="Times New Roman" w:hAnsi="Times New Roman" w:eastAsia="宋体" w:cs="Times New Roman"/>
                <w:b/>
                <w:bCs/>
                <w:color w:val="auto"/>
                <w:kern w:val="0"/>
                <w:sz w:val="21"/>
                <w:szCs w:val="21"/>
                <w:highlight w:val="none"/>
                <w:lang w:val="en-US" w:eastAsia="zh-CN"/>
              </w:rPr>
              <w:t>〕231号</w:t>
            </w:r>
            <w:r>
              <w:rPr>
                <w:rFonts w:hint="eastAsia" w:cs="Times New Roman"/>
                <w:b/>
                <w:bCs/>
                <w:color w:val="auto"/>
                <w:kern w:val="0"/>
                <w:sz w:val="21"/>
                <w:szCs w:val="21"/>
                <w:highlight w:val="none"/>
                <w:lang w:val="en-US" w:eastAsia="zh-CN"/>
              </w:rPr>
              <w:t>）</w:t>
            </w:r>
            <w:r>
              <w:rPr>
                <w:rFonts w:hint="eastAsia" w:ascii="Times New Roman" w:hAnsi="Times New Roman" w:eastAsia="宋体" w:cs="Times New Roman"/>
                <w:b/>
                <w:bCs/>
                <w:color w:val="auto"/>
                <w:kern w:val="0"/>
                <w:sz w:val="21"/>
                <w:szCs w:val="21"/>
                <w:highlight w:val="none"/>
                <w:lang w:val="en-US" w:eastAsia="zh-CN"/>
              </w:rPr>
              <w:t>的相关规定的相符性分析</w:t>
            </w:r>
          </w:p>
          <w:p w14:paraId="4B3A6D1B">
            <w:pPr>
              <w:pStyle w:val="33"/>
              <w:keepNext w:val="0"/>
              <w:keepLines w:val="0"/>
              <w:suppressLineNumbers w:val="0"/>
              <w:spacing w:before="0" w:beforeAutospacing="0" w:after="0" w:afterAutospacing="0" w:line="360" w:lineRule="auto"/>
              <w:ind w:left="0" w:leftChars="0" w:right="0" w:firstLine="420" w:firstLineChars="200"/>
              <w:jc w:val="left"/>
              <w:rPr>
                <w:rFonts w:hint="eastAsia" w:ascii="Times New Roman" w:hAnsi="Times New Roman" w:eastAsia="宋体" w:cs="Times New Roman"/>
                <w:b w:val="0"/>
                <w:bCs w:val="0"/>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一</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根据《关于限制东江流域水污染项目建设进一步做好东江水质保护工作的通知》</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粤府函〔20</w:t>
            </w:r>
            <w:r>
              <w:rPr>
                <w:rFonts w:hint="eastAsia" w:cs="Times New Roman"/>
                <w:b w:val="0"/>
                <w:bCs w:val="0"/>
                <w:color w:val="auto"/>
                <w:kern w:val="0"/>
                <w:sz w:val="21"/>
                <w:szCs w:val="21"/>
                <w:highlight w:val="none"/>
                <w:lang w:val="en-US" w:eastAsia="zh-CN"/>
              </w:rPr>
              <w:t>11</w:t>
            </w:r>
            <w:r>
              <w:rPr>
                <w:rFonts w:hint="eastAsia" w:ascii="Times New Roman" w:hAnsi="Times New Roman" w:eastAsia="宋体" w:cs="Times New Roman"/>
                <w:b w:val="0"/>
                <w:bCs w:val="0"/>
                <w:color w:val="auto"/>
                <w:kern w:val="0"/>
                <w:sz w:val="21"/>
                <w:szCs w:val="21"/>
                <w:highlight w:val="none"/>
                <w:lang w:val="en-US" w:eastAsia="zh-CN"/>
              </w:rPr>
              <w:t>〕339号</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，严格控制支流污染增量在淡水河</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含龙岗河、坪山河等支流</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、石马河</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含观澜河、潼湖水等支流</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、紧水河、稿树下水、马嘶河</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龙溪水</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等支流和东江惠州博罗段江东、榕溪沥</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罗阳</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、廖洞、合竹洲、永平等5个直接排往东江的排水渠流域内，禁止建设制浆造纸、电镀</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含配套电镀和线路板</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14:paraId="5A909259">
            <w:pPr>
              <w:pStyle w:val="33"/>
              <w:keepNext w:val="0"/>
              <w:keepLines w:val="0"/>
              <w:suppressLineNumbers w:val="0"/>
              <w:spacing w:before="0" w:beforeAutospacing="0" w:after="0" w:afterAutospacing="0" w:line="360" w:lineRule="auto"/>
              <w:ind w:left="0" w:leftChars="0" w:right="0" w:firstLine="420" w:firstLineChars="200"/>
              <w:jc w:val="left"/>
              <w:rPr>
                <w:rFonts w:hint="eastAsia" w:ascii="Times New Roman" w:hAnsi="Times New Roman" w:eastAsia="宋体" w:cs="Times New Roman"/>
                <w:b w:val="0"/>
                <w:bCs w:val="0"/>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二</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《广东省人民政府关于严格限制东江流域水污染项目建设进一步做好东江水质保护工作的补充通知》(粤府函〔20</w:t>
            </w:r>
            <w:r>
              <w:rPr>
                <w:rFonts w:hint="eastAsia" w:cs="Times New Roman"/>
                <w:b w:val="0"/>
                <w:bCs w:val="0"/>
                <w:color w:val="auto"/>
                <w:kern w:val="0"/>
                <w:sz w:val="21"/>
                <w:szCs w:val="21"/>
                <w:highlight w:val="none"/>
                <w:lang w:val="en-US" w:eastAsia="zh-CN"/>
              </w:rPr>
              <w:t>13</w:t>
            </w:r>
            <w:r>
              <w:rPr>
                <w:rFonts w:hint="eastAsia" w:ascii="Times New Roman" w:hAnsi="Times New Roman" w:eastAsia="宋体" w:cs="Times New Roman"/>
                <w:b w:val="0"/>
                <w:bCs w:val="0"/>
                <w:color w:val="auto"/>
                <w:kern w:val="0"/>
                <w:sz w:val="21"/>
                <w:szCs w:val="21"/>
                <w:highlight w:val="none"/>
                <w:lang w:val="en-US" w:eastAsia="zh-CN"/>
              </w:rPr>
              <w:t>〕231号)</w:t>
            </w:r>
            <w:r>
              <w:rPr>
                <w:rFonts w:hint="eastAsia" w:cs="Times New Roman"/>
                <w:b w:val="0"/>
                <w:bCs w:val="0"/>
                <w:color w:val="auto"/>
                <w:kern w:val="0"/>
                <w:sz w:val="21"/>
                <w:szCs w:val="21"/>
                <w:highlight w:val="none"/>
                <w:lang w:val="en-US" w:eastAsia="zh-CN"/>
              </w:rPr>
              <w:t>：</w:t>
            </w:r>
          </w:p>
          <w:p w14:paraId="794F5E9E">
            <w:pPr>
              <w:pStyle w:val="33"/>
              <w:keepNext w:val="0"/>
              <w:keepLines w:val="0"/>
              <w:suppressLineNumbers w:val="0"/>
              <w:spacing w:before="0" w:beforeAutospacing="0" w:after="0" w:afterAutospacing="0" w:line="360" w:lineRule="auto"/>
              <w:ind w:left="0" w:leftChars="0" w:right="0" w:firstLine="420" w:firstLineChars="200"/>
              <w:jc w:val="left"/>
              <w:rPr>
                <w:rFonts w:hint="eastAsia" w:ascii="Times New Roman" w:hAnsi="Times New Roman" w:eastAsia="宋体" w:cs="Times New Roman"/>
                <w:b w:val="0"/>
                <w:bCs w:val="0"/>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1</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增加东江一级支流沙河为流域严格控制污染项目建设的支流</w:t>
            </w:r>
            <w:r>
              <w:rPr>
                <w:rFonts w:hint="eastAsia" w:cs="Times New Roman"/>
                <w:b w:val="0"/>
                <w:bCs w:val="0"/>
                <w:color w:val="auto"/>
                <w:kern w:val="0"/>
                <w:sz w:val="21"/>
                <w:szCs w:val="21"/>
                <w:highlight w:val="none"/>
                <w:lang w:val="en-US" w:eastAsia="zh-CN"/>
              </w:rPr>
              <w:t>；</w:t>
            </w:r>
          </w:p>
          <w:p w14:paraId="04CB2290">
            <w:pPr>
              <w:pStyle w:val="33"/>
              <w:keepNext w:val="0"/>
              <w:keepLines w:val="0"/>
              <w:suppressLineNumbers w:val="0"/>
              <w:spacing w:before="0" w:beforeAutospacing="0" w:after="0" w:afterAutospacing="0" w:line="360" w:lineRule="auto"/>
              <w:ind w:left="0" w:leftChars="0" w:right="0" w:firstLine="420" w:firstLineChars="200"/>
              <w:jc w:val="left"/>
              <w:rPr>
                <w:rFonts w:hint="eastAsia" w:ascii="Times New Roman" w:hAnsi="Times New Roman" w:eastAsia="宋体" w:cs="Times New Roman"/>
                <w:b w:val="0"/>
                <w:bCs w:val="0"/>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（2）</w:t>
            </w:r>
            <w:r>
              <w:rPr>
                <w:rFonts w:hint="eastAsia" w:ascii="Times New Roman" w:hAnsi="Times New Roman" w:eastAsia="宋体" w:cs="Times New Roman"/>
                <w:b w:val="0"/>
                <w:bCs w:val="0"/>
                <w:color w:val="auto"/>
                <w:kern w:val="0"/>
                <w:sz w:val="21"/>
                <w:szCs w:val="21"/>
                <w:highlight w:val="none"/>
                <w:lang w:val="en-US" w:eastAsia="zh-CN"/>
              </w:rPr>
              <w:t>符合下列条件之一的建设项目，不列入禁止建设和暂停审批范围</w:t>
            </w:r>
            <w:r>
              <w:rPr>
                <w:rFonts w:hint="eastAsia" w:cs="Times New Roman"/>
                <w:b w:val="0"/>
                <w:bCs w:val="0"/>
                <w:color w:val="auto"/>
                <w:kern w:val="0"/>
                <w:sz w:val="21"/>
                <w:szCs w:val="21"/>
                <w:highlight w:val="none"/>
                <w:lang w:val="en-US" w:eastAsia="zh-CN"/>
              </w:rPr>
              <w:t>；</w:t>
            </w:r>
          </w:p>
          <w:p w14:paraId="438FC722">
            <w:pPr>
              <w:pStyle w:val="33"/>
              <w:keepNext w:val="0"/>
              <w:keepLines w:val="0"/>
              <w:suppressLineNumbers w:val="0"/>
              <w:spacing w:before="0" w:beforeAutospacing="0" w:after="0" w:afterAutospacing="0" w:line="360" w:lineRule="auto"/>
              <w:ind w:left="0" w:leftChars="0" w:right="0" w:firstLine="420" w:firstLineChars="200"/>
              <w:jc w:val="left"/>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①建设地点位于东江流域，但不排放废水或废水不排入东江及其支流，不会对东江水质和水环境安全构成影响的项目</w:t>
            </w:r>
            <w:r>
              <w:rPr>
                <w:rFonts w:hint="eastAsia" w:cs="Times New Roman"/>
                <w:b w:val="0"/>
                <w:bCs w:val="0"/>
                <w:color w:val="auto"/>
                <w:kern w:val="0"/>
                <w:sz w:val="21"/>
                <w:szCs w:val="21"/>
                <w:highlight w:val="none"/>
                <w:lang w:val="en-US" w:eastAsia="zh-CN"/>
              </w:rPr>
              <w:t>；</w:t>
            </w:r>
          </w:p>
          <w:p w14:paraId="570989FE">
            <w:pPr>
              <w:pStyle w:val="33"/>
              <w:keepNext w:val="0"/>
              <w:keepLines w:val="0"/>
              <w:suppressLineNumbers w:val="0"/>
              <w:spacing w:before="0" w:beforeAutospacing="0" w:after="0" w:afterAutospacing="0" w:line="360" w:lineRule="auto"/>
              <w:ind w:left="0" w:leftChars="0" w:right="0" w:firstLine="420" w:firstLineChars="200"/>
              <w:jc w:val="left"/>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②通过提高清洁生产和污染防治水平，能够做到增产不憎污、增产减污、技改减污的改(扩)建项目及同流域内迁建减污项目</w:t>
            </w:r>
            <w:r>
              <w:rPr>
                <w:rFonts w:hint="eastAsia" w:cs="Times New Roman"/>
                <w:b w:val="0"/>
                <w:bCs w:val="0"/>
                <w:color w:val="auto"/>
                <w:kern w:val="0"/>
                <w:sz w:val="21"/>
                <w:szCs w:val="21"/>
                <w:highlight w:val="none"/>
                <w:lang w:val="en-US" w:eastAsia="zh-CN"/>
              </w:rPr>
              <w:t>；</w:t>
            </w:r>
          </w:p>
          <w:p w14:paraId="0B9B75D6">
            <w:pPr>
              <w:pStyle w:val="33"/>
              <w:keepNext w:val="0"/>
              <w:keepLines w:val="0"/>
              <w:suppressLineNumbers w:val="0"/>
              <w:spacing w:before="0" w:beforeAutospacing="0" w:after="0" w:afterAutospacing="0" w:line="360" w:lineRule="auto"/>
              <w:ind w:left="0" w:leftChars="0" w:right="0" w:firstLine="420" w:firstLineChars="200"/>
              <w:jc w:val="left"/>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③流域内拟迁入重污染行业统一规划、统一定点基地，且符合基地规划环评审查意见的建设项目。</w:t>
            </w:r>
          </w:p>
          <w:p w14:paraId="749C0EF9">
            <w:pPr>
              <w:pStyle w:val="3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20" w:firstLineChars="200"/>
              <w:jc w:val="left"/>
              <w:textAlignment w:val="auto"/>
              <w:rPr>
                <w:rFonts w:hint="eastAsia" w:ascii="Times New Roman" w:hAnsi="Times New Roman" w:eastAsia="宋体" w:cs="Times New Roman"/>
                <w:b w:val="0"/>
                <w:bCs w:val="0"/>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二</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对《通知》附件-东江流域包含的主要行政区域I作适当调整</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惠州市的适用区域调整为除大亚湾经济技术开发区和惠阳沿海区域、惠东沿海区域</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稔山镇、吉隆镇、铁涌镇、平海镇、巽寮办事处</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之外废水排入东江及其支流的全部范围。</w:t>
            </w:r>
          </w:p>
          <w:p w14:paraId="2257A466">
            <w:pPr>
              <w:pStyle w:val="3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22" w:firstLineChars="200"/>
              <w:jc w:val="left"/>
              <w:textAlignment w:val="auto"/>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bCs/>
                <w:color w:val="auto"/>
                <w:kern w:val="0"/>
                <w:sz w:val="21"/>
                <w:szCs w:val="21"/>
                <w:highlight w:val="none"/>
                <w:lang w:val="en-US" w:eastAsia="zh-CN"/>
              </w:rPr>
              <w:t>相符性分析</w:t>
            </w:r>
            <w:r>
              <w:rPr>
                <w:rFonts w:hint="eastAsia" w:cs="Times New Roman"/>
                <w:b/>
                <w:bCs/>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本项目</w:t>
            </w:r>
            <w:r>
              <w:rPr>
                <w:rFonts w:hint="eastAsia" w:cs="Times New Roman"/>
                <w:b w:val="0"/>
                <w:bCs w:val="0"/>
                <w:color w:val="auto"/>
                <w:kern w:val="0"/>
                <w:sz w:val="21"/>
                <w:szCs w:val="21"/>
                <w:highlight w:val="none"/>
                <w:lang w:val="en-US" w:eastAsia="zh-CN"/>
              </w:rPr>
              <w:t>为</w:t>
            </w:r>
            <w:r>
              <w:rPr>
                <w:rFonts w:hint="eastAsia" w:ascii="Times New Roman" w:hAnsi="Times New Roman" w:eastAsia="宋体" w:cs="Times New Roman"/>
                <w:b w:val="0"/>
                <w:bCs w:val="0"/>
                <w:color w:val="auto"/>
                <w:kern w:val="0"/>
                <w:sz w:val="21"/>
                <w:szCs w:val="21"/>
                <w:highlight w:val="none"/>
                <w:lang w:val="en-US" w:eastAsia="zh-CN"/>
              </w:rPr>
              <w:t>C2929塑料零件及其他塑料制品制造、C2231纸和纸板容器制造，不涉及酸洗、磷化、陶化、电镀等表面处理工序，不属于上述禁止及暂停审批的行业和项目类型。本项目实行雨污分流。项目清洗废水</w:t>
            </w:r>
            <w:r>
              <w:rPr>
                <w:rFonts w:hint="eastAsia" w:cs="Times New Roman"/>
                <w:b w:val="0"/>
                <w:bCs w:val="0"/>
                <w:color w:val="auto"/>
                <w:kern w:val="0"/>
                <w:sz w:val="21"/>
                <w:szCs w:val="21"/>
                <w:highlight w:val="none"/>
                <w:lang w:val="en-US" w:eastAsia="zh-CN"/>
              </w:rPr>
              <w:t>和冷却废水</w:t>
            </w:r>
            <w:r>
              <w:rPr>
                <w:rFonts w:hint="eastAsia" w:ascii="Times New Roman" w:hAnsi="Times New Roman" w:eastAsia="宋体" w:cs="Times New Roman"/>
                <w:b w:val="0"/>
                <w:bCs w:val="0"/>
                <w:color w:val="auto"/>
                <w:kern w:val="0"/>
                <w:sz w:val="21"/>
                <w:szCs w:val="21"/>
                <w:highlight w:val="none"/>
                <w:lang w:val="en-US" w:eastAsia="zh-CN"/>
              </w:rPr>
              <w:t>经收集后交由有危险废物处理资质公司回收处理，不外排；生活污水经三级化粪池预处理后排入市政污水管网纳入博罗县城污水处理厂。</w:t>
            </w:r>
          </w:p>
          <w:p w14:paraId="0BF36043">
            <w:pPr>
              <w:pStyle w:val="3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20" w:firstLineChars="200"/>
              <w:jc w:val="left"/>
              <w:textAlignment w:val="auto"/>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因此，本项目污水的排放符合《关于严格限制东江流域水污染项目建设进一步做好东江水质保护工作的通知》</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粤府〔20</w:t>
            </w:r>
            <w:r>
              <w:rPr>
                <w:rFonts w:hint="eastAsia" w:cs="Times New Roman"/>
                <w:b w:val="0"/>
                <w:bCs w:val="0"/>
                <w:color w:val="auto"/>
                <w:kern w:val="0"/>
                <w:sz w:val="21"/>
                <w:szCs w:val="21"/>
                <w:highlight w:val="none"/>
                <w:lang w:val="en-US" w:eastAsia="zh-CN"/>
              </w:rPr>
              <w:t>11</w:t>
            </w:r>
            <w:r>
              <w:rPr>
                <w:rFonts w:hint="eastAsia" w:ascii="Times New Roman" w:hAnsi="Times New Roman" w:eastAsia="宋体" w:cs="Times New Roman"/>
                <w:b w:val="0"/>
                <w:bCs w:val="0"/>
                <w:color w:val="auto"/>
                <w:kern w:val="0"/>
                <w:sz w:val="21"/>
                <w:szCs w:val="21"/>
                <w:highlight w:val="none"/>
                <w:lang w:val="en-US" w:eastAsia="zh-CN"/>
              </w:rPr>
              <w:t>〕339号</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及补充文件的相关规定。</w:t>
            </w:r>
          </w:p>
          <w:p w14:paraId="5A5F0059">
            <w:pPr>
              <w:pStyle w:val="33"/>
              <w:keepNext w:val="0"/>
              <w:keepLines w:val="0"/>
              <w:suppressLineNumbers w:val="0"/>
              <w:spacing w:before="0" w:beforeAutospacing="0" w:after="0" w:afterAutospacing="0" w:line="360" w:lineRule="auto"/>
              <w:ind w:left="0" w:leftChars="0" w:right="0" w:firstLine="422" w:firstLineChars="200"/>
              <w:jc w:val="left"/>
              <w:rPr>
                <w:rFonts w:hint="eastAsia" w:ascii="Times New Roman" w:hAnsi="Times New Roman" w:eastAsia="宋体" w:cs="Times New Roman"/>
                <w:b/>
                <w:bCs/>
                <w:color w:val="auto"/>
                <w:kern w:val="0"/>
                <w:sz w:val="21"/>
                <w:szCs w:val="21"/>
                <w:highlight w:val="none"/>
                <w:lang w:val="en-US" w:eastAsia="zh-CN"/>
              </w:rPr>
            </w:pPr>
            <w:r>
              <w:rPr>
                <w:rFonts w:hint="eastAsia" w:ascii="Times New Roman" w:hAnsi="Times New Roman" w:eastAsia="宋体" w:cs="Times New Roman"/>
                <w:b/>
                <w:bCs/>
                <w:color w:val="auto"/>
                <w:kern w:val="0"/>
                <w:sz w:val="21"/>
                <w:szCs w:val="21"/>
                <w:highlight w:val="none"/>
                <w:lang w:val="en-US" w:eastAsia="zh-CN"/>
              </w:rPr>
              <w:t>6、与《广东省水污染防治条例》</w:t>
            </w:r>
            <w:r>
              <w:rPr>
                <w:rFonts w:hint="eastAsia" w:cs="Times New Roman"/>
                <w:b/>
                <w:bCs/>
                <w:color w:val="auto"/>
                <w:kern w:val="0"/>
                <w:sz w:val="21"/>
                <w:szCs w:val="21"/>
                <w:highlight w:val="none"/>
                <w:lang w:val="en-US" w:eastAsia="zh-CN"/>
              </w:rPr>
              <w:t>（</w:t>
            </w:r>
            <w:r>
              <w:rPr>
                <w:rFonts w:hint="eastAsia" w:ascii="Times New Roman" w:hAnsi="Times New Roman" w:eastAsia="宋体" w:cs="Times New Roman"/>
                <w:b/>
                <w:bCs/>
                <w:color w:val="auto"/>
                <w:kern w:val="0"/>
                <w:sz w:val="21"/>
                <w:szCs w:val="21"/>
                <w:highlight w:val="none"/>
                <w:lang w:val="en-US" w:eastAsia="zh-CN"/>
              </w:rPr>
              <w:t>2021年1月1日起施行</w:t>
            </w:r>
            <w:r>
              <w:rPr>
                <w:rFonts w:hint="eastAsia" w:cs="Times New Roman"/>
                <w:b/>
                <w:bCs/>
                <w:color w:val="auto"/>
                <w:kern w:val="0"/>
                <w:sz w:val="21"/>
                <w:szCs w:val="21"/>
                <w:highlight w:val="none"/>
                <w:lang w:val="en-US" w:eastAsia="zh-CN"/>
              </w:rPr>
              <w:t>）</w:t>
            </w:r>
            <w:r>
              <w:rPr>
                <w:rFonts w:hint="eastAsia" w:ascii="Times New Roman" w:hAnsi="Times New Roman" w:eastAsia="宋体" w:cs="Times New Roman"/>
                <w:b/>
                <w:bCs/>
                <w:color w:val="auto"/>
                <w:kern w:val="0"/>
                <w:sz w:val="21"/>
                <w:szCs w:val="21"/>
                <w:highlight w:val="none"/>
                <w:lang w:val="en-US" w:eastAsia="zh-CN"/>
              </w:rPr>
              <w:t>的相符性分析</w:t>
            </w:r>
          </w:p>
          <w:p w14:paraId="3B355F36">
            <w:pPr>
              <w:pStyle w:val="3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20" w:firstLineChars="200"/>
              <w:jc w:val="left"/>
              <w:textAlignment w:val="auto"/>
              <w:rPr>
                <w:rFonts w:hint="eastAsia" w:ascii="Times New Roman" w:hAnsi="Times New Roman" w:eastAsia="宋体" w:cs="Times New Roman"/>
                <w:b w:val="0"/>
                <w:bCs w:val="0"/>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第十七条</w:t>
            </w:r>
            <w:r>
              <w:rPr>
                <w:rFonts w:hint="eastAsia" w:cs="Times New Roman"/>
                <w:b w:val="0"/>
                <w:bCs w:val="0"/>
                <w:color w:val="auto"/>
                <w:kern w:val="0"/>
                <w:sz w:val="21"/>
                <w:szCs w:val="21"/>
                <w:highlight w:val="none"/>
                <w:lang w:val="en-US" w:eastAsia="zh-CN"/>
              </w:rPr>
              <w:t xml:space="preserve"> </w:t>
            </w:r>
            <w:r>
              <w:rPr>
                <w:rFonts w:hint="eastAsia" w:ascii="Times New Roman" w:hAnsi="Times New Roman" w:eastAsia="宋体" w:cs="Times New Roman"/>
                <w:b w:val="0"/>
                <w:bCs w:val="0"/>
                <w:color w:val="auto"/>
                <w:kern w:val="0"/>
                <w:sz w:val="21"/>
                <w:szCs w:val="21"/>
                <w:highlight w:val="none"/>
                <w:lang w:val="en-US" w:eastAsia="zh-CN"/>
              </w:rPr>
              <w:t>新建、改建、扩建直接或者间接向水体排放污染物的建设项目和其他水上设施，应当符合生态环境准入清单要求，并依法进行环境影响评价。</w:t>
            </w:r>
          </w:p>
          <w:p w14:paraId="3A856D91">
            <w:pPr>
              <w:pStyle w:val="3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20" w:firstLineChars="200"/>
              <w:jc w:val="left"/>
              <w:textAlignment w:val="auto"/>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第二十二条</w:t>
            </w:r>
            <w:r>
              <w:rPr>
                <w:rFonts w:hint="eastAsia" w:cs="Times New Roman"/>
                <w:b w:val="0"/>
                <w:bCs w:val="0"/>
                <w:color w:val="auto"/>
                <w:kern w:val="0"/>
                <w:sz w:val="21"/>
                <w:szCs w:val="21"/>
                <w:highlight w:val="none"/>
                <w:lang w:val="en-US" w:eastAsia="zh-CN"/>
              </w:rPr>
              <w:t xml:space="preserve"> </w:t>
            </w:r>
            <w:r>
              <w:rPr>
                <w:rFonts w:hint="eastAsia" w:ascii="Times New Roman" w:hAnsi="Times New Roman" w:eastAsia="宋体" w:cs="Times New Roman"/>
                <w:b w:val="0"/>
                <w:bCs w:val="0"/>
                <w:color w:val="auto"/>
                <w:kern w:val="0"/>
                <w:sz w:val="21"/>
                <w:szCs w:val="21"/>
                <w:highlight w:val="none"/>
                <w:lang w:val="en-US" w:eastAsia="zh-CN"/>
              </w:rPr>
              <w:t>排污单位应当按照经批准或者备案的环境影响评价文件要求建设水污染防治设施。水污染防治设施应当与主体工程同时设计、同时施工、同时投入使用。</w:t>
            </w:r>
          </w:p>
          <w:p w14:paraId="1D018449">
            <w:pPr>
              <w:pStyle w:val="3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20" w:firstLineChars="200"/>
              <w:jc w:val="left"/>
              <w:textAlignment w:val="auto"/>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排污单位应当保障水污染防治设施正常运行，不得擅自闲置或者拆除</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确需闲置、拆除的，应当提前十五日向所在地生态环境主管部门书面申请，经批准后方可闲置、拆除。不能正常运行的，排污单位应当按照有关规定立即停止排放污染物，经采取措施达到国家或者地方规定的排放标准后方可排放，并及时向所在地生态环境主管部门报告。鼓励排污单位委托第三方治理单位运营水污染防治设施。第三方治理单位按照有关法律、法规以及排污单位的委托要求，承担污染治理责任。排污单位应当对第三方治理单位的运营管理进行监督。</w:t>
            </w:r>
          </w:p>
          <w:p w14:paraId="29AFAA65">
            <w:pPr>
              <w:pStyle w:val="3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20" w:firstLineChars="200"/>
              <w:jc w:val="left"/>
              <w:textAlignment w:val="auto"/>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第二十八条</w:t>
            </w:r>
            <w:r>
              <w:rPr>
                <w:rFonts w:hint="eastAsia" w:cs="Times New Roman"/>
                <w:b w:val="0"/>
                <w:bCs w:val="0"/>
                <w:color w:val="auto"/>
                <w:kern w:val="0"/>
                <w:sz w:val="21"/>
                <w:szCs w:val="21"/>
                <w:highlight w:val="none"/>
                <w:lang w:val="en-US" w:eastAsia="zh-CN"/>
              </w:rPr>
              <w:t xml:space="preserve"> </w:t>
            </w:r>
            <w:r>
              <w:rPr>
                <w:rFonts w:hint="eastAsia" w:ascii="Times New Roman" w:hAnsi="Times New Roman" w:eastAsia="宋体" w:cs="Times New Roman"/>
                <w:b w:val="0"/>
                <w:bCs w:val="0"/>
                <w:color w:val="auto"/>
                <w:kern w:val="0"/>
                <w:sz w:val="21"/>
                <w:szCs w:val="21"/>
                <w:highlight w:val="none"/>
                <w:lang w:val="en-US" w:eastAsia="zh-CN"/>
              </w:rPr>
              <w:t>排放工业废水的企业应当采取有效措施，收集和处理产生的全部生产废水，防止污染水环境。未依法领取污水排入排水管网许可证的，不得直接向生活污水管网与处理系统排放工业废水。含有毒有害水污染物的工业废水应当分类收集和处理，不得稀释排放。</w:t>
            </w:r>
          </w:p>
          <w:p w14:paraId="4B3DFB3B">
            <w:pPr>
              <w:pStyle w:val="3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20" w:firstLineChars="200"/>
              <w:jc w:val="left"/>
              <w:textAlignment w:val="auto"/>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按照规定或者环境影响评价文件和审批意见的要求需要进行初期雨水收集的企业，应当对初期雨水进行收集处理，达标后方可排放。</w:t>
            </w:r>
          </w:p>
          <w:p w14:paraId="4C033E6E">
            <w:pPr>
              <w:pStyle w:val="3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20" w:firstLineChars="200"/>
              <w:jc w:val="left"/>
              <w:textAlignment w:val="auto"/>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经批准设立的工业集聚区应当按照规定建成污水集中处理设施并安装水污染物排放自动监测设备。未完成污水集中处理设施建设的，暂停审批和核准其增加水污染物排放的建设项目。</w:t>
            </w:r>
          </w:p>
          <w:p w14:paraId="4A3B56D7">
            <w:pPr>
              <w:pStyle w:val="3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20" w:firstLineChars="200"/>
              <w:jc w:val="left"/>
              <w:textAlignment w:val="auto"/>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向工业集聚区污水集中处理设施或者城镇污水集中处理设施排放工业废水的，应当按照有关规定进行预处理，达到集中处理设施处理工艺要求后方可以排放。</w:t>
            </w:r>
          </w:p>
          <w:p w14:paraId="1B00A1B8">
            <w:pPr>
              <w:pStyle w:val="3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20" w:firstLineChars="200"/>
              <w:jc w:val="left"/>
              <w:textAlignment w:val="auto"/>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第四十三条</w:t>
            </w:r>
            <w:r>
              <w:rPr>
                <w:rFonts w:hint="eastAsia" w:cs="Times New Roman"/>
                <w:b w:val="0"/>
                <w:bCs w:val="0"/>
                <w:color w:val="auto"/>
                <w:kern w:val="0"/>
                <w:sz w:val="21"/>
                <w:szCs w:val="21"/>
                <w:highlight w:val="none"/>
                <w:lang w:val="en-US" w:eastAsia="zh-CN"/>
              </w:rPr>
              <w:t xml:space="preserve"> </w:t>
            </w:r>
            <w:r>
              <w:rPr>
                <w:rFonts w:hint="eastAsia" w:ascii="Times New Roman" w:hAnsi="Times New Roman" w:eastAsia="宋体" w:cs="Times New Roman"/>
                <w:b w:val="0"/>
                <w:bCs w:val="0"/>
                <w:color w:val="auto"/>
                <w:kern w:val="0"/>
                <w:sz w:val="21"/>
                <w:szCs w:val="21"/>
                <w:highlight w:val="none"/>
                <w:lang w:val="en-US" w:eastAsia="zh-CN"/>
              </w:rPr>
              <w:t>在饮用水水源保护区内禁止下列行为</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一</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设置排污口</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二</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设置油类及其他有毒有害物品的储存罐、仓库、堆栈和废弃物回收场、加工场</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三</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排放、倾倒、堆放、处置剧毒物品、放射性物质以及油类、酸碱类物质、工业废渣、生活垃圾、医疗废物及其他废弃物</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四</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从事船舶制造、修理、拆解作业</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五</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利用码头等设施或者船舶装卸油类、垃圾、粪便、煤、有毒有害物品</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六</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利用船舶运输剧毒物品、危险废物以及国家规定禁止运输的其他危险化学品</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七</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运输剧毒物品的车辆通行</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八</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其他污染饮用水水源的行为。除前款规定外，饮用水水源一级保护区内还不得停泊与保护水源无关的船舶、木排、竹排，不得从事网箱养殖、旅游、游泳、垂钓、放养畜禽活动或者其他可能污染饮用水水体的活动。</w:t>
            </w:r>
          </w:p>
          <w:p w14:paraId="6E8B6659">
            <w:pPr>
              <w:pStyle w:val="3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20" w:firstLineChars="200"/>
              <w:jc w:val="left"/>
              <w:textAlignment w:val="auto"/>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第五十条</w:t>
            </w:r>
            <w:r>
              <w:rPr>
                <w:rFonts w:hint="eastAsia" w:cs="Times New Roman"/>
                <w:b w:val="0"/>
                <w:bCs w:val="0"/>
                <w:color w:val="auto"/>
                <w:kern w:val="0"/>
                <w:sz w:val="21"/>
                <w:szCs w:val="21"/>
                <w:highlight w:val="none"/>
                <w:lang w:val="en-US" w:eastAsia="zh-CN"/>
              </w:rPr>
              <w:t xml:space="preserve"> </w:t>
            </w:r>
            <w:r>
              <w:rPr>
                <w:rFonts w:hint="eastAsia" w:ascii="Times New Roman" w:hAnsi="Times New Roman" w:eastAsia="宋体" w:cs="Times New Roman"/>
                <w:b w:val="0"/>
                <w:bCs w:val="0"/>
                <w:color w:val="auto"/>
                <w:kern w:val="0"/>
                <w:sz w:val="21"/>
                <w:szCs w:val="21"/>
                <w:highlight w:val="none"/>
                <w:lang w:val="en-US" w:eastAsia="zh-CN"/>
              </w:rPr>
              <w:t>新建、改建、扩建的项目应当符合国家产业政策规定。在东江流域内，除国家产业政策规定的禁止项目外，还禁止新建农药、铬盐、钛白粉生产项目，禁止新建稀土分离、炼砒、炼铍、纸浆制造、氰化法提炼产品、开采和冶炼放射性矿产及其他严重污染水环境的项目</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严格控制新建造纸、制革、味精、电镀、漂染、印染、炼油、发酵酿造、非放射性矿产冶炼以及使用含汞、砷、镉、铬、铅为原料的项目。禁止在东江水系岸边和水上拆船。</w:t>
            </w:r>
            <w:r>
              <w:rPr>
                <w:rFonts w:hint="eastAsia" w:cs="Times New Roman"/>
                <w:b w:val="0"/>
                <w:bCs w:val="0"/>
                <w:color w:val="auto"/>
                <w:kern w:val="0"/>
                <w:sz w:val="21"/>
                <w:szCs w:val="21"/>
                <w:highlight w:val="none"/>
                <w:lang w:val="en-US" w:eastAsia="zh-CN"/>
              </w:rPr>
              <w:t>”</w:t>
            </w:r>
          </w:p>
          <w:p w14:paraId="044018BB">
            <w:pPr>
              <w:pStyle w:val="3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22" w:firstLineChars="200"/>
              <w:jc w:val="left"/>
              <w:textAlignment w:val="auto"/>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bCs/>
                <w:color w:val="auto"/>
                <w:kern w:val="0"/>
                <w:sz w:val="21"/>
                <w:szCs w:val="21"/>
                <w:highlight w:val="none"/>
                <w:lang w:val="en-US" w:eastAsia="zh-CN"/>
              </w:rPr>
              <w:t>相符性分析</w:t>
            </w:r>
            <w:r>
              <w:rPr>
                <w:rFonts w:hint="eastAsia" w:cs="Times New Roman"/>
                <w:b/>
                <w:bCs/>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本项目主要从事</w:t>
            </w:r>
            <w:r>
              <w:rPr>
                <w:rFonts w:hint="eastAsia" w:cs="Times New Roman"/>
                <w:b w:val="0"/>
                <w:bCs w:val="0"/>
                <w:color w:val="auto"/>
                <w:kern w:val="0"/>
                <w:sz w:val="21"/>
                <w:szCs w:val="21"/>
                <w:highlight w:val="none"/>
                <w:lang w:val="en-US" w:eastAsia="zh-CN"/>
              </w:rPr>
              <w:t>吸塑制品和包装</w:t>
            </w:r>
            <w:r>
              <w:rPr>
                <w:rFonts w:hint="eastAsia" w:ascii="Times New Roman" w:hAnsi="Times New Roman" w:eastAsia="宋体" w:cs="Times New Roman"/>
                <w:b w:val="0"/>
                <w:bCs w:val="0"/>
                <w:color w:val="auto"/>
                <w:kern w:val="0"/>
                <w:sz w:val="21"/>
                <w:szCs w:val="21"/>
                <w:highlight w:val="none"/>
                <w:lang w:val="en-US" w:eastAsia="zh-CN"/>
              </w:rPr>
              <w:t>纸箱的生产，属于C2929塑料零件及其他塑料制品制造、C2231纸和纸板容器制造，不属于新建农药、铬盐、钛白粉生产项目，不属于新建稀土分离、炼砒、炼铍、纸浆制造、氰化法提炼产品、开采和冶炼放射性矿产及其他严重污染水环境的项目</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不属于新建造纸、制革、味精、电镀、漂染、印染、炼油、发酵酿造、非放射性矿产冶炼以及使用含汞、砷、镉、铬、铅为原料的项目，不属于重金属排放项目。本项目产生的清洗废水</w:t>
            </w:r>
            <w:r>
              <w:rPr>
                <w:rFonts w:hint="eastAsia" w:cs="Times New Roman"/>
                <w:b w:val="0"/>
                <w:bCs w:val="0"/>
                <w:color w:val="auto"/>
                <w:kern w:val="0"/>
                <w:sz w:val="21"/>
                <w:szCs w:val="21"/>
                <w:highlight w:val="none"/>
                <w:lang w:val="en-US" w:eastAsia="zh-CN"/>
              </w:rPr>
              <w:t>和冷却废水</w:t>
            </w:r>
            <w:r>
              <w:rPr>
                <w:rFonts w:hint="eastAsia" w:ascii="Times New Roman" w:hAnsi="Times New Roman" w:eastAsia="宋体" w:cs="Times New Roman"/>
                <w:b w:val="0"/>
                <w:bCs w:val="0"/>
                <w:color w:val="auto"/>
                <w:kern w:val="0"/>
                <w:sz w:val="21"/>
                <w:szCs w:val="21"/>
                <w:highlight w:val="none"/>
                <w:lang w:val="en-US" w:eastAsia="zh-CN"/>
              </w:rPr>
              <w:t>经收集后交由有危险废物处理资质公司处置，不外排</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生活污水经三级化粪池预处理后经市政管网引至博罗县城污水处理厂</w:t>
            </w:r>
            <w:r>
              <w:rPr>
                <w:rFonts w:hint="eastAsia" w:cs="Times New Roman"/>
                <w:b w:val="0"/>
                <w:bCs w:val="0"/>
                <w:color w:val="auto"/>
                <w:kern w:val="0"/>
                <w:sz w:val="21"/>
                <w:szCs w:val="21"/>
                <w:highlight w:val="none"/>
                <w:lang w:val="en-US" w:eastAsia="zh-CN"/>
              </w:rPr>
              <w:t>处理</w:t>
            </w:r>
            <w:r>
              <w:rPr>
                <w:rFonts w:hint="eastAsia" w:ascii="Times New Roman" w:hAnsi="Times New Roman" w:eastAsia="宋体" w:cs="Times New Roman"/>
                <w:b w:val="0"/>
                <w:bCs w:val="0"/>
                <w:color w:val="auto"/>
                <w:kern w:val="0"/>
                <w:sz w:val="21"/>
                <w:szCs w:val="21"/>
                <w:highlight w:val="none"/>
                <w:lang w:val="en-US" w:eastAsia="zh-CN"/>
              </w:rPr>
              <w:t>。本项目不排放重金属</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因此，本项目建设符合文件要求。</w:t>
            </w:r>
          </w:p>
          <w:p w14:paraId="1453A614">
            <w:pPr>
              <w:pStyle w:val="33"/>
              <w:keepNext w:val="0"/>
              <w:keepLines w:val="0"/>
              <w:suppressLineNumbers w:val="0"/>
              <w:spacing w:before="0" w:beforeAutospacing="0" w:after="0" w:afterAutospacing="0" w:line="360" w:lineRule="auto"/>
              <w:ind w:left="0" w:leftChars="0" w:right="0" w:firstLine="422" w:firstLineChars="200"/>
              <w:jc w:val="left"/>
              <w:rPr>
                <w:rFonts w:hint="eastAsia" w:ascii="Times New Roman" w:hAnsi="Times New Roman" w:eastAsia="宋体" w:cs="Times New Roman"/>
                <w:b/>
                <w:bCs/>
                <w:color w:val="auto"/>
                <w:kern w:val="0"/>
                <w:sz w:val="21"/>
                <w:szCs w:val="21"/>
                <w:highlight w:val="none"/>
                <w:lang w:val="en-US" w:eastAsia="zh-CN"/>
              </w:rPr>
            </w:pPr>
            <w:r>
              <w:rPr>
                <w:rFonts w:hint="eastAsia" w:ascii="Times New Roman" w:hAnsi="Times New Roman" w:eastAsia="宋体" w:cs="Times New Roman"/>
                <w:b/>
                <w:bCs/>
                <w:color w:val="auto"/>
                <w:kern w:val="0"/>
                <w:sz w:val="21"/>
                <w:szCs w:val="21"/>
                <w:highlight w:val="none"/>
                <w:lang w:val="en-US" w:eastAsia="zh-CN"/>
              </w:rPr>
              <w:t>7、与《关于印发&lt;重点行业挥发性有机物综合治理方案&gt;的通知》</w:t>
            </w:r>
            <w:r>
              <w:rPr>
                <w:rFonts w:hint="eastAsia" w:cs="Times New Roman"/>
                <w:b/>
                <w:bCs/>
                <w:color w:val="auto"/>
                <w:kern w:val="0"/>
                <w:sz w:val="21"/>
                <w:szCs w:val="21"/>
                <w:highlight w:val="none"/>
                <w:lang w:val="en-US" w:eastAsia="zh-CN"/>
              </w:rPr>
              <w:t>（</w:t>
            </w:r>
            <w:r>
              <w:rPr>
                <w:rFonts w:hint="eastAsia" w:ascii="Times New Roman" w:hAnsi="Times New Roman" w:eastAsia="宋体" w:cs="Times New Roman"/>
                <w:b/>
                <w:bCs/>
                <w:color w:val="auto"/>
                <w:kern w:val="0"/>
                <w:sz w:val="21"/>
                <w:szCs w:val="21"/>
                <w:highlight w:val="none"/>
                <w:lang w:val="en-US" w:eastAsia="zh-CN"/>
              </w:rPr>
              <w:t>环大气〔20</w:t>
            </w:r>
            <w:r>
              <w:rPr>
                <w:rFonts w:hint="eastAsia" w:cs="Times New Roman"/>
                <w:b/>
                <w:bCs/>
                <w:color w:val="auto"/>
                <w:kern w:val="0"/>
                <w:sz w:val="21"/>
                <w:szCs w:val="21"/>
                <w:highlight w:val="none"/>
                <w:lang w:val="en-US" w:eastAsia="zh-CN"/>
              </w:rPr>
              <w:t>19</w:t>
            </w:r>
            <w:r>
              <w:rPr>
                <w:rFonts w:hint="eastAsia" w:ascii="Times New Roman" w:hAnsi="Times New Roman" w:eastAsia="宋体" w:cs="Times New Roman"/>
                <w:b/>
                <w:bCs/>
                <w:color w:val="auto"/>
                <w:kern w:val="0"/>
                <w:sz w:val="21"/>
                <w:szCs w:val="21"/>
                <w:highlight w:val="none"/>
                <w:lang w:val="en-US" w:eastAsia="zh-CN"/>
              </w:rPr>
              <w:t>〕53号</w:t>
            </w:r>
            <w:r>
              <w:rPr>
                <w:rFonts w:hint="eastAsia" w:cs="Times New Roman"/>
                <w:b/>
                <w:bCs/>
                <w:color w:val="auto"/>
                <w:kern w:val="0"/>
                <w:sz w:val="21"/>
                <w:szCs w:val="21"/>
                <w:highlight w:val="none"/>
                <w:lang w:val="en-US" w:eastAsia="zh-CN"/>
              </w:rPr>
              <w:t>）</w:t>
            </w:r>
            <w:r>
              <w:rPr>
                <w:rFonts w:hint="eastAsia" w:ascii="Times New Roman" w:hAnsi="Times New Roman" w:eastAsia="宋体" w:cs="Times New Roman"/>
                <w:b/>
                <w:bCs/>
                <w:color w:val="auto"/>
                <w:kern w:val="0"/>
                <w:sz w:val="21"/>
                <w:szCs w:val="21"/>
                <w:highlight w:val="none"/>
                <w:lang w:val="en-US" w:eastAsia="zh-CN"/>
              </w:rPr>
              <w:t>的相符性分析</w:t>
            </w:r>
          </w:p>
          <w:p w14:paraId="33FD9D44">
            <w:pPr>
              <w:pStyle w:val="33"/>
              <w:keepNext w:val="0"/>
              <w:keepLines w:val="0"/>
              <w:suppressLineNumbers w:val="0"/>
              <w:spacing w:before="0" w:beforeAutospacing="0" w:after="0" w:afterAutospacing="0" w:line="360" w:lineRule="auto"/>
              <w:ind w:left="0" w:leftChars="0" w:right="0" w:firstLine="420" w:firstLineChars="200"/>
              <w:jc w:val="left"/>
              <w:rPr>
                <w:rFonts w:hint="eastAsia" w:ascii="Times New Roman" w:hAnsi="Times New Roman" w:eastAsia="宋体" w:cs="Times New Roman"/>
                <w:b w:val="0"/>
                <w:bCs w:val="0"/>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一</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大力推进源头替代。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工业涂装、包装印刷等行业要加大源头替代力度:化工行业要推广使用低</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无</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VOCs含量、低反应活性的原辅材料，加快对芳香烃、含卤素有机化合物的绿色替代。企业应大力推广使用低VOCs含量木器涂料、车辆涂料、机械设备涂料、集装箱涂料以及建筑物和构筑物防护涂料等，在技术成熟的行业，推广使用低VOCs含量油墨和胶粘剂，重点区域到2020年年底前基本完成。鼓励加快低VOCs含量涂料、油墨、胶粘剂等研发和生产。</w:t>
            </w:r>
          </w:p>
          <w:p w14:paraId="61040D89">
            <w:pPr>
              <w:pStyle w:val="33"/>
              <w:keepNext w:val="0"/>
              <w:keepLines w:val="0"/>
              <w:suppressLineNumbers w:val="0"/>
              <w:spacing w:before="0" w:beforeAutospacing="0" w:after="0" w:afterAutospacing="0" w:line="360" w:lineRule="auto"/>
              <w:ind w:left="0" w:leftChars="0" w:right="0" w:firstLine="420" w:firstLineChars="200"/>
              <w:jc w:val="left"/>
              <w:rPr>
                <w:rFonts w:hint="eastAsia" w:ascii="Times New Roman" w:hAnsi="Times New Roman" w:eastAsia="宋体" w:cs="Times New Roman"/>
                <w:b w:val="0"/>
                <w:bCs w:val="0"/>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二</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油气</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溶剂</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回收宜采用冷凝+吸附、吸附+吸收、膜分离+吸附等技术。低温等离子、光催化、光氧化技术主要适用于恶臭异味等治理:生物法主要适用于低浓度VOCs废气治理和恶臭异味治理。非水溶性的VOCs废气禁止采用水或水溶液喷淋吸收处理。采用一次性活性炭吸附技术的，应定期更换活性炭，废旧活性炭应再生或处理处置。有条件的工业园区和产业集群等，推广集中喷涂、溶剂集中回收、活性炭集中再生等，加强资源共享，提高VOCs治理效率。</w:t>
            </w:r>
          </w:p>
          <w:p w14:paraId="7C7798CB">
            <w:pPr>
              <w:pStyle w:val="33"/>
              <w:keepNext w:val="0"/>
              <w:keepLines w:val="0"/>
              <w:suppressLineNumbers w:val="0"/>
              <w:spacing w:before="0" w:beforeAutospacing="0" w:after="0" w:afterAutospacing="0" w:line="360" w:lineRule="auto"/>
              <w:ind w:left="0" w:leftChars="0" w:right="0" w:firstLine="422" w:firstLineChars="200"/>
              <w:jc w:val="left"/>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bCs/>
                <w:color w:val="auto"/>
                <w:kern w:val="0"/>
                <w:sz w:val="21"/>
                <w:szCs w:val="21"/>
                <w:highlight w:val="none"/>
                <w:lang w:val="en-US" w:eastAsia="zh-CN"/>
              </w:rPr>
              <w:t>相符性分析</w:t>
            </w:r>
            <w:r>
              <w:rPr>
                <w:rFonts w:hint="eastAsia" w:cs="Times New Roman"/>
                <w:b/>
                <w:bCs/>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项目所使用的原料不含高挥发性有机物，</w:t>
            </w:r>
            <w:r>
              <w:rPr>
                <w:rFonts w:hint="eastAsia" w:cs="Times New Roman"/>
                <w:b w:val="0"/>
                <w:bCs w:val="0"/>
                <w:color w:val="auto"/>
                <w:kern w:val="0"/>
                <w:sz w:val="21"/>
                <w:szCs w:val="21"/>
                <w:highlight w:val="none"/>
                <w:lang w:val="en-US" w:eastAsia="zh-CN"/>
              </w:rPr>
              <w:t>物料</w:t>
            </w:r>
            <w:r>
              <w:rPr>
                <w:rFonts w:hint="eastAsia" w:ascii="Times New Roman" w:hAnsi="Times New Roman" w:eastAsia="宋体" w:cs="Times New Roman"/>
                <w:b w:val="0"/>
                <w:bCs w:val="0"/>
                <w:color w:val="auto"/>
                <w:kern w:val="0"/>
                <w:sz w:val="21"/>
                <w:szCs w:val="21"/>
                <w:highlight w:val="none"/>
                <w:lang w:val="en-US" w:eastAsia="zh-CN"/>
              </w:rPr>
              <w:t>由密闭桶独立储存。根据附件</w:t>
            </w:r>
            <w:r>
              <w:rPr>
                <w:rFonts w:hint="eastAsia" w:cs="Times New Roman"/>
                <w:b w:val="0"/>
                <w:bCs w:val="0"/>
                <w:color w:val="auto"/>
                <w:kern w:val="0"/>
                <w:sz w:val="21"/>
                <w:szCs w:val="21"/>
                <w:highlight w:val="none"/>
                <w:lang w:val="en-US" w:eastAsia="zh-CN"/>
              </w:rPr>
              <w:t>8</w:t>
            </w:r>
            <w:r>
              <w:rPr>
                <w:rFonts w:hint="eastAsia" w:ascii="Times New Roman" w:hAnsi="Times New Roman" w:eastAsia="宋体" w:cs="Times New Roman"/>
                <w:b w:val="0"/>
                <w:bCs w:val="0"/>
                <w:color w:val="auto"/>
                <w:kern w:val="0"/>
                <w:sz w:val="21"/>
                <w:szCs w:val="21"/>
                <w:highlight w:val="none"/>
                <w:lang w:val="en-US" w:eastAsia="zh-CN"/>
              </w:rPr>
              <w:t>检测报告，水性油墨挥发性有机化合物含量为未检出</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小于方法检出限0.1%</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，水性油墨属于低挥发性有机化合物含量油墨产品，不超过《油墨中可挥发性有机化合物</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VOCs</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含量的限值》</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GB38507-2020</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表1水性油墨中吸收承印物柔版油墨VOCs含量</w:t>
            </w:r>
            <w:r>
              <w:rPr>
                <w:rFonts w:hint="default" w:ascii="Times New Roman" w:hAnsi="Times New Roman" w:eastAsia="宋体"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5%的限值，属于低VOCs原辅料。项目印刷工序产生的</w:t>
            </w:r>
            <w:r>
              <w:rPr>
                <w:rFonts w:hint="eastAsia" w:cs="Times New Roman"/>
                <w:b w:val="0"/>
                <w:bCs w:val="0"/>
                <w:color w:val="auto"/>
                <w:kern w:val="0"/>
                <w:sz w:val="21"/>
                <w:szCs w:val="21"/>
                <w:highlight w:val="none"/>
                <w:lang w:val="en-US" w:eastAsia="zh-CN"/>
              </w:rPr>
              <w:t>有机废气</w:t>
            </w:r>
            <w:r>
              <w:rPr>
                <w:rFonts w:hint="eastAsia" w:ascii="Times New Roman" w:hAnsi="Times New Roman" w:eastAsia="宋体" w:cs="Times New Roman"/>
                <w:b w:val="0"/>
                <w:bCs w:val="0"/>
                <w:color w:val="auto"/>
                <w:kern w:val="0"/>
                <w:sz w:val="21"/>
                <w:szCs w:val="21"/>
                <w:highlight w:val="none"/>
                <w:lang w:val="en-US" w:eastAsia="zh-CN"/>
              </w:rPr>
              <w:t>经收集后通过</w:t>
            </w:r>
            <w:r>
              <w:rPr>
                <w:rFonts w:hint="eastAsia" w:cs="Times New Roman"/>
                <w:b w:val="0"/>
                <w:bCs w:val="0"/>
                <w:color w:val="auto"/>
                <w:kern w:val="0"/>
                <w:sz w:val="21"/>
                <w:szCs w:val="21"/>
                <w:highlight w:val="none"/>
                <w:lang w:val="en-US" w:eastAsia="zh-CN"/>
              </w:rPr>
              <w:t>空气冷却器+</w:t>
            </w:r>
            <w:r>
              <w:rPr>
                <w:rFonts w:hint="eastAsia" w:ascii="Times New Roman" w:hAnsi="Times New Roman" w:eastAsia="宋体" w:cs="Times New Roman"/>
                <w:b w:val="0"/>
                <w:bCs w:val="0"/>
                <w:color w:val="auto"/>
                <w:kern w:val="0"/>
                <w:sz w:val="21"/>
                <w:szCs w:val="21"/>
                <w:highlight w:val="none"/>
                <w:lang w:val="en-US" w:eastAsia="zh-CN"/>
              </w:rPr>
              <w:t>二级活性炭吸附装置处理达标后由</w:t>
            </w:r>
            <w:r>
              <w:rPr>
                <w:rFonts w:hint="eastAsia" w:cs="Times New Roman"/>
                <w:b w:val="0"/>
                <w:bCs w:val="0"/>
                <w:color w:val="auto"/>
                <w:kern w:val="0"/>
                <w:sz w:val="21"/>
                <w:szCs w:val="21"/>
                <w:highlight w:val="none"/>
                <w:lang w:val="en-US" w:eastAsia="zh-CN"/>
              </w:rPr>
              <w:t>46</w:t>
            </w:r>
            <w:r>
              <w:rPr>
                <w:rFonts w:hint="eastAsia" w:ascii="Times New Roman" w:hAnsi="Times New Roman" w:eastAsia="宋体" w:cs="Times New Roman"/>
                <w:b w:val="0"/>
                <w:bCs w:val="0"/>
                <w:color w:val="auto"/>
                <w:kern w:val="0"/>
                <w:sz w:val="21"/>
                <w:szCs w:val="21"/>
                <w:highlight w:val="none"/>
                <w:lang w:val="en-US" w:eastAsia="zh-CN"/>
              </w:rPr>
              <w:t>米高排气筒</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DA001</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高空排放，项目使用的活性炭吸附装置，每季度更换一次。</w:t>
            </w:r>
          </w:p>
          <w:p w14:paraId="33CC0208">
            <w:pPr>
              <w:pStyle w:val="33"/>
              <w:keepNext w:val="0"/>
              <w:keepLines w:val="0"/>
              <w:suppressLineNumbers w:val="0"/>
              <w:spacing w:before="0" w:beforeAutospacing="0" w:after="0" w:afterAutospacing="0" w:line="360" w:lineRule="auto"/>
              <w:ind w:left="0" w:leftChars="0" w:right="0" w:firstLine="420" w:firstLineChars="200"/>
              <w:jc w:val="left"/>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综上所述，本项目符合《&lt;重点行业挥发性有机物综合治理方案&gt;的通知》</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环大气〔20</w:t>
            </w:r>
            <w:r>
              <w:rPr>
                <w:rFonts w:hint="eastAsia" w:cs="Times New Roman"/>
                <w:b w:val="0"/>
                <w:bCs w:val="0"/>
                <w:color w:val="auto"/>
                <w:kern w:val="0"/>
                <w:sz w:val="21"/>
                <w:szCs w:val="21"/>
                <w:highlight w:val="none"/>
                <w:lang w:val="en-US" w:eastAsia="zh-CN"/>
              </w:rPr>
              <w:t>19</w:t>
            </w:r>
            <w:r>
              <w:rPr>
                <w:rFonts w:hint="eastAsia" w:ascii="Times New Roman" w:hAnsi="Times New Roman" w:eastAsia="宋体" w:cs="Times New Roman"/>
                <w:b w:val="0"/>
                <w:bCs w:val="0"/>
                <w:color w:val="auto"/>
                <w:kern w:val="0"/>
                <w:sz w:val="21"/>
                <w:szCs w:val="21"/>
                <w:highlight w:val="none"/>
                <w:lang w:val="en-US" w:eastAsia="zh-CN"/>
              </w:rPr>
              <w:t>〕53号</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的相关要求。</w:t>
            </w:r>
          </w:p>
          <w:p w14:paraId="5489B380">
            <w:pPr>
              <w:pStyle w:val="33"/>
              <w:keepNext w:val="0"/>
              <w:keepLines w:val="0"/>
              <w:suppressLineNumbers w:val="0"/>
              <w:spacing w:before="0" w:beforeAutospacing="0" w:after="0" w:afterAutospacing="0" w:line="360" w:lineRule="auto"/>
              <w:ind w:left="0" w:leftChars="0" w:right="0" w:firstLine="422" w:firstLineChars="200"/>
              <w:jc w:val="left"/>
              <w:rPr>
                <w:rFonts w:hint="eastAsia" w:ascii="Times New Roman" w:hAnsi="Times New Roman" w:eastAsia="宋体" w:cs="Times New Roman"/>
                <w:b/>
                <w:bCs/>
                <w:color w:val="auto"/>
                <w:kern w:val="0"/>
                <w:sz w:val="21"/>
                <w:szCs w:val="21"/>
                <w:highlight w:val="none"/>
                <w:lang w:val="en-US" w:eastAsia="zh-CN"/>
              </w:rPr>
            </w:pPr>
            <w:r>
              <w:rPr>
                <w:rFonts w:hint="eastAsia" w:ascii="Times New Roman" w:hAnsi="Times New Roman" w:eastAsia="宋体" w:cs="Times New Roman"/>
                <w:b/>
                <w:bCs/>
                <w:color w:val="auto"/>
                <w:kern w:val="0"/>
                <w:sz w:val="21"/>
                <w:szCs w:val="21"/>
                <w:highlight w:val="none"/>
                <w:lang w:val="en-US" w:eastAsia="zh-CN"/>
              </w:rPr>
              <w:t>8、与《关于印发&lt;广东省涉挥发性有机物</w:t>
            </w:r>
            <w:r>
              <w:rPr>
                <w:rFonts w:hint="eastAsia" w:cs="Times New Roman"/>
                <w:b/>
                <w:bCs/>
                <w:color w:val="auto"/>
                <w:kern w:val="0"/>
                <w:sz w:val="21"/>
                <w:szCs w:val="21"/>
                <w:highlight w:val="none"/>
                <w:lang w:val="en-US" w:eastAsia="zh-CN"/>
              </w:rPr>
              <w:t>（</w:t>
            </w:r>
            <w:r>
              <w:rPr>
                <w:rFonts w:hint="eastAsia" w:ascii="Times New Roman" w:hAnsi="Times New Roman" w:eastAsia="宋体" w:cs="Times New Roman"/>
                <w:b/>
                <w:bCs/>
                <w:color w:val="auto"/>
                <w:kern w:val="0"/>
                <w:sz w:val="21"/>
                <w:szCs w:val="21"/>
                <w:highlight w:val="none"/>
                <w:lang w:val="en-US" w:eastAsia="zh-CN"/>
              </w:rPr>
              <w:t>VOCs</w:t>
            </w:r>
            <w:r>
              <w:rPr>
                <w:rFonts w:hint="eastAsia" w:cs="Times New Roman"/>
                <w:b/>
                <w:bCs/>
                <w:color w:val="auto"/>
                <w:kern w:val="0"/>
                <w:sz w:val="21"/>
                <w:szCs w:val="21"/>
                <w:highlight w:val="none"/>
                <w:lang w:val="en-US" w:eastAsia="zh-CN"/>
              </w:rPr>
              <w:t>）</w:t>
            </w:r>
            <w:r>
              <w:rPr>
                <w:rFonts w:hint="eastAsia" w:ascii="Times New Roman" w:hAnsi="Times New Roman" w:eastAsia="宋体" w:cs="Times New Roman"/>
                <w:b/>
                <w:bCs/>
                <w:color w:val="auto"/>
                <w:kern w:val="0"/>
                <w:sz w:val="21"/>
                <w:szCs w:val="21"/>
                <w:highlight w:val="none"/>
                <w:lang w:val="en-US" w:eastAsia="zh-CN"/>
              </w:rPr>
              <w:t>重点行业治理指引&gt;的通知》</w:t>
            </w:r>
            <w:r>
              <w:rPr>
                <w:rFonts w:hint="eastAsia" w:cs="Times New Roman"/>
                <w:b/>
                <w:bCs/>
                <w:color w:val="auto"/>
                <w:kern w:val="0"/>
                <w:sz w:val="21"/>
                <w:szCs w:val="21"/>
                <w:highlight w:val="none"/>
                <w:lang w:val="en-US" w:eastAsia="zh-CN"/>
              </w:rPr>
              <w:t>（</w:t>
            </w:r>
            <w:r>
              <w:rPr>
                <w:rFonts w:hint="eastAsia" w:ascii="Times New Roman" w:hAnsi="Times New Roman" w:eastAsia="宋体" w:cs="Times New Roman"/>
                <w:b/>
                <w:bCs/>
                <w:color w:val="auto"/>
                <w:kern w:val="0"/>
                <w:sz w:val="21"/>
                <w:szCs w:val="21"/>
                <w:highlight w:val="none"/>
                <w:lang w:val="en-US" w:eastAsia="zh-CN"/>
              </w:rPr>
              <w:t>粤环办〔20</w:t>
            </w:r>
            <w:r>
              <w:rPr>
                <w:rFonts w:hint="eastAsia" w:cs="Times New Roman"/>
                <w:b/>
                <w:bCs/>
                <w:color w:val="auto"/>
                <w:kern w:val="0"/>
                <w:sz w:val="21"/>
                <w:szCs w:val="21"/>
                <w:highlight w:val="none"/>
                <w:lang w:val="en-US" w:eastAsia="zh-CN"/>
              </w:rPr>
              <w:t>21</w:t>
            </w:r>
            <w:r>
              <w:rPr>
                <w:rFonts w:hint="eastAsia" w:ascii="Times New Roman" w:hAnsi="Times New Roman" w:eastAsia="宋体" w:cs="Times New Roman"/>
                <w:b/>
                <w:bCs/>
                <w:color w:val="auto"/>
                <w:kern w:val="0"/>
                <w:sz w:val="21"/>
                <w:szCs w:val="21"/>
                <w:highlight w:val="none"/>
                <w:lang w:val="en-US" w:eastAsia="zh-CN"/>
              </w:rPr>
              <w:t>〕43号</w:t>
            </w:r>
            <w:r>
              <w:rPr>
                <w:rFonts w:hint="eastAsia" w:cs="Times New Roman"/>
                <w:b/>
                <w:bCs/>
                <w:color w:val="auto"/>
                <w:kern w:val="0"/>
                <w:sz w:val="21"/>
                <w:szCs w:val="21"/>
                <w:highlight w:val="none"/>
                <w:lang w:val="en-US" w:eastAsia="zh-CN"/>
              </w:rPr>
              <w:t>）</w:t>
            </w:r>
            <w:r>
              <w:rPr>
                <w:rFonts w:hint="eastAsia" w:ascii="Times New Roman" w:hAnsi="Times New Roman" w:eastAsia="宋体" w:cs="Times New Roman"/>
                <w:b/>
                <w:bCs/>
                <w:color w:val="auto"/>
                <w:kern w:val="0"/>
                <w:sz w:val="21"/>
                <w:szCs w:val="21"/>
                <w:highlight w:val="none"/>
                <w:lang w:val="en-US" w:eastAsia="zh-CN"/>
              </w:rPr>
              <w:t>的相符性分析</w:t>
            </w:r>
          </w:p>
          <w:p w14:paraId="1BEA2F46">
            <w:pPr>
              <w:keepNext w:val="0"/>
              <w:keepLines w:val="0"/>
              <w:suppressLineNumbers w:val="0"/>
              <w:spacing w:before="0" w:beforeAutospacing="0" w:after="0" w:afterAutospacing="0" w:line="360" w:lineRule="auto"/>
              <w:ind w:left="0" w:right="0" w:firstLine="420" w:firstLineChars="200"/>
              <w:rPr>
                <w:rFonts w:hint="default"/>
                <w:color w:val="auto"/>
                <w:highlight w:val="none"/>
                <w:lang w:val="en-US" w:eastAsia="zh-CN"/>
              </w:rPr>
            </w:pPr>
            <w:r>
              <w:rPr>
                <w:rFonts w:hint="eastAsia"/>
                <w:color w:val="auto"/>
                <w:highlight w:val="none"/>
                <w:lang w:val="en-US" w:eastAsia="zh-CN"/>
              </w:rPr>
              <w:t>本项目属于《国民经济行业分类》（GB/T4754-2017）及第1号修改单中</w:t>
            </w:r>
            <w:r>
              <w:rPr>
                <w:rFonts w:hint="eastAsia" w:ascii="Times New Roman" w:hAnsi="Times New Roman" w:eastAsia="宋体" w:cs="Times New Roman"/>
                <w:b w:val="0"/>
                <w:bCs w:val="0"/>
                <w:color w:val="auto"/>
                <w:kern w:val="0"/>
                <w:sz w:val="21"/>
                <w:szCs w:val="21"/>
                <w:highlight w:val="none"/>
                <w:lang w:val="en-US" w:eastAsia="zh-CN"/>
              </w:rPr>
              <w:t>C2929塑料零件及其他塑料制品制造、C2231纸和纸板容器制造</w:t>
            </w:r>
            <w:r>
              <w:rPr>
                <w:rFonts w:hint="eastAsia"/>
                <w:color w:val="auto"/>
                <w:highlight w:val="none"/>
                <w:lang w:val="en-US" w:eastAsia="zh-CN"/>
              </w:rPr>
              <w:t>，根据《广东省涉挥发性有机物（VOCs）重点行业治理指引》中“</w:t>
            </w:r>
            <w:r>
              <w:rPr>
                <w:rFonts w:hint="eastAsia" w:ascii="Times New Roman" w:hAnsi="Times New Roman" w:eastAsia="宋体" w:cs="Times New Roman"/>
                <w:b w:val="0"/>
                <w:bCs w:val="0"/>
                <w:color w:val="auto"/>
                <w:kern w:val="0"/>
                <w:sz w:val="21"/>
                <w:szCs w:val="21"/>
                <w:highlight w:val="none"/>
                <w:lang w:val="zh-CN" w:eastAsia="zh-CN"/>
              </w:rPr>
              <w:t>四、印刷业VOCs治理指引</w:t>
            </w:r>
            <w:r>
              <w:rPr>
                <w:rFonts w:hint="eastAsia"/>
                <w:color w:val="auto"/>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C2231纸和纸板容器制造</w:t>
            </w:r>
            <w:r>
              <w:rPr>
                <w:rFonts w:hint="eastAsia"/>
                <w:color w:val="auto"/>
                <w:highlight w:val="none"/>
                <w:lang w:val="en-US" w:eastAsia="zh-CN"/>
              </w:rPr>
              <w:t>”、“六、橡胶和塑料制品业VOCs治理指引，C2929塑料零件及其他塑料制品制造”，本项目与其相符性分析如下表所示。</w:t>
            </w:r>
          </w:p>
          <w:p w14:paraId="505DCB74">
            <w:pPr>
              <w:keepNext w:val="0"/>
              <w:keepLines w:val="0"/>
              <w:pageBreakBefore w:val="0"/>
              <w:widowControl/>
              <w:numPr>
                <w:ilvl w:val="0"/>
                <w:numId w:val="4"/>
              </w:numPr>
              <w:suppressLineNumbers w:val="0"/>
              <w:kinsoku/>
              <w:wordWrap/>
              <w:overflowPunct/>
              <w:topLinePunct w:val="0"/>
              <w:autoSpaceDE/>
              <w:autoSpaceDN/>
              <w:bidi w:val="0"/>
              <w:adjustRightInd w:val="0"/>
              <w:snapToGrid/>
              <w:spacing w:before="0" w:beforeAutospacing="0" w:after="0" w:afterAutospacing="0" w:line="360" w:lineRule="auto"/>
              <w:ind w:right="0"/>
              <w:jc w:val="center"/>
              <w:textAlignment w:val="baseline"/>
              <w:rPr>
                <w:rFonts w:hint="default" w:ascii="Times New Roman" w:hAnsi="Times New Roman" w:eastAsia="宋体" w:cs="Times New Roman"/>
                <w:b/>
                <w:color w:val="auto"/>
                <w:highlight w:val="none"/>
                <w:lang w:val="en-US" w:eastAsia="zh-CN"/>
              </w:rPr>
            </w:pPr>
            <w:r>
              <w:rPr>
                <w:rFonts w:hint="default" w:ascii="Times New Roman" w:hAnsi="Times New Roman" w:eastAsia="宋体" w:cs="Times New Roman"/>
                <w:b/>
                <w:color w:val="auto"/>
                <w:highlight w:val="none"/>
                <w:lang w:val="en-US" w:eastAsia="zh-CN"/>
              </w:rPr>
              <w:t>与《广东省涉挥发性有机物（VOCs）重点行业治理指引》对照分析</w:t>
            </w:r>
          </w:p>
          <w:tbl>
            <w:tblPr>
              <w:tblStyle w:val="41"/>
              <w:tblW w:w="0" w:type="auto"/>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1"/>
              <w:gridCol w:w="3206"/>
              <w:gridCol w:w="3292"/>
              <w:gridCol w:w="406"/>
            </w:tblGrid>
            <w:tr w14:paraId="302E444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l2br w:val="nil"/>
                    <w:tr2bl w:val="nil"/>
                  </w:tcBorders>
                  <w:vAlign w:val="center"/>
                </w:tcPr>
                <w:p w14:paraId="796D20AD">
                  <w:pPr>
                    <w:keepNext w:val="0"/>
                    <w:keepLines w:val="0"/>
                    <w:suppressLineNumbers w:val="0"/>
                    <w:adjustRightInd w:val="0"/>
                    <w:snapToGrid w:val="0"/>
                    <w:spacing w:before="0" w:beforeAutospacing="0" w:after="0" w:afterAutospacing="0"/>
                    <w:ind w:left="0" w:right="0"/>
                    <w:jc w:val="center"/>
                    <w:rPr>
                      <w:rFonts w:hint="default"/>
                      <w:b/>
                      <w:bCs/>
                      <w:color w:val="auto"/>
                      <w:sz w:val="18"/>
                      <w:szCs w:val="18"/>
                      <w:highlight w:val="none"/>
                    </w:rPr>
                  </w:pPr>
                  <w:r>
                    <w:rPr>
                      <w:rFonts w:hint="default"/>
                      <w:b/>
                      <w:bCs/>
                      <w:color w:val="auto"/>
                      <w:sz w:val="18"/>
                      <w:szCs w:val="18"/>
                      <w:highlight w:val="none"/>
                    </w:rPr>
                    <w:t>环节</w:t>
                  </w:r>
                </w:p>
              </w:tc>
              <w:tc>
                <w:tcPr>
                  <w:tcW w:w="0" w:type="auto"/>
                  <w:tcBorders>
                    <w:tl2br w:val="nil"/>
                    <w:tr2bl w:val="nil"/>
                  </w:tcBorders>
                  <w:vAlign w:val="center"/>
                </w:tcPr>
                <w:p w14:paraId="0E5CC765">
                  <w:pPr>
                    <w:keepNext w:val="0"/>
                    <w:keepLines w:val="0"/>
                    <w:suppressLineNumbers w:val="0"/>
                    <w:adjustRightInd w:val="0"/>
                    <w:snapToGrid w:val="0"/>
                    <w:spacing w:before="0" w:beforeAutospacing="0" w:after="0" w:afterAutospacing="0"/>
                    <w:ind w:left="0" w:right="0"/>
                    <w:jc w:val="center"/>
                    <w:rPr>
                      <w:rFonts w:hint="default"/>
                      <w:b/>
                      <w:bCs/>
                      <w:color w:val="auto"/>
                      <w:sz w:val="18"/>
                      <w:szCs w:val="18"/>
                      <w:highlight w:val="none"/>
                    </w:rPr>
                  </w:pPr>
                  <w:r>
                    <w:rPr>
                      <w:rFonts w:hint="default"/>
                      <w:b/>
                      <w:bCs/>
                      <w:color w:val="auto"/>
                      <w:sz w:val="18"/>
                      <w:szCs w:val="18"/>
                      <w:highlight w:val="none"/>
                    </w:rPr>
                    <w:t>控制要求</w:t>
                  </w:r>
                </w:p>
              </w:tc>
              <w:tc>
                <w:tcPr>
                  <w:tcW w:w="0" w:type="auto"/>
                  <w:tcBorders>
                    <w:tl2br w:val="nil"/>
                    <w:tr2bl w:val="nil"/>
                  </w:tcBorders>
                  <w:vAlign w:val="center"/>
                </w:tcPr>
                <w:p w14:paraId="21073269">
                  <w:pPr>
                    <w:keepNext w:val="0"/>
                    <w:keepLines w:val="0"/>
                    <w:suppressLineNumbers w:val="0"/>
                    <w:adjustRightInd w:val="0"/>
                    <w:snapToGrid w:val="0"/>
                    <w:spacing w:before="0" w:beforeAutospacing="0" w:after="0" w:afterAutospacing="0"/>
                    <w:ind w:left="0" w:right="0"/>
                    <w:jc w:val="center"/>
                    <w:rPr>
                      <w:rFonts w:hint="default"/>
                      <w:b/>
                      <w:bCs/>
                      <w:color w:val="auto"/>
                      <w:sz w:val="18"/>
                      <w:szCs w:val="18"/>
                      <w:highlight w:val="none"/>
                    </w:rPr>
                  </w:pPr>
                  <w:r>
                    <w:rPr>
                      <w:rFonts w:hint="default"/>
                      <w:b/>
                      <w:bCs/>
                      <w:color w:val="auto"/>
                      <w:sz w:val="18"/>
                      <w:szCs w:val="18"/>
                      <w:highlight w:val="none"/>
                    </w:rPr>
                    <w:t>本项目相关情况</w:t>
                  </w:r>
                </w:p>
              </w:tc>
              <w:tc>
                <w:tcPr>
                  <w:tcW w:w="0" w:type="auto"/>
                  <w:tcBorders>
                    <w:tl2br w:val="nil"/>
                    <w:tr2bl w:val="nil"/>
                  </w:tcBorders>
                  <w:vAlign w:val="center"/>
                </w:tcPr>
                <w:p w14:paraId="540995FE">
                  <w:pPr>
                    <w:keepNext w:val="0"/>
                    <w:keepLines w:val="0"/>
                    <w:suppressLineNumbers w:val="0"/>
                    <w:adjustRightInd w:val="0"/>
                    <w:snapToGrid w:val="0"/>
                    <w:spacing w:before="0" w:beforeAutospacing="0" w:after="0" w:afterAutospacing="0"/>
                    <w:ind w:left="0" w:right="0"/>
                    <w:jc w:val="center"/>
                    <w:rPr>
                      <w:rFonts w:hint="default"/>
                      <w:b/>
                      <w:bCs/>
                      <w:color w:val="auto"/>
                      <w:sz w:val="18"/>
                      <w:szCs w:val="18"/>
                      <w:highlight w:val="none"/>
                    </w:rPr>
                  </w:pPr>
                  <w:r>
                    <w:rPr>
                      <w:rFonts w:hint="default"/>
                      <w:b/>
                      <w:bCs/>
                      <w:color w:val="auto"/>
                      <w:sz w:val="18"/>
                      <w:szCs w:val="18"/>
                      <w:highlight w:val="none"/>
                    </w:rPr>
                    <w:t>是否</w:t>
                  </w:r>
                </w:p>
                <w:p w14:paraId="2804C98F">
                  <w:pPr>
                    <w:keepNext w:val="0"/>
                    <w:keepLines w:val="0"/>
                    <w:suppressLineNumbers w:val="0"/>
                    <w:adjustRightInd w:val="0"/>
                    <w:snapToGrid w:val="0"/>
                    <w:spacing w:before="0" w:beforeAutospacing="0" w:after="0" w:afterAutospacing="0"/>
                    <w:ind w:left="0" w:right="0"/>
                    <w:jc w:val="center"/>
                    <w:rPr>
                      <w:rFonts w:hint="default"/>
                      <w:b/>
                      <w:bCs/>
                      <w:color w:val="auto"/>
                      <w:sz w:val="18"/>
                      <w:szCs w:val="18"/>
                      <w:highlight w:val="none"/>
                    </w:rPr>
                  </w:pPr>
                  <w:r>
                    <w:rPr>
                      <w:rFonts w:hint="default"/>
                      <w:b/>
                      <w:bCs/>
                      <w:color w:val="auto"/>
                      <w:sz w:val="18"/>
                      <w:szCs w:val="18"/>
                      <w:highlight w:val="none"/>
                    </w:rPr>
                    <w:t>相符</w:t>
                  </w:r>
                </w:p>
              </w:tc>
            </w:tr>
            <w:tr w14:paraId="01A7A2F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4"/>
                  <w:tcBorders>
                    <w:tl2br w:val="nil"/>
                    <w:tr2bl w:val="nil"/>
                  </w:tcBorders>
                  <w:vAlign w:val="center"/>
                </w:tcPr>
                <w:p w14:paraId="17471C2F">
                  <w:pPr>
                    <w:keepNext w:val="0"/>
                    <w:keepLines w:val="0"/>
                    <w:suppressLineNumbers w:val="0"/>
                    <w:adjustRightInd w:val="0"/>
                    <w:snapToGrid w:val="0"/>
                    <w:spacing w:before="0" w:beforeAutospacing="0" w:after="0" w:afterAutospacing="0"/>
                    <w:ind w:left="0" w:right="0"/>
                    <w:jc w:val="center"/>
                    <w:rPr>
                      <w:rFonts w:hint="default"/>
                      <w:b/>
                      <w:bCs/>
                      <w:color w:val="auto"/>
                      <w:sz w:val="18"/>
                      <w:szCs w:val="18"/>
                      <w:highlight w:val="none"/>
                    </w:rPr>
                  </w:pPr>
                  <w:r>
                    <w:rPr>
                      <w:rFonts w:hint="eastAsia" w:ascii="Times New Roman" w:hAnsi="Times New Roman" w:eastAsia="宋体" w:cs="Times New Roman"/>
                      <w:b/>
                      <w:bCs/>
                      <w:color w:val="auto"/>
                      <w:sz w:val="18"/>
                      <w:szCs w:val="18"/>
                      <w:highlight w:val="none"/>
                      <w:lang w:val="zh-CN" w:eastAsia="zh-CN"/>
                    </w:rPr>
                    <w:t>四、印刷业VOCs治理指引</w:t>
                  </w:r>
                  <w:r>
                    <w:rPr>
                      <w:rFonts w:hint="eastAsia" w:ascii="Times New Roman" w:hAnsi="Times New Roman" w:eastAsia="宋体" w:cs="Times New Roman"/>
                      <w:b/>
                      <w:bCs/>
                      <w:color w:val="auto"/>
                      <w:sz w:val="18"/>
                      <w:szCs w:val="18"/>
                      <w:highlight w:val="none"/>
                      <w:lang w:val="en-US" w:eastAsia="zh-CN"/>
                    </w:rPr>
                    <w:t>，C2231纸和纸板容器制造</w:t>
                  </w:r>
                </w:p>
              </w:tc>
            </w:tr>
            <w:tr w14:paraId="2C157F0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4"/>
                  <w:tcBorders>
                    <w:tl2br w:val="nil"/>
                    <w:tr2bl w:val="nil"/>
                  </w:tcBorders>
                  <w:shd w:val="clear" w:color="auto" w:fill="D8D8D8"/>
                  <w:vAlign w:val="center"/>
                </w:tcPr>
                <w:p w14:paraId="767C8C2F">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default"/>
                      <w:b/>
                      <w:bCs/>
                      <w:color w:val="auto"/>
                      <w:sz w:val="18"/>
                      <w:szCs w:val="18"/>
                      <w:highlight w:val="none"/>
                    </w:rPr>
                    <w:t>源头削减</w:t>
                  </w:r>
                </w:p>
              </w:tc>
            </w:tr>
            <w:tr w14:paraId="40BB54C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0" w:type="auto"/>
                  <w:tcBorders>
                    <w:tl2br w:val="nil"/>
                    <w:tr2bl w:val="nil"/>
                  </w:tcBorders>
                  <w:vAlign w:val="center"/>
                </w:tcPr>
                <w:p w14:paraId="00F8C090">
                  <w:pPr>
                    <w:keepNext w:val="0"/>
                    <w:keepLines w:val="0"/>
                    <w:widowControl/>
                    <w:suppressLineNumbers w:val="0"/>
                    <w:adjustRightInd w:val="0"/>
                    <w:snapToGrid w:val="0"/>
                    <w:spacing w:before="0" w:beforeAutospacing="0" w:after="0" w:afterAutospacing="0"/>
                    <w:ind w:left="0" w:right="0"/>
                    <w:jc w:val="center"/>
                    <w:rPr>
                      <w:rFonts w:hint="default" w:eastAsia="宋体"/>
                      <w:color w:val="auto"/>
                      <w:sz w:val="18"/>
                      <w:szCs w:val="18"/>
                      <w:highlight w:val="none"/>
                      <w:lang w:val="en-US" w:eastAsia="zh-CN" w:bidi="ar"/>
                    </w:rPr>
                  </w:pPr>
                  <w:r>
                    <w:rPr>
                      <w:rFonts w:hint="eastAsia" w:eastAsia="宋体"/>
                      <w:color w:val="auto"/>
                      <w:sz w:val="18"/>
                      <w:szCs w:val="18"/>
                      <w:highlight w:val="none"/>
                      <w:lang w:val="en-US" w:eastAsia="zh-CN" w:bidi="ar"/>
                    </w:rPr>
                    <w:t>柔印</w:t>
                  </w:r>
                </w:p>
              </w:tc>
              <w:tc>
                <w:tcPr>
                  <w:tcW w:w="0" w:type="auto"/>
                  <w:tcBorders>
                    <w:tl2br w:val="nil"/>
                    <w:tr2bl w:val="nil"/>
                  </w:tcBorders>
                  <w:vAlign w:val="center"/>
                </w:tcPr>
                <w:p w14:paraId="5C093DFC">
                  <w:pPr>
                    <w:keepNext w:val="0"/>
                    <w:keepLines w:val="0"/>
                    <w:suppressLineNumbers w:val="0"/>
                    <w:adjustRightInd w:val="0"/>
                    <w:snapToGrid w:val="0"/>
                    <w:spacing w:before="0" w:beforeAutospacing="0" w:after="0" w:afterAutospacing="0"/>
                    <w:ind w:left="0" w:right="0"/>
                    <w:jc w:val="left"/>
                    <w:rPr>
                      <w:rFonts w:hint="eastAsia"/>
                      <w:bCs/>
                      <w:color w:val="auto"/>
                      <w:kern w:val="44"/>
                      <w:sz w:val="18"/>
                      <w:szCs w:val="18"/>
                      <w:highlight w:val="none"/>
                      <w:lang w:val="en-US" w:eastAsia="zh-CN"/>
                    </w:rPr>
                  </w:pPr>
                  <w:r>
                    <w:rPr>
                      <w:rFonts w:hint="eastAsia"/>
                      <w:bCs/>
                      <w:color w:val="auto"/>
                      <w:kern w:val="44"/>
                      <w:sz w:val="18"/>
                      <w:szCs w:val="18"/>
                      <w:highlight w:val="none"/>
                      <w:lang w:val="en-US" w:eastAsia="zh-CN"/>
                    </w:rPr>
                    <w:t>溶剂型柔印油墨，VOCs≤75%。</w:t>
                  </w:r>
                </w:p>
                <w:p w14:paraId="3B7EFDEC">
                  <w:pPr>
                    <w:keepNext w:val="0"/>
                    <w:keepLines w:val="0"/>
                    <w:suppressLineNumbers w:val="0"/>
                    <w:adjustRightInd w:val="0"/>
                    <w:snapToGrid w:val="0"/>
                    <w:spacing w:before="0" w:beforeAutospacing="0" w:after="0" w:afterAutospacing="0"/>
                    <w:ind w:left="0" w:right="0"/>
                    <w:jc w:val="left"/>
                    <w:rPr>
                      <w:rFonts w:hint="eastAsia"/>
                      <w:bCs/>
                      <w:color w:val="auto"/>
                      <w:kern w:val="44"/>
                      <w:sz w:val="18"/>
                      <w:szCs w:val="18"/>
                      <w:highlight w:val="none"/>
                      <w:lang w:val="en-US" w:eastAsia="zh-CN"/>
                    </w:rPr>
                  </w:pPr>
                  <w:r>
                    <w:rPr>
                      <w:rFonts w:hint="eastAsia"/>
                      <w:bCs/>
                      <w:color w:val="auto"/>
                      <w:kern w:val="44"/>
                      <w:sz w:val="18"/>
                      <w:szCs w:val="18"/>
                      <w:highlight w:val="none"/>
                      <w:lang w:val="en-US" w:eastAsia="zh-CN"/>
                    </w:rPr>
                    <w:t>用于吸收性承印物的水性柔印油墨，VOCs≤5%。</w:t>
                  </w:r>
                </w:p>
                <w:p w14:paraId="46D31599">
                  <w:pPr>
                    <w:keepNext w:val="0"/>
                    <w:keepLines w:val="0"/>
                    <w:suppressLineNumbers w:val="0"/>
                    <w:adjustRightInd w:val="0"/>
                    <w:snapToGrid w:val="0"/>
                    <w:spacing w:before="0" w:beforeAutospacing="0" w:after="0" w:afterAutospacing="0"/>
                    <w:ind w:left="0" w:right="0"/>
                    <w:jc w:val="left"/>
                    <w:rPr>
                      <w:rFonts w:hint="eastAsia"/>
                      <w:bCs/>
                      <w:color w:val="auto"/>
                      <w:kern w:val="44"/>
                      <w:sz w:val="18"/>
                      <w:szCs w:val="18"/>
                      <w:highlight w:val="none"/>
                      <w:lang w:val="en-US" w:eastAsia="zh-CN"/>
                    </w:rPr>
                  </w:pPr>
                  <w:r>
                    <w:rPr>
                      <w:rFonts w:hint="eastAsia"/>
                      <w:bCs/>
                      <w:color w:val="auto"/>
                      <w:kern w:val="44"/>
                      <w:sz w:val="18"/>
                      <w:szCs w:val="18"/>
                      <w:highlight w:val="none"/>
                      <w:lang w:val="en-US" w:eastAsia="zh-CN"/>
                    </w:rPr>
                    <w:t>用于非吸收性承印物的水性柔印油墨，VOCs≤25%。</w:t>
                  </w:r>
                </w:p>
                <w:p w14:paraId="318DA939">
                  <w:pPr>
                    <w:keepNext w:val="0"/>
                    <w:keepLines w:val="0"/>
                    <w:suppressLineNumbers w:val="0"/>
                    <w:adjustRightInd w:val="0"/>
                    <w:snapToGrid w:val="0"/>
                    <w:spacing w:before="0" w:beforeAutospacing="0" w:after="0" w:afterAutospacing="0"/>
                    <w:ind w:left="0" w:right="0"/>
                    <w:jc w:val="left"/>
                    <w:rPr>
                      <w:rFonts w:hint="default" w:eastAsia="宋体"/>
                      <w:color w:val="auto"/>
                      <w:highlight w:val="none"/>
                      <w:lang w:val="en-US" w:eastAsia="zh-CN"/>
                    </w:rPr>
                  </w:pPr>
                  <w:r>
                    <w:rPr>
                      <w:rFonts w:hint="eastAsia"/>
                      <w:bCs/>
                      <w:color w:val="auto"/>
                      <w:kern w:val="44"/>
                      <w:sz w:val="18"/>
                      <w:szCs w:val="18"/>
                      <w:highlight w:val="none"/>
                      <w:lang w:val="en-US" w:eastAsia="zh-CN"/>
                    </w:rPr>
                    <w:t>能量固化油墨(柔印油墨)，VOCs≤5%。</w:t>
                  </w:r>
                </w:p>
              </w:tc>
              <w:tc>
                <w:tcPr>
                  <w:tcW w:w="0" w:type="auto"/>
                  <w:tcBorders>
                    <w:tl2br w:val="nil"/>
                    <w:tr2bl w:val="nil"/>
                  </w:tcBorders>
                  <w:vAlign w:val="center"/>
                </w:tcPr>
                <w:p w14:paraId="1F99C91C">
                  <w:pPr>
                    <w:keepNext w:val="0"/>
                    <w:keepLines w:val="0"/>
                    <w:suppressLineNumbers w:val="0"/>
                    <w:adjustRightInd w:val="0"/>
                    <w:snapToGrid w:val="0"/>
                    <w:spacing w:before="0" w:beforeAutospacing="0" w:after="0" w:afterAutospacing="0"/>
                    <w:ind w:left="0" w:right="0"/>
                    <w:rPr>
                      <w:rFonts w:hint="eastAsia" w:eastAsia="宋体"/>
                      <w:bCs/>
                      <w:color w:val="auto"/>
                      <w:kern w:val="44"/>
                      <w:sz w:val="18"/>
                      <w:szCs w:val="18"/>
                      <w:highlight w:val="none"/>
                      <w:lang w:eastAsia="zh-CN"/>
                    </w:rPr>
                  </w:pPr>
                  <w:r>
                    <w:rPr>
                      <w:rFonts w:hint="default" w:ascii="Times New Roman" w:hAnsi="Times New Roman" w:cs="Times New Roman"/>
                      <w:color w:val="auto"/>
                      <w:sz w:val="18"/>
                      <w:szCs w:val="18"/>
                      <w:highlight w:val="none"/>
                    </w:rPr>
                    <w:t>根据附件</w:t>
                  </w:r>
                  <w:r>
                    <w:rPr>
                      <w:rFonts w:hint="eastAsia" w:cs="Times New Roman"/>
                      <w:color w:val="auto"/>
                      <w:sz w:val="18"/>
                      <w:szCs w:val="18"/>
                      <w:highlight w:val="none"/>
                      <w:lang w:val="en-US" w:eastAsia="zh-CN"/>
                    </w:rPr>
                    <w:t>8</w:t>
                  </w:r>
                  <w:r>
                    <w:rPr>
                      <w:rFonts w:hint="default" w:ascii="Times New Roman" w:hAnsi="Times New Roman" w:cs="Times New Roman"/>
                      <w:color w:val="auto"/>
                      <w:sz w:val="18"/>
                      <w:szCs w:val="18"/>
                      <w:highlight w:val="none"/>
                    </w:rPr>
                    <w:t>检测报告，水性油墨挥发性有机化合物含量为未检出</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小于方法检出限0.1%</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，水性油墨属于低挥发性有机化合物含量油墨产品，不超过《油墨中可挥发性有机化合物</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VOCS</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含量的限值》</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GB38507-2020</w:t>
                  </w:r>
                  <w:r>
                    <w:rPr>
                      <w:rFonts w:hint="eastAsia" w:ascii="Times New Roman" w:hAnsi="Times New Roman" w:cs="Times New Roman"/>
                      <w:color w:val="auto"/>
                      <w:sz w:val="18"/>
                      <w:szCs w:val="18"/>
                      <w:highlight w:val="none"/>
                      <w:lang w:eastAsia="zh-CN"/>
                    </w:rPr>
                    <w:t>）</w:t>
                  </w:r>
                  <w:r>
                    <w:rPr>
                      <w:rFonts w:hint="default" w:ascii="Times New Roman" w:hAnsi="Times New Roman" w:cs="Times New Roman"/>
                      <w:color w:val="auto"/>
                      <w:sz w:val="18"/>
                      <w:szCs w:val="18"/>
                      <w:highlight w:val="none"/>
                    </w:rPr>
                    <w:t>表1水性油墨中吸收承印物柔版油墨VOCs含量≤5%的限值,属于低VOCs原辅料</w:t>
                  </w:r>
                </w:p>
              </w:tc>
              <w:tc>
                <w:tcPr>
                  <w:tcW w:w="0" w:type="auto"/>
                  <w:tcBorders>
                    <w:tl2br w:val="nil"/>
                    <w:tr2bl w:val="nil"/>
                  </w:tcBorders>
                  <w:vAlign w:val="center"/>
                </w:tcPr>
                <w:p w14:paraId="3BA5051F">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default"/>
                      <w:color w:val="auto"/>
                      <w:sz w:val="18"/>
                      <w:szCs w:val="18"/>
                      <w:highlight w:val="none"/>
                    </w:rPr>
                    <w:t>符合</w:t>
                  </w:r>
                </w:p>
              </w:tc>
            </w:tr>
            <w:tr w14:paraId="6870554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4"/>
                  <w:tcBorders>
                    <w:tl2br w:val="nil"/>
                    <w:tr2bl w:val="nil"/>
                  </w:tcBorders>
                  <w:shd w:val="clear" w:color="auto" w:fill="D8D8D8"/>
                  <w:vAlign w:val="center"/>
                </w:tcPr>
                <w:p w14:paraId="4EB9C951">
                  <w:pPr>
                    <w:keepNext w:val="0"/>
                    <w:keepLines w:val="0"/>
                    <w:suppressLineNumbers w:val="0"/>
                    <w:adjustRightInd w:val="0"/>
                    <w:snapToGrid w:val="0"/>
                    <w:spacing w:before="0" w:beforeAutospacing="0" w:after="0" w:afterAutospacing="0"/>
                    <w:ind w:left="0" w:right="0"/>
                    <w:jc w:val="center"/>
                    <w:rPr>
                      <w:rFonts w:hint="default"/>
                      <w:b/>
                      <w:bCs/>
                      <w:color w:val="auto"/>
                      <w:sz w:val="18"/>
                      <w:szCs w:val="18"/>
                      <w:highlight w:val="none"/>
                    </w:rPr>
                  </w:pPr>
                  <w:r>
                    <w:rPr>
                      <w:rFonts w:hint="default"/>
                      <w:b/>
                      <w:bCs/>
                      <w:color w:val="auto"/>
                      <w:sz w:val="18"/>
                      <w:szCs w:val="18"/>
                      <w:highlight w:val="none"/>
                    </w:rPr>
                    <w:t>过程控制</w:t>
                  </w:r>
                </w:p>
              </w:tc>
            </w:tr>
            <w:tr w14:paraId="1C873A8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0" w:type="auto"/>
                  <w:tcBorders>
                    <w:tl2br w:val="nil"/>
                    <w:tr2bl w:val="nil"/>
                  </w:tcBorders>
                  <w:vAlign w:val="center"/>
                </w:tcPr>
                <w:p w14:paraId="15E12201">
                  <w:pPr>
                    <w:keepNext w:val="0"/>
                    <w:keepLines w:val="0"/>
                    <w:widowControl/>
                    <w:suppressLineNumbers w:val="0"/>
                    <w:adjustRightInd w:val="0"/>
                    <w:snapToGrid w:val="0"/>
                    <w:spacing w:before="0" w:beforeAutospacing="0" w:after="0" w:afterAutospacing="0"/>
                    <w:ind w:left="0" w:right="0"/>
                    <w:jc w:val="center"/>
                    <w:rPr>
                      <w:rFonts w:hint="default" w:eastAsia="宋体"/>
                      <w:color w:val="auto"/>
                      <w:sz w:val="18"/>
                      <w:szCs w:val="18"/>
                      <w:highlight w:val="none"/>
                      <w:lang w:val="en-US" w:eastAsia="zh-CN" w:bidi="ar"/>
                    </w:rPr>
                  </w:pPr>
                  <w:r>
                    <w:rPr>
                      <w:rFonts w:hint="eastAsia"/>
                      <w:color w:val="auto"/>
                      <w:sz w:val="18"/>
                      <w:szCs w:val="18"/>
                      <w:highlight w:val="none"/>
                      <w:lang w:val="en-US" w:eastAsia="zh-CN" w:bidi="ar"/>
                    </w:rPr>
                    <w:t>所有印刷生产类型</w:t>
                  </w:r>
                </w:p>
              </w:tc>
              <w:tc>
                <w:tcPr>
                  <w:tcW w:w="0" w:type="auto"/>
                  <w:tcBorders>
                    <w:tl2br w:val="nil"/>
                    <w:tr2bl w:val="nil"/>
                  </w:tcBorders>
                  <w:vAlign w:val="center"/>
                </w:tcPr>
                <w:p w14:paraId="3A5D6D46">
                  <w:pPr>
                    <w:keepNext w:val="0"/>
                    <w:keepLines w:val="0"/>
                    <w:suppressLineNumbers w:val="0"/>
                    <w:adjustRightInd w:val="0"/>
                    <w:snapToGrid w:val="0"/>
                    <w:spacing w:before="0" w:beforeAutospacing="0" w:after="0" w:afterAutospacing="0"/>
                    <w:ind w:left="0" w:right="0"/>
                    <w:rPr>
                      <w:rFonts w:hint="eastAsia"/>
                      <w:color w:val="auto"/>
                      <w:sz w:val="18"/>
                      <w:szCs w:val="18"/>
                      <w:highlight w:val="none"/>
                      <w:lang w:val="en-US" w:eastAsia="zh-CN"/>
                    </w:rPr>
                  </w:pPr>
                  <w:r>
                    <w:rPr>
                      <w:rFonts w:hint="eastAsia"/>
                      <w:color w:val="auto"/>
                      <w:sz w:val="18"/>
                      <w:szCs w:val="18"/>
                      <w:highlight w:val="none"/>
                      <w:lang w:val="en-US" w:eastAsia="zh-CN"/>
                    </w:rPr>
                    <w:t>油墨、粘胶剂、清洗剂等含VOCs原辅材料存储、转移、放置密闭。调墨（胶）废气通过排气柜或集气罩收集。</w:t>
                  </w:r>
                </w:p>
                <w:p w14:paraId="2CFD4CC0">
                  <w:pPr>
                    <w:keepNext w:val="0"/>
                    <w:keepLines w:val="0"/>
                    <w:suppressLineNumbers w:val="0"/>
                    <w:adjustRightInd w:val="0"/>
                    <w:snapToGrid w:val="0"/>
                    <w:spacing w:before="0" w:beforeAutospacing="0" w:after="0" w:afterAutospacing="0"/>
                    <w:ind w:left="0" w:right="0"/>
                    <w:rPr>
                      <w:rFonts w:hint="eastAsia"/>
                      <w:color w:val="auto"/>
                      <w:sz w:val="18"/>
                      <w:szCs w:val="18"/>
                      <w:highlight w:val="none"/>
                      <w:lang w:val="en-US" w:eastAsia="zh-CN"/>
                    </w:rPr>
                  </w:pPr>
                  <w:r>
                    <w:rPr>
                      <w:rFonts w:hint="eastAsia"/>
                      <w:color w:val="auto"/>
                      <w:sz w:val="18"/>
                      <w:szCs w:val="18"/>
                      <w:highlight w:val="none"/>
                      <w:lang w:val="en-US" w:eastAsia="zh-CN"/>
                    </w:rPr>
                    <w:t>印刷、烘干、覆膜、复合等涉VOCs排风的环节排风收集，采用密闭收集，或设置集气罩、排风管道组成的排气系统。</w:t>
                  </w:r>
                </w:p>
                <w:p w14:paraId="5206599E">
                  <w:pPr>
                    <w:keepNext w:val="0"/>
                    <w:keepLines w:val="0"/>
                    <w:suppressLineNumbers w:val="0"/>
                    <w:adjustRightInd w:val="0"/>
                    <w:snapToGrid w:val="0"/>
                    <w:spacing w:before="0" w:beforeAutospacing="0" w:after="0" w:afterAutospacing="0"/>
                    <w:ind w:left="0" w:right="0"/>
                    <w:rPr>
                      <w:rFonts w:hint="eastAsia"/>
                      <w:color w:val="auto"/>
                      <w:sz w:val="18"/>
                      <w:szCs w:val="18"/>
                      <w:highlight w:val="none"/>
                      <w:lang w:val="en-US" w:eastAsia="zh-CN"/>
                    </w:rPr>
                  </w:pPr>
                  <w:r>
                    <w:rPr>
                      <w:rFonts w:hint="eastAsia"/>
                      <w:color w:val="auto"/>
                      <w:sz w:val="18"/>
                      <w:szCs w:val="18"/>
                      <w:highlight w:val="none"/>
                      <w:lang w:val="en-US" w:eastAsia="zh-CN"/>
                    </w:rPr>
                    <w:t>生产车间进行负压改造或局部围风改造。使用溶剂型油墨、胶粘剂、涂料、光油、清洗剂等原辅材料的相关工序，采取整体或局部气体收集措施。</w:t>
                  </w:r>
                </w:p>
                <w:p w14:paraId="6CF4A0F3">
                  <w:pPr>
                    <w:keepNext w:val="0"/>
                    <w:keepLines w:val="0"/>
                    <w:suppressLineNumbers w:val="0"/>
                    <w:adjustRightInd w:val="0"/>
                    <w:snapToGrid w:val="0"/>
                    <w:spacing w:before="0" w:beforeAutospacing="0" w:after="0" w:afterAutospacing="0"/>
                    <w:ind w:left="0" w:right="0"/>
                    <w:rPr>
                      <w:rFonts w:hint="default" w:eastAsia="宋体"/>
                      <w:color w:val="auto"/>
                      <w:sz w:val="18"/>
                      <w:szCs w:val="18"/>
                      <w:highlight w:val="none"/>
                      <w:lang w:val="en-US" w:eastAsia="zh-CN"/>
                    </w:rPr>
                  </w:pPr>
                  <w:r>
                    <w:rPr>
                      <w:rFonts w:hint="eastAsia"/>
                      <w:color w:val="auto"/>
                      <w:sz w:val="18"/>
                      <w:szCs w:val="18"/>
                      <w:highlight w:val="none"/>
                      <w:lang w:val="en-US" w:eastAsia="zh-CN"/>
                    </w:rPr>
                    <w:t>集中清洗应在密闭装置或空间内进行，清洗工序产生的废气应通过废气收集系统收集。印刷机检维修和清洗时应及时清墨，油墨回收。</w:t>
                  </w:r>
                </w:p>
              </w:tc>
              <w:tc>
                <w:tcPr>
                  <w:tcW w:w="0" w:type="auto"/>
                  <w:tcBorders>
                    <w:tl2br w:val="nil"/>
                    <w:tr2bl w:val="nil"/>
                  </w:tcBorders>
                  <w:vAlign w:val="center"/>
                </w:tcPr>
                <w:p w14:paraId="3850DB59">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项目所有VOCs物料采用密闭容器包装储存，符合要求</w:t>
                  </w:r>
                </w:p>
                <w:p w14:paraId="1012DB17">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本项目使用的水性油墨属于低VOCs物料，使用时采</w:t>
                  </w:r>
                  <w:r>
                    <w:rPr>
                      <w:rFonts w:hint="eastAsia"/>
                      <w:color w:val="auto"/>
                      <w:sz w:val="18"/>
                      <w:szCs w:val="18"/>
                      <w:highlight w:val="none"/>
                      <w:lang w:val="en-US" w:eastAsia="zh-CN"/>
                    </w:rPr>
                    <w:t>用</w:t>
                  </w:r>
                  <w:r>
                    <w:rPr>
                      <w:rFonts w:hint="eastAsia"/>
                      <w:bCs/>
                      <w:color w:val="auto"/>
                      <w:kern w:val="44"/>
                      <w:sz w:val="18"/>
                      <w:szCs w:val="18"/>
                      <w:highlight w:val="none"/>
                      <w:lang w:val="en-US" w:eastAsia="zh-CN"/>
                    </w:rPr>
                    <w:t>包围型集气罩</w:t>
                  </w:r>
                  <w:r>
                    <w:rPr>
                      <w:rFonts w:hint="default"/>
                      <w:color w:val="auto"/>
                      <w:sz w:val="18"/>
                      <w:szCs w:val="18"/>
                      <w:highlight w:val="none"/>
                    </w:rPr>
                    <w:t>收集，废气排至VOCs废气收集处理系统，符合要求</w:t>
                  </w:r>
                </w:p>
              </w:tc>
              <w:tc>
                <w:tcPr>
                  <w:tcW w:w="0" w:type="auto"/>
                  <w:tcBorders>
                    <w:tl2br w:val="nil"/>
                    <w:tr2bl w:val="nil"/>
                  </w:tcBorders>
                  <w:vAlign w:val="center"/>
                </w:tcPr>
                <w:p w14:paraId="32519874">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default"/>
                      <w:color w:val="auto"/>
                      <w:sz w:val="18"/>
                      <w:szCs w:val="18"/>
                      <w:highlight w:val="none"/>
                    </w:rPr>
                    <w:t>符合</w:t>
                  </w:r>
                </w:p>
              </w:tc>
            </w:tr>
            <w:tr w14:paraId="490C3D4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4"/>
                  <w:tcBorders>
                    <w:tl2br w:val="nil"/>
                    <w:tr2bl w:val="nil"/>
                  </w:tcBorders>
                  <w:shd w:val="clear" w:color="auto" w:fill="D8D8D8"/>
                  <w:vAlign w:val="center"/>
                </w:tcPr>
                <w:p w14:paraId="6F40C592">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default"/>
                      <w:b/>
                      <w:bCs/>
                      <w:color w:val="auto"/>
                      <w:sz w:val="18"/>
                      <w:szCs w:val="18"/>
                      <w:highlight w:val="none"/>
                    </w:rPr>
                    <w:t>末端治理</w:t>
                  </w:r>
                </w:p>
              </w:tc>
            </w:tr>
            <w:tr w14:paraId="23506E6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l2br w:val="nil"/>
                    <w:tr2bl w:val="nil"/>
                  </w:tcBorders>
                  <w:vAlign w:val="center"/>
                </w:tcPr>
                <w:p w14:paraId="1B96B3D9">
                  <w:pPr>
                    <w:keepNext w:val="0"/>
                    <w:keepLines w:val="0"/>
                    <w:widowControl/>
                    <w:suppressLineNumbers w:val="0"/>
                    <w:adjustRightInd w:val="0"/>
                    <w:snapToGrid w:val="0"/>
                    <w:spacing w:before="0" w:beforeAutospacing="0" w:after="0" w:afterAutospacing="0"/>
                    <w:ind w:left="0" w:right="0"/>
                    <w:jc w:val="center"/>
                    <w:rPr>
                      <w:rFonts w:hint="default"/>
                      <w:color w:val="auto"/>
                      <w:sz w:val="18"/>
                      <w:szCs w:val="18"/>
                      <w:highlight w:val="none"/>
                      <w:lang w:bidi="ar"/>
                    </w:rPr>
                  </w:pPr>
                  <w:r>
                    <w:rPr>
                      <w:rFonts w:hint="default"/>
                      <w:color w:val="auto"/>
                      <w:sz w:val="18"/>
                      <w:szCs w:val="18"/>
                      <w:highlight w:val="none"/>
                      <w:lang w:bidi="ar"/>
                    </w:rPr>
                    <w:t>排放水平</w:t>
                  </w:r>
                </w:p>
              </w:tc>
              <w:tc>
                <w:tcPr>
                  <w:tcW w:w="0" w:type="auto"/>
                  <w:tcBorders>
                    <w:tl2br w:val="nil"/>
                    <w:tr2bl w:val="nil"/>
                  </w:tcBorders>
                  <w:vAlign w:val="center"/>
                </w:tcPr>
                <w:p w14:paraId="09C4B4BB">
                  <w:pPr>
                    <w:keepNext w:val="0"/>
                    <w:keepLines w:val="0"/>
                    <w:suppressLineNumbers w:val="0"/>
                    <w:adjustRightInd w:val="0"/>
                    <w:snapToGrid w:val="0"/>
                    <w:spacing w:before="0" w:beforeAutospacing="0" w:after="0" w:afterAutospacing="0"/>
                    <w:ind w:left="0" w:right="0"/>
                    <w:rPr>
                      <w:rFonts w:hint="eastAsia"/>
                      <w:color w:val="auto"/>
                      <w:sz w:val="18"/>
                      <w:szCs w:val="18"/>
                      <w:highlight w:val="none"/>
                      <w:lang w:val="en-US" w:eastAsia="zh-CN"/>
                    </w:rPr>
                  </w:pPr>
                  <w:r>
                    <w:rPr>
                      <w:rFonts w:hint="eastAsia"/>
                      <w:color w:val="auto"/>
                      <w:sz w:val="18"/>
                      <w:szCs w:val="18"/>
                      <w:highlight w:val="none"/>
                      <w:lang w:val="en-US" w:eastAsia="zh-CN"/>
                    </w:rPr>
                    <w:t>1、有机废气排气筒排放浓度符合《挥发性有机化合物排放标准》（DB44/815-2010）第</w:t>
                  </w:r>
                  <w:r>
                    <w:rPr>
                      <w:rFonts w:hint="default" w:ascii="Times New Roman" w:hAnsi="Times New Roman" w:cs="Times New Roman"/>
                      <w:color w:val="auto"/>
                      <w:sz w:val="18"/>
                      <w:szCs w:val="18"/>
                      <w:highlight w:val="none"/>
                      <w:lang w:val="en-US" w:eastAsia="zh-CN"/>
                    </w:rPr>
                    <w:t>Ⅱ</w:t>
                  </w:r>
                  <w:r>
                    <w:rPr>
                      <w:rFonts w:hint="eastAsia"/>
                      <w:color w:val="auto"/>
                      <w:sz w:val="18"/>
                      <w:szCs w:val="18"/>
                      <w:highlight w:val="none"/>
                      <w:lang w:val="en-US" w:eastAsia="zh-CN"/>
                    </w:rPr>
                    <w:t>时段排放限值要求，若国家和我省出台并实施适用于包装印刷业的大气污染物排放标准，则应满足相应排放标准要求；车间或生产设施排气中NMHC初始排放速率≥3kg/h时，建设VOCs处理设施且处理效率≥80%。</w:t>
                  </w:r>
                </w:p>
                <w:p w14:paraId="6BADFB81">
                  <w:pPr>
                    <w:keepNext w:val="0"/>
                    <w:keepLines w:val="0"/>
                    <w:suppressLineNumbers w:val="0"/>
                    <w:adjustRightInd w:val="0"/>
                    <w:snapToGrid w:val="0"/>
                    <w:spacing w:before="0" w:beforeAutospacing="0" w:after="0" w:afterAutospacing="0"/>
                    <w:ind w:left="0" w:leftChars="0" w:right="0" w:rightChars="0"/>
                    <w:rPr>
                      <w:rFonts w:hint="default"/>
                      <w:color w:val="auto"/>
                      <w:highlight w:val="none"/>
                      <w:lang w:val="en-US" w:eastAsia="zh-CN"/>
                    </w:rPr>
                  </w:pPr>
                  <w:r>
                    <w:rPr>
                      <w:rFonts w:hint="eastAsia"/>
                      <w:color w:val="auto"/>
                      <w:sz w:val="18"/>
                      <w:szCs w:val="18"/>
                      <w:highlight w:val="none"/>
                      <w:lang w:val="en-US" w:eastAsia="zh-CN"/>
                    </w:rPr>
                    <w:t>2、厂区内无组织排放监控点NMHC的小时平均浓度值不超过6mg/m</w:t>
                  </w:r>
                  <w:r>
                    <w:rPr>
                      <w:rFonts w:hint="eastAsia"/>
                      <w:color w:val="auto"/>
                      <w:sz w:val="18"/>
                      <w:szCs w:val="18"/>
                      <w:highlight w:val="none"/>
                      <w:vertAlign w:val="superscript"/>
                      <w:lang w:val="en-US" w:eastAsia="zh-CN"/>
                    </w:rPr>
                    <w:t>3</w:t>
                  </w:r>
                  <w:r>
                    <w:rPr>
                      <w:rFonts w:hint="eastAsia"/>
                      <w:color w:val="auto"/>
                      <w:sz w:val="18"/>
                      <w:szCs w:val="18"/>
                      <w:highlight w:val="none"/>
                      <w:lang w:val="en-US" w:eastAsia="zh-CN"/>
                    </w:rPr>
                    <w:t>，任意一次浓度值不超过20mg/m</w:t>
                  </w:r>
                  <w:r>
                    <w:rPr>
                      <w:rFonts w:hint="eastAsia"/>
                      <w:color w:val="auto"/>
                      <w:sz w:val="18"/>
                      <w:szCs w:val="18"/>
                      <w:highlight w:val="none"/>
                      <w:vertAlign w:val="superscript"/>
                      <w:lang w:val="en-US" w:eastAsia="zh-CN"/>
                    </w:rPr>
                    <w:t>3</w:t>
                  </w:r>
                  <w:r>
                    <w:rPr>
                      <w:rFonts w:hint="eastAsia"/>
                      <w:color w:val="auto"/>
                      <w:sz w:val="18"/>
                      <w:szCs w:val="18"/>
                      <w:highlight w:val="none"/>
                      <w:lang w:val="en-US" w:eastAsia="zh-CN"/>
                    </w:rPr>
                    <w:t>。</w:t>
                  </w:r>
                </w:p>
              </w:tc>
              <w:tc>
                <w:tcPr>
                  <w:tcW w:w="0" w:type="auto"/>
                  <w:tcBorders>
                    <w:tl2br w:val="nil"/>
                    <w:tr2bl w:val="nil"/>
                  </w:tcBorders>
                  <w:vAlign w:val="center"/>
                </w:tcPr>
                <w:p w14:paraId="0FFC1B77">
                  <w:pPr>
                    <w:keepNext w:val="0"/>
                    <w:keepLines w:val="0"/>
                    <w:suppressLineNumbers w:val="0"/>
                    <w:adjustRightInd w:val="0"/>
                    <w:snapToGrid w:val="0"/>
                    <w:spacing w:before="0" w:beforeAutospacing="0" w:after="0" w:afterAutospacing="0"/>
                    <w:ind w:left="0" w:leftChars="0" w:right="0" w:rightChars="0"/>
                    <w:rPr>
                      <w:rFonts w:hint="default"/>
                      <w:color w:val="auto"/>
                      <w:sz w:val="18"/>
                      <w:szCs w:val="18"/>
                      <w:highlight w:val="none"/>
                    </w:rPr>
                  </w:pPr>
                  <w:r>
                    <w:rPr>
                      <w:rFonts w:hint="eastAsia"/>
                      <w:color w:val="auto"/>
                      <w:sz w:val="18"/>
                      <w:szCs w:val="18"/>
                      <w:highlight w:val="none"/>
                      <w:lang w:val="en-US" w:eastAsia="zh-CN"/>
                    </w:rPr>
                    <w:t>本项目印刷工序产生的废气采用</w:t>
                  </w:r>
                  <w:r>
                    <w:rPr>
                      <w:rFonts w:hint="eastAsia"/>
                      <w:bCs/>
                      <w:color w:val="auto"/>
                      <w:kern w:val="44"/>
                      <w:sz w:val="18"/>
                      <w:szCs w:val="18"/>
                      <w:highlight w:val="none"/>
                      <w:lang w:val="en-US" w:eastAsia="zh-CN"/>
                    </w:rPr>
                    <w:t>包围型集气罩收集</w:t>
                  </w:r>
                  <w:r>
                    <w:rPr>
                      <w:rFonts w:hint="eastAsia"/>
                      <w:color w:val="auto"/>
                      <w:sz w:val="18"/>
                      <w:szCs w:val="18"/>
                      <w:highlight w:val="none"/>
                      <w:lang w:val="en-US" w:eastAsia="zh-CN"/>
                    </w:rPr>
                    <w:t>，收集效率为65%，收集后排至“空气冷却器+二级活性炭吸附装置”处理达标后由46米高排气筒（DA001）排放，印刷产生的非甲烷总烃有组织排放达到广东省《固定污染源挥发性有机物综合排放标准》（DB44/2367-2022）中表1挥发性有机物排放限值和《印刷工业大气污染物排放标准》（GB41616-2022）表1大气污染物排放限值两者较严值；TVOC有组织排放达到广东省《固定污染源挥发性有机物综合排放标准》（DB44/2367-2022）中表1挥发性有机物排放限值。厂区内加强车间内机械通风，厂区内无组织排放的VOCs执行广东省《固定污染源挥发性有机物综合排放标准》（DB44/2367-2022）中的表3厂区内VOCs无组织排放限值和《印刷工业大气污染物排放标准》（GB41616-2022）表A.1厂区内VOCs无组织排放限值两者间的较严值，小时平均浓度值不超过6mg/m</w:t>
                  </w:r>
                  <w:r>
                    <w:rPr>
                      <w:rFonts w:hint="eastAsia"/>
                      <w:color w:val="auto"/>
                      <w:sz w:val="18"/>
                      <w:szCs w:val="18"/>
                      <w:highlight w:val="none"/>
                      <w:vertAlign w:val="superscript"/>
                      <w:lang w:val="en-US" w:eastAsia="zh-CN"/>
                    </w:rPr>
                    <w:t>3</w:t>
                  </w:r>
                  <w:r>
                    <w:rPr>
                      <w:rFonts w:hint="eastAsia"/>
                      <w:color w:val="auto"/>
                      <w:sz w:val="18"/>
                      <w:szCs w:val="18"/>
                      <w:highlight w:val="none"/>
                      <w:lang w:val="en-US" w:eastAsia="zh-CN"/>
                    </w:rPr>
                    <w:t>，任意一次浓度值不超过20mg/m</w:t>
                  </w:r>
                  <w:r>
                    <w:rPr>
                      <w:rFonts w:hint="eastAsia"/>
                      <w:color w:val="auto"/>
                      <w:sz w:val="18"/>
                      <w:szCs w:val="18"/>
                      <w:highlight w:val="none"/>
                      <w:vertAlign w:val="superscript"/>
                      <w:lang w:val="en-US" w:eastAsia="zh-CN"/>
                    </w:rPr>
                    <w:t>3</w:t>
                  </w:r>
                  <w:r>
                    <w:rPr>
                      <w:rFonts w:hint="eastAsia"/>
                      <w:color w:val="auto"/>
                      <w:sz w:val="18"/>
                      <w:szCs w:val="18"/>
                      <w:highlight w:val="none"/>
                      <w:lang w:val="en-US" w:eastAsia="zh-CN"/>
                    </w:rPr>
                    <w:t>，符合要求</w:t>
                  </w:r>
                </w:p>
              </w:tc>
              <w:tc>
                <w:tcPr>
                  <w:tcW w:w="0" w:type="auto"/>
                  <w:tcBorders>
                    <w:tl2br w:val="nil"/>
                    <w:tr2bl w:val="nil"/>
                  </w:tcBorders>
                  <w:vAlign w:val="center"/>
                </w:tcPr>
                <w:p w14:paraId="14DD1D8B">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default"/>
                      <w:color w:val="auto"/>
                      <w:sz w:val="18"/>
                      <w:szCs w:val="18"/>
                      <w:highlight w:val="none"/>
                    </w:rPr>
                    <w:t>符合</w:t>
                  </w:r>
                </w:p>
              </w:tc>
            </w:tr>
            <w:tr w14:paraId="1F3B934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l2br w:val="nil"/>
                    <w:tr2bl w:val="nil"/>
                  </w:tcBorders>
                  <w:vAlign w:val="center"/>
                </w:tcPr>
                <w:p w14:paraId="0FFDBF4B">
                  <w:pPr>
                    <w:keepNext w:val="0"/>
                    <w:keepLines w:val="0"/>
                    <w:widowControl/>
                    <w:suppressLineNumbers w:val="0"/>
                    <w:adjustRightInd w:val="0"/>
                    <w:snapToGrid w:val="0"/>
                    <w:spacing w:before="0" w:beforeAutospacing="0" w:after="0" w:afterAutospacing="0"/>
                    <w:ind w:left="0" w:right="0"/>
                    <w:jc w:val="center"/>
                    <w:rPr>
                      <w:rFonts w:hint="default" w:eastAsia="宋体"/>
                      <w:color w:val="auto"/>
                      <w:sz w:val="18"/>
                      <w:szCs w:val="18"/>
                      <w:highlight w:val="none"/>
                      <w:lang w:val="en-US" w:eastAsia="zh-CN" w:bidi="ar"/>
                    </w:rPr>
                  </w:pPr>
                  <w:r>
                    <w:rPr>
                      <w:rFonts w:hint="eastAsia"/>
                      <w:color w:val="auto"/>
                      <w:sz w:val="18"/>
                      <w:szCs w:val="18"/>
                      <w:highlight w:val="none"/>
                      <w:lang w:val="en-US" w:eastAsia="zh-CN" w:bidi="ar"/>
                    </w:rPr>
                    <w:t>治理设施设计与运行管理</w:t>
                  </w:r>
                </w:p>
              </w:tc>
              <w:tc>
                <w:tcPr>
                  <w:tcW w:w="0" w:type="auto"/>
                  <w:tcBorders>
                    <w:tl2br w:val="nil"/>
                    <w:tr2bl w:val="nil"/>
                  </w:tcBorders>
                  <w:vAlign w:val="center"/>
                </w:tcPr>
                <w:p w14:paraId="1EFB07D2">
                  <w:pPr>
                    <w:keepNext w:val="0"/>
                    <w:keepLines w:val="0"/>
                    <w:suppressLineNumbers w:val="0"/>
                    <w:adjustRightInd w:val="0"/>
                    <w:snapToGrid w:val="0"/>
                    <w:spacing w:before="0" w:beforeAutospacing="0" w:after="0" w:afterAutospacing="0"/>
                    <w:ind w:left="0" w:leftChars="0" w:right="0" w:rightChars="0"/>
                    <w:rPr>
                      <w:rFonts w:hint="eastAsia"/>
                      <w:color w:val="auto"/>
                      <w:sz w:val="18"/>
                      <w:szCs w:val="18"/>
                      <w:highlight w:val="none"/>
                      <w:lang w:val="en-US" w:eastAsia="zh-CN"/>
                    </w:rPr>
                  </w:pPr>
                  <w:r>
                    <w:rPr>
                      <w:rFonts w:hint="eastAsia"/>
                      <w:color w:val="auto"/>
                      <w:sz w:val="18"/>
                      <w:szCs w:val="18"/>
                      <w:highlight w:val="none"/>
                      <w:lang w:val="en-US" w:eastAsia="zh-CN"/>
                    </w:rPr>
                    <w:t>吸附床（含活性炭吸附法）：a）预处理设备应根据废气的成分、性质和影响吸附过程的物质性质及含量进行选择；b）吸附床层的吸附剂用量应根据废气处理量、污染物浓度和吸附剂的动态吸附量确定；c）吸附剂应及时更换或有效再生。</w:t>
                  </w:r>
                </w:p>
                <w:p w14:paraId="7C69529D">
                  <w:pPr>
                    <w:keepNext w:val="0"/>
                    <w:keepLines w:val="0"/>
                    <w:suppressLineNumbers w:val="0"/>
                    <w:adjustRightInd w:val="0"/>
                    <w:snapToGrid w:val="0"/>
                    <w:spacing w:before="0" w:beforeAutospacing="0" w:after="0" w:afterAutospacing="0"/>
                    <w:ind w:left="0" w:leftChars="0" w:right="0" w:rightChars="0"/>
                    <w:rPr>
                      <w:rFonts w:hint="eastAsia"/>
                      <w:color w:val="auto"/>
                      <w:sz w:val="18"/>
                      <w:szCs w:val="18"/>
                      <w:highlight w:val="none"/>
                      <w:lang w:val="en-US" w:eastAsia="zh-CN"/>
                    </w:rPr>
                  </w:pPr>
                  <w:r>
                    <w:rPr>
                      <w:rFonts w:hint="eastAsia"/>
                      <w:color w:val="auto"/>
                      <w:sz w:val="18"/>
                      <w:szCs w:val="18"/>
                      <w:highlight w:val="none"/>
                      <w:lang w:val="en-US" w:eastAsia="zh-CN"/>
                    </w:rPr>
                    <w:t>密闭排气系统、VOCs污染控制设备应与工艺设施同步运转。</w:t>
                  </w:r>
                </w:p>
                <w:p w14:paraId="55C34E80">
                  <w:pPr>
                    <w:keepNext w:val="0"/>
                    <w:keepLines w:val="0"/>
                    <w:suppressLineNumbers w:val="0"/>
                    <w:adjustRightInd w:val="0"/>
                    <w:snapToGrid w:val="0"/>
                    <w:spacing w:before="0" w:beforeAutospacing="0" w:after="0" w:afterAutospacing="0"/>
                    <w:ind w:left="0" w:leftChars="0" w:right="0" w:rightChars="0"/>
                    <w:rPr>
                      <w:rFonts w:hint="eastAsia"/>
                      <w:color w:val="auto"/>
                      <w:sz w:val="18"/>
                      <w:szCs w:val="18"/>
                      <w:highlight w:val="none"/>
                      <w:lang w:val="en-US" w:eastAsia="zh-CN"/>
                    </w:rPr>
                  </w:pPr>
                  <w:r>
                    <w:rPr>
                      <w:rFonts w:hint="eastAsia"/>
                      <w:color w:val="auto"/>
                      <w:sz w:val="18"/>
                      <w:szCs w:val="18"/>
                      <w:highlight w:val="none"/>
                      <w:lang w:val="en-US" w:eastAsia="zh-CN"/>
                    </w:rPr>
                    <w:t>VOCs治理设施发生故障或检修时，对应的生产工艺设备应停止运行，待检修完毕后同步投入使用。</w:t>
                  </w:r>
                </w:p>
              </w:tc>
              <w:tc>
                <w:tcPr>
                  <w:tcW w:w="0" w:type="auto"/>
                  <w:tcBorders>
                    <w:tl2br w:val="nil"/>
                    <w:tr2bl w:val="nil"/>
                  </w:tcBorders>
                  <w:vAlign w:val="center"/>
                </w:tcPr>
                <w:p w14:paraId="74862996">
                  <w:pPr>
                    <w:keepNext w:val="0"/>
                    <w:keepLines w:val="0"/>
                    <w:suppressLineNumbers w:val="0"/>
                    <w:adjustRightInd w:val="0"/>
                    <w:snapToGrid w:val="0"/>
                    <w:spacing w:before="0" w:beforeAutospacing="0" w:after="0" w:afterAutospacing="0"/>
                    <w:ind w:left="0" w:leftChars="0" w:right="0" w:rightChars="0"/>
                    <w:rPr>
                      <w:rFonts w:hint="eastAsia"/>
                      <w:color w:val="auto"/>
                      <w:sz w:val="18"/>
                      <w:szCs w:val="18"/>
                      <w:highlight w:val="none"/>
                      <w:lang w:val="en-US" w:eastAsia="zh-CN"/>
                    </w:rPr>
                  </w:pPr>
                  <w:r>
                    <w:rPr>
                      <w:rFonts w:hint="eastAsia"/>
                      <w:color w:val="auto"/>
                      <w:sz w:val="18"/>
                      <w:szCs w:val="18"/>
                      <w:highlight w:val="none"/>
                      <w:lang w:val="en-US" w:eastAsia="zh-CN"/>
                    </w:rPr>
                    <w:t>项目废气治理设施与生产工艺设备同步运行，废气治理设施发生故障或检修时，对应的生产工艺设备应停止运行，待检修完毕后同步投入使用，符合要求</w:t>
                  </w:r>
                </w:p>
              </w:tc>
              <w:tc>
                <w:tcPr>
                  <w:tcW w:w="0" w:type="auto"/>
                  <w:tcBorders>
                    <w:tl2br w:val="nil"/>
                    <w:tr2bl w:val="nil"/>
                  </w:tcBorders>
                  <w:vAlign w:val="center"/>
                </w:tcPr>
                <w:p w14:paraId="0AE7DCFC">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p>
              </w:tc>
            </w:tr>
            <w:tr w14:paraId="256D741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4"/>
                  <w:tcBorders>
                    <w:tl2br w:val="nil"/>
                    <w:tr2bl w:val="nil"/>
                  </w:tcBorders>
                  <w:shd w:val="clear" w:color="auto" w:fill="D8D8D8"/>
                  <w:vAlign w:val="center"/>
                </w:tcPr>
                <w:p w14:paraId="3F4DEAFB">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default"/>
                      <w:b/>
                      <w:bCs/>
                      <w:color w:val="auto"/>
                      <w:sz w:val="18"/>
                      <w:szCs w:val="18"/>
                      <w:highlight w:val="none"/>
                    </w:rPr>
                    <w:t>环境管理</w:t>
                  </w:r>
                </w:p>
              </w:tc>
            </w:tr>
            <w:tr w14:paraId="668753C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l2br w:val="nil"/>
                    <w:tr2bl w:val="nil"/>
                  </w:tcBorders>
                  <w:vAlign w:val="center"/>
                </w:tcPr>
                <w:p w14:paraId="681B0DCD">
                  <w:pPr>
                    <w:keepNext w:val="0"/>
                    <w:keepLines w:val="0"/>
                    <w:widowControl/>
                    <w:suppressLineNumbers w:val="0"/>
                    <w:adjustRightInd w:val="0"/>
                    <w:snapToGrid w:val="0"/>
                    <w:spacing w:before="0" w:beforeAutospacing="0" w:after="0" w:afterAutospacing="0"/>
                    <w:ind w:left="0" w:right="0"/>
                    <w:jc w:val="center"/>
                    <w:rPr>
                      <w:rFonts w:hint="default"/>
                      <w:color w:val="auto"/>
                      <w:sz w:val="18"/>
                      <w:szCs w:val="18"/>
                      <w:highlight w:val="none"/>
                      <w:lang w:bidi="ar"/>
                    </w:rPr>
                  </w:pPr>
                  <w:r>
                    <w:rPr>
                      <w:rFonts w:hint="default"/>
                      <w:color w:val="auto"/>
                      <w:sz w:val="18"/>
                      <w:szCs w:val="18"/>
                      <w:highlight w:val="none"/>
                      <w:lang w:bidi="ar"/>
                    </w:rPr>
                    <w:t>管理台账</w:t>
                  </w:r>
                </w:p>
              </w:tc>
              <w:tc>
                <w:tcPr>
                  <w:tcW w:w="0" w:type="auto"/>
                  <w:tcBorders>
                    <w:tl2br w:val="nil"/>
                    <w:tr2bl w:val="nil"/>
                  </w:tcBorders>
                  <w:vAlign w:val="center"/>
                </w:tcPr>
                <w:p w14:paraId="35CB577E">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1、建立含VOCs原辅材料台账，记录含VOCs原辅材料的名称及其VOCs含量、采购量、使用量、库存量、含VOCs原辅材料回收方式及回收量。</w:t>
                  </w:r>
                </w:p>
                <w:p w14:paraId="1ADDE095">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2、建立废气收集处理设施台账，记录废气处理设施进出口的监测数据（废气量、浓度、温度、含氧量等）、废气收集与处理设施关键参数、废气处理设施相关耗材（吸收剂、吸附剂、催化剂等）购买和处理记录。</w:t>
                  </w:r>
                </w:p>
                <w:p w14:paraId="66F95BFF">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3、建立危废台账，整理危废处置合同、转移联单及危废处理方资质佐证材料。</w:t>
                  </w:r>
                </w:p>
                <w:p w14:paraId="5919FFE2">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4、台账保存期限不少于3年。</w:t>
                  </w:r>
                </w:p>
              </w:tc>
              <w:tc>
                <w:tcPr>
                  <w:tcW w:w="0" w:type="auto"/>
                  <w:tcBorders>
                    <w:tl2br w:val="nil"/>
                    <w:tr2bl w:val="nil"/>
                  </w:tcBorders>
                  <w:vAlign w:val="center"/>
                </w:tcPr>
                <w:p w14:paraId="5E7D879A">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本评价要求企业建立原料台帐，记录含VOCs原辅材料和含VOCs产品的相关信息；</w:t>
                  </w:r>
                </w:p>
                <w:p w14:paraId="596B4F14">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建立废气处理设施台账，记录废气处理设施的参数等；</w:t>
                  </w:r>
                </w:p>
                <w:p w14:paraId="3BE94737">
                  <w:pPr>
                    <w:keepNext w:val="0"/>
                    <w:keepLines w:val="0"/>
                    <w:suppressLineNumbers w:val="0"/>
                    <w:adjustRightInd w:val="0"/>
                    <w:snapToGrid w:val="0"/>
                    <w:spacing w:before="0" w:beforeAutospacing="0" w:after="0" w:afterAutospacing="0"/>
                    <w:ind w:left="0" w:right="0"/>
                    <w:rPr>
                      <w:rFonts w:hint="eastAsia" w:eastAsia="宋体"/>
                      <w:color w:val="auto"/>
                      <w:sz w:val="18"/>
                      <w:szCs w:val="18"/>
                      <w:highlight w:val="none"/>
                      <w:lang w:eastAsia="zh-CN"/>
                    </w:rPr>
                  </w:pPr>
                  <w:r>
                    <w:rPr>
                      <w:rFonts w:hint="default"/>
                      <w:color w:val="auto"/>
                      <w:sz w:val="18"/>
                      <w:szCs w:val="18"/>
                      <w:highlight w:val="none"/>
                    </w:rPr>
                    <w:t>建立危废台账，记录危险废物产生数量和转移数量</w:t>
                  </w:r>
                  <w:r>
                    <w:rPr>
                      <w:rFonts w:hint="eastAsia"/>
                      <w:color w:val="auto"/>
                      <w:sz w:val="18"/>
                      <w:szCs w:val="18"/>
                      <w:highlight w:val="none"/>
                      <w:lang w:eastAsia="zh-CN"/>
                    </w:rPr>
                    <w:t>；</w:t>
                  </w:r>
                </w:p>
                <w:p w14:paraId="22313FB8">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台账保存期限不少于3年</w:t>
                  </w:r>
                </w:p>
              </w:tc>
              <w:tc>
                <w:tcPr>
                  <w:tcW w:w="0" w:type="auto"/>
                  <w:tcBorders>
                    <w:tl2br w:val="nil"/>
                    <w:tr2bl w:val="nil"/>
                  </w:tcBorders>
                  <w:vAlign w:val="center"/>
                </w:tcPr>
                <w:p w14:paraId="14F9F6AC">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default"/>
                      <w:color w:val="auto"/>
                      <w:sz w:val="18"/>
                      <w:szCs w:val="18"/>
                      <w:highlight w:val="none"/>
                    </w:rPr>
                    <w:t>符合</w:t>
                  </w:r>
                </w:p>
              </w:tc>
            </w:tr>
            <w:tr w14:paraId="5EA592C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l2br w:val="nil"/>
                    <w:tr2bl w:val="nil"/>
                  </w:tcBorders>
                  <w:vAlign w:val="center"/>
                </w:tcPr>
                <w:p w14:paraId="3C74B0C5">
                  <w:pPr>
                    <w:keepNext w:val="0"/>
                    <w:keepLines w:val="0"/>
                    <w:widowControl/>
                    <w:suppressLineNumbers w:val="0"/>
                    <w:adjustRightInd w:val="0"/>
                    <w:snapToGrid w:val="0"/>
                    <w:spacing w:before="0" w:beforeAutospacing="0" w:after="0" w:afterAutospacing="0"/>
                    <w:ind w:left="0" w:right="0"/>
                    <w:jc w:val="center"/>
                    <w:rPr>
                      <w:rFonts w:hint="default" w:eastAsia="宋体"/>
                      <w:color w:val="auto"/>
                      <w:sz w:val="18"/>
                      <w:szCs w:val="18"/>
                      <w:highlight w:val="none"/>
                      <w:lang w:val="en-US" w:eastAsia="zh-CN" w:bidi="ar"/>
                    </w:rPr>
                  </w:pPr>
                  <w:r>
                    <w:rPr>
                      <w:rFonts w:hint="eastAsia"/>
                      <w:color w:val="auto"/>
                      <w:sz w:val="18"/>
                      <w:szCs w:val="18"/>
                      <w:highlight w:val="none"/>
                      <w:lang w:val="en-US" w:eastAsia="zh-CN" w:bidi="ar"/>
                    </w:rPr>
                    <w:t>自行监测</w:t>
                  </w:r>
                </w:p>
              </w:tc>
              <w:tc>
                <w:tcPr>
                  <w:tcW w:w="0" w:type="auto"/>
                  <w:tcBorders>
                    <w:tl2br w:val="nil"/>
                    <w:tr2bl w:val="nil"/>
                  </w:tcBorders>
                  <w:vAlign w:val="center"/>
                </w:tcPr>
                <w:p w14:paraId="6ABB10BE">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印刷设备、烘干箱（间）设备、复合、涂布设备通过废气捕集装置后废气排气筒，重点管理类自动监测，简化管理类一年一次。</w:t>
                  </w:r>
                </w:p>
                <w:p w14:paraId="314419AD">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其他生产废气排气筒，一年一次。无组织废气排放监测，一年一次。</w:t>
                  </w:r>
                </w:p>
              </w:tc>
              <w:tc>
                <w:tcPr>
                  <w:tcW w:w="0" w:type="auto"/>
                  <w:tcBorders>
                    <w:tl2br w:val="nil"/>
                    <w:tr2bl w:val="nil"/>
                  </w:tcBorders>
                  <w:vAlign w:val="center"/>
                </w:tcPr>
                <w:p w14:paraId="45ED5DBC">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项目对设有排气筒的污染因子，非甲烷总烃每半年检测一次，其余有机废气每年监测一次；厂界无组织的污染因子每年监测一次</w:t>
                  </w:r>
                </w:p>
              </w:tc>
              <w:tc>
                <w:tcPr>
                  <w:tcW w:w="0" w:type="auto"/>
                  <w:tcBorders>
                    <w:tl2br w:val="nil"/>
                    <w:tr2bl w:val="nil"/>
                  </w:tcBorders>
                  <w:vAlign w:val="center"/>
                </w:tcPr>
                <w:p w14:paraId="3E46234E">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default"/>
                      <w:color w:val="auto"/>
                      <w:sz w:val="18"/>
                      <w:szCs w:val="18"/>
                      <w:highlight w:val="none"/>
                    </w:rPr>
                    <w:t>符合</w:t>
                  </w:r>
                </w:p>
              </w:tc>
            </w:tr>
            <w:tr w14:paraId="3D968BA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l2br w:val="nil"/>
                    <w:tr2bl w:val="nil"/>
                  </w:tcBorders>
                  <w:vAlign w:val="center"/>
                </w:tcPr>
                <w:p w14:paraId="5F94E31E">
                  <w:pPr>
                    <w:keepNext w:val="0"/>
                    <w:keepLines w:val="0"/>
                    <w:widowControl/>
                    <w:suppressLineNumbers w:val="0"/>
                    <w:adjustRightInd w:val="0"/>
                    <w:snapToGrid w:val="0"/>
                    <w:spacing w:before="0" w:beforeAutospacing="0" w:after="0" w:afterAutospacing="0"/>
                    <w:ind w:left="0" w:right="0"/>
                    <w:jc w:val="center"/>
                    <w:rPr>
                      <w:rFonts w:hint="eastAsia" w:eastAsia="宋体"/>
                      <w:color w:val="auto"/>
                      <w:sz w:val="18"/>
                      <w:szCs w:val="18"/>
                      <w:highlight w:val="none"/>
                      <w:lang w:val="en-US" w:eastAsia="zh-CN" w:bidi="ar"/>
                    </w:rPr>
                  </w:pPr>
                  <w:r>
                    <w:rPr>
                      <w:rFonts w:hint="eastAsia"/>
                      <w:color w:val="auto"/>
                      <w:sz w:val="18"/>
                      <w:szCs w:val="18"/>
                      <w:highlight w:val="none"/>
                      <w:lang w:val="en-US" w:eastAsia="zh-CN" w:bidi="ar"/>
                    </w:rPr>
                    <w:t>危废管理</w:t>
                  </w:r>
                </w:p>
              </w:tc>
              <w:tc>
                <w:tcPr>
                  <w:tcW w:w="0" w:type="auto"/>
                  <w:tcBorders>
                    <w:tl2br w:val="nil"/>
                    <w:tr2bl w:val="nil"/>
                  </w:tcBorders>
                  <w:vAlign w:val="center"/>
                </w:tcPr>
                <w:p w14:paraId="433386AC">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盛装过VOCs物料的废包装容器应加盖密闭。</w:t>
                  </w:r>
                </w:p>
                <w:p w14:paraId="27FDC0ED">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废油墨、废清洗剂、废活性炭、废擦机布等含VOCs危险废物分类放置于贴有标识的容器或包装袋内，加盖、封口，及时转运、处置。</w:t>
                  </w:r>
                </w:p>
              </w:tc>
              <w:tc>
                <w:tcPr>
                  <w:tcW w:w="0" w:type="auto"/>
                  <w:tcBorders>
                    <w:tl2br w:val="nil"/>
                    <w:tr2bl w:val="nil"/>
                  </w:tcBorders>
                  <w:vAlign w:val="center"/>
                </w:tcPr>
                <w:p w14:paraId="5698EF52">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生产过程中产生的危险废物使用包装桶/密封包装袋密闭存储于危废暂存间内，并委托有危险废物处理资质单位进行转移、输送和无害化处理。含VOCs的危险废物分类放置于贴有标识的容器或包装袋内，加盖、封口，及时交由有资质单位处理</w:t>
                  </w:r>
                </w:p>
              </w:tc>
              <w:tc>
                <w:tcPr>
                  <w:tcW w:w="0" w:type="auto"/>
                  <w:tcBorders>
                    <w:tl2br w:val="nil"/>
                    <w:tr2bl w:val="nil"/>
                  </w:tcBorders>
                  <w:vAlign w:val="center"/>
                </w:tcPr>
                <w:p w14:paraId="458DE0D7">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default"/>
                      <w:color w:val="auto"/>
                      <w:sz w:val="18"/>
                      <w:szCs w:val="18"/>
                      <w:highlight w:val="none"/>
                    </w:rPr>
                    <w:t>符合</w:t>
                  </w:r>
                </w:p>
              </w:tc>
            </w:tr>
            <w:tr w14:paraId="55EB773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4"/>
                  <w:tcBorders>
                    <w:tl2br w:val="nil"/>
                    <w:tr2bl w:val="nil"/>
                  </w:tcBorders>
                  <w:shd w:val="clear" w:color="auto" w:fill="D8D8D8"/>
                  <w:vAlign w:val="center"/>
                </w:tcPr>
                <w:p w14:paraId="77AB29ED">
                  <w:pPr>
                    <w:keepNext w:val="0"/>
                    <w:keepLines w:val="0"/>
                    <w:suppressLineNumbers w:val="0"/>
                    <w:adjustRightInd w:val="0"/>
                    <w:snapToGrid w:val="0"/>
                    <w:spacing w:before="0" w:beforeAutospacing="0" w:after="0" w:afterAutospacing="0"/>
                    <w:ind w:left="0" w:right="0"/>
                    <w:jc w:val="center"/>
                    <w:rPr>
                      <w:rFonts w:hint="default"/>
                      <w:b/>
                      <w:bCs/>
                      <w:color w:val="auto"/>
                      <w:sz w:val="18"/>
                      <w:szCs w:val="18"/>
                      <w:highlight w:val="none"/>
                    </w:rPr>
                  </w:pPr>
                  <w:r>
                    <w:rPr>
                      <w:rFonts w:hint="default"/>
                      <w:b/>
                      <w:bCs/>
                      <w:color w:val="auto"/>
                      <w:sz w:val="18"/>
                      <w:szCs w:val="18"/>
                      <w:highlight w:val="none"/>
                    </w:rPr>
                    <w:t>其他</w:t>
                  </w:r>
                </w:p>
              </w:tc>
            </w:tr>
            <w:tr w14:paraId="6EC683D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l2br w:val="nil"/>
                    <w:tr2bl w:val="nil"/>
                  </w:tcBorders>
                  <w:vAlign w:val="center"/>
                </w:tcPr>
                <w:p w14:paraId="53125B8A">
                  <w:pPr>
                    <w:keepNext w:val="0"/>
                    <w:keepLines w:val="0"/>
                    <w:widowControl/>
                    <w:suppressLineNumbers w:val="0"/>
                    <w:adjustRightInd w:val="0"/>
                    <w:snapToGrid w:val="0"/>
                    <w:spacing w:before="0" w:beforeAutospacing="0" w:after="0" w:afterAutospacing="0"/>
                    <w:ind w:left="0" w:right="0"/>
                    <w:jc w:val="center"/>
                    <w:rPr>
                      <w:rFonts w:hint="default"/>
                      <w:color w:val="auto"/>
                      <w:sz w:val="18"/>
                      <w:szCs w:val="18"/>
                      <w:highlight w:val="none"/>
                      <w:lang w:bidi="ar"/>
                    </w:rPr>
                  </w:pPr>
                  <w:r>
                    <w:rPr>
                      <w:rFonts w:hint="default"/>
                      <w:color w:val="auto"/>
                      <w:sz w:val="18"/>
                      <w:szCs w:val="18"/>
                      <w:highlight w:val="none"/>
                      <w:lang w:bidi="ar"/>
                    </w:rPr>
                    <w:t>建设项目VOCs总量管理</w:t>
                  </w:r>
                </w:p>
              </w:tc>
              <w:tc>
                <w:tcPr>
                  <w:tcW w:w="0" w:type="auto"/>
                  <w:tcBorders>
                    <w:tl2br w:val="nil"/>
                    <w:tr2bl w:val="nil"/>
                  </w:tcBorders>
                  <w:vAlign w:val="center"/>
                </w:tcPr>
                <w:p w14:paraId="630E3526">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新、改、扩建项目应执行总量替代制度，明确VOCs总量指标来源。新、改、扩建项目和现有企业VOCs基准排放量计算参考《广东省重点行业挥发性有机物排放量计算方法核算》进行核算，若国家和我省出台适用于该行业的VOCs排放量计算方法，则参照其相关规定执行。</w:t>
                  </w:r>
                </w:p>
              </w:tc>
              <w:tc>
                <w:tcPr>
                  <w:tcW w:w="0" w:type="auto"/>
                  <w:tcBorders>
                    <w:tl2br w:val="nil"/>
                    <w:tr2bl w:val="nil"/>
                  </w:tcBorders>
                  <w:vAlign w:val="center"/>
                </w:tcPr>
                <w:p w14:paraId="5107B2CD">
                  <w:pPr>
                    <w:keepNext w:val="0"/>
                    <w:keepLines w:val="0"/>
                    <w:suppressLineNumbers w:val="0"/>
                    <w:adjustRightInd w:val="0"/>
                    <w:snapToGrid w:val="0"/>
                    <w:spacing w:before="0" w:beforeAutospacing="0" w:after="0" w:afterAutospacing="0"/>
                    <w:ind w:left="0" w:right="0"/>
                    <w:rPr>
                      <w:rFonts w:hint="eastAsia" w:eastAsia="宋体"/>
                      <w:color w:val="auto"/>
                      <w:sz w:val="18"/>
                      <w:szCs w:val="18"/>
                      <w:highlight w:val="none"/>
                      <w:lang w:eastAsia="zh-CN"/>
                    </w:rPr>
                  </w:pPr>
                  <w:r>
                    <w:rPr>
                      <w:rFonts w:hint="default"/>
                      <w:color w:val="auto"/>
                      <w:sz w:val="18"/>
                      <w:szCs w:val="18"/>
                      <w:highlight w:val="none"/>
                    </w:rPr>
                    <w:t>本项目执行总量替代制度，VOCs总量指标由惠州市生态环境局博罗分局调配，符合要求</w:t>
                  </w:r>
                  <w:r>
                    <w:rPr>
                      <w:rFonts w:hint="eastAsia"/>
                      <w:color w:val="auto"/>
                      <w:sz w:val="18"/>
                      <w:szCs w:val="18"/>
                      <w:highlight w:val="none"/>
                      <w:lang w:eastAsia="zh-CN"/>
                    </w:rPr>
                    <w:t>；</w:t>
                  </w:r>
                </w:p>
                <w:p w14:paraId="36E5ED03">
                  <w:pPr>
                    <w:keepNext w:val="0"/>
                    <w:keepLines w:val="0"/>
                    <w:suppressLineNumbers w:val="0"/>
                    <w:adjustRightInd w:val="0"/>
                    <w:snapToGrid w:val="0"/>
                    <w:spacing w:before="0" w:beforeAutospacing="0" w:after="0" w:afterAutospacing="0"/>
                    <w:ind w:left="0" w:right="0"/>
                    <w:rPr>
                      <w:rFonts w:hint="eastAsia" w:eastAsia="宋体"/>
                      <w:color w:val="auto"/>
                      <w:sz w:val="18"/>
                      <w:szCs w:val="18"/>
                      <w:highlight w:val="none"/>
                      <w:lang w:eastAsia="zh-CN"/>
                    </w:rPr>
                  </w:pPr>
                  <w:r>
                    <w:rPr>
                      <w:rFonts w:hint="default"/>
                      <w:color w:val="auto"/>
                      <w:sz w:val="18"/>
                      <w:szCs w:val="18"/>
                      <w:highlight w:val="none"/>
                    </w:rPr>
                    <w:t>本项目VOCs排放量计算根据VOCs含量检测报告中挥发物质含量进行核算，且检测报告的计算方法满足《广东省生态环境厅关于印发工业源挥发性有机物和氮氧化物减排量核算方法的通知》（粤环函〔2023〕538号）的要求</w:t>
                  </w:r>
                </w:p>
              </w:tc>
              <w:tc>
                <w:tcPr>
                  <w:tcW w:w="0" w:type="auto"/>
                  <w:tcBorders>
                    <w:tl2br w:val="nil"/>
                    <w:tr2bl w:val="nil"/>
                  </w:tcBorders>
                  <w:vAlign w:val="center"/>
                </w:tcPr>
                <w:p w14:paraId="05861751">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default"/>
                      <w:color w:val="auto"/>
                      <w:sz w:val="18"/>
                      <w:szCs w:val="18"/>
                      <w:highlight w:val="none"/>
                    </w:rPr>
                    <w:t>符合</w:t>
                  </w:r>
                </w:p>
              </w:tc>
            </w:tr>
            <w:tr w14:paraId="067BCA3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4"/>
                  <w:tcBorders>
                    <w:tl2br w:val="nil"/>
                    <w:tr2bl w:val="nil"/>
                  </w:tcBorders>
                  <w:vAlign w:val="center"/>
                </w:tcPr>
                <w:p w14:paraId="7D702FC9">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eastAsia"/>
                      <w:b/>
                      <w:bCs/>
                      <w:color w:val="auto"/>
                      <w:sz w:val="18"/>
                      <w:szCs w:val="18"/>
                      <w:highlight w:val="none"/>
                      <w:lang w:val="en-US" w:eastAsia="zh-CN"/>
                    </w:rPr>
                    <w:t>六、橡胶和塑料制品业VOCs治理指引，C2929塑料零件及其他塑料制品制造</w:t>
                  </w:r>
                </w:p>
              </w:tc>
            </w:tr>
            <w:tr w14:paraId="284B0A7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4"/>
                  <w:tcBorders>
                    <w:tl2br w:val="nil"/>
                    <w:tr2bl w:val="nil"/>
                  </w:tcBorders>
                  <w:shd w:val="clear" w:color="auto" w:fill="D7D7D7" w:themeFill="background1" w:themeFillShade="D8"/>
                  <w:vAlign w:val="center"/>
                </w:tcPr>
                <w:p w14:paraId="088DCFBC">
                  <w:pPr>
                    <w:keepNext w:val="0"/>
                    <w:keepLines w:val="0"/>
                    <w:suppressLineNumbers w:val="0"/>
                    <w:adjustRightInd w:val="0"/>
                    <w:snapToGrid w:val="0"/>
                    <w:spacing w:before="0" w:beforeAutospacing="0" w:after="0" w:afterAutospacing="0"/>
                    <w:ind w:left="0" w:right="0"/>
                    <w:jc w:val="center"/>
                    <w:rPr>
                      <w:rFonts w:hint="default" w:eastAsia="宋体"/>
                      <w:color w:val="auto"/>
                      <w:sz w:val="18"/>
                      <w:szCs w:val="18"/>
                      <w:highlight w:val="none"/>
                      <w:lang w:val="en-US" w:eastAsia="zh-CN"/>
                    </w:rPr>
                  </w:pPr>
                  <w:r>
                    <w:rPr>
                      <w:rFonts w:hint="eastAsia"/>
                      <w:b/>
                      <w:bCs/>
                      <w:color w:val="auto"/>
                      <w:sz w:val="18"/>
                      <w:szCs w:val="18"/>
                      <w:highlight w:val="none"/>
                      <w:lang w:val="en-US" w:eastAsia="zh-CN"/>
                    </w:rPr>
                    <w:t>过程控制</w:t>
                  </w:r>
                </w:p>
              </w:tc>
            </w:tr>
            <w:tr w14:paraId="39EDC60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tcBorders>
                    <w:tl2br w:val="nil"/>
                    <w:tr2bl w:val="nil"/>
                  </w:tcBorders>
                  <w:vAlign w:val="center"/>
                </w:tcPr>
                <w:p w14:paraId="1A1D46D5">
                  <w:pPr>
                    <w:keepNext w:val="0"/>
                    <w:keepLines w:val="0"/>
                    <w:widowControl/>
                    <w:suppressLineNumbers w:val="0"/>
                    <w:adjustRightInd w:val="0"/>
                    <w:snapToGrid w:val="0"/>
                    <w:spacing w:before="0" w:beforeAutospacing="0" w:after="0" w:afterAutospacing="0"/>
                    <w:ind w:left="0" w:right="0"/>
                    <w:jc w:val="center"/>
                    <w:rPr>
                      <w:rFonts w:hint="default" w:eastAsia="宋体"/>
                      <w:color w:val="auto"/>
                      <w:sz w:val="18"/>
                      <w:szCs w:val="18"/>
                      <w:highlight w:val="none"/>
                      <w:lang w:val="en-US" w:eastAsia="zh-CN" w:bidi="ar"/>
                    </w:rPr>
                  </w:pPr>
                  <w:r>
                    <w:rPr>
                      <w:rFonts w:hint="eastAsia"/>
                      <w:color w:val="auto"/>
                      <w:sz w:val="18"/>
                      <w:szCs w:val="18"/>
                      <w:highlight w:val="none"/>
                      <w:lang w:val="en-US" w:eastAsia="zh-CN" w:bidi="ar"/>
                    </w:rPr>
                    <w:t>VOCs物料储存</w:t>
                  </w:r>
                </w:p>
              </w:tc>
              <w:tc>
                <w:tcPr>
                  <w:tcW w:w="0" w:type="auto"/>
                  <w:tcBorders>
                    <w:tl2br w:val="nil"/>
                    <w:tr2bl w:val="nil"/>
                  </w:tcBorders>
                  <w:vAlign w:val="center"/>
                </w:tcPr>
                <w:p w14:paraId="67F43295">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VOCs物料应储存于密闭的容器、包装袋、储罐、储库、料仓中。</w:t>
                  </w:r>
                </w:p>
              </w:tc>
              <w:tc>
                <w:tcPr>
                  <w:tcW w:w="0" w:type="auto"/>
                  <w:tcBorders>
                    <w:tl2br w:val="nil"/>
                    <w:tr2bl w:val="nil"/>
                  </w:tcBorders>
                  <w:vAlign w:val="center"/>
                </w:tcPr>
                <w:p w14:paraId="245D19CC">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18"/>
                      <w:szCs w:val="18"/>
                      <w:highlight w:val="none"/>
                      <w:lang w:val="en-US" w:eastAsia="zh-CN" w:bidi="ar-SA"/>
                    </w:rPr>
                  </w:pPr>
                  <w:r>
                    <w:rPr>
                      <w:rFonts w:hint="default"/>
                      <w:color w:val="auto"/>
                      <w:sz w:val="18"/>
                      <w:szCs w:val="18"/>
                      <w:highlight w:val="none"/>
                    </w:rPr>
                    <w:t>项目</w:t>
                  </w:r>
                  <w:r>
                    <w:rPr>
                      <w:rFonts w:hint="eastAsia"/>
                      <w:color w:val="auto"/>
                      <w:sz w:val="18"/>
                      <w:szCs w:val="18"/>
                      <w:highlight w:val="none"/>
                      <w:lang w:val="en-US" w:eastAsia="zh-CN"/>
                    </w:rPr>
                    <w:t>使用的PVC塑料膜、APET塑料膜、PP塑料膜、ABS塑料膜、HTPS塑料膜</w:t>
                  </w:r>
                  <w:r>
                    <w:rPr>
                      <w:rFonts w:hint="default"/>
                      <w:color w:val="auto"/>
                      <w:sz w:val="18"/>
                      <w:szCs w:val="18"/>
                      <w:highlight w:val="none"/>
                      <w:lang w:bidi="ar"/>
                    </w:rPr>
                    <w:t>储存于密闭</w:t>
                  </w:r>
                  <w:r>
                    <w:rPr>
                      <w:rFonts w:hint="eastAsia"/>
                      <w:color w:val="auto"/>
                      <w:sz w:val="18"/>
                      <w:szCs w:val="18"/>
                      <w:highlight w:val="none"/>
                      <w:lang w:val="en-US" w:eastAsia="zh-CN" w:bidi="ar"/>
                    </w:rPr>
                    <w:t>容器内</w:t>
                  </w:r>
                </w:p>
              </w:tc>
              <w:tc>
                <w:tcPr>
                  <w:tcW w:w="0" w:type="auto"/>
                  <w:tcBorders>
                    <w:tl2br w:val="nil"/>
                    <w:tr2bl w:val="nil"/>
                  </w:tcBorders>
                  <w:vAlign w:val="center"/>
                </w:tcPr>
                <w:p w14:paraId="1C125193">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eastAsia"/>
                      <w:color w:val="auto"/>
                      <w:sz w:val="18"/>
                      <w:szCs w:val="18"/>
                      <w:highlight w:val="none"/>
                      <w:lang w:val="en-US" w:eastAsia="zh-CN"/>
                    </w:rPr>
                    <w:t>符合</w:t>
                  </w:r>
                </w:p>
              </w:tc>
            </w:tr>
            <w:tr w14:paraId="4065DEA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l2br w:val="nil"/>
                    <w:tr2bl w:val="nil"/>
                  </w:tcBorders>
                  <w:vAlign w:val="center"/>
                </w:tcPr>
                <w:p w14:paraId="6DDA6CF0">
                  <w:pPr>
                    <w:keepNext w:val="0"/>
                    <w:keepLines w:val="0"/>
                    <w:widowControl/>
                    <w:suppressLineNumbers w:val="0"/>
                    <w:adjustRightInd w:val="0"/>
                    <w:snapToGrid w:val="0"/>
                    <w:spacing w:before="0" w:beforeAutospacing="0" w:after="0" w:afterAutospacing="0"/>
                    <w:ind w:left="0" w:right="0"/>
                    <w:jc w:val="center"/>
                    <w:rPr>
                      <w:rFonts w:hint="default"/>
                      <w:color w:val="auto"/>
                      <w:sz w:val="18"/>
                      <w:szCs w:val="18"/>
                      <w:highlight w:val="none"/>
                      <w:lang w:bidi="ar"/>
                    </w:rPr>
                  </w:pPr>
                </w:p>
              </w:tc>
              <w:tc>
                <w:tcPr>
                  <w:tcW w:w="0" w:type="auto"/>
                  <w:tcBorders>
                    <w:tl2br w:val="nil"/>
                    <w:tr2bl w:val="nil"/>
                  </w:tcBorders>
                  <w:vAlign w:val="center"/>
                </w:tcPr>
                <w:p w14:paraId="74E0EC85">
                  <w:pPr>
                    <w:keepNext w:val="0"/>
                    <w:keepLines w:val="0"/>
                    <w:suppressLineNumbers w:val="0"/>
                    <w:adjustRightInd w:val="0"/>
                    <w:snapToGrid w:val="0"/>
                    <w:spacing w:before="0" w:beforeAutospacing="0" w:after="0" w:afterAutospacing="0"/>
                    <w:ind w:left="0" w:right="0"/>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盛装VOCs物料的容器是否存放于室内，或存放于设置有雨棚、遮阳和防渗设施的专用场地。盛装VOCs物料的容器在非取用状态时应加盖、封口，保持密闭。</w:t>
                  </w:r>
                </w:p>
              </w:tc>
              <w:tc>
                <w:tcPr>
                  <w:tcW w:w="0" w:type="auto"/>
                  <w:tcBorders>
                    <w:tl2br w:val="nil"/>
                    <w:tr2bl w:val="nil"/>
                  </w:tcBorders>
                  <w:vAlign w:val="center"/>
                </w:tcPr>
                <w:p w14:paraId="444EECFF">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18"/>
                      <w:szCs w:val="18"/>
                      <w:highlight w:val="none"/>
                      <w:lang w:val="en-US" w:eastAsia="zh-CN" w:bidi="ar-SA"/>
                    </w:rPr>
                  </w:pPr>
                  <w:r>
                    <w:rPr>
                      <w:rFonts w:hint="eastAsia"/>
                      <w:color w:val="auto"/>
                      <w:sz w:val="18"/>
                      <w:szCs w:val="18"/>
                      <w:highlight w:val="none"/>
                      <w:lang w:val="en-US" w:eastAsia="zh-CN" w:bidi="ar"/>
                    </w:rPr>
                    <w:t>项目PVC塑料膜、APET塑料膜、PP塑料膜、ABS塑料膜、HTPS塑料膜粒</w:t>
                  </w:r>
                  <w:r>
                    <w:rPr>
                      <w:rFonts w:hint="default"/>
                      <w:color w:val="auto"/>
                      <w:sz w:val="18"/>
                      <w:szCs w:val="18"/>
                      <w:highlight w:val="none"/>
                      <w:lang w:bidi="ar"/>
                    </w:rPr>
                    <w:t>存放于室内，非取用状态时保持密闭</w:t>
                  </w:r>
                </w:p>
              </w:tc>
              <w:tc>
                <w:tcPr>
                  <w:tcW w:w="0" w:type="auto"/>
                  <w:tcBorders>
                    <w:tl2br w:val="nil"/>
                    <w:tr2bl w:val="nil"/>
                  </w:tcBorders>
                  <w:vAlign w:val="center"/>
                </w:tcPr>
                <w:p w14:paraId="06FFDD97">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eastAsia"/>
                      <w:color w:val="auto"/>
                      <w:sz w:val="18"/>
                      <w:szCs w:val="18"/>
                      <w:highlight w:val="none"/>
                      <w:lang w:val="en-US" w:eastAsia="zh-CN"/>
                    </w:rPr>
                    <w:t>符合</w:t>
                  </w:r>
                </w:p>
              </w:tc>
            </w:tr>
            <w:tr w14:paraId="6420918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l2br w:val="nil"/>
                    <w:tr2bl w:val="nil"/>
                  </w:tcBorders>
                  <w:vAlign w:val="center"/>
                </w:tcPr>
                <w:p w14:paraId="529E2869">
                  <w:pPr>
                    <w:keepNext w:val="0"/>
                    <w:keepLines w:val="0"/>
                    <w:widowControl/>
                    <w:suppressLineNumbers w:val="0"/>
                    <w:adjustRightInd w:val="0"/>
                    <w:snapToGrid w:val="0"/>
                    <w:spacing w:before="0" w:beforeAutospacing="0" w:after="0" w:afterAutospacing="0"/>
                    <w:ind w:left="0" w:right="0"/>
                    <w:jc w:val="center"/>
                    <w:rPr>
                      <w:rFonts w:hint="default"/>
                      <w:color w:val="auto"/>
                      <w:sz w:val="18"/>
                      <w:szCs w:val="18"/>
                      <w:highlight w:val="none"/>
                      <w:lang w:bidi="ar"/>
                    </w:rPr>
                  </w:pPr>
                  <w:r>
                    <w:rPr>
                      <w:rFonts w:hint="default"/>
                      <w:color w:val="auto"/>
                      <w:sz w:val="18"/>
                      <w:szCs w:val="18"/>
                      <w:highlight w:val="none"/>
                      <w:lang w:bidi="ar"/>
                    </w:rPr>
                    <w:t>VOCs物料转移和输送</w:t>
                  </w:r>
                </w:p>
              </w:tc>
              <w:tc>
                <w:tcPr>
                  <w:tcW w:w="0" w:type="auto"/>
                  <w:tcBorders>
                    <w:tl2br w:val="nil"/>
                    <w:tr2bl w:val="nil"/>
                  </w:tcBorders>
                  <w:vAlign w:val="center"/>
                </w:tcPr>
                <w:p w14:paraId="4FA67DCA">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液体VOCs物料应采用管道密闭输送。采用非管道输送方式转移液态VOCs物料时，应采用密闭容器或罐车。</w:t>
                  </w:r>
                </w:p>
              </w:tc>
              <w:tc>
                <w:tcPr>
                  <w:tcW w:w="0" w:type="auto"/>
                  <w:tcBorders>
                    <w:tl2br w:val="nil"/>
                    <w:tr2bl w:val="nil"/>
                  </w:tcBorders>
                  <w:vAlign w:val="center"/>
                </w:tcPr>
                <w:p w14:paraId="3941C8DF">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18"/>
                      <w:szCs w:val="18"/>
                      <w:highlight w:val="none"/>
                      <w:lang w:val="en-US" w:eastAsia="zh-CN" w:bidi="ar-SA"/>
                    </w:rPr>
                  </w:pPr>
                  <w:r>
                    <w:rPr>
                      <w:rFonts w:hint="eastAsia"/>
                      <w:color w:val="auto"/>
                      <w:sz w:val="18"/>
                      <w:szCs w:val="18"/>
                      <w:highlight w:val="none"/>
                      <w:lang w:val="en-US" w:eastAsia="zh-CN"/>
                    </w:rPr>
                    <w:t>项目所用的PVC塑料膜、APET塑料膜、PP塑料膜、ABS塑料膜、HTPS塑料膜采用密闭包装袋进行物料转移</w:t>
                  </w:r>
                </w:p>
              </w:tc>
              <w:tc>
                <w:tcPr>
                  <w:tcW w:w="0" w:type="auto"/>
                  <w:tcBorders>
                    <w:tl2br w:val="nil"/>
                    <w:tr2bl w:val="nil"/>
                  </w:tcBorders>
                  <w:vAlign w:val="center"/>
                </w:tcPr>
                <w:p w14:paraId="3430DE36">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eastAsia"/>
                      <w:color w:val="auto"/>
                      <w:sz w:val="18"/>
                      <w:szCs w:val="18"/>
                      <w:highlight w:val="none"/>
                      <w:lang w:val="en-US" w:eastAsia="zh-CN"/>
                    </w:rPr>
                    <w:t>符合</w:t>
                  </w:r>
                </w:p>
              </w:tc>
            </w:tr>
            <w:tr w14:paraId="105519E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Merge w:val="restart"/>
                  <w:tcBorders>
                    <w:tl2br w:val="nil"/>
                    <w:tr2bl w:val="nil"/>
                  </w:tcBorders>
                  <w:vAlign w:val="center"/>
                </w:tcPr>
                <w:p w14:paraId="5B248F25">
                  <w:pPr>
                    <w:keepNext w:val="0"/>
                    <w:keepLines w:val="0"/>
                    <w:widowControl/>
                    <w:suppressLineNumbers w:val="0"/>
                    <w:adjustRightInd w:val="0"/>
                    <w:snapToGrid w:val="0"/>
                    <w:spacing w:before="0" w:beforeAutospacing="0" w:after="0" w:afterAutospacing="0"/>
                    <w:ind w:left="0" w:right="0"/>
                    <w:jc w:val="center"/>
                    <w:rPr>
                      <w:rFonts w:hint="default"/>
                      <w:color w:val="auto"/>
                      <w:sz w:val="18"/>
                      <w:szCs w:val="18"/>
                      <w:highlight w:val="none"/>
                      <w:lang w:bidi="ar"/>
                    </w:rPr>
                  </w:pPr>
                  <w:r>
                    <w:rPr>
                      <w:rFonts w:hint="default"/>
                      <w:color w:val="auto"/>
                      <w:sz w:val="18"/>
                      <w:szCs w:val="18"/>
                      <w:highlight w:val="none"/>
                      <w:lang w:bidi="ar"/>
                    </w:rPr>
                    <w:t>工艺过程</w:t>
                  </w:r>
                </w:p>
              </w:tc>
              <w:tc>
                <w:tcPr>
                  <w:tcW w:w="0" w:type="auto"/>
                  <w:tcBorders>
                    <w:tl2br w:val="nil"/>
                    <w:tr2bl w:val="nil"/>
                  </w:tcBorders>
                  <w:vAlign w:val="center"/>
                </w:tcPr>
                <w:p w14:paraId="7C8B0995">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液态VOCs物料采用密闭管道输送方式或采用高位槽（罐）、桶泵等给料方式密闭投加；无法密闭投加的，在密闭空间内操作，或进行局部气体收集，废气排至VOCs废气收集处理系统。</w:t>
                  </w:r>
                </w:p>
              </w:tc>
              <w:tc>
                <w:tcPr>
                  <w:tcW w:w="0" w:type="auto"/>
                  <w:tcBorders>
                    <w:tl2br w:val="nil"/>
                    <w:tr2bl w:val="nil"/>
                  </w:tcBorders>
                  <w:vAlign w:val="center"/>
                </w:tcPr>
                <w:p w14:paraId="192C7681">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18"/>
                      <w:szCs w:val="18"/>
                      <w:highlight w:val="none"/>
                      <w:lang w:val="en-US" w:eastAsia="zh-CN" w:bidi="ar-SA"/>
                    </w:rPr>
                  </w:pPr>
                  <w:r>
                    <w:rPr>
                      <w:rFonts w:hint="default"/>
                      <w:bCs/>
                      <w:color w:val="auto"/>
                      <w:kern w:val="44"/>
                      <w:sz w:val="18"/>
                      <w:szCs w:val="18"/>
                      <w:highlight w:val="none"/>
                    </w:rPr>
                    <w:t>项目</w:t>
                  </w:r>
                  <w:r>
                    <w:rPr>
                      <w:rFonts w:hint="eastAsia"/>
                      <w:bCs/>
                      <w:color w:val="auto"/>
                      <w:kern w:val="44"/>
                      <w:sz w:val="18"/>
                      <w:szCs w:val="18"/>
                      <w:highlight w:val="none"/>
                      <w:lang w:val="en-US" w:eastAsia="zh-CN"/>
                    </w:rPr>
                    <w:t>塑料零件及其他塑料制品制造部分不涉及液态VOCs物料的使用</w:t>
                  </w:r>
                </w:p>
              </w:tc>
              <w:tc>
                <w:tcPr>
                  <w:tcW w:w="0" w:type="auto"/>
                  <w:tcBorders>
                    <w:tl2br w:val="nil"/>
                    <w:tr2bl w:val="nil"/>
                  </w:tcBorders>
                  <w:vAlign w:val="center"/>
                </w:tcPr>
                <w:p w14:paraId="481225C6">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eastAsia"/>
                      <w:color w:val="auto"/>
                      <w:sz w:val="18"/>
                      <w:szCs w:val="18"/>
                      <w:highlight w:val="none"/>
                      <w:lang w:val="en-US" w:eastAsia="zh-CN"/>
                    </w:rPr>
                    <w:t>符合</w:t>
                  </w:r>
                </w:p>
              </w:tc>
            </w:tr>
            <w:tr w14:paraId="4487A47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Merge w:val="continue"/>
                  <w:tcBorders>
                    <w:tl2br w:val="nil"/>
                    <w:tr2bl w:val="nil"/>
                  </w:tcBorders>
                  <w:vAlign w:val="center"/>
                </w:tcPr>
                <w:p w14:paraId="55AB7F60">
                  <w:pPr>
                    <w:keepNext w:val="0"/>
                    <w:keepLines w:val="0"/>
                    <w:widowControl/>
                    <w:suppressLineNumbers w:val="0"/>
                    <w:adjustRightInd w:val="0"/>
                    <w:snapToGrid w:val="0"/>
                    <w:spacing w:before="0" w:beforeAutospacing="0" w:after="0" w:afterAutospacing="0"/>
                    <w:ind w:left="0" w:right="0"/>
                    <w:jc w:val="center"/>
                    <w:rPr>
                      <w:rFonts w:hint="default"/>
                      <w:color w:val="auto"/>
                      <w:sz w:val="18"/>
                      <w:szCs w:val="18"/>
                      <w:highlight w:val="none"/>
                      <w:lang w:bidi="ar"/>
                    </w:rPr>
                  </w:pPr>
                </w:p>
              </w:tc>
              <w:tc>
                <w:tcPr>
                  <w:tcW w:w="0" w:type="auto"/>
                  <w:tcBorders>
                    <w:tl2br w:val="nil"/>
                    <w:tr2bl w:val="nil"/>
                  </w:tcBorders>
                  <w:vAlign w:val="center"/>
                </w:tcPr>
                <w:p w14:paraId="33CBABCC">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粉状、粒状VOCs物料采用气力输送方式或采用密闭固体投料器等给料方式密闭投加；无法密闭投加的，在密闭空间内操作，或进行局部气体收集，废气排至除尘设施、VOCs废气收集处理系统。</w:t>
                  </w:r>
                </w:p>
              </w:tc>
              <w:tc>
                <w:tcPr>
                  <w:tcW w:w="0" w:type="auto"/>
                  <w:tcBorders>
                    <w:tl2br w:val="nil"/>
                    <w:tr2bl w:val="nil"/>
                  </w:tcBorders>
                  <w:vAlign w:val="center"/>
                </w:tcPr>
                <w:p w14:paraId="2613E03F">
                  <w:pPr>
                    <w:keepNext w:val="0"/>
                    <w:keepLines w:val="0"/>
                    <w:suppressLineNumbers w:val="0"/>
                    <w:adjustRightInd w:val="0"/>
                    <w:snapToGrid w:val="0"/>
                    <w:spacing w:before="0" w:beforeAutospacing="0" w:after="0" w:afterAutospacing="0"/>
                    <w:ind w:left="0" w:leftChars="0" w:right="0" w:rightChars="0"/>
                    <w:rPr>
                      <w:rFonts w:hint="default" w:eastAsia="宋体"/>
                      <w:bCs/>
                      <w:color w:val="auto"/>
                      <w:kern w:val="44"/>
                      <w:sz w:val="18"/>
                      <w:szCs w:val="18"/>
                      <w:highlight w:val="none"/>
                      <w:lang w:val="en-US" w:eastAsia="zh-CN"/>
                    </w:rPr>
                  </w:pPr>
                  <w:r>
                    <w:rPr>
                      <w:rFonts w:hint="eastAsia"/>
                      <w:bCs/>
                      <w:color w:val="auto"/>
                      <w:kern w:val="44"/>
                      <w:sz w:val="18"/>
                      <w:szCs w:val="18"/>
                      <w:highlight w:val="none"/>
                      <w:lang w:val="en-US" w:eastAsia="zh-CN"/>
                    </w:rPr>
                    <w:t>项目吸塑工序所用的PVC塑料膜、APET塑料膜、PP塑料膜、ABS塑料膜、HTPS塑料膜为片状材料，采用集气罩收集废气排至废气处理系统处理</w:t>
                  </w:r>
                </w:p>
              </w:tc>
              <w:tc>
                <w:tcPr>
                  <w:tcW w:w="0" w:type="auto"/>
                  <w:tcBorders>
                    <w:tl2br w:val="nil"/>
                    <w:tr2bl w:val="nil"/>
                  </w:tcBorders>
                  <w:vAlign w:val="center"/>
                </w:tcPr>
                <w:p w14:paraId="64A8D213">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lang w:val="en-US" w:eastAsia="zh-CN"/>
                    </w:rPr>
                  </w:pPr>
                  <w:r>
                    <w:rPr>
                      <w:rFonts w:hint="eastAsia"/>
                      <w:color w:val="auto"/>
                      <w:sz w:val="18"/>
                      <w:szCs w:val="18"/>
                      <w:highlight w:val="none"/>
                      <w:lang w:val="en-US" w:eastAsia="zh-CN"/>
                    </w:rPr>
                    <w:t>符合</w:t>
                  </w:r>
                </w:p>
              </w:tc>
            </w:tr>
            <w:tr w14:paraId="2A0AE70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Merge w:val="continue"/>
                  <w:tcBorders>
                    <w:tl2br w:val="nil"/>
                    <w:tr2bl w:val="nil"/>
                  </w:tcBorders>
                  <w:vAlign w:val="center"/>
                </w:tcPr>
                <w:p w14:paraId="75C9DBF5">
                  <w:pPr>
                    <w:keepNext w:val="0"/>
                    <w:keepLines w:val="0"/>
                    <w:widowControl/>
                    <w:suppressLineNumbers w:val="0"/>
                    <w:adjustRightInd w:val="0"/>
                    <w:snapToGrid w:val="0"/>
                    <w:spacing w:before="0" w:beforeAutospacing="0" w:after="0" w:afterAutospacing="0"/>
                    <w:ind w:left="0" w:right="0"/>
                    <w:jc w:val="center"/>
                    <w:rPr>
                      <w:rFonts w:hint="default"/>
                      <w:color w:val="auto"/>
                      <w:sz w:val="18"/>
                      <w:szCs w:val="18"/>
                      <w:highlight w:val="none"/>
                      <w:lang w:bidi="ar"/>
                    </w:rPr>
                  </w:pPr>
                </w:p>
              </w:tc>
              <w:tc>
                <w:tcPr>
                  <w:tcW w:w="0" w:type="auto"/>
                  <w:tcBorders>
                    <w:tl2br w:val="nil"/>
                    <w:tr2bl w:val="nil"/>
                  </w:tcBorders>
                  <w:vAlign w:val="center"/>
                </w:tcPr>
                <w:p w14:paraId="5B1C9857">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在混合/混炼、塑炼/塑化/熔化、加工成型（挤出、注射、压制、压延、发泡、纺丝等）、硫化等作业中应采用密闭设备或在密闭空间中操作，废气应排至VOCs废气收集处理系统；无法密闭的，应采取局部气体收集措施，废气应排至VOCs废气收集处理系统。</w:t>
                  </w:r>
                </w:p>
              </w:tc>
              <w:tc>
                <w:tcPr>
                  <w:tcW w:w="0" w:type="auto"/>
                  <w:tcBorders>
                    <w:tl2br w:val="nil"/>
                    <w:tr2bl w:val="nil"/>
                  </w:tcBorders>
                  <w:vAlign w:val="center"/>
                </w:tcPr>
                <w:p w14:paraId="3107FA3A">
                  <w:pPr>
                    <w:keepNext w:val="0"/>
                    <w:keepLines w:val="0"/>
                    <w:suppressLineNumbers w:val="0"/>
                    <w:adjustRightInd w:val="0"/>
                    <w:snapToGrid w:val="0"/>
                    <w:spacing w:before="0" w:beforeAutospacing="0" w:after="0" w:afterAutospacing="0"/>
                    <w:ind w:left="0" w:leftChars="0" w:right="0" w:rightChars="0"/>
                    <w:rPr>
                      <w:rFonts w:hint="default" w:eastAsia="宋体"/>
                      <w:bCs/>
                      <w:color w:val="auto"/>
                      <w:kern w:val="44"/>
                      <w:sz w:val="18"/>
                      <w:szCs w:val="18"/>
                      <w:highlight w:val="none"/>
                      <w:lang w:val="en-US" w:eastAsia="zh-CN"/>
                    </w:rPr>
                  </w:pPr>
                  <w:r>
                    <w:rPr>
                      <w:rFonts w:hint="eastAsia"/>
                      <w:bCs/>
                      <w:color w:val="auto"/>
                      <w:kern w:val="44"/>
                      <w:sz w:val="18"/>
                      <w:szCs w:val="18"/>
                      <w:highlight w:val="none"/>
                      <w:lang w:val="en-US" w:eastAsia="zh-CN"/>
                    </w:rPr>
                    <w:t>项目吸塑工序产生的有机废气采用局部气体收集措施，废气经收集后排至VOCs废气收集处理系统处理</w:t>
                  </w:r>
                </w:p>
              </w:tc>
              <w:tc>
                <w:tcPr>
                  <w:tcW w:w="0" w:type="auto"/>
                  <w:tcBorders>
                    <w:tl2br w:val="nil"/>
                    <w:tr2bl w:val="nil"/>
                  </w:tcBorders>
                  <w:vAlign w:val="center"/>
                </w:tcPr>
                <w:p w14:paraId="7E090463">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lang w:val="en-US" w:eastAsia="zh-CN"/>
                    </w:rPr>
                  </w:pPr>
                  <w:r>
                    <w:rPr>
                      <w:rFonts w:hint="eastAsia"/>
                      <w:color w:val="auto"/>
                      <w:sz w:val="18"/>
                      <w:szCs w:val="18"/>
                      <w:highlight w:val="none"/>
                      <w:lang w:val="en-US" w:eastAsia="zh-CN"/>
                    </w:rPr>
                    <w:t>符合</w:t>
                  </w:r>
                </w:p>
              </w:tc>
            </w:tr>
            <w:tr w14:paraId="6B2F33A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Merge w:val="continue"/>
                  <w:tcBorders>
                    <w:tl2br w:val="nil"/>
                    <w:tr2bl w:val="nil"/>
                  </w:tcBorders>
                  <w:vAlign w:val="center"/>
                </w:tcPr>
                <w:p w14:paraId="271F47A7">
                  <w:pPr>
                    <w:keepNext w:val="0"/>
                    <w:keepLines w:val="0"/>
                    <w:widowControl/>
                    <w:suppressLineNumbers w:val="0"/>
                    <w:adjustRightInd w:val="0"/>
                    <w:snapToGrid w:val="0"/>
                    <w:spacing w:before="0" w:beforeAutospacing="0" w:after="0" w:afterAutospacing="0"/>
                    <w:ind w:left="0" w:right="0"/>
                    <w:jc w:val="center"/>
                    <w:rPr>
                      <w:rFonts w:hint="default"/>
                      <w:color w:val="auto"/>
                      <w:sz w:val="18"/>
                      <w:szCs w:val="18"/>
                      <w:highlight w:val="none"/>
                      <w:lang w:bidi="ar"/>
                    </w:rPr>
                  </w:pPr>
                </w:p>
              </w:tc>
              <w:tc>
                <w:tcPr>
                  <w:tcW w:w="0" w:type="auto"/>
                  <w:tcBorders>
                    <w:tl2br w:val="nil"/>
                    <w:tr2bl w:val="nil"/>
                  </w:tcBorders>
                  <w:vAlign w:val="center"/>
                </w:tcPr>
                <w:p w14:paraId="4BAF17A1">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浸胶、胶浆喷涂、涂胶、喷漆、印刷、清洗等工序使用VOCs质量占比大于等于10%的原辅材料时，其使用过程应采用密闭设备或在密闭空间内操作，废气应排至VOCs废气收集处理系统；无法密闭的，应采取局部气体收集措施，废气应排至VOCs废气收集处理系统。</w:t>
                  </w:r>
                </w:p>
              </w:tc>
              <w:tc>
                <w:tcPr>
                  <w:tcW w:w="0" w:type="auto"/>
                  <w:tcBorders>
                    <w:tl2br w:val="nil"/>
                    <w:tr2bl w:val="nil"/>
                  </w:tcBorders>
                  <w:vAlign w:val="center"/>
                </w:tcPr>
                <w:p w14:paraId="67D510B8">
                  <w:pPr>
                    <w:keepNext w:val="0"/>
                    <w:keepLines w:val="0"/>
                    <w:suppressLineNumbers w:val="0"/>
                    <w:adjustRightInd w:val="0"/>
                    <w:snapToGrid w:val="0"/>
                    <w:spacing w:before="0" w:beforeAutospacing="0" w:after="0" w:afterAutospacing="0"/>
                    <w:ind w:left="0" w:leftChars="0" w:right="0" w:rightChars="0"/>
                    <w:rPr>
                      <w:rFonts w:hint="default" w:eastAsia="宋体"/>
                      <w:bCs/>
                      <w:color w:val="auto"/>
                      <w:kern w:val="44"/>
                      <w:sz w:val="18"/>
                      <w:szCs w:val="18"/>
                      <w:highlight w:val="none"/>
                      <w:lang w:val="en-US" w:eastAsia="zh-CN"/>
                    </w:rPr>
                  </w:pPr>
                  <w:r>
                    <w:rPr>
                      <w:rFonts w:hint="eastAsia"/>
                      <w:bCs/>
                      <w:color w:val="auto"/>
                      <w:kern w:val="44"/>
                      <w:sz w:val="18"/>
                      <w:szCs w:val="18"/>
                      <w:highlight w:val="none"/>
                      <w:lang w:val="en-US" w:eastAsia="zh-CN"/>
                    </w:rPr>
                    <w:t>项目塑料零件及其他塑料制品制造部分不涉及</w:t>
                  </w:r>
                  <w:r>
                    <w:rPr>
                      <w:rFonts w:hint="default"/>
                      <w:color w:val="auto"/>
                      <w:sz w:val="18"/>
                      <w:szCs w:val="18"/>
                      <w:highlight w:val="none"/>
                    </w:rPr>
                    <w:t>浸胶、胶浆喷涂、涂胶、喷漆、印刷、清洗等工序</w:t>
                  </w:r>
                </w:p>
              </w:tc>
              <w:tc>
                <w:tcPr>
                  <w:tcW w:w="0" w:type="auto"/>
                  <w:tcBorders>
                    <w:tl2br w:val="nil"/>
                    <w:tr2bl w:val="nil"/>
                  </w:tcBorders>
                  <w:vAlign w:val="center"/>
                </w:tcPr>
                <w:p w14:paraId="07D7335D">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lang w:val="en-US" w:eastAsia="zh-CN"/>
                    </w:rPr>
                  </w:pPr>
                  <w:r>
                    <w:rPr>
                      <w:rFonts w:hint="eastAsia"/>
                      <w:color w:val="auto"/>
                      <w:sz w:val="18"/>
                      <w:szCs w:val="18"/>
                      <w:highlight w:val="none"/>
                      <w:lang w:val="en-US" w:eastAsia="zh-CN"/>
                    </w:rPr>
                    <w:t>符合</w:t>
                  </w:r>
                </w:p>
              </w:tc>
            </w:tr>
            <w:tr w14:paraId="3BC5721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tcBorders>
                    <w:tl2br w:val="nil"/>
                    <w:tr2bl w:val="nil"/>
                  </w:tcBorders>
                  <w:vAlign w:val="center"/>
                </w:tcPr>
                <w:p w14:paraId="7A7D2D40">
                  <w:pPr>
                    <w:keepNext w:val="0"/>
                    <w:keepLines w:val="0"/>
                    <w:widowControl/>
                    <w:suppressLineNumbers w:val="0"/>
                    <w:adjustRightInd w:val="0"/>
                    <w:snapToGrid w:val="0"/>
                    <w:spacing w:before="0" w:beforeAutospacing="0" w:after="0" w:afterAutospacing="0"/>
                    <w:ind w:left="0" w:right="0"/>
                    <w:jc w:val="center"/>
                    <w:rPr>
                      <w:rFonts w:hint="default" w:eastAsia="宋体"/>
                      <w:color w:val="auto"/>
                      <w:sz w:val="18"/>
                      <w:szCs w:val="18"/>
                      <w:highlight w:val="none"/>
                      <w:lang w:val="en-US" w:eastAsia="zh-CN" w:bidi="ar"/>
                    </w:rPr>
                  </w:pPr>
                  <w:r>
                    <w:rPr>
                      <w:rFonts w:hint="eastAsia"/>
                      <w:color w:val="auto"/>
                      <w:sz w:val="18"/>
                      <w:szCs w:val="18"/>
                      <w:highlight w:val="none"/>
                      <w:lang w:val="en-US" w:eastAsia="zh-CN" w:bidi="ar"/>
                    </w:rPr>
                    <w:t>非正常排放</w:t>
                  </w:r>
                </w:p>
              </w:tc>
              <w:tc>
                <w:tcPr>
                  <w:tcW w:w="0" w:type="auto"/>
                  <w:tcBorders>
                    <w:tl2br w:val="nil"/>
                    <w:tr2bl w:val="nil"/>
                  </w:tcBorders>
                  <w:vAlign w:val="center"/>
                </w:tcPr>
                <w:p w14:paraId="54764798">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载有VOCs物料的设备及其管道在开停工（车）、检维修和清洗时，应在退料阶段将残存物料退净，并用密闭容器盛装，退料过程废气应排至VOCs废气收集处理系统；清洗及吹扫过程排气应排至VOCs废气收集处理系统。</w:t>
                  </w:r>
                </w:p>
              </w:tc>
              <w:tc>
                <w:tcPr>
                  <w:tcW w:w="0" w:type="auto"/>
                  <w:tcBorders>
                    <w:tl2br w:val="nil"/>
                    <w:tr2bl w:val="nil"/>
                  </w:tcBorders>
                  <w:vAlign w:val="center"/>
                </w:tcPr>
                <w:p w14:paraId="2F448D14">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载有VOCs物料的设备及其管道在开停工（车）、检维修和清洗时，在退料阶段将残存物料退净，并用密闭容器盛装，退料过程废气应排至VOCs废气收集处理系统；清洗及吹扫过程排气应排至VOCs废气收集处理系统</w:t>
                  </w:r>
                </w:p>
              </w:tc>
              <w:tc>
                <w:tcPr>
                  <w:tcW w:w="0" w:type="auto"/>
                  <w:tcBorders>
                    <w:tl2br w:val="nil"/>
                    <w:tr2bl w:val="nil"/>
                  </w:tcBorders>
                  <w:vAlign w:val="center"/>
                </w:tcPr>
                <w:p w14:paraId="56ED2DFC">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eastAsia"/>
                      <w:color w:val="auto"/>
                      <w:sz w:val="18"/>
                      <w:szCs w:val="18"/>
                      <w:highlight w:val="none"/>
                      <w:lang w:val="en-US" w:eastAsia="zh-CN"/>
                    </w:rPr>
                    <w:t>符合</w:t>
                  </w:r>
                </w:p>
              </w:tc>
            </w:tr>
            <w:tr w14:paraId="19399B6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4"/>
                  <w:tcBorders>
                    <w:tl2br w:val="nil"/>
                    <w:tr2bl w:val="nil"/>
                  </w:tcBorders>
                  <w:shd w:val="clear" w:color="auto" w:fill="D7D7D7" w:themeFill="background1" w:themeFillShade="D8"/>
                  <w:vAlign w:val="center"/>
                </w:tcPr>
                <w:p w14:paraId="6843B9FE">
                  <w:pPr>
                    <w:keepNext w:val="0"/>
                    <w:keepLines w:val="0"/>
                    <w:suppressLineNumbers w:val="0"/>
                    <w:adjustRightInd w:val="0"/>
                    <w:snapToGrid w:val="0"/>
                    <w:spacing w:before="0" w:beforeAutospacing="0" w:after="0" w:afterAutospacing="0"/>
                    <w:ind w:left="0" w:right="0"/>
                    <w:jc w:val="center"/>
                    <w:rPr>
                      <w:rFonts w:hint="default" w:eastAsia="宋体"/>
                      <w:color w:val="auto"/>
                      <w:sz w:val="18"/>
                      <w:szCs w:val="18"/>
                      <w:highlight w:val="none"/>
                      <w:lang w:val="en-US" w:eastAsia="zh-CN"/>
                    </w:rPr>
                  </w:pPr>
                  <w:r>
                    <w:rPr>
                      <w:rFonts w:hint="eastAsia"/>
                      <w:b/>
                      <w:bCs/>
                      <w:color w:val="auto"/>
                      <w:sz w:val="18"/>
                      <w:szCs w:val="18"/>
                      <w:highlight w:val="none"/>
                      <w:lang w:val="en-US" w:eastAsia="zh-CN"/>
                    </w:rPr>
                    <w:t>末端治理</w:t>
                  </w:r>
                </w:p>
              </w:tc>
            </w:tr>
            <w:tr w14:paraId="48824A6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tcBorders>
                    <w:tl2br w:val="nil"/>
                    <w:tr2bl w:val="nil"/>
                  </w:tcBorders>
                  <w:vAlign w:val="center"/>
                </w:tcPr>
                <w:p w14:paraId="471E61CA">
                  <w:pPr>
                    <w:keepNext w:val="0"/>
                    <w:keepLines w:val="0"/>
                    <w:widowControl/>
                    <w:suppressLineNumbers w:val="0"/>
                    <w:adjustRightInd w:val="0"/>
                    <w:snapToGrid w:val="0"/>
                    <w:spacing w:before="0" w:beforeAutospacing="0" w:after="0" w:afterAutospacing="0"/>
                    <w:ind w:left="0" w:right="0"/>
                    <w:jc w:val="center"/>
                    <w:rPr>
                      <w:rFonts w:hint="default" w:eastAsia="宋体"/>
                      <w:color w:val="auto"/>
                      <w:sz w:val="18"/>
                      <w:szCs w:val="18"/>
                      <w:highlight w:val="none"/>
                      <w:lang w:val="en-US" w:eastAsia="zh-CN" w:bidi="ar"/>
                    </w:rPr>
                  </w:pPr>
                  <w:r>
                    <w:rPr>
                      <w:rFonts w:hint="eastAsia"/>
                      <w:color w:val="auto"/>
                      <w:sz w:val="18"/>
                      <w:szCs w:val="18"/>
                      <w:highlight w:val="none"/>
                      <w:lang w:val="en-US" w:eastAsia="zh-CN" w:bidi="ar"/>
                    </w:rPr>
                    <w:t>废气收集</w:t>
                  </w:r>
                </w:p>
              </w:tc>
              <w:tc>
                <w:tcPr>
                  <w:tcW w:w="0" w:type="auto"/>
                  <w:tcBorders>
                    <w:tl2br w:val="nil"/>
                    <w:tr2bl w:val="nil"/>
                  </w:tcBorders>
                  <w:vAlign w:val="center"/>
                </w:tcPr>
                <w:p w14:paraId="3B65AF6F">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采用外部集气罩的，距集气罩开口面最远处的VOCs无组织排放位置，控制风速不低于0.3m/s。</w:t>
                  </w:r>
                </w:p>
              </w:tc>
              <w:tc>
                <w:tcPr>
                  <w:tcW w:w="0" w:type="auto"/>
                  <w:tcBorders>
                    <w:tl2br w:val="nil"/>
                    <w:tr2bl w:val="nil"/>
                  </w:tcBorders>
                  <w:vAlign w:val="center"/>
                </w:tcPr>
                <w:p w14:paraId="5F1A2307">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18"/>
                      <w:szCs w:val="18"/>
                      <w:highlight w:val="none"/>
                      <w:lang w:val="en-US" w:eastAsia="zh-CN" w:bidi="ar-SA"/>
                    </w:rPr>
                  </w:pPr>
                  <w:r>
                    <w:rPr>
                      <w:rFonts w:hint="default"/>
                      <w:bCs/>
                      <w:color w:val="auto"/>
                      <w:kern w:val="44"/>
                      <w:sz w:val="18"/>
                      <w:szCs w:val="18"/>
                      <w:highlight w:val="none"/>
                    </w:rPr>
                    <w:t>项目</w:t>
                  </w:r>
                  <w:r>
                    <w:rPr>
                      <w:rFonts w:hint="eastAsia"/>
                      <w:bCs/>
                      <w:color w:val="auto"/>
                      <w:kern w:val="44"/>
                      <w:sz w:val="18"/>
                      <w:szCs w:val="18"/>
                      <w:highlight w:val="none"/>
                      <w:lang w:val="en-US" w:eastAsia="zh-CN"/>
                    </w:rPr>
                    <w:t>吸塑</w:t>
                  </w:r>
                  <w:r>
                    <w:rPr>
                      <w:rFonts w:hint="default"/>
                      <w:bCs/>
                      <w:color w:val="auto"/>
                      <w:kern w:val="44"/>
                      <w:sz w:val="18"/>
                      <w:szCs w:val="18"/>
                      <w:highlight w:val="none"/>
                    </w:rPr>
                    <w:t>工艺</w:t>
                  </w:r>
                  <w:r>
                    <w:rPr>
                      <w:rFonts w:hint="eastAsia"/>
                      <w:bCs/>
                      <w:color w:val="auto"/>
                      <w:kern w:val="44"/>
                      <w:sz w:val="18"/>
                      <w:szCs w:val="18"/>
                      <w:highlight w:val="none"/>
                      <w:lang w:val="en-US" w:eastAsia="zh-CN"/>
                    </w:rPr>
                    <w:t>产生的有机废气采用包围型集气罩收集</w:t>
                  </w:r>
                  <w:r>
                    <w:rPr>
                      <w:rFonts w:hint="default"/>
                      <w:bCs/>
                      <w:color w:val="auto"/>
                      <w:kern w:val="44"/>
                      <w:sz w:val="18"/>
                      <w:szCs w:val="18"/>
                      <w:highlight w:val="none"/>
                    </w:rPr>
                    <w:t>，</w:t>
                  </w:r>
                  <w:r>
                    <w:rPr>
                      <w:rFonts w:hint="eastAsia"/>
                      <w:color w:val="auto"/>
                      <w:sz w:val="18"/>
                      <w:szCs w:val="18"/>
                      <w:highlight w:val="none"/>
                      <w:lang w:val="en-US" w:eastAsia="zh-CN"/>
                    </w:rPr>
                    <w:t>距集气罩开口面最远处的VOCs无组织排放位置，控制风速不低于0.5m/s</w:t>
                  </w:r>
                </w:p>
              </w:tc>
              <w:tc>
                <w:tcPr>
                  <w:tcW w:w="0" w:type="auto"/>
                  <w:tcBorders>
                    <w:tl2br w:val="nil"/>
                    <w:tr2bl w:val="nil"/>
                  </w:tcBorders>
                  <w:vAlign w:val="center"/>
                </w:tcPr>
                <w:p w14:paraId="30227A0F">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eastAsia"/>
                      <w:color w:val="auto"/>
                      <w:sz w:val="18"/>
                      <w:szCs w:val="18"/>
                      <w:highlight w:val="none"/>
                      <w:lang w:val="en-US" w:eastAsia="zh-CN"/>
                    </w:rPr>
                    <w:t>符合</w:t>
                  </w:r>
                </w:p>
              </w:tc>
            </w:tr>
            <w:tr w14:paraId="57C0355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l2br w:val="nil"/>
                    <w:tr2bl w:val="nil"/>
                  </w:tcBorders>
                  <w:vAlign w:val="center"/>
                </w:tcPr>
                <w:p w14:paraId="31BDF9CB">
                  <w:pPr>
                    <w:keepNext w:val="0"/>
                    <w:keepLines w:val="0"/>
                    <w:widowControl/>
                    <w:suppressLineNumbers w:val="0"/>
                    <w:adjustRightInd w:val="0"/>
                    <w:snapToGrid w:val="0"/>
                    <w:spacing w:before="0" w:beforeAutospacing="0" w:after="0" w:afterAutospacing="0"/>
                    <w:ind w:left="0" w:right="0"/>
                    <w:jc w:val="center"/>
                    <w:rPr>
                      <w:rFonts w:hint="default"/>
                      <w:color w:val="auto"/>
                      <w:sz w:val="18"/>
                      <w:szCs w:val="18"/>
                      <w:highlight w:val="none"/>
                      <w:lang w:bidi="ar"/>
                    </w:rPr>
                  </w:pPr>
                </w:p>
              </w:tc>
              <w:tc>
                <w:tcPr>
                  <w:tcW w:w="0" w:type="auto"/>
                  <w:tcBorders>
                    <w:tl2br w:val="nil"/>
                    <w:tr2bl w:val="nil"/>
                  </w:tcBorders>
                  <w:vAlign w:val="center"/>
                </w:tcPr>
                <w:p w14:paraId="7FCB14DC">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废气收集系统的输送管道应密闭。废气收集系统应在负压下运行，若处于正压状态，应对管道组件的密封点进行泄漏检测，泄漏检测值不应超过500μmol/mol，亦不应有感官可察觉泄漏。</w:t>
                  </w:r>
                </w:p>
              </w:tc>
              <w:tc>
                <w:tcPr>
                  <w:tcW w:w="0" w:type="auto"/>
                  <w:tcBorders>
                    <w:tl2br w:val="nil"/>
                    <w:tr2bl w:val="nil"/>
                  </w:tcBorders>
                  <w:vAlign w:val="center"/>
                </w:tcPr>
                <w:p w14:paraId="3199636D">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18"/>
                      <w:szCs w:val="18"/>
                      <w:highlight w:val="none"/>
                      <w:lang w:val="en-US" w:eastAsia="zh-CN" w:bidi="ar-SA"/>
                    </w:rPr>
                  </w:pPr>
                  <w:r>
                    <w:rPr>
                      <w:rFonts w:hint="eastAsia" w:cs="Times New Roman"/>
                      <w:color w:val="auto"/>
                      <w:sz w:val="18"/>
                      <w:szCs w:val="18"/>
                      <w:highlight w:val="none"/>
                      <w:lang w:val="en-US" w:eastAsia="zh-CN" w:bidi="ar-SA"/>
                    </w:rPr>
                    <w:t>废气收集系统输送管道负压密闭，项目应</w:t>
                  </w:r>
                  <w:r>
                    <w:rPr>
                      <w:rFonts w:hint="default"/>
                      <w:color w:val="auto"/>
                      <w:sz w:val="18"/>
                      <w:szCs w:val="18"/>
                      <w:highlight w:val="none"/>
                    </w:rPr>
                    <w:t>对管道组件的密封点进行泄漏检测，泄漏检测值不应超过500μmol/mol，亦不应有感官可察觉泄漏</w:t>
                  </w:r>
                </w:p>
              </w:tc>
              <w:tc>
                <w:tcPr>
                  <w:tcW w:w="0" w:type="auto"/>
                  <w:tcBorders>
                    <w:tl2br w:val="nil"/>
                    <w:tr2bl w:val="nil"/>
                  </w:tcBorders>
                  <w:vAlign w:val="center"/>
                </w:tcPr>
                <w:p w14:paraId="3B02D404">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eastAsia"/>
                      <w:color w:val="auto"/>
                      <w:sz w:val="18"/>
                      <w:szCs w:val="18"/>
                      <w:highlight w:val="none"/>
                      <w:lang w:val="en-US" w:eastAsia="zh-CN"/>
                    </w:rPr>
                    <w:t>符合</w:t>
                  </w:r>
                </w:p>
              </w:tc>
            </w:tr>
            <w:tr w14:paraId="17C3C90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l2br w:val="nil"/>
                    <w:tr2bl w:val="nil"/>
                  </w:tcBorders>
                  <w:vAlign w:val="center"/>
                </w:tcPr>
                <w:p w14:paraId="36BCF364">
                  <w:pPr>
                    <w:keepNext w:val="0"/>
                    <w:keepLines w:val="0"/>
                    <w:widowControl/>
                    <w:suppressLineNumbers w:val="0"/>
                    <w:adjustRightInd w:val="0"/>
                    <w:snapToGrid w:val="0"/>
                    <w:spacing w:before="0" w:beforeAutospacing="0" w:after="0" w:afterAutospacing="0"/>
                    <w:ind w:left="0" w:right="0"/>
                    <w:jc w:val="center"/>
                    <w:rPr>
                      <w:rFonts w:hint="default" w:eastAsia="宋体"/>
                      <w:color w:val="auto"/>
                      <w:sz w:val="18"/>
                      <w:szCs w:val="18"/>
                      <w:highlight w:val="none"/>
                      <w:lang w:val="en-US" w:eastAsia="zh-CN" w:bidi="ar"/>
                    </w:rPr>
                  </w:pPr>
                  <w:r>
                    <w:rPr>
                      <w:rFonts w:hint="eastAsia"/>
                      <w:color w:val="auto"/>
                      <w:sz w:val="18"/>
                      <w:szCs w:val="18"/>
                      <w:highlight w:val="none"/>
                      <w:lang w:val="en-US" w:eastAsia="zh-CN" w:bidi="ar"/>
                    </w:rPr>
                    <w:t>排放水平</w:t>
                  </w:r>
                </w:p>
              </w:tc>
              <w:tc>
                <w:tcPr>
                  <w:tcW w:w="0" w:type="auto"/>
                  <w:tcBorders>
                    <w:tl2br w:val="nil"/>
                    <w:tr2bl w:val="nil"/>
                  </w:tcBorders>
                  <w:vAlign w:val="center"/>
                </w:tcPr>
                <w:p w14:paraId="37D9B308">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塑料制品行业：a）有机废气排气筒排放浓度不高于广东省《大气污染物排放限值》（DB4427-2001）第Ⅱ时段排放限值，合成革和人造革制造企业排放浓度不高于《合成革与人造革工业污染物排放标准》（GB21902-2008）排放限值，若国家和我省出台并实施适用于塑料制品制造业的大气污染物排放标准，则有机废气排气筒排放浓度不高于相应的排放限值；车间或生产设施排气中NMHC初始排放速率≥3kg/h时，建设VOCs处理设施且处理效率≥80%；b）厂区内无组织排放监控点NMHC的小时平均浓度值不超过6mg/m</w:t>
                  </w:r>
                  <w:r>
                    <w:rPr>
                      <w:rFonts w:hint="default"/>
                      <w:color w:val="auto"/>
                      <w:sz w:val="18"/>
                      <w:szCs w:val="18"/>
                      <w:highlight w:val="none"/>
                      <w:vertAlign w:val="superscript"/>
                    </w:rPr>
                    <w:t>3</w:t>
                  </w:r>
                  <w:r>
                    <w:rPr>
                      <w:rFonts w:hint="default"/>
                      <w:color w:val="auto"/>
                      <w:sz w:val="18"/>
                      <w:szCs w:val="18"/>
                      <w:highlight w:val="none"/>
                    </w:rPr>
                    <w:t>，任意一次浓度值不超过20mg/m</w:t>
                  </w:r>
                  <w:r>
                    <w:rPr>
                      <w:rFonts w:hint="default"/>
                      <w:color w:val="auto"/>
                      <w:sz w:val="18"/>
                      <w:szCs w:val="18"/>
                      <w:highlight w:val="none"/>
                      <w:vertAlign w:val="superscript"/>
                    </w:rPr>
                    <w:t>3</w:t>
                  </w:r>
                  <w:r>
                    <w:rPr>
                      <w:rFonts w:hint="default"/>
                      <w:color w:val="auto"/>
                      <w:sz w:val="18"/>
                      <w:szCs w:val="18"/>
                      <w:highlight w:val="none"/>
                    </w:rPr>
                    <w:t>。</w:t>
                  </w:r>
                </w:p>
              </w:tc>
              <w:tc>
                <w:tcPr>
                  <w:tcW w:w="0" w:type="auto"/>
                  <w:tcBorders>
                    <w:tl2br w:val="nil"/>
                    <w:tr2bl w:val="nil"/>
                  </w:tcBorders>
                  <w:vAlign w:val="center"/>
                </w:tcPr>
                <w:p w14:paraId="348CA2B1">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eastAsia"/>
                      <w:color w:val="auto"/>
                      <w:sz w:val="18"/>
                      <w:szCs w:val="18"/>
                      <w:highlight w:val="none"/>
                      <w:lang w:val="en-US" w:eastAsia="zh-CN"/>
                    </w:rPr>
                    <w:t>吸塑废气排放满足</w:t>
                  </w:r>
                  <w:r>
                    <w:rPr>
                      <w:rFonts w:hint="default"/>
                      <w:color w:val="auto"/>
                      <w:sz w:val="18"/>
                      <w:szCs w:val="18"/>
                      <w:highlight w:val="none"/>
                    </w:rPr>
                    <w:t>《合成树脂工业污染物排放标准》（GB31572-2015）</w:t>
                  </w:r>
                  <w:r>
                    <w:rPr>
                      <w:rFonts w:hint="eastAsia"/>
                      <w:color w:val="auto"/>
                      <w:sz w:val="18"/>
                      <w:szCs w:val="18"/>
                      <w:highlight w:val="none"/>
                      <w:lang w:val="en-US" w:eastAsia="zh-CN"/>
                    </w:rPr>
                    <w:t>及2024年修改单</w:t>
                  </w:r>
                  <w:r>
                    <w:rPr>
                      <w:rFonts w:hint="default"/>
                      <w:color w:val="auto"/>
                      <w:sz w:val="18"/>
                      <w:szCs w:val="18"/>
                      <w:highlight w:val="none"/>
                    </w:rPr>
                    <w:t>表5、表9中的排放限值</w:t>
                  </w:r>
                  <w:r>
                    <w:rPr>
                      <w:rFonts w:hint="eastAsia"/>
                      <w:color w:val="auto"/>
                      <w:sz w:val="18"/>
                      <w:szCs w:val="18"/>
                      <w:highlight w:val="none"/>
                      <w:lang w:val="en-US" w:eastAsia="zh-CN"/>
                    </w:rPr>
                    <w:t>要求</w:t>
                  </w:r>
                  <w:r>
                    <w:rPr>
                      <w:rFonts w:hint="default"/>
                      <w:color w:val="auto"/>
                      <w:sz w:val="18"/>
                      <w:szCs w:val="18"/>
                      <w:highlight w:val="none"/>
                    </w:rPr>
                    <w:t>；项目车间或生产设施排气中NMHC初始排放速率＜3kg/h；项目厂区内无组织排放监控点NMHC的小时平均浓度值不超过6mg/m</w:t>
                  </w:r>
                  <w:r>
                    <w:rPr>
                      <w:rFonts w:hint="default"/>
                      <w:color w:val="auto"/>
                      <w:sz w:val="18"/>
                      <w:szCs w:val="18"/>
                      <w:highlight w:val="none"/>
                      <w:vertAlign w:val="superscript"/>
                    </w:rPr>
                    <w:t>3</w:t>
                  </w:r>
                  <w:r>
                    <w:rPr>
                      <w:rFonts w:hint="default"/>
                      <w:color w:val="auto"/>
                      <w:sz w:val="18"/>
                      <w:szCs w:val="18"/>
                      <w:highlight w:val="none"/>
                    </w:rPr>
                    <w:t>，任意一次浓度值不超过20mg/m</w:t>
                  </w:r>
                  <w:r>
                    <w:rPr>
                      <w:rFonts w:hint="default"/>
                      <w:color w:val="auto"/>
                      <w:sz w:val="18"/>
                      <w:szCs w:val="18"/>
                      <w:highlight w:val="none"/>
                      <w:vertAlign w:val="superscript"/>
                    </w:rPr>
                    <w:t>3</w:t>
                  </w:r>
                </w:p>
              </w:tc>
              <w:tc>
                <w:tcPr>
                  <w:tcW w:w="0" w:type="auto"/>
                  <w:tcBorders>
                    <w:tl2br w:val="nil"/>
                    <w:tr2bl w:val="nil"/>
                  </w:tcBorders>
                  <w:vAlign w:val="center"/>
                </w:tcPr>
                <w:p w14:paraId="4CFFA573">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eastAsia"/>
                      <w:color w:val="auto"/>
                      <w:sz w:val="18"/>
                      <w:szCs w:val="18"/>
                      <w:highlight w:val="none"/>
                      <w:lang w:val="en-US" w:eastAsia="zh-CN"/>
                    </w:rPr>
                    <w:t>符合</w:t>
                  </w:r>
                </w:p>
              </w:tc>
            </w:tr>
            <w:tr w14:paraId="1CA3550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tcBorders>
                    <w:tl2br w:val="nil"/>
                    <w:tr2bl w:val="nil"/>
                  </w:tcBorders>
                  <w:vAlign w:val="center"/>
                </w:tcPr>
                <w:p w14:paraId="2F7E09F9">
                  <w:pPr>
                    <w:keepNext w:val="0"/>
                    <w:keepLines w:val="0"/>
                    <w:widowControl/>
                    <w:suppressLineNumbers w:val="0"/>
                    <w:adjustRightInd w:val="0"/>
                    <w:snapToGrid w:val="0"/>
                    <w:spacing w:before="0" w:beforeAutospacing="0" w:after="0" w:afterAutospacing="0"/>
                    <w:ind w:left="0" w:right="0"/>
                    <w:jc w:val="center"/>
                    <w:rPr>
                      <w:rFonts w:hint="default" w:eastAsia="宋体"/>
                      <w:color w:val="auto"/>
                      <w:sz w:val="18"/>
                      <w:szCs w:val="18"/>
                      <w:highlight w:val="none"/>
                      <w:lang w:val="en-US" w:eastAsia="zh-CN" w:bidi="ar"/>
                    </w:rPr>
                  </w:pPr>
                  <w:r>
                    <w:rPr>
                      <w:rFonts w:hint="eastAsia"/>
                      <w:color w:val="auto"/>
                      <w:sz w:val="18"/>
                      <w:szCs w:val="18"/>
                      <w:highlight w:val="none"/>
                      <w:lang w:val="en-US" w:eastAsia="zh-CN" w:bidi="ar"/>
                    </w:rPr>
                    <w:t>治理设施设计与运行管理</w:t>
                  </w:r>
                </w:p>
              </w:tc>
              <w:tc>
                <w:tcPr>
                  <w:tcW w:w="0" w:type="auto"/>
                  <w:tcBorders>
                    <w:tl2br w:val="nil"/>
                    <w:tr2bl w:val="nil"/>
                  </w:tcBorders>
                  <w:vAlign w:val="center"/>
                </w:tcPr>
                <w:p w14:paraId="5089965A">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吸附床（含活性炭吸附法）</w:t>
                  </w:r>
                  <w:r>
                    <w:rPr>
                      <w:rFonts w:hint="eastAsia"/>
                      <w:color w:val="auto"/>
                      <w:sz w:val="18"/>
                      <w:szCs w:val="18"/>
                      <w:highlight w:val="none"/>
                      <w:lang w:eastAsia="zh-CN"/>
                    </w:rPr>
                    <w:t>；</w:t>
                  </w:r>
                  <w:r>
                    <w:rPr>
                      <w:rFonts w:hint="default"/>
                      <w:color w:val="auto"/>
                      <w:sz w:val="18"/>
                      <w:szCs w:val="18"/>
                      <w:highlight w:val="none"/>
                    </w:rPr>
                    <w:t>a）预处理设备应根据废气的成分、性质和影响吸附过程的物质性质及含量进行选择；b）吸附床层的吸附剂用量应根据废气处理量、污染物浓度和吸附剂的动态吸附量确定；c）吸附剂应及时更换或有效再生。</w:t>
                  </w:r>
                </w:p>
              </w:tc>
              <w:tc>
                <w:tcPr>
                  <w:tcW w:w="0" w:type="auto"/>
                  <w:tcBorders>
                    <w:tl2br w:val="nil"/>
                    <w:tr2bl w:val="nil"/>
                  </w:tcBorders>
                  <w:vAlign w:val="center"/>
                </w:tcPr>
                <w:p w14:paraId="0AFAB8A2">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项目VOCs废气采用活性炭吸附法，活性炭装填量满足项目废气处理要求，活性炭</w:t>
                  </w:r>
                  <w:r>
                    <w:rPr>
                      <w:rFonts w:hint="eastAsia"/>
                      <w:color w:val="auto"/>
                      <w:sz w:val="18"/>
                      <w:szCs w:val="18"/>
                      <w:highlight w:val="none"/>
                      <w:lang w:val="en-US" w:eastAsia="zh-CN"/>
                    </w:rPr>
                    <w:t>3个月</w:t>
                  </w:r>
                  <w:r>
                    <w:rPr>
                      <w:rFonts w:hint="default"/>
                      <w:color w:val="auto"/>
                      <w:sz w:val="18"/>
                      <w:szCs w:val="18"/>
                      <w:highlight w:val="none"/>
                    </w:rPr>
                    <w:t>更换</w:t>
                  </w:r>
                  <w:r>
                    <w:rPr>
                      <w:rFonts w:hint="eastAsia"/>
                      <w:color w:val="auto"/>
                      <w:sz w:val="18"/>
                      <w:szCs w:val="18"/>
                      <w:highlight w:val="none"/>
                      <w:lang w:val="en-US" w:eastAsia="zh-CN"/>
                    </w:rPr>
                    <w:t>一次</w:t>
                  </w:r>
                </w:p>
              </w:tc>
              <w:tc>
                <w:tcPr>
                  <w:tcW w:w="0" w:type="auto"/>
                  <w:tcBorders>
                    <w:tl2br w:val="nil"/>
                    <w:tr2bl w:val="nil"/>
                  </w:tcBorders>
                  <w:vAlign w:val="center"/>
                </w:tcPr>
                <w:p w14:paraId="10957F5B">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eastAsia"/>
                      <w:color w:val="auto"/>
                      <w:sz w:val="18"/>
                      <w:szCs w:val="18"/>
                      <w:highlight w:val="none"/>
                      <w:lang w:val="en-US" w:eastAsia="zh-CN"/>
                    </w:rPr>
                    <w:t>符合</w:t>
                  </w:r>
                </w:p>
              </w:tc>
            </w:tr>
            <w:tr w14:paraId="1142C5B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l2br w:val="nil"/>
                    <w:tr2bl w:val="nil"/>
                  </w:tcBorders>
                  <w:vAlign w:val="center"/>
                </w:tcPr>
                <w:p w14:paraId="7B762023">
                  <w:pPr>
                    <w:keepNext w:val="0"/>
                    <w:keepLines w:val="0"/>
                    <w:widowControl/>
                    <w:suppressLineNumbers w:val="0"/>
                    <w:adjustRightInd w:val="0"/>
                    <w:snapToGrid w:val="0"/>
                    <w:spacing w:before="0" w:beforeAutospacing="0" w:after="0" w:afterAutospacing="0"/>
                    <w:ind w:left="0" w:right="0"/>
                    <w:jc w:val="center"/>
                    <w:rPr>
                      <w:rFonts w:hint="default"/>
                      <w:color w:val="auto"/>
                      <w:sz w:val="18"/>
                      <w:szCs w:val="18"/>
                      <w:highlight w:val="none"/>
                      <w:lang w:bidi="ar"/>
                    </w:rPr>
                  </w:pPr>
                </w:p>
              </w:tc>
              <w:tc>
                <w:tcPr>
                  <w:tcW w:w="0" w:type="auto"/>
                  <w:tcBorders>
                    <w:tl2br w:val="nil"/>
                    <w:tr2bl w:val="nil"/>
                  </w:tcBorders>
                  <w:vAlign w:val="center"/>
                </w:tcPr>
                <w:p w14:paraId="18D3DBDF">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VOCs治理设施应与生产工艺设备同步运行，VOCs治理设施发生故障或检修时，对应的生产工艺设备应停止运行，待检修完毕后同步投入使用；生产工艺设备不能停止运行或不能及时停止运行的，应设置废气应急处理设施或采取其他替代措施。</w:t>
                  </w:r>
                </w:p>
              </w:tc>
              <w:tc>
                <w:tcPr>
                  <w:tcW w:w="0" w:type="auto"/>
                  <w:tcBorders>
                    <w:tl2br w:val="nil"/>
                    <w:tr2bl w:val="nil"/>
                  </w:tcBorders>
                  <w:vAlign w:val="center"/>
                </w:tcPr>
                <w:p w14:paraId="07F53589">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项目VOCs治理设施与生产工艺设备同步运行，VOCs治理设施发生故障或检修时，对应的生产工艺设备停止运行，待检修完毕后同步投入使用</w:t>
                  </w:r>
                </w:p>
              </w:tc>
              <w:tc>
                <w:tcPr>
                  <w:tcW w:w="0" w:type="auto"/>
                  <w:tcBorders>
                    <w:tl2br w:val="nil"/>
                    <w:tr2bl w:val="nil"/>
                  </w:tcBorders>
                  <w:vAlign w:val="center"/>
                </w:tcPr>
                <w:p w14:paraId="5EA1EFD1">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eastAsia"/>
                      <w:color w:val="auto"/>
                      <w:sz w:val="18"/>
                      <w:szCs w:val="18"/>
                      <w:highlight w:val="none"/>
                      <w:lang w:val="en-US" w:eastAsia="zh-CN"/>
                    </w:rPr>
                    <w:t>符合</w:t>
                  </w:r>
                </w:p>
              </w:tc>
            </w:tr>
            <w:tr w14:paraId="41808AF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4"/>
                  <w:tcBorders>
                    <w:tl2br w:val="nil"/>
                    <w:tr2bl w:val="nil"/>
                  </w:tcBorders>
                  <w:shd w:val="clear" w:color="auto" w:fill="D7D7D7" w:themeFill="background1" w:themeFillShade="D8"/>
                  <w:vAlign w:val="center"/>
                </w:tcPr>
                <w:p w14:paraId="405C2CBA">
                  <w:pPr>
                    <w:keepNext w:val="0"/>
                    <w:keepLines w:val="0"/>
                    <w:suppressLineNumbers w:val="0"/>
                    <w:adjustRightInd w:val="0"/>
                    <w:snapToGrid w:val="0"/>
                    <w:spacing w:before="0" w:beforeAutospacing="0" w:after="0" w:afterAutospacing="0"/>
                    <w:ind w:left="0" w:right="0"/>
                    <w:jc w:val="center"/>
                    <w:rPr>
                      <w:rFonts w:hint="default" w:eastAsia="宋体"/>
                      <w:color w:val="auto"/>
                      <w:sz w:val="18"/>
                      <w:szCs w:val="18"/>
                      <w:highlight w:val="none"/>
                      <w:lang w:val="en-US" w:eastAsia="zh-CN"/>
                    </w:rPr>
                  </w:pPr>
                  <w:r>
                    <w:rPr>
                      <w:rFonts w:hint="eastAsia"/>
                      <w:b/>
                      <w:bCs/>
                      <w:color w:val="auto"/>
                      <w:sz w:val="18"/>
                      <w:szCs w:val="18"/>
                      <w:highlight w:val="none"/>
                      <w:lang w:val="en-US" w:eastAsia="zh-CN"/>
                    </w:rPr>
                    <w:t>环境管理</w:t>
                  </w:r>
                </w:p>
              </w:tc>
            </w:tr>
            <w:tr w14:paraId="493B5C9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tcBorders>
                    <w:tl2br w:val="nil"/>
                    <w:tr2bl w:val="nil"/>
                  </w:tcBorders>
                  <w:vAlign w:val="center"/>
                </w:tcPr>
                <w:p w14:paraId="33340C4D">
                  <w:pPr>
                    <w:keepNext w:val="0"/>
                    <w:keepLines w:val="0"/>
                    <w:widowControl/>
                    <w:suppressLineNumbers w:val="0"/>
                    <w:adjustRightInd w:val="0"/>
                    <w:snapToGrid w:val="0"/>
                    <w:spacing w:before="0" w:beforeAutospacing="0" w:after="0" w:afterAutospacing="0"/>
                    <w:ind w:left="0" w:right="0"/>
                    <w:jc w:val="center"/>
                    <w:rPr>
                      <w:rFonts w:hint="default" w:eastAsia="宋体"/>
                      <w:color w:val="auto"/>
                      <w:sz w:val="18"/>
                      <w:szCs w:val="18"/>
                      <w:highlight w:val="none"/>
                      <w:lang w:val="en-US" w:eastAsia="zh-CN" w:bidi="ar"/>
                    </w:rPr>
                  </w:pPr>
                  <w:r>
                    <w:rPr>
                      <w:rFonts w:hint="eastAsia"/>
                      <w:color w:val="auto"/>
                      <w:sz w:val="18"/>
                      <w:szCs w:val="18"/>
                      <w:highlight w:val="none"/>
                      <w:lang w:val="en-US" w:eastAsia="zh-CN" w:bidi="ar"/>
                    </w:rPr>
                    <w:t>管理台账</w:t>
                  </w:r>
                </w:p>
              </w:tc>
              <w:tc>
                <w:tcPr>
                  <w:tcW w:w="0" w:type="auto"/>
                  <w:tcBorders>
                    <w:tl2br w:val="nil"/>
                    <w:tr2bl w:val="nil"/>
                  </w:tcBorders>
                  <w:vAlign w:val="center"/>
                </w:tcPr>
                <w:p w14:paraId="188CA35E">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建立含VOCs原辅材料台账，记录含VOCs原辅材料的名称及其VOCs含量、采购量、使用量、库存量、含VOCs原辅材料回收方式及回收量。</w:t>
                  </w:r>
                </w:p>
              </w:tc>
              <w:tc>
                <w:tcPr>
                  <w:tcW w:w="0" w:type="auto"/>
                  <w:tcBorders>
                    <w:tl2br w:val="nil"/>
                    <w:tr2bl w:val="nil"/>
                  </w:tcBorders>
                  <w:vAlign w:val="center"/>
                </w:tcPr>
                <w:p w14:paraId="31C26C8A">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项目运营期按要求建立含VOCs原辅材料台账，记录含VOCs原辅材料的名称及其VOCs含量、采购量、使用量、库存量</w:t>
                  </w:r>
                </w:p>
              </w:tc>
              <w:tc>
                <w:tcPr>
                  <w:tcW w:w="0" w:type="auto"/>
                  <w:tcBorders>
                    <w:tl2br w:val="nil"/>
                    <w:tr2bl w:val="nil"/>
                  </w:tcBorders>
                  <w:vAlign w:val="center"/>
                </w:tcPr>
                <w:p w14:paraId="644D99DE">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eastAsia"/>
                      <w:color w:val="auto"/>
                      <w:sz w:val="18"/>
                      <w:szCs w:val="18"/>
                      <w:highlight w:val="none"/>
                      <w:lang w:val="en-US" w:eastAsia="zh-CN"/>
                    </w:rPr>
                    <w:t>符合</w:t>
                  </w:r>
                </w:p>
              </w:tc>
            </w:tr>
            <w:tr w14:paraId="6CC7526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l2br w:val="nil"/>
                    <w:tr2bl w:val="nil"/>
                  </w:tcBorders>
                  <w:vAlign w:val="center"/>
                </w:tcPr>
                <w:p w14:paraId="7B36541D">
                  <w:pPr>
                    <w:keepNext w:val="0"/>
                    <w:keepLines w:val="0"/>
                    <w:widowControl/>
                    <w:suppressLineNumbers w:val="0"/>
                    <w:adjustRightInd w:val="0"/>
                    <w:snapToGrid w:val="0"/>
                    <w:spacing w:before="0" w:beforeAutospacing="0" w:after="0" w:afterAutospacing="0"/>
                    <w:ind w:left="0" w:right="0"/>
                    <w:jc w:val="center"/>
                    <w:rPr>
                      <w:rFonts w:hint="default"/>
                      <w:color w:val="auto"/>
                      <w:sz w:val="18"/>
                      <w:szCs w:val="18"/>
                      <w:highlight w:val="none"/>
                      <w:lang w:bidi="ar"/>
                    </w:rPr>
                  </w:pPr>
                </w:p>
              </w:tc>
              <w:tc>
                <w:tcPr>
                  <w:tcW w:w="0" w:type="auto"/>
                  <w:tcBorders>
                    <w:tl2br w:val="nil"/>
                    <w:tr2bl w:val="nil"/>
                  </w:tcBorders>
                  <w:vAlign w:val="center"/>
                </w:tcPr>
                <w:p w14:paraId="134DDB67">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建立废气收集处理设施台账，记录废气处理设施进出口的监测数据（废气量、浓度、温度、含氧量等）、废气收集与处理设施关键参数、废气处理设施相关耗材（吸收剂、吸附剂、催化剂等）购买和处理记录。</w:t>
                  </w:r>
                </w:p>
              </w:tc>
              <w:tc>
                <w:tcPr>
                  <w:tcW w:w="0" w:type="auto"/>
                  <w:tcBorders>
                    <w:tl2br w:val="nil"/>
                    <w:tr2bl w:val="nil"/>
                  </w:tcBorders>
                  <w:vAlign w:val="center"/>
                </w:tcPr>
                <w:p w14:paraId="7259CD56">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项目运营期按要求立废气收集处理设施台账，记录废气处理设施进出口的监测数据（废气量、浓度、温度等）、废气收集与处理设施关键参数、废气处理设施相关耗材（吸附剂）购买和处理记录</w:t>
                  </w:r>
                </w:p>
              </w:tc>
              <w:tc>
                <w:tcPr>
                  <w:tcW w:w="0" w:type="auto"/>
                  <w:tcBorders>
                    <w:tl2br w:val="nil"/>
                    <w:tr2bl w:val="nil"/>
                  </w:tcBorders>
                  <w:vAlign w:val="center"/>
                </w:tcPr>
                <w:p w14:paraId="3155D8E3">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eastAsia"/>
                      <w:color w:val="auto"/>
                      <w:sz w:val="18"/>
                      <w:szCs w:val="18"/>
                      <w:highlight w:val="none"/>
                      <w:lang w:val="en-US" w:eastAsia="zh-CN"/>
                    </w:rPr>
                    <w:t>符合</w:t>
                  </w:r>
                </w:p>
              </w:tc>
            </w:tr>
            <w:tr w14:paraId="74912F5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l2br w:val="nil"/>
                    <w:tr2bl w:val="nil"/>
                  </w:tcBorders>
                  <w:vAlign w:val="center"/>
                </w:tcPr>
                <w:p w14:paraId="729C039F">
                  <w:pPr>
                    <w:keepNext w:val="0"/>
                    <w:keepLines w:val="0"/>
                    <w:widowControl/>
                    <w:suppressLineNumbers w:val="0"/>
                    <w:adjustRightInd w:val="0"/>
                    <w:snapToGrid w:val="0"/>
                    <w:spacing w:before="0" w:beforeAutospacing="0" w:after="0" w:afterAutospacing="0"/>
                    <w:ind w:left="0" w:right="0"/>
                    <w:jc w:val="center"/>
                    <w:rPr>
                      <w:rFonts w:hint="default"/>
                      <w:color w:val="auto"/>
                      <w:sz w:val="18"/>
                      <w:szCs w:val="18"/>
                      <w:highlight w:val="none"/>
                      <w:lang w:bidi="ar"/>
                    </w:rPr>
                  </w:pPr>
                </w:p>
              </w:tc>
              <w:tc>
                <w:tcPr>
                  <w:tcW w:w="0" w:type="auto"/>
                  <w:tcBorders>
                    <w:tl2br w:val="nil"/>
                    <w:tr2bl w:val="nil"/>
                  </w:tcBorders>
                  <w:vAlign w:val="center"/>
                </w:tcPr>
                <w:p w14:paraId="7383FC1F">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建立危废台账，整理危废处置合同、转移联单及危废处理方资质佐证材料。</w:t>
                  </w:r>
                </w:p>
              </w:tc>
              <w:tc>
                <w:tcPr>
                  <w:tcW w:w="0" w:type="auto"/>
                  <w:tcBorders>
                    <w:tl2br w:val="nil"/>
                    <w:tr2bl w:val="nil"/>
                  </w:tcBorders>
                  <w:vAlign w:val="center"/>
                </w:tcPr>
                <w:p w14:paraId="52B25172">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18"/>
                      <w:szCs w:val="18"/>
                      <w:highlight w:val="none"/>
                      <w:lang w:val="en-US" w:eastAsia="zh-CN" w:bidi="ar-SA"/>
                    </w:rPr>
                  </w:pPr>
                  <w:r>
                    <w:rPr>
                      <w:rFonts w:hint="default"/>
                      <w:color w:val="auto"/>
                      <w:sz w:val="18"/>
                      <w:szCs w:val="18"/>
                      <w:highlight w:val="none"/>
                    </w:rPr>
                    <w:t>项目运营期按要求建立危废台账，整理危废处置合同、转移联单及危废处理方资质佐证材料</w:t>
                  </w:r>
                </w:p>
              </w:tc>
              <w:tc>
                <w:tcPr>
                  <w:tcW w:w="0" w:type="auto"/>
                  <w:tcBorders>
                    <w:tl2br w:val="nil"/>
                    <w:tr2bl w:val="nil"/>
                  </w:tcBorders>
                  <w:vAlign w:val="center"/>
                </w:tcPr>
                <w:p w14:paraId="6FAA3DD7">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eastAsia"/>
                      <w:color w:val="auto"/>
                      <w:sz w:val="18"/>
                      <w:szCs w:val="18"/>
                      <w:highlight w:val="none"/>
                      <w:lang w:val="en-US" w:eastAsia="zh-CN"/>
                    </w:rPr>
                    <w:t>符合</w:t>
                  </w:r>
                </w:p>
              </w:tc>
            </w:tr>
            <w:tr w14:paraId="3573D32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l2br w:val="nil"/>
                    <w:tr2bl w:val="nil"/>
                  </w:tcBorders>
                  <w:vAlign w:val="center"/>
                </w:tcPr>
                <w:p w14:paraId="555317CE">
                  <w:pPr>
                    <w:keepNext w:val="0"/>
                    <w:keepLines w:val="0"/>
                    <w:widowControl/>
                    <w:suppressLineNumbers w:val="0"/>
                    <w:adjustRightInd w:val="0"/>
                    <w:snapToGrid w:val="0"/>
                    <w:spacing w:before="0" w:beforeAutospacing="0" w:after="0" w:afterAutospacing="0"/>
                    <w:ind w:left="0" w:right="0"/>
                    <w:jc w:val="center"/>
                    <w:rPr>
                      <w:rFonts w:hint="default"/>
                      <w:color w:val="auto"/>
                      <w:sz w:val="18"/>
                      <w:szCs w:val="18"/>
                      <w:highlight w:val="none"/>
                      <w:lang w:bidi="ar"/>
                    </w:rPr>
                  </w:pPr>
                </w:p>
              </w:tc>
              <w:tc>
                <w:tcPr>
                  <w:tcW w:w="0" w:type="auto"/>
                  <w:tcBorders>
                    <w:tl2br w:val="nil"/>
                    <w:tr2bl w:val="nil"/>
                  </w:tcBorders>
                  <w:vAlign w:val="center"/>
                </w:tcPr>
                <w:p w14:paraId="3D6210AA">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台账保存期限不少于3年。</w:t>
                  </w:r>
                </w:p>
              </w:tc>
              <w:tc>
                <w:tcPr>
                  <w:tcW w:w="0" w:type="auto"/>
                  <w:tcBorders>
                    <w:tl2br w:val="nil"/>
                    <w:tr2bl w:val="nil"/>
                  </w:tcBorders>
                  <w:vAlign w:val="center"/>
                </w:tcPr>
                <w:p w14:paraId="103D8F2A">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18"/>
                      <w:szCs w:val="18"/>
                      <w:highlight w:val="none"/>
                      <w:lang w:val="en-US" w:eastAsia="zh-CN" w:bidi="ar-SA"/>
                    </w:rPr>
                  </w:pPr>
                  <w:r>
                    <w:rPr>
                      <w:rFonts w:hint="default"/>
                      <w:color w:val="auto"/>
                      <w:sz w:val="18"/>
                      <w:szCs w:val="18"/>
                      <w:highlight w:val="none"/>
                    </w:rPr>
                    <w:t>项目运营期按要求台账保存期限不少于3年</w:t>
                  </w:r>
                </w:p>
              </w:tc>
              <w:tc>
                <w:tcPr>
                  <w:tcW w:w="0" w:type="auto"/>
                  <w:tcBorders>
                    <w:tl2br w:val="nil"/>
                    <w:tr2bl w:val="nil"/>
                  </w:tcBorders>
                  <w:vAlign w:val="center"/>
                </w:tcPr>
                <w:p w14:paraId="70CC2119">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eastAsia"/>
                      <w:color w:val="auto"/>
                      <w:sz w:val="18"/>
                      <w:szCs w:val="18"/>
                      <w:highlight w:val="none"/>
                      <w:lang w:val="en-US" w:eastAsia="zh-CN"/>
                    </w:rPr>
                    <w:t>符合</w:t>
                  </w:r>
                </w:p>
              </w:tc>
            </w:tr>
            <w:tr w14:paraId="7D49392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l2br w:val="nil"/>
                    <w:tr2bl w:val="nil"/>
                  </w:tcBorders>
                  <w:vAlign w:val="center"/>
                </w:tcPr>
                <w:p w14:paraId="69E72A19">
                  <w:pPr>
                    <w:keepNext w:val="0"/>
                    <w:keepLines w:val="0"/>
                    <w:widowControl/>
                    <w:suppressLineNumbers w:val="0"/>
                    <w:adjustRightInd w:val="0"/>
                    <w:snapToGrid w:val="0"/>
                    <w:spacing w:before="0" w:beforeAutospacing="0" w:after="0" w:afterAutospacing="0"/>
                    <w:ind w:left="0" w:right="0"/>
                    <w:jc w:val="center"/>
                    <w:rPr>
                      <w:rFonts w:hint="default" w:eastAsia="宋体"/>
                      <w:color w:val="auto"/>
                      <w:sz w:val="18"/>
                      <w:szCs w:val="18"/>
                      <w:highlight w:val="none"/>
                      <w:lang w:val="en-US" w:eastAsia="zh-CN" w:bidi="ar"/>
                    </w:rPr>
                  </w:pPr>
                  <w:r>
                    <w:rPr>
                      <w:rFonts w:hint="eastAsia"/>
                      <w:color w:val="auto"/>
                      <w:sz w:val="18"/>
                      <w:szCs w:val="18"/>
                      <w:highlight w:val="none"/>
                      <w:lang w:val="en-US" w:eastAsia="zh-CN" w:bidi="ar"/>
                    </w:rPr>
                    <w:t>自行监测</w:t>
                  </w:r>
                </w:p>
              </w:tc>
              <w:tc>
                <w:tcPr>
                  <w:tcW w:w="0" w:type="auto"/>
                  <w:tcBorders>
                    <w:tl2br w:val="nil"/>
                    <w:tr2bl w:val="nil"/>
                  </w:tcBorders>
                  <w:vAlign w:val="center"/>
                </w:tcPr>
                <w:p w14:paraId="3753450E">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塑料制品行业简化管理排污单位废气排放口及无组织排放每年一次。</w:t>
                  </w:r>
                </w:p>
              </w:tc>
              <w:tc>
                <w:tcPr>
                  <w:tcW w:w="0" w:type="auto"/>
                  <w:tcBorders>
                    <w:tl2br w:val="nil"/>
                    <w:tr2bl w:val="nil"/>
                  </w:tcBorders>
                  <w:vAlign w:val="center"/>
                </w:tcPr>
                <w:p w14:paraId="5CFAFD4E">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lang w:bidi="ar"/>
                    </w:rPr>
                    <w:t>项目属于</w:t>
                  </w:r>
                  <w:r>
                    <w:rPr>
                      <w:rFonts w:hint="eastAsia"/>
                      <w:color w:val="auto"/>
                      <w:sz w:val="18"/>
                      <w:szCs w:val="18"/>
                      <w:highlight w:val="none"/>
                      <w:lang w:val="en-US" w:eastAsia="zh-CN" w:bidi="ar"/>
                    </w:rPr>
                    <w:t>登记管理</w:t>
                  </w:r>
                  <w:r>
                    <w:rPr>
                      <w:rFonts w:hint="default"/>
                      <w:color w:val="auto"/>
                      <w:sz w:val="18"/>
                      <w:szCs w:val="18"/>
                      <w:highlight w:val="none"/>
                      <w:lang w:bidi="ar"/>
                    </w:rPr>
                    <w:t>排污单位，</w:t>
                  </w:r>
                  <w:r>
                    <w:rPr>
                      <w:rFonts w:hint="eastAsia"/>
                      <w:color w:val="auto"/>
                      <w:sz w:val="18"/>
                      <w:szCs w:val="18"/>
                      <w:highlight w:val="none"/>
                      <w:lang w:val="en-US" w:eastAsia="zh-CN" w:bidi="ar"/>
                    </w:rPr>
                    <w:t>吸塑废气排放口DA001非甲烷总烃每半年监测一次，臭气浓度每年监测一次，厂区内、</w:t>
                  </w:r>
                  <w:r>
                    <w:rPr>
                      <w:rFonts w:hint="default"/>
                      <w:color w:val="auto"/>
                      <w:sz w:val="18"/>
                      <w:szCs w:val="18"/>
                      <w:highlight w:val="none"/>
                      <w:lang w:bidi="ar"/>
                    </w:rPr>
                    <w:t>厂界无组织排放</w:t>
                  </w:r>
                  <w:r>
                    <w:rPr>
                      <w:rFonts w:hint="eastAsia"/>
                      <w:color w:val="auto"/>
                      <w:sz w:val="18"/>
                      <w:szCs w:val="18"/>
                      <w:highlight w:val="none"/>
                      <w:lang w:val="en-US" w:eastAsia="zh-CN" w:bidi="ar"/>
                    </w:rPr>
                    <w:t>废气</w:t>
                  </w:r>
                  <w:r>
                    <w:rPr>
                      <w:rFonts w:hint="default"/>
                      <w:color w:val="auto"/>
                      <w:sz w:val="18"/>
                      <w:szCs w:val="18"/>
                      <w:highlight w:val="none"/>
                      <w:lang w:bidi="ar"/>
                    </w:rPr>
                    <w:t>每年监测一次</w:t>
                  </w:r>
                </w:p>
              </w:tc>
              <w:tc>
                <w:tcPr>
                  <w:tcW w:w="0" w:type="auto"/>
                  <w:tcBorders>
                    <w:tl2br w:val="nil"/>
                    <w:tr2bl w:val="nil"/>
                  </w:tcBorders>
                  <w:vAlign w:val="center"/>
                </w:tcPr>
                <w:p w14:paraId="1E29E664">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eastAsia"/>
                      <w:color w:val="auto"/>
                      <w:sz w:val="18"/>
                      <w:szCs w:val="18"/>
                      <w:highlight w:val="none"/>
                      <w:lang w:val="en-US" w:eastAsia="zh-CN"/>
                    </w:rPr>
                    <w:t>符合</w:t>
                  </w:r>
                </w:p>
              </w:tc>
            </w:tr>
            <w:tr w14:paraId="460998A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l2br w:val="nil"/>
                    <w:tr2bl w:val="nil"/>
                  </w:tcBorders>
                  <w:vAlign w:val="center"/>
                </w:tcPr>
                <w:p w14:paraId="756807C6">
                  <w:pPr>
                    <w:keepNext w:val="0"/>
                    <w:keepLines w:val="0"/>
                    <w:widowControl/>
                    <w:suppressLineNumbers w:val="0"/>
                    <w:adjustRightInd w:val="0"/>
                    <w:snapToGrid w:val="0"/>
                    <w:spacing w:before="0" w:beforeAutospacing="0" w:after="0" w:afterAutospacing="0"/>
                    <w:ind w:left="0" w:right="0"/>
                    <w:jc w:val="center"/>
                    <w:rPr>
                      <w:rFonts w:hint="default" w:eastAsia="宋体"/>
                      <w:color w:val="auto"/>
                      <w:sz w:val="18"/>
                      <w:szCs w:val="18"/>
                      <w:highlight w:val="none"/>
                      <w:lang w:val="en-US" w:eastAsia="zh-CN" w:bidi="ar"/>
                    </w:rPr>
                  </w:pPr>
                  <w:r>
                    <w:rPr>
                      <w:rFonts w:hint="eastAsia"/>
                      <w:color w:val="auto"/>
                      <w:sz w:val="18"/>
                      <w:szCs w:val="18"/>
                      <w:highlight w:val="none"/>
                      <w:lang w:val="en-US" w:eastAsia="zh-CN" w:bidi="ar"/>
                    </w:rPr>
                    <w:t>危废管理</w:t>
                  </w:r>
                </w:p>
              </w:tc>
              <w:tc>
                <w:tcPr>
                  <w:tcW w:w="0" w:type="auto"/>
                  <w:tcBorders>
                    <w:tl2br w:val="nil"/>
                    <w:tr2bl w:val="nil"/>
                  </w:tcBorders>
                  <w:vAlign w:val="center"/>
                </w:tcPr>
                <w:p w14:paraId="2B1BE906">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工艺过程产生的含VOCs废料（渣、液）应按照相关要求进行储存、转移和输送。盛装过VOCs物料的废包装容器应加盖密闭。</w:t>
                  </w:r>
                </w:p>
              </w:tc>
              <w:tc>
                <w:tcPr>
                  <w:tcW w:w="0" w:type="auto"/>
                  <w:tcBorders>
                    <w:tl2br w:val="nil"/>
                    <w:tr2bl w:val="nil"/>
                  </w:tcBorders>
                  <w:vAlign w:val="center"/>
                </w:tcPr>
                <w:p w14:paraId="1D1C7459">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项目工艺过程产生的含VOCs废活性炭按照相关要求进行储存、转移和输送</w:t>
                  </w:r>
                </w:p>
              </w:tc>
              <w:tc>
                <w:tcPr>
                  <w:tcW w:w="0" w:type="auto"/>
                  <w:tcBorders>
                    <w:tl2br w:val="nil"/>
                    <w:tr2bl w:val="nil"/>
                  </w:tcBorders>
                  <w:vAlign w:val="center"/>
                </w:tcPr>
                <w:p w14:paraId="61F69552">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eastAsia"/>
                      <w:color w:val="auto"/>
                      <w:sz w:val="18"/>
                      <w:szCs w:val="18"/>
                      <w:highlight w:val="none"/>
                      <w:lang w:val="en-US" w:eastAsia="zh-CN"/>
                    </w:rPr>
                    <w:t>符合</w:t>
                  </w:r>
                </w:p>
              </w:tc>
            </w:tr>
            <w:tr w14:paraId="39005A1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tcBorders>
                    <w:tl2br w:val="nil"/>
                    <w:tr2bl w:val="nil"/>
                  </w:tcBorders>
                  <w:vAlign w:val="center"/>
                </w:tcPr>
                <w:p w14:paraId="3289647C">
                  <w:pPr>
                    <w:keepNext w:val="0"/>
                    <w:keepLines w:val="0"/>
                    <w:widowControl/>
                    <w:suppressLineNumbers w:val="0"/>
                    <w:adjustRightInd w:val="0"/>
                    <w:snapToGrid w:val="0"/>
                    <w:spacing w:before="0" w:beforeAutospacing="0" w:after="0" w:afterAutospacing="0"/>
                    <w:ind w:left="0" w:right="0"/>
                    <w:jc w:val="center"/>
                    <w:rPr>
                      <w:rFonts w:hint="eastAsia"/>
                      <w:color w:val="auto"/>
                      <w:sz w:val="18"/>
                      <w:szCs w:val="18"/>
                      <w:highlight w:val="none"/>
                      <w:lang w:val="en-US" w:eastAsia="zh-CN" w:bidi="ar"/>
                    </w:rPr>
                  </w:pPr>
                  <w:r>
                    <w:rPr>
                      <w:rFonts w:hint="eastAsia"/>
                      <w:color w:val="auto"/>
                      <w:sz w:val="18"/>
                      <w:szCs w:val="18"/>
                      <w:highlight w:val="none"/>
                      <w:lang w:val="en-US" w:eastAsia="zh-CN" w:bidi="ar"/>
                    </w:rPr>
                    <w:t>建设项目VOCs总量管理</w:t>
                  </w:r>
                </w:p>
              </w:tc>
              <w:tc>
                <w:tcPr>
                  <w:tcW w:w="0" w:type="auto"/>
                  <w:tcBorders>
                    <w:tl2br w:val="nil"/>
                    <w:tr2bl w:val="nil"/>
                  </w:tcBorders>
                  <w:vAlign w:val="center"/>
                </w:tcPr>
                <w:p w14:paraId="45845043">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新、改、扩建项目应执行总量替代制度，明确VOCs总量指标来源。</w:t>
                  </w:r>
                </w:p>
              </w:tc>
              <w:tc>
                <w:tcPr>
                  <w:tcW w:w="0" w:type="auto"/>
                  <w:tcBorders>
                    <w:tl2br w:val="nil"/>
                    <w:tr2bl w:val="nil"/>
                  </w:tcBorders>
                  <w:vAlign w:val="center"/>
                </w:tcPr>
                <w:p w14:paraId="4258A78F">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18"/>
                      <w:szCs w:val="18"/>
                      <w:highlight w:val="none"/>
                      <w:lang w:val="en-US" w:eastAsia="zh-CN" w:bidi="ar-SA"/>
                    </w:rPr>
                  </w:pPr>
                  <w:r>
                    <w:rPr>
                      <w:rFonts w:hint="default"/>
                      <w:color w:val="auto"/>
                      <w:sz w:val="18"/>
                      <w:szCs w:val="18"/>
                      <w:highlight w:val="none"/>
                    </w:rPr>
                    <w:t>本项目VOCs总量由惠州市生态环境局博罗分局分配</w:t>
                  </w:r>
                </w:p>
              </w:tc>
              <w:tc>
                <w:tcPr>
                  <w:tcW w:w="0" w:type="auto"/>
                  <w:tcBorders>
                    <w:tl2br w:val="nil"/>
                    <w:tr2bl w:val="nil"/>
                  </w:tcBorders>
                  <w:vAlign w:val="center"/>
                </w:tcPr>
                <w:p w14:paraId="56123B9B">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eastAsia"/>
                      <w:color w:val="auto"/>
                      <w:sz w:val="18"/>
                      <w:szCs w:val="18"/>
                      <w:highlight w:val="none"/>
                      <w:lang w:val="en-US" w:eastAsia="zh-CN"/>
                    </w:rPr>
                    <w:t>符合</w:t>
                  </w:r>
                </w:p>
              </w:tc>
            </w:tr>
            <w:tr w14:paraId="7F1B247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l2br w:val="nil"/>
                    <w:tr2bl w:val="nil"/>
                  </w:tcBorders>
                  <w:vAlign w:val="center"/>
                </w:tcPr>
                <w:p w14:paraId="366284C7">
                  <w:pPr>
                    <w:keepNext w:val="0"/>
                    <w:keepLines w:val="0"/>
                    <w:widowControl/>
                    <w:suppressLineNumbers w:val="0"/>
                    <w:adjustRightInd w:val="0"/>
                    <w:snapToGrid w:val="0"/>
                    <w:spacing w:before="0" w:beforeAutospacing="0" w:after="0" w:afterAutospacing="0"/>
                    <w:ind w:left="0" w:right="0"/>
                    <w:jc w:val="center"/>
                    <w:rPr>
                      <w:rFonts w:hint="eastAsia"/>
                      <w:color w:val="auto"/>
                      <w:sz w:val="18"/>
                      <w:szCs w:val="18"/>
                      <w:highlight w:val="none"/>
                      <w:lang w:val="en-US" w:eastAsia="zh-CN" w:bidi="ar"/>
                    </w:rPr>
                  </w:pPr>
                </w:p>
              </w:tc>
              <w:tc>
                <w:tcPr>
                  <w:tcW w:w="0" w:type="auto"/>
                  <w:tcBorders>
                    <w:tl2br w:val="nil"/>
                    <w:tr2bl w:val="nil"/>
                  </w:tcBorders>
                  <w:vAlign w:val="center"/>
                </w:tcPr>
                <w:p w14:paraId="617B45AE">
                  <w:pPr>
                    <w:keepNext w:val="0"/>
                    <w:keepLines w:val="0"/>
                    <w:suppressLineNumbers w:val="0"/>
                    <w:adjustRightInd w:val="0"/>
                    <w:snapToGrid w:val="0"/>
                    <w:spacing w:before="0" w:beforeAutospacing="0" w:after="0" w:afterAutospacing="0"/>
                    <w:ind w:left="0" w:right="0"/>
                    <w:rPr>
                      <w:rFonts w:hint="default"/>
                      <w:color w:val="auto"/>
                      <w:sz w:val="18"/>
                      <w:szCs w:val="18"/>
                      <w:highlight w:val="none"/>
                    </w:rPr>
                  </w:pPr>
                  <w:r>
                    <w:rPr>
                      <w:rFonts w:hint="default"/>
                      <w:color w:val="auto"/>
                      <w:sz w:val="18"/>
                      <w:szCs w:val="18"/>
                      <w:highlight w:val="none"/>
                    </w:rPr>
                    <w:t>新、改、扩建项目和现有企业VOCs基准排放量计算参考《广东省重点行业挥发性有机物排放量计算方法核算》进行核算，若国家和我省出台适用于该行业的VOCs排放量计算方法，则参照其相关规定执行。</w:t>
                  </w:r>
                </w:p>
              </w:tc>
              <w:tc>
                <w:tcPr>
                  <w:tcW w:w="0" w:type="auto"/>
                  <w:tcBorders>
                    <w:tl2br w:val="nil"/>
                    <w:tr2bl w:val="nil"/>
                  </w:tcBorders>
                  <w:vAlign w:val="center"/>
                </w:tcPr>
                <w:p w14:paraId="03B5CC7A">
                  <w:pPr>
                    <w:keepNext w:val="0"/>
                    <w:keepLines w:val="0"/>
                    <w:suppressLineNumbers w:val="0"/>
                    <w:adjustRightInd w:val="0"/>
                    <w:snapToGrid w:val="0"/>
                    <w:spacing w:before="0" w:beforeAutospacing="0" w:after="0" w:afterAutospacing="0"/>
                    <w:ind w:left="0" w:leftChars="0" w:right="0" w:rightChars="0"/>
                    <w:rPr>
                      <w:rFonts w:hint="default" w:ascii="Times New Roman" w:hAnsi="Times New Roman" w:eastAsia="宋体" w:cs="Times New Roman"/>
                      <w:color w:val="auto"/>
                      <w:sz w:val="18"/>
                      <w:szCs w:val="18"/>
                      <w:highlight w:val="none"/>
                      <w:lang w:val="en-US" w:eastAsia="zh-CN" w:bidi="ar-SA"/>
                    </w:rPr>
                  </w:pPr>
                  <w:r>
                    <w:rPr>
                      <w:rFonts w:hint="default"/>
                      <w:color w:val="auto"/>
                      <w:sz w:val="18"/>
                      <w:szCs w:val="18"/>
                      <w:highlight w:val="none"/>
                    </w:rPr>
                    <w:t>《广东省重点行业挥发性有机物排放量计算方法核算》中无相关核算方法，</w:t>
                  </w:r>
                  <w:r>
                    <w:rPr>
                      <w:rFonts w:hint="eastAsia"/>
                      <w:color w:val="auto"/>
                      <w:sz w:val="18"/>
                      <w:szCs w:val="18"/>
                      <w:highlight w:val="none"/>
                      <w:lang w:val="en-US" w:eastAsia="zh-CN"/>
                    </w:rPr>
                    <w:t>注塑有机废气参考《排放源统计调查产排污核算方法和系数手册》（生态环境部公告2021年第24号）其中的《2929塑料零件及其他塑料制品制造行业系数表》计算</w:t>
                  </w:r>
                </w:p>
              </w:tc>
              <w:tc>
                <w:tcPr>
                  <w:tcW w:w="0" w:type="auto"/>
                  <w:tcBorders>
                    <w:tl2br w:val="nil"/>
                    <w:tr2bl w:val="nil"/>
                  </w:tcBorders>
                  <w:vAlign w:val="center"/>
                </w:tcPr>
                <w:p w14:paraId="66F50BCE">
                  <w:pPr>
                    <w:keepNext w:val="0"/>
                    <w:keepLines w:val="0"/>
                    <w:suppressLineNumbers w:val="0"/>
                    <w:adjustRightInd w:val="0"/>
                    <w:snapToGrid w:val="0"/>
                    <w:spacing w:before="0" w:beforeAutospacing="0" w:after="0" w:afterAutospacing="0"/>
                    <w:ind w:left="0" w:right="0"/>
                    <w:jc w:val="center"/>
                    <w:rPr>
                      <w:rFonts w:hint="default"/>
                      <w:color w:val="auto"/>
                      <w:sz w:val="18"/>
                      <w:szCs w:val="18"/>
                      <w:highlight w:val="none"/>
                    </w:rPr>
                  </w:pPr>
                  <w:r>
                    <w:rPr>
                      <w:rFonts w:hint="eastAsia"/>
                      <w:color w:val="auto"/>
                      <w:sz w:val="18"/>
                      <w:szCs w:val="18"/>
                      <w:highlight w:val="none"/>
                      <w:lang w:val="en-US" w:eastAsia="zh-CN"/>
                    </w:rPr>
                    <w:t>符合</w:t>
                  </w:r>
                </w:p>
              </w:tc>
            </w:tr>
          </w:tbl>
          <w:p w14:paraId="2D82C618">
            <w:pPr>
              <w:pStyle w:val="3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leftChars="0" w:right="0" w:firstLine="420" w:firstLineChars="200"/>
              <w:jc w:val="left"/>
              <w:textAlignment w:val="auto"/>
              <w:rPr>
                <w:rFonts w:hint="eastAsia" w:ascii="Times New Roman" w:hAnsi="Times New Roman" w:eastAsia="宋体" w:cs="Times New Roman"/>
                <w:b w:val="0"/>
                <w:bCs w:val="0"/>
                <w:color w:val="auto"/>
                <w:kern w:val="0"/>
                <w:sz w:val="21"/>
                <w:szCs w:val="21"/>
                <w:highlight w:val="none"/>
                <w:lang w:val="zh-CN" w:eastAsia="zh-CN"/>
              </w:rPr>
            </w:pPr>
            <w:r>
              <w:rPr>
                <w:rFonts w:hint="eastAsia" w:ascii="Times New Roman" w:hAnsi="Times New Roman" w:eastAsia="宋体" w:cs="Times New Roman"/>
                <w:b w:val="0"/>
                <w:bCs w:val="0"/>
                <w:color w:val="auto"/>
                <w:kern w:val="0"/>
                <w:sz w:val="21"/>
                <w:szCs w:val="21"/>
                <w:highlight w:val="none"/>
                <w:lang w:val="zh-CN" w:eastAsia="zh-CN"/>
              </w:rPr>
              <w:t>综上，本项目符合《&lt;广东省涉挥发性有机物（VOCs）重点行业治理指引&gt;的通知》（粤环办</w:t>
            </w:r>
            <w:r>
              <w:rPr>
                <w:rFonts w:hint="eastAsia" w:ascii="Times New Roman" w:hAnsi="Times New Roman" w:eastAsia="宋体" w:cs="Times New Roman"/>
                <w:b w:val="0"/>
                <w:bCs w:val="0"/>
                <w:color w:val="auto"/>
                <w:kern w:val="0"/>
                <w:sz w:val="21"/>
                <w:szCs w:val="21"/>
                <w:highlight w:val="none"/>
                <w:lang w:val="en-US" w:eastAsia="zh-CN"/>
              </w:rPr>
              <w:t>〔20</w:t>
            </w:r>
            <w:r>
              <w:rPr>
                <w:rFonts w:hint="eastAsia" w:cs="Times New Roman"/>
                <w:b w:val="0"/>
                <w:bCs w:val="0"/>
                <w:color w:val="auto"/>
                <w:kern w:val="0"/>
                <w:sz w:val="21"/>
                <w:szCs w:val="21"/>
                <w:highlight w:val="none"/>
                <w:lang w:val="en-US" w:eastAsia="zh-CN"/>
              </w:rPr>
              <w:t>21</w:t>
            </w:r>
            <w:r>
              <w:rPr>
                <w:rFonts w:hint="eastAsia" w:ascii="Times New Roman" w:hAnsi="Times New Roman" w:eastAsia="宋体"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zh-CN" w:eastAsia="zh-CN"/>
              </w:rPr>
              <w:t>43号）要求。</w:t>
            </w:r>
          </w:p>
          <w:p w14:paraId="4CE2131A">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22" w:firstLineChars="200"/>
              <w:jc w:val="left"/>
              <w:textAlignment w:val="auto"/>
              <w:rPr>
                <w:rFonts w:hint="eastAsia" w:ascii="Times New Roman" w:hAnsi="Times New Roman" w:eastAsia="宋体" w:cs="Times New Roman"/>
                <w:b/>
                <w:bCs/>
                <w:color w:val="auto"/>
                <w:kern w:val="0"/>
                <w:sz w:val="21"/>
                <w:szCs w:val="21"/>
                <w:highlight w:val="none"/>
                <w:lang w:val="en-US" w:eastAsia="zh-CN"/>
              </w:rPr>
            </w:pPr>
            <w:r>
              <w:rPr>
                <w:rFonts w:hint="eastAsia" w:ascii="Times New Roman" w:hAnsi="Times New Roman" w:eastAsia="宋体" w:cs="Times New Roman"/>
                <w:b/>
                <w:bCs/>
                <w:color w:val="auto"/>
                <w:kern w:val="0"/>
                <w:sz w:val="21"/>
                <w:szCs w:val="21"/>
                <w:highlight w:val="none"/>
                <w:lang w:val="en-US" w:eastAsia="zh-CN"/>
              </w:rPr>
              <w:t>9、与《广东省大气污染防治条例》的相符性分析</w:t>
            </w:r>
          </w:p>
          <w:p w14:paraId="15D87D6C">
            <w:pPr>
              <w:pStyle w:val="33"/>
              <w:keepNext w:val="0"/>
              <w:keepLines w:val="0"/>
              <w:suppressLineNumbers w:val="0"/>
              <w:spacing w:before="0" w:beforeAutospacing="0" w:after="0" w:afterAutospacing="0" w:line="360" w:lineRule="auto"/>
              <w:ind w:left="0" w:leftChars="0" w:right="0" w:firstLine="420" w:firstLineChars="200"/>
              <w:jc w:val="left"/>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以下内容引用自《广东省大气污染防治条例》</w:t>
            </w:r>
            <w:r>
              <w:rPr>
                <w:rFonts w:hint="eastAsia" w:cs="Times New Roman"/>
                <w:b w:val="0"/>
                <w:bCs w:val="0"/>
                <w:color w:val="auto"/>
                <w:kern w:val="0"/>
                <w:sz w:val="21"/>
                <w:szCs w:val="21"/>
                <w:highlight w:val="none"/>
                <w:lang w:val="en-US" w:eastAsia="zh-CN"/>
              </w:rPr>
              <w:t>：</w:t>
            </w:r>
          </w:p>
          <w:p w14:paraId="435EBD78">
            <w:pPr>
              <w:pStyle w:val="33"/>
              <w:keepNext w:val="0"/>
              <w:keepLines w:val="0"/>
              <w:suppressLineNumbers w:val="0"/>
              <w:spacing w:before="0" w:beforeAutospacing="0" w:after="0" w:afterAutospacing="0" w:line="360" w:lineRule="auto"/>
              <w:ind w:left="0" w:leftChars="0" w:right="0" w:firstLine="420" w:firstLineChars="200"/>
              <w:jc w:val="left"/>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“第十三条</w:t>
            </w:r>
            <w:r>
              <w:rPr>
                <w:rFonts w:hint="eastAsia" w:cs="Times New Roman"/>
                <w:b w:val="0"/>
                <w:bCs w:val="0"/>
                <w:color w:val="auto"/>
                <w:kern w:val="0"/>
                <w:sz w:val="21"/>
                <w:szCs w:val="21"/>
                <w:highlight w:val="none"/>
                <w:lang w:val="en-US" w:eastAsia="zh-CN"/>
              </w:rPr>
              <w:t xml:space="preserve"> </w:t>
            </w:r>
            <w:r>
              <w:rPr>
                <w:rFonts w:hint="eastAsia" w:ascii="Times New Roman" w:hAnsi="Times New Roman" w:eastAsia="宋体" w:cs="Times New Roman"/>
                <w:b w:val="0"/>
                <w:bCs w:val="0"/>
                <w:color w:val="auto"/>
                <w:kern w:val="0"/>
                <w:sz w:val="21"/>
                <w:szCs w:val="21"/>
                <w:highlight w:val="none"/>
                <w:lang w:val="en-US" w:eastAsia="zh-CN"/>
              </w:rPr>
              <w:t>新建、改建、扩建新增排放重点大气污染物的建设项目，建设单位应当在报批环境影响评价文件前按照规定向生态环境主管部门申请取得重点大气污染物排放总量控制指标。生态环境主管部门按照等量或者减量替代的原则核定重点大气污染物排放总量控制指标。</w:t>
            </w:r>
          </w:p>
          <w:p w14:paraId="5B57B617">
            <w:pPr>
              <w:pStyle w:val="33"/>
              <w:keepNext w:val="0"/>
              <w:keepLines w:val="0"/>
              <w:suppressLineNumbers w:val="0"/>
              <w:spacing w:before="0" w:beforeAutospacing="0" w:after="0" w:afterAutospacing="0" w:line="360" w:lineRule="auto"/>
              <w:ind w:left="0" w:leftChars="0" w:right="0" w:firstLine="420" w:firstLineChars="200"/>
              <w:jc w:val="left"/>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新增重点大气污染物排放总量控制指标可以通过实施工程治理减排、结构调整减排项目或者排污权交易等方式取得。</w:t>
            </w:r>
          </w:p>
          <w:p w14:paraId="100F6D49">
            <w:pPr>
              <w:pStyle w:val="33"/>
              <w:keepNext w:val="0"/>
              <w:keepLines w:val="0"/>
              <w:suppressLineNumbers w:val="0"/>
              <w:spacing w:before="0" w:beforeAutospacing="0" w:after="0" w:afterAutospacing="0" w:line="360" w:lineRule="auto"/>
              <w:ind w:left="0" w:leftChars="0" w:right="0" w:firstLine="420" w:firstLineChars="200"/>
              <w:jc w:val="left"/>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第二十六条</w:t>
            </w:r>
            <w:r>
              <w:rPr>
                <w:rFonts w:hint="eastAsia" w:cs="Times New Roman"/>
                <w:b w:val="0"/>
                <w:bCs w:val="0"/>
                <w:color w:val="auto"/>
                <w:kern w:val="0"/>
                <w:sz w:val="21"/>
                <w:szCs w:val="21"/>
                <w:highlight w:val="none"/>
                <w:lang w:val="en-US" w:eastAsia="zh-CN"/>
              </w:rPr>
              <w:t xml:space="preserve"> </w:t>
            </w:r>
            <w:r>
              <w:rPr>
                <w:rFonts w:hint="eastAsia" w:ascii="Times New Roman" w:hAnsi="Times New Roman" w:eastAsia="宋体" w:cs="Times New Roman"/>
                <w:b w:val="0"/>
                <w:bCs w:val="0"/>
                <w:color w:val="auto"/>
                <w:kern w:val="0"/>
                <w:sz w:val="21"/>
                <w:szCs w:val="21"/>
                <w:highlight w:val="none"/>
                <w:lang w:val="en-US" w:eastAsia="zh-CN"/>
              </w:rPr>
              <w:t>新建、改建、扩建排放挥发性有机物的建设项目，应当使用污染防治先进可行技术。下列产生含挥发性有机物废气的生产和服务活动，应当优先使用低挥发性有机物含量的原材料和低排放环保工艺，在确保安全条件下，按照规定在密闭空间或者设备中进行，安装、使用满足防爆、防静电要求的治理效率高的污染防治设施</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无法密闭或者不适宜密闭的，应当采取有效措施减少废气排放</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一</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石油、化工、煤炭加工与转化等含挥发性有机物原料的生产</w:t>
            </w:r>
            <w:r>
              <w:rPr>
                <w:rFonts w:hint="eastAsia" w:cs="Times New Roman"/>
                <w:b w:val="0"/>
                <w:bCs w:val="0"/>
                <w:color w:val="auto"/>
                <w:kern w:val="0"/>
                <w:sz w:val="21"/>
                <w:szCs w:val="21"/>
                <w:highlight w:val="none"/>
                <w:lang w:val="en-US" w:eastAsia="zh-CN"/>
              </w:rPr>
              <w:t>；（二）</w:t>
            </w:r>
            <w:r>
              <w:rPr>
                <w:rFonts w:hint="eastAsia" w:ascii="Times New Roman" w:hAnsi="Times New Roman" w:eastAsia="宋体" w:cs="Times New Roman"/>
                <w:b w:val="0"/>
                <w:bCs w:val="0"/>
                <w:color w:val="auto"/>
                <w:kern w:val="0"/>
                <w:sz w:val="21"/>
                <w:szCs w:val="21"/>
                <w:highlight w:val="none"/>
                <w:lang w:val="en-US" w:eastAsia="zh-CN"/>
              </w:rPr>
              <w:t>燃油、溶剂的储存、运输和销售</w:t>
            </w:r>
            <w:r>
              <w:rPr>
                <w:rFonts w:hint="eastAsia" w:cs="Times New Roman"/>
                <w:b w:val="0"/>
                <w:bCs w:val="0"/>
                <w:color w:val="auto"/>
                <w:kern w:val="0"/>
                <w:sz w:val="21"/>
                <w:szCs w:val="21"/>
                <w:highlight w:val="none"/>
                <w:lang w:val="en-US" w:eastAsia="zh-CN"/>
              </w:rPr>
              <w:t>；（三）</w:t>
            </w:r>
            <w:r>
              <w:rPr>
                <w:rFonts w:hint="eastAsia" w:ascii="Times New Roman" w:hAnsi="Times New Roman" w:eastAsia="宋体" w:cs="Times New Roman"/>
                <w:b w:val="0"/>
                <w:bCs w:val="0"/>
                <w:color w:val="auto"/>
                <w:kern w:val="0"/>
                <w:sz w:val="21"/>
                <w:szCs w:val="21"/>
                <w:highlight w:val="none"/>
                <w:lang w:val="en-US" w:eastAsia="zh-CN"/>
              </w:rPr>
              <w:t>涂料、油墨、胶粘剂、农药等以挥发性有机物为原料的生产</w:t>
            </w:r>
            <w:r>
              <w:rPr>
                <w:rFonts w:hint="eastAsia" w:cs="Times New Roman"/>
                <w:b w:val="0"/>
                <w:bCs w:val="0"/>
                <w:color w:val="auto"/>
                <w:kern w:val="0"/>
                <w:sz w:val="21"/>
                <w:szCs w:val="21"/>
                <w:highlight w:val="none"/>
                <w:lang w:val="en-US" w:eastAsia="zh-CN"/>
              </w:rPr>
              <w:t>；（四）</w:t>
            </w:r>
            <w:r>
              <w:rPr>
                <w:rFonts w:hint="eastAsia" w:ascii="Times New Roman" w:hAnsi="Times New Roman" w:eastAsia="宋体" w:cs="Times New Roman"/>
                <w:b w:val="0"/>
                <w:bCs w:val="0"/>
                <w:color w:val="auto"/>
                <w:kern w:val="0"/>
                <w:sz w:val="21"/>
                <w:szCs w:val="21"/>
                <w:highlight w:val="none"/>
                <w:lang w:val="en-US" w:eastAsia="zh-CN"/>
              </w:rPr>
              <w:t>涂装、印刷、粘合、工业清洗等使用含挥发性有机物产品的生产活动</w:t>
            </w:r>
            <w:r>
              <w:rPr>
                <w:rFonts w:hint="eastAsia" w:cs="Times New Roman"/>
                <w:b w:val="0"/>
                <w:bCs w:val="0"/>
                <w:color w:val="auto"/>
                <w:kern w:val="0"/>
                <w:sz w:val="21"/>
                <w:szCs w:val="21"/>
                <w:highlight w:val="none"/>
                <w:lang w:val="en-US" w:eastAsia="zh-CN"/>
              </w:rPr>
              <w:t>；（五）</w:t>
            </w:r>
            <w:r>
              <w:rPr>
                <w:rFonts w:hint="eastAsia" w:ascii="Times New Roman" w:hAnsi="Times New Roman" w:eastAsia="宋体" w:cs="Times New Roman"/>
                <w:b w:val="0"/>
                <w:bCs w:val="0"/>
                <w:color w:val="auto"/>
                <w:kern w:val="0"/>
                <w:sz w:val="21"/>
                <w:szCs w:val="21"/>
                <w:highlight w:val="none"/>
                <w:lang w:val="en-US" w:eastAsia="zh-CN"/>
              </w:rPr>
              <w:t>其他产生挥发性有机物的生产和服务活动。”</w:t>
            </w:r>
          </w:p>
          <w:p w14:paraId="0B3CCC92">
            <w:pPr>
              <w:pStyle w:val="33"/>
              <w:keepNext w:val="0"/>
              <w:keepLines w:val="0"/>
              <w:suppressLineNumbers w:val="0"/>
              <w:spacing w:before="0" w:beforeAutospacing="0" w:after="0" w:afterAutospacing="0" w:line="360" w:lineRule="auto"/>
              <w:ind w:left="0" w:leftChars="0" w:right="0" w:firstLine="422" w:firstLineChars="200"/>
              <w:jc w:val="left"/>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bCs/>
                <w:color w:val="auto"/>
                <w:kern w:val="0"/>
                <w:sz w:val="21"/>
                <w:szCs w:val="21"/>
                <w:highlight w:val="none"/>
                <w:lang w:val="en-US" w:eastAsia="zh-CN"/>
              </w:rPr>
              <w:t>相符性分析</w:t>
            </w:r>
            <w:r>
              <w:rPr>
                <w:rFonts w:hint="eastAsia" w:cs="Times New Roman"/>
                <w:b/>
                <w:bCs/>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本项目挥发性有机物总量控制指标由惠州市生态环境局博罗分局进行分配，项目</w:t>
            </w:r>
            <w:r>
              <w:rPr>
                <w:rFonts w:hint="eastAsia" w:cs="Times New Roman"/>
                <w:b w:val="0"/>
                <w:bCs w:val="0"/>
                <w:color w:val="auto"/>
                <w:kern w:val="0"/>
                <w:sz w:val="21"/>
                <w:szCs w:val="21"/>
                <w:highlight w:val="none"/>
                <w:lang w:val="en-US" w:eastAsia="zh-CN"/>
              </w:rPr>
              <w:t>吸塑和</w:t>
            </w:r>
            <w:r>
              <w:rPr>
                <w:rFonts w:hint="eastAsia" w:ascii="Times New Roman" w:hAnsi="Times New Roman" w:eastAsia="宋体" w:cs="Times New Roman"/>
                <w:b w:val="0"/>
                <w:bCs w:val="0"/>
                <w:color w:val="auto"/>
                <w:kern w:val="0"/>
                <w:sz w:val="21"/>
                <w:szCs w:val="21"/>
                <w:highlight w:val="none"/>
                <w:lang w:val="en-US" w:eastAsia="zh-CN"/>
              </w:rPr>
              <w:t>印刷有机废气收集后经“</w:t>
            </w:r>
            <w:r>
              <w:rPr>
                <w:rFonts w:hint="eastAsia" w:cs="Times New Roman"/>
                <w:b w:val="0"/>
                <w:bCs w:val="0"/>
                <w:color w:val="auto"/>
                <w:kern w:val="0"/>
                <w:sz w:val="21"/>
                <w:szCs w:val="21"/>
                <w:highlight w:val="none"/>
                <w:lang w:val="en-US" w:eastAsia="zh-CN"/>
              </w:rPr>
              <w:t>空气冷却器</w:t>
            </w:r>
            <w:r>
              <w:rPr>
                <w:rFonts w:hint="eastAsia" w:ascii="Times New Roman" w:hAnsi="Times New Roman" w:eastAsia="宋体" w:cs="Times New Roman"/>
                <w:b w:val="0"/>
                <w:bCs w:val="0"/>
                <w:color w:val="auto"/>
                <w:kern w:val="0"/>
                <w:sz w:val="21"/>
                <w:szCs w:val="21"/>
                <w:highlight w:val="none"/>
                <w:lang w:val="en-US" w:eastAsia="zh-CN"/>
              </w:rPr>
              <w:t>+两级活性炭吸附装置”处理后经1根4</w:t>
            </w:r>
            <w:r>
              <w:rPr>
                <w:rFonts w:hint="eastAsia" w:cs="Times New Roman"/>
                <w:b w:val="0"/>
                <w:bCs w:val="0"/>
                <w:color w:val="auto"/>
                <w:kern w:val="0"/>
                <w:sz w:val="21"/>
                <w:szCs w:val="21"/>
                <w:highlight w:val="none"/>
                <w:lang w:val="en-US" w:eastAsia="zh-CN"/>
              </w:rPr>
              <w:t>6</w:t>
            </w:r>
            <w:r>
              <w:rPr>
                <w:rFonts w:hint="eastAsia" w:ascii="Times New Roman" w:hAnsi="Times New Roman" w:eastAsia="宋体" w:cs="Times New Roman"/>
                <w:b w:val="0"/>
                <w:bCs w:val="0"/>
                <w:color w:val="auto"/>
                <w:kern w:val="0"/>
                <w:sz w:val="21"/>
                <w:szCs w:val="21"/>
                <w:highlight w:val="none"/>
                <w:lang w:val="en-US" w:eastAsia="zh-CN"/>
              </w:rPr>
              <w:t>m高的排气筒DA001排放，对周围环境影响不大，符合该文件的要求。</w:t>
            </w:r>
          </w:p>
          <w:p w14:paraId="05D6FC3F">
            <w:pPr>
              <w:pStyle w:val="33"/>
              <w:keepNext w:val="0"/>
              <w:keepLines w:val="0"/>
              <w:suppressLineNumbers w:val="0"/>
              <w:spacing w:before="0" w:beforeAutospacing="0" w:after="0" w:afterAutospacing="0" w:line="360" w:lineRule="auto"/>
              <w:ind w:left="0" w:leftChars="0" w:right="0" w:firstLine="422" w:firstLineChars="200"/>
              <w:jc w:val="left"/>
              <w:rPr>
                <w:rFonts w:hint="eastAsia" w:ascii="Times New Roman" w:hAnsi="Times New Roman" w:eastAsia="宋体" w:cs="Times New Roman"/>
                <w:b/>
                <w:bCs/>
                <w:color w:val="auto"/>
                <w:kern w:val="0"/>
                <w:sz w:val="21"/>
                <w:szCs w:val="21"/>
                <w:highlight w:val="none"/>
                <w:lang w:val="en-US" w:eastAsia="zh-CN"/>
              </w:rPr>
            </w:pPr>
            <w:r>
              <w:rPr>
                <w:rFonts w:hint="eastAsia" w:ascii="Times New Roman" w:hAnsi="Times New Roman" w:eastAsia="宋体" w:cs="Times New Roman"/>
                <w:b/>
                <w:bCs/>
                <w:color w:val="auto"/>
                <w:kern w:val="0"/>
                <w:sz w:val="21"/>
                <w:szCs w:val="21"/>
                <w:highlight w:val="none"/>
                <w:lang w:val="en-US" w:eastAsia="zh-CN"/>
              </w:rPr>
              <w:t>10、与关于《转发国家发展改革委、生态环境部关于进一步加强塑料污染治理的意见的通知》</w:t>
            </w:r>
            <w:r>
              <w:rPr>
                <w:rFonts w:hint="eastAsia" w:cs="Times New Roman"/>
                <w:b/>
                <w:bCs/>
                <w:color w:val="auto"/>
                <w:kern w:val="0"/>
                <w:sz w:val="21"/>
                <w:szCs w:val="21"/>
                <w:highlight w:val="none"/>
                <w:lang w:val="en-US" w:eastAsia="zh-CN"/>
              </w:rPr>
              <w:t>（</w:t>
            </w:r>
            <w:r>
              <w:rPr>
                <w:rFonts w:hint="eastAsia" w:ascii="Times New Roman" w:hAnsi="Times New Roman" w:eastAsia="宋体" w:cs="Times New Roman"/>
                <w:b/>
                <w:bCs/>
                <w:color w:val="auto"/>
                <w:kern w:val="0"/>
                <w:sz w:val="21"/>
                <w:szCs w:val="21"/>
                <w:highlight w:val="none"/>
                <w:lang w:val="en-US" w:eastAsia="zh-CN"/>
              </w:rPr>
              <w:t>粤发改资环函〔20</w:t>
            </w:r>
            <w:r>
              <w:rPr>
                <w:rFonts w:hint="eastAsia" w:cs="Times New Roman"/>
                <w:b/>
                <w:bCs/>
                <w:color w:val="auto"/>
                <w:kern w:val="0"/>
                <w:sz w:val="21"/>
                <w:szCs w:val="21"/>
                <w:highlight w:val="none"/>
                <w:lang w:val="en-US" w:eastAsia="zh-CN"/>
              </w:rPr>
              <w:t>20</w:t>
            </w:r>
            <w:r>
              <w:rPr>
                <w:rFonts w:hint="eastAsia" w:ascii="Times New Roman" w:hAnsi="Times New Roman" w:eastAsia="宋体" w:cs="Times New Roman"/>
                <w:b/>
                <w:bCs/>
                <w:color w:val="auto"/>
                <w:kern w:val="0"/>
                <w:sz w:val="21"/>
                <w:szCs w:val="21"/>
                <w:highlight w:val="none"/>
                <w:lang w:val="en-US" w:eastAsia="zh-CN"/>
              </w:rPr>
              <w:t>〕243号</w:t>
            </w:r>
            <w:r>
              <w:rPr>
                <w:rFonts w:hint="eastAsia" w:cs="Times New Roman"/>
                <w:b/>
                <w:bCs/>
                <w:color w:val="auto"/>
                <w:kern w:val="0"/>
                <w:sz w:val="21"/>
                <w:szCs w:val="21"/>
                <w:highlight w:val="none"/>
                <w:lang w:val="en-US" w:eastAsia="zh-CN"/>
              </w:rPr>
              <w:t>）</w:t>
            </w:r>
            <w:r>
              <w:rPr>
                <w:rFonts w:hint="eastAsia" w:ascii="Times New Roman" w:hAnsi="Times New Roman" w:eastAsia="宋体" w:cs="Times New Roman"/>
                <w:b/>
                <w:bCs/>
                <w:color w:val="auto"/>
                <w:kern w:val="0"/>
                <w:sz w:val="21"/>
                <w:szCs w:val="21"/>
                <w:highlight w:val="none"/>
                <w:lang w:val="en-US" w:eastAsia="zh-CN"/>
              </w:rPr>
              <w:t>的相符性分析</w:t>
            </w:r>
          </w:p>
          <w:p w14:paraId="015951FE">
            <w:pPr>
              <w:pStyle w:val="33"/>
              <w:keepNext w:val="0"/>
              <w:keepLines w:val="0"/>
              <w:suppressLineNumbers w:val="0"/>
              <w:spacing w:before="0" w:beforeAutospacing="0" w:after="0" w:afterAutospacing="0" w:line="360" w:lineRule="auto"/>
              <w:ind w:left="0" w:leftChars="0" w:right="0" w:firstLine="420" w:firstLineChars="200"/>
              <w:jc w:val="left"/>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val="0"/>
                <w:bCs w:val="0"/>
                <w:color w:val="auto"/>
                <w:kern w:val="0"/>
                <w:sz w:val="21"/>
                <w:szCs w:val="21"/>
                <w:highlight w:val="none"/>
                <w:lang w:val="en-US" w:eastAsia="zh-CN"/>
              </w:rPr>
              <w:t>“</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四</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禁止生产、销售的塑料制品。禁止生产和销售厚度小于0.025毫米的超薄塑料购物袋、厚度小于0.01毫米的聚乙烯农用地膜。禁止以医疗废物为原料制造塑料制品。全面禁止废塑料进口。到2020年底，禁止生产和销售一次性发泡塑料餐具、一次性塑料棉签</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禁止生产含塑料微珠的日化产品。到2022年底，禁止销售含塑料微珠的日化产品。”</w:t>
            </w:r>
          </w:p>
          <w:p w14:paraId="48BDBA65">
            <w:pPr>
              <w:pStyle w:val="33"/>
              <w:keepNext w:val="0"/>
              <w:keepLines w:val="0"/>
              <w:suppressLineNumbers w:val="0"/>
              <w:spacing w:before="0" w:beforeAutospacing="0" w:after="0" w:afterAutospacing="0" w:line="360" w:lineRule="auto"/>
              <w:ind w:left="0" w:leftChars="0" w:right="0" w:firstLine="422" w:firstLineChars="200"/>
              <w:jc w:val="left"/>
              <w:rPr>
                <w:rFonts w:hint="eastAsia" w:ascii="Times New Roman" w:hAnsi="Times New Roman" w:eastAsia="宋体" w:cs="Times New Roman"/>
                <w:b w:val="0"/>
                <w:bCs w:val="0"/>
                <w:color w:val="auto"/>
                <w:kern w:val="0"/>
                <w:sz w:val="21"/>
                <w:szCs w:val="21"/>
                <w:highlight w:val="none"/>
                <w:lang w:val="en-US" w:eastAsia="zh-CN"/>
              </w:rPr>
            </w:pPr>
            <w:r>
              <w:rPr>
                <w:rFonts w:hint="eastAsia" w:ascii="Times New Roman" w:hAnsi="Times New Roman" w:eastAsia="宋体" w:cs="Times New Roman"/>
                <w:b/>
                <w:bCs/>
                <w:color w:val="auto"/>
                <w:kern w:val="0"/>
                <w:sz w:val="21"/>
                <w:szCs w:val="21"/>
                <w:highlight w:val="none"/>
                <w:lang w:val="en-US" w:eastAsia="zh-CN"/>
              </w:rPr>
              <w:t>相符性分析</w:t>
            </w:r>
            <w:r>
              <w:rPr>
                <w:rFonts w:hint="eastAsia" w:cs="Times New Roman"/>
                <w:b/>
                <w:bCs/>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项目生产过程中使用</w:t>
            </w:r>
            <w:r>
              <w:rPr>
                <w:rFonts w:hint="eastAsia" w:cs="Times New Roman"/>
                <w:b w:val="0"/>
                <w:bCs w:val="0"/>
                <w:color w:val="auto"/>
                <w:kern w:val="0"/>
                <w:sz w:val="21"/>
                <w:szCs w:val="21"/>
                <w:highlight w:val="none"/>
                <w:lang w:val="en-US" w:eastAsia="zh-CN"/>
              </w:rPr>
              <w:t>吸塑</w:t>
            </w:r>
            <w:r>
              <w:rPr>
                <w:rFonts w:hint="eastAsia" w:ascii="Times New Roman" w:hAnsi="Times New Roman" w:eastAsia="宋体" w:cs="Times New Roman"/>
                <w:b w:val="0"/>
                <w:bCs w:val="0"/>
                <w:color w:val="auto"/>
                <w:kern w:val="0"/>
                <w:sz w:val="21"/>
                <w:szCs w:val="21"/>
                <w:highlight w:val="none"/>
                <w:lang w:val="en-US" w:eastAsia="zh-CN"/>
              </w:rPr>
              <w:t>制品厚度为0.06毫米以上，不属于以上禁止生产的产品类型。</w:t>
            </w:r>
          </w:p>
          <w:p w14:paraId="66DCCFD6">
            <w:pPr>
              <w:pStyle w:val="33"/>
              <w:keepNext w:val="0"/>
              <w:keepLines w:val="0"/>
              <w:suppressLineNumbers w:val="0"/>
              <w:spacing w:before="0" w:beforeAutospacing="0" w:after="0" w:afterAutospacing="0" w:line="360" w:lineRule="auto"/>
              <w:ind w:left="0" w:leftChars="0" w:right="0" w:firstLine="422" w:firstLineChars="200"/>
              <w:jc w:val="left"/>
              <w:rPr>
                <w:rFonts w:hint="eastAsia" w:ascii="Times New Roman" w:hAnsi="Times New Roman" w:eastAsia="宋体" w:cs="Times New Roman"/>
                <w:b/>
                <w:bCs/>
                <w:color w:val="auto"/>
                <w:kern w:val="0"/>
                <w:sz w:val="21"/>
                <w:szCs w:val="21"/>
                <w:highlight w:val="none"/>
                <w:lang w:val="en-US" w:eastAsia="zh-CN"/>
              </w:rPr>
            </w:pPr>
            <w:r>
              <w:rPr>
                <w:rFonts w:hint="eastAsia" w:ascii="Times New Roman" w:hAnsi="Times New Roman" w:eastAsia="宋体" w:cs="Times New Roman"/>
                <w:b/>
                <w:bCs/>
                <w:color w:val="auto"/>
                <w:kern w:val="0"/>
                <w:sz w:val="21"/>
                <w:szCs w:val="21"/>
                <w:highlight w:val="none"/>
                <w:lang w:val="en-US" w:eastAsia="zh-CN"/>
              </w:rPr>
              <w:t>11、与《广东省禁止、限制生产、销售和使用的塑料制品目录》</w:t>
            </w:r>
            <w:r>
              <w:rPr>
                <w:rFonts w:hint="eastAsia" w:cs="Times New Roman"/>
                <w:b/>
                <w:bCs/>
                <w:color w:val="auto"/>
                <w:kern w:val="0"/>
                <w:sz w:val="21"/>
                <w:szCs w:val="21"/>
                <w:highlight w:val="none"/>
                <w:lang w:val="en-US" w:eastAsia="zh-CN"/>
              </w:rPr>
              <w:t>（</w:t>
            </w:r>
            <w:r>
              <w:rPr>
                <w:rFonts w:hint="eastAsia" w:ascii="Times New Roman" w:hAnsi="Times New Roman" w:eastAsia="宋体" w:cs="Times New Roman"/>
                <w:b/>
                <w:bCs/>
                <w:color w:val="auto"/>
                <w:kern w:val="0"/>
                <w:sz w:val="21"/>
                <w:szCs w:val="21"/>
                <w:highlight w:val="none"/>
                <w:lang w:val="en-US" w:eastAsia="zh-CN"/>
              </w:rPr>
              <w:t>2020年版</w:t>
            </w:r>
            <w:r>
              <w:rPr>
                <w:rFonts w:hint="eastAsia" w:cs="Times New Roman"/>
                <w:b/>
                <w:bCs/>
                <w:color w:val="auto"/>
                <w:kern w:val="0"/>
                <w:sz w:val="21"/>
                <w:szCs w:val="21"/>
                <w:highlight w:val="none"/>
                <w:lang w:val="en-US" w:eastAsia="zh-CN"/>
              </w:rPr>
              <w:t>）</w:t>
            </w:r>
            <w:r>
              <w:rPr>
                <w:rFonts w:hint="eastAsia" w:ascii="Times New Roman" w:hAnsi="Times New Roman" w:eastAsia="宋体" w:cs="Times New Roman"/>
                <w:b/>
                <w:bCs/>
                <w:color w:val="auto"/>
                <w:kern w:val="0"/>
                <w:sz w:val="21"/>
                <w:szCs w:val="21"/>
                <w:highlight w:val="none"/>
                <w:lang w:val="en-US" w:eastAsia="zh-CN"/>
              </w:rPr>
              <w:t>的相符性分析</w:t>
            </w:r>
          </w:p>
          <w:tbl>
            <w:tblPr>
              <w:tblStyle w:val="42"/>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6"/>
              <w:gridCol w:w="3636"/>
              <w:gridCol w:w="985"/>
              <w:gridCol w:w="985"/>
              <w:gridCol w:w="893"/>
            </w:tblGrid>
            <w:tr w14:paraId="0D5984E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5"/>
                  <w:tcBorders>
                    <w:tl2br w:val="nil"/>
                    <w:tr2bl w:val="nil"/>
                  </w:tcBorders>
                  <w:vAlign w:val="center"/>
                </w:tcPr>
                <w:p w14:paraId="78A200CD">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一、禁止生产、销售的塑料制品</w:t>
                  </w:r>
                </w:p>
              </w:tc>
            </w:tr>
            <w:tr w14:paraId="0686A18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0" w:type="pct"/>
                  <w:tcBorders>
                    <w:tl2br w:val="nil"/>
                    <w:tr2bl w:val="nil"/>
                  </w:tcBorders>
                  <w:vAlign w:val="center"/>
                </w:tcPr>
                <w:p w14:paraId="5F7DBB6F">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类型</w:t>
                  </w:r>
                </w:p>
              </w:tc>
              <w:tc>
                <w:tcPr>
                  <w:tcW w:w="2378" w:type="pct"/>
                  <w:tcBorders>
                    <w:tl2br w:val="nil"/>
                    <w:tr2bl w:val="nil"/>
                  </w:tcBorders>
                  <w:vAlign w:val="center"/>
                </w:tcPr>
                <w:p w14:paraId="42418995">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细化标准</w:t>
                  </w:r>
                </w:p>
              </w:tc>
              <w:tc>
                <w:tcPr>
                  <w:tcW w:w="644" w:type="pct"/>
                  <w:tcBorders>
                    <w:tl2br w:val="nil"/>
                    <w:tr2bl w:val="nil"/>
                  </w:tcBorders>
                  <w:vAlign w:val="center"/>
                </w:tcPr>
                <w:p w14:paraId="0DE7E897">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2020年9月1日起</w:t>
                  </w:r>
                </w:p>
              </w:tc>
              <w:tc>
                <w:tcPr>
                  <w:tcW w:w="644" w:type="pct"/>
                  <w:tcBorders>
                    <w:tl2br w:val="nil"/>
                    <w:tr2bl w:val="nil"/>
                  </w:tcBorders>
                  <w:vAlign w:val="center"/>
                </w:tcPr>
                <w:p w14:paraId="5BA2D7C6">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2021年1月1日起</w:t>
                  </w:r>
                </w:p>
              </w:tc>
              <w:tc>
                <w:tcPr>
                  <w:tcW w:w="582" w:type="pct"/>
                  <w:tcBorders>
                    <w:tl2br w:val="nil"/>
                    <w:tr2bl w:val="nil"/>
                  </w:tcBorders>
                  <w:vAlign w:val="center"/>
                </w:tcPr>
                <w:p w14:paraId="50C3D892">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2023年1月1日起</w:t>
                  </w:r>
                </w:p>
              </w:tc>
            </w:tr>
            <w:tr w14:paraId="57490A9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0" w:type="pct"/>
                  <w:tcBorders>
                    <w:tl2br w:val="nil"/>
                    <w:tr2bl w:val="nil"/>
                  </w:tcBorders>
                  <w:vAlign w:val="center"/>
                </w:tcPr>
                <w:p w14:paraId="294D40FF">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厚度小于0.025毫米的超薄塑料购物袋</w:t>
                  </w:r>
                </w:p>
              </w:tc>
              <w:tc>
                <w:tcPr>
                  <w:tcW w:w="2378" w:type="pct"/>
                  <w:tcBorders>
                    <w:tl2br w:val="nil"/>
                    <w:tr2bl w:val="nil"/>
                  </w:tcBorders>
                  <w:vAlign w:val="center"/>
                </w:tcPr>
                <w:p w14:paraId="6457F6B4">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用于盛装及携提物品且厚度小于0.025毫米的超薄塑料购物袋；适用范围参照GB/T21661《塑料购物袋》标准</w:t>
                  </w:r>
                </w:p>
              </w:tc>
              <w:tc>
                <w:tcPr>
                  <w:tcW w:w="644" w:type="pct"/>
                  <w:tcBorders>
                    <w:tl2br w:val="nil"/>
                    <w:tr2bl w:val="nil"/>
                  </w:tcBorders>
                  <w:vAlign w:val="center"/>
                </w:tcPr>
                <w:p w14:paraId="75B3A709">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全省范围内禁止生产、销售</w:t>
                  </w:r>
                </w:p>
              </w:tc>
              <w:tc>
                <w:tcPr>
                  <w:tcW w:w="644" w:type="pct"/>
                  <w:tcBorders>
                    <w:tl2br w:val="nil"/>
                    <w:tr2bl w:val="nil"/>
                  </w:tcBorders>
                  <w:vAlign w:val="center"/>
                </w:tcPr>
                <w:p w14:paraId="5C85D2CD">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w:t>
                  </w:r>
                </w:p>
              </w:tc>
              <w:tc>
                <w:tcPr>
                  <w:tcW w:w="582" w:type="pct"/>
                  <w:tcBorders>
                    <w:tl2br w:val="nil"/>
                    <w:tr2bl w:val="nil"/>
                  </w:tcBorders>
                  <w:vAlign w:val="center"/>
                </w:tcPr>
                <w:p w14:paraId="0FF8DCF7">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w:t>
                  </w:r>
                </w:p>
              </w:tc>
            </w:tr>
            <w:tr w14:paraId="08244DC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0" w:type="pct"/>
                  <w:tcBorders>
                    <w:tl2br w:val="nil"/>
                    <w:tr2bl w:val="nil"/>
                  </w:tcBorders>
                  <w:vAlign w:val="center"/>
                </w:tcPr>
                <w:p w14:paraId="3366C259">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厚度小于0.01毫米的聚乙烯农用地膜</w:t>
                  </w:r>
                </w:p>
              </w:tc>
              <w:tc>
                <w:tcPr>
                  <w:tcW w:w="2378" w:type="pct"/>
                  <w:tcBorders>
                    <w:tl2br w:val="nil"/>
                    <w:tr2bl w:val="nil"/>
                  </w:tcBorders>
                  <w:vAlign w:val="center"/>
                </w:tcPr>
                <w:p w14:paraId="7E61465A">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以聚乙烯为主要原料制成且厚度小于0.01毫米的不可降解农用地面覆盖薄膜；适用范围和地膜厚度、力学性能指标参照GB13735《聚乙烯吹塑农用地面覆盖薄膜》标准</w:t>
                  </w:r>
                </w:p>
              </w:tc>
              <w:tc>
                <w:tcPr>
                  <w:tcW w:w="644" w:type="pct"/>
                  <w:tcBorders>
                    <w:tl2br w:val="nil"/>
                    <w:tr2bl w:val="nil"/>
                  </w:tcBorders>
                  <w:vAlign w:val="center"/>
                </w:tcPr>
                <w:p w14:paraId="1A87B39E">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全省范围内禁止生产、销售</w:t>
                  </w:r>
                </w:p>
              </w:tc>
              <w:tc>
                <w:tcPr>
                  <w:tcW w:w="644" w:type="pct"/>
                  <w:tcBorders>
                    <w:tl2br w:val="nil"/>
                    <w:tr2bl w:val="nil"/>
                  </w:tcBorders>
                  <w:vAlign w:val="center"/>
                </w:tcPr>
                <w:p w14:paraId="7AF53E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w:t>
                  </w:r>
                </w:p>
              </w:tc>
              <w:tc>
                <w:tcPr>
                  <w:tcW w:w="582" w:type="pct"/>
                  <w:tcBorders>
                    <w:tl2br w:val="nil"/>
                    <w:tr2bl w:val="nil"/>
                  </w:tcBorders>
                  <w:vAlign w:val="center"/>
                </w:tcPr>
                <w:p w14:paraId="4560DA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w:t>
                  </w:r>
                </w:p>
              </w:tc>
            </w:tr>
            <w:tr w14:paraId="4249674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0" w:type="pct"/>
                  <w:tcBorders>
                    <w:tl2br w:val="nil"/>
                    <w:tr2bl w:val="nil"/>
                  </w:tcBorders>
                  <w:vAlign w:val="center"/>
                </w:tcPr>
                <w:p w14:paraId="7F88D6A0">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以医疗废物为原料制造塑料制品</w:t>
                  </w:r>
                </w:p>
              </w:tc>
              <w:tc>
                <w:tcPr>
                  <w:tcW w:w="2378" w:type="pct"/>
                  <w:tcBorders>
                    <w:tl2br w:val="nil"/>
                    <w:tr2bl w:val="nil"/>
                  </w:tcBorders>
                  <w:vAlign w:val="center"/>
                </w:tcPr>
                <w:p w14:paraId="12C0380F">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以纳入《医疗废物管理条例》、《医疗废物分类目录》等管理的医疗废物为原料生产塑料制品。以回收利用的废塑料输液袋（瓶）用于原用途或用于制造餐饮容器以及玩具等儿童用品</w:t>
                  </w:r>
                </w:p>
              </w:tc>
              <w:tc>
                <w:tcPr>
                  <w:tcW w:w="644" w:type="pct"/>
                  <w:tcBorders>
                    <w:tl2br w:val="nil"/>
                    <w:tr2bl w:val="nil"/>
                  </w:tcBorders>
                  <w:vAlign w:val="center"/>
                </w:tcPr>
                <w:p w14:paraId="0EDCA0BA">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全省范围内禁止</w:t>
                  </w:r>
                </w:p>
              </w:tc>
              <w:tc>
                <w:tcPr>
                  <w:tcW w:w="644" w:type="pct"/>
                  <w:tcBorders>
                    <w:tl2br w:val="nil"/>
                    <w:tr2bl w:val="nil"/>
                  </w:tcBorders>
                  <w:vAlign w:val="center"/>
                </w:tcPr>
                <w:p w14:paraId="6F8E0A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w:t>
                  </w:r>
                </w:p>
              </w:tc>
              <w:tc>
                <w:tcPr>
                  <w:tcW w:w="582" w:type="pct"/>
                  <w:tcBorders>
                    <w:tl2br w:val="nil"/>
                    <w:tr2bl w:val="nil"/>
                  </w:tcBorders>
                  <w:vAlign w:val="center"/>
                </w:tcPr>
                <w:p w14:paraId="22FE61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w:t>
                  </w:r>
                </w:p>
              </w:tc>
            </w:tr>
            <w:tr w14:paraId="2AF17BA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0" w:type="pct"/>
                  <w:tcBorders>
                    <w:tl2br w:val="nil"/>
                    <w:tr2bl w:val="nil"/>
                  </w:tcBorders>
                  <w:vAlign w:val="center"/>
                </w:tcPr>
                <w:p w14:paraId="12E6ACB0">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一次性发泡塑料餐具</w:t>
                  </w:r>
                </w:p>
              </w:tc>
              <w:tc>
                <w:tcPr>
                  <w:tcW w:w="2378" w:type="pct"/>
                  <w:tcBorders>
                    <w:tl2br w:val="nil"/>
                    <w:tr2bl w:val="nil"/>
                  </w:tcBorders>
                  <w:vAlign w:val="center"/>
                </w:tcPr>
                <w:p w14:paraId="624BD6F3">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用泡沫塑料制成的一次性塑料餐具</w:t>
                  </w:r>
                </w:p>
              </w:tc>
              <w:tc>
                <w:tcPr>
                  <w:tcW w:w="644" w:type="pct"/>
                  <w:tcBorders>
                    <w:tl2br w:val="nil"/>
                    <w:tr2bl w:val="nil"/>
                  </w:tcBorders>
                  <w:vAlign w:val="center"/>
                </w:tcPr>
                <w:p w14:paraId="1CCF5B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w:t>
                  </w:r>
                </w:p>
              </w:tc>
              <w:tc>
                <w:tcPr>
                  <w:tcW w:w="644" w:type="pct"/>
                  <w:tcBorders>
                    <w:tl2br w:val="nil"/>
                    <w:tr2bl w:val="nil"/>
                  </w:tcBorders>
                  <w:vAlign w:val="center"/>
                </w:tcPr>
                <w:p w14:paraId="4DC8F0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全省范围内禁止生产、销售</w:t>
                  </w:r>
                </w:p>
              </w:tc>
              <w:tc>
                <w:tcPr>
                  <w:tcW w:w="582" w:type="pct"/>
                  <w:tcBorders>
                    <w:tl2br w:val="nil"/>
                    <w:tr2bl w:val="nil"/>
                  </w:tcBorders>
                  <w:vAlign w:val="center"/>
                </w:tcPr>
                <w:p w14:paraId="5A7DF8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w:t>
                  </w:r>
                </w:p>
              </w:tc>
            </w:tr>
            <w:tr w14:paraId="6979088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0" w:type="pct"/>
                  <w:tcBorders>
                    <w:tl2br w:val="nil"/>
                    <w:tr2bl w:val="nil"/>
                  </w:tcBorders>
                  <w:vAlign w:val="center"/>
                </w:tcPr>
                <w:p w14:paraId="034B2BF8">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一次性塑料棉签</w:t>
                  </w:r>
                </w:p>
              </w:tc>
              <w:tc>
                <w:tcPr>
                  <w:tcW w:w="2378" w:type="pct"/>
                  <w:tcBorders>
                    <w:tl2br w:val="nil"/>
                    <w:tr2bl w:val="nil"/>
                  </w:tcBorders>
                  <w:vAlign w:val="center"/>
                </w:tcPr>
                <w:p w14:paraId="7082DE5D">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以塑料棒为基材制造的一次性棉签，不包括相关医疗器械</w:t>
                  </w:r>
                </w:p>
              </w:tc>
              <w:tc>
                <w:tcPr>
                  <w:tcW w:w="644" w:type="pct"/>
                  <w:tcBorders>
                    <w:tl2br w:val="nil"/>
                    <w:tr2bl w:val="nil"/>
                  </w:tcBorders>
                  <w:vAlign w:val="center"/>
                </w:tcPr>
                <w:p w14:paraId="38873F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w:t>
                  </w:r>
                </w:p>
              </w:tc>
              <w:tc>
                <w:tcPr>
                  <w:tcW w:w="644" w:type="pct"/>
                  <w:tcBorders>
                    <w:tl2br w:val="nil"/>
                    <w:tr2bl w:val="nil"/>
                  </w:tcBorders>
                  <w:vAlign w:val="center"/>
                </w:tcPr>
                <w:p w14:paraId="1B9307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全省范围内禁止生产、销售</w:t>
                  </w:r>
                </w:p>
              </w:tc>
              <w:tc>
                <w:tcPr>
                  <w:tcW w:w="582" w:type="pct"/>
                  <w:tcBorders>
                    <w:tl2br w:val="nil"/>
                    <w:tr2bl w:val="nil"/>
                  </w:tcBorders>
                  <w:vAlign w:val="center"/>
                </w:tcPr>
                <w:p w14:paraId="58ACB3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w:t>
                  </w:r>
                </w:p>
              </w:tc>
            </w:tr>
            <w:tr w14:paraId="16C7A04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50" w:type="pct"/>
                  <w:tcBorders>
                    <w:tl2br w:val="nil"/>
                    <w:tr2bl w:val="nil"/>
                  </w:tcBorders>
                  <w:vAlign w:val="center"/>
                </w:tcPr>
                <w:p w14:paraId="418F85ED">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含塑料微珠的日化产品</w:t>
                  </w:r>
                </w:p>
              </w:tc>
              <w:tc>
                <w:tcPr>
                  <w:tcW w:w="2378" w:type="pct"/>
                  <w:tcBorders>
                    <w:tl2br w:val="nil"/>
                    <w:tr2bl w:val="nil"/>
                  </w:tcBorders>
                  <w:vAlign w:val="center"/>
                </w:tcPr>
                <w:p w14:paraId="73786BAB">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为起到磨砂、去角质、清洁等作用，有意添加粒径小于5毫米的固体塑料颗粒的淋洗类化妆品（如沐浴剂、洁面乳、磨砂膏、洗发水等）和牙膏、牙粉</w:t>
                  </w:r>
                </w:p>
              </w:tc>
              <w:tc>
                <w:tcPr>
                  <w:tcW w:w="644" w:type="pct"/>
                  <w:tcBorders>
                    <w:tl2br w:val="nil"/>
                    <w:tr2bl w:val="nil"/>
                  </w:tcBorders>
                  <w:vAlign w:val="center"/>
                </w:tcPr>
                <w:p w14:paraId="3723D8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w:t>
                  </w:r>
                </w:p>
              </w:tc>
              <w:tc>
                <w:tcPr>
                  <w:tcW w:w="644" w:type="pct"/>
                  <w:tcBorders>
                    <w:tl2br w:val="nil"/>
                    <w:tr2bl w:val="nil"/>
                  </w:tcBorders>
                  <w:vAlign w:val="center"/>
                </w:tcPr>
                <w:p w14:paraId="1967E717">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全省范围内禁止</w:t>
                  </w:r>
                </w:p>
              </w:tc>
              <w:tc>
                <w:tcPr>
                  <w:tcW w:w="582" w:type="pct"/>
                  <w:tcBorders>
                    <w:tl2br w:val="nil"/>
                    <w:tr2bl w:val="nil"/>
                  </w:tcBorders>
                  <w:vAlign w:val="center"/>
                </w:tcPr>
                <w:p w14:paraId="26E22E8E">
                  <w:pPr>
                    <w:pStyle w:val="3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cs="Times New Roman"/>
                      <w:b w:val="0"/>
                      <w:bCs w:val="0"/>
                      <w:color w:val="auto"/>
                      <w:kern w:val="0"/>
                      <w:sz w:val="21"/>
                      <w:szCs w:val="21"/>
                      <w:highlight w:val="none"/>
                      <w:vertAlign w:val="baseline"/>
                      <w:lang w:val="en-US" w:eastAsia="zh-CN"/>
                    </w:rPr>
                  </w:pPr>
                  <w:r>
                    <w:rPr>
                      <w:rFonts w:hint="eastAsia" w:cs="Times New Roman"/>
                      <w:b w:val="0"/>
                      <w:bCs w:val="0"/>
                      <w:color w:val="auto"/>
                      <w:kern w:val="0"/>
                      <w:sz w:val="21"/>
                      <w:szCs w:val="21"/>
                      <w:highlight w:val="none"/>
                      <w:vertAlign w:val="baseline"/>
                      <w:lang w:val="en-US" w:eastAsia="zh-CN"/>
                    </w:rPr>
                    <w:t>全省范围内禁止销售</w:t>
                  </w:r>
                </w:p>
              </w:tc>
            </w:tr>
          </w:tbl>
          <w:p w14:paraId="7393DCCD">
            <w:pPr>
              <w:pStyle w:val="3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leftChars="0" w:right="0" w:firstLine="422" w:firstLineChars="200"/>
              <w:jc w:val="left"/>
              <w:textAlignment w:val="auto"/>
              <w:rPr>
                <w:rFonts w:hint="eastAsia" w:ascii="Times New Roman" w:hAnsi="Times New Roman" w:eastAsia="宋体" w:cs="Times New Roman"/>
                <w:b/>
                <w:bCs/>
                <w:color w:val="auto"/>
                <w:kern w:val="0"/>
                <w:sz w:val="21"/>
                <w:szCs w:val="21"/>
                <w:highlight w:val="none"/>
                <w:lang w:val="en-US" w:eastAsia="zh-CN"/>
              </w:rPr>
            </w:pPr>
            <w:r>
              <w:rPr>
                <w:rFonts w:hint="eastAsia" w:ascii="Times New Roman" w:hAnsi="Times New Roman" w:eastAsia="宋体" w:cs="Times New Roman"/>
                <w:b/>
                <w:bCs/>
                <w:color w:val="auto"/>
                <w:kern w:val="0"/>
                <w:sz w:val="21"/>
                <w:szCs w:val="21"/>
                <w:highlight w:val="none"/>
                <w:lang w:val="en-US" w:eastAsia="zh-CN"/>
              </w:rPr>
              <w:t>相符性分析</w:t>
            </w:r>
            <w:r>
              <w:rPr>
                <w:rFonts w:hint="eastAsia" w:cs="Times New Roman"/>
                <w:b/>
                <w:bCs/>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项目生产过程中使用</w:t>
            </w:r>
            <w:r>
              <w:rPr>
                <w:rFonts w:hint="eastAsia" w:cs="Times New Roman"/>
                <w:b w:val="0"/>
                <w:bCs w:val="0"/>
                <w:color w:val="auto"/>
                <w:kern w:val="0"/>
                <w:sz w:val="21"/>
                <w:szCs w:val="21"/>
                <w:highlight w:val="none"/>
                <w:lang w:val="en-US" w:eastAsia="zh-CN"/>
              </w:rPr>
              <w:t>吸塑</w:t>
            </w:r>
            <w:r>
              <w:rPr>
                <w:rFonts w:hint="eastAsia" w:ascii="Times New Roman" w:hAnsi="Times New Roman" w:eastAsia="宋体" w:cs="Times New Roman"/>
                <w:b w:val="0"/>
                <w:bCs w:val="0"/>
                <w:color w:val="auto"/>
                <w:kern w:val="0"/>
                <w:sz w:val="21"/>
                <w:szCs w:val="21"/>
                <w:highlight w:val="none"/>
                <w:lang w:val="en-US" w:eastAsia="zh-CN"/>
              </w:rPr>
              <w:t>制品厚度</w:t>
            </w:r>
            <w:r>
              <w:rPr>
                <w:rFonts w:hint="eastAsia" w:cs="Times New Roman"/>
                <w:b w:val="0"/>
                <w:bCs w:val="0"/>
                <w:color w:val="auto"/>
                <w:kern w:val="0"/>
                <w:sz w:val="21"/>
                <w:szCs w:val="21"/>
                <w:highlight w:val="none"/>
                <w:lang w:val="en-US" w:eastAsia="zh-CN"/>
              </w:rPr>
              <w:t>在</w:t>
            </w:r>
            <w:r>
              <w:rPr>
                <w:rFonts w:hint="eastAsia" w:ascii="Times New Roman" w:hAnsi="Times New Roman" w:eastAsia="宋体" w:cs="Times New Roman"/>
                <w:b w:val="0"/>
                <w:bCs w:val="0"/>
                <w:color w:val="auto"/>
                <w:kern w:val="0"/>
                <w:sz w:val="21"/>
                <w:szCs w:val="21"/>
                <w:highlight w:val="none"/>
                <w:lang w:val="en-US" w:eastAsia="zh-CN"/>
              </w:rPr>
              <w:t>0.06毫米以上，不属于以上禁止生产的产品类型。</w:t>
            </w:r>
          </w:p>
          <w:p w14:paraId="632B4853">
            <w:pPr>
              <w:pStyle w:val="33"/>
              <w:keepNext w:val="0"/>
              <w:keepLines w:val="0"/>
              <w:numPr>
                <w:ilvl w:val="0"/>
                <w:numId w:val="5"/>
              </w:numPr>
              <w:suppressLineNumbers w:val="0"/>
              <w:spacing w:before="0" w:beforeAutospacing="0" w:after="0" w:afterAutospacing="0" w:line="360" w:lineRule="auto"/>
              <w:ind w:left="0" w:leftChars="0" w:right="0" w:firstLine="422" w:firstLineChars="200"/>
              <w:jc w:val="left"/>
              <w:rPr>
                <w:rFonts w:hint="eastAsia" w:ascii="Times New Roman" w:hAnsi="Times New Roman" w:eastAsia="宋体" w:cs="Times New Roman"/>
                <w:b/>
                <w:bCs/>
                <w:color w:val="auto"/>
                <w:kern w:val="0"/>
                <w:sz w:val="21"/>
                <w:szCs w:val="21"/>
                <w:highlight w:val="none"/>
                <w:lang w:val="en-US" w:eastAsia="zh-CN"/>
              </w:rPr>
            </w:pPr>
            <w:r>
              <w:rPr>
                <w:rFonts w:hint="eastAsia" w:ascii="Times New Roman" w:hAnsi="Times New Roman" w:eastAsia="宋体" w:cs="Times New Roman"/>
                <w:b/>
                <w:bCs/>
                <w:color w:val="auto"/>
                <w:kern w:val="0"/>
                <w:sz w:val="21"/>
                <w:szCs w:val="21"/>
                <w:highlight w:val="none"/>
                <w:lang w:val="en-US" w:eastAsia="zh-CN"/>
              </w:rPr>
              <w:t>与《广东省发展改革委广东省生态环境厅印发&lt;关于进一步加强塑料污染治理的实施意见&gt;的通知》</w:t>
            </w:r>
            <w:r>
              <w:rPr>
                <w:rFonts w:hint="eastAsia" w:cs="Times New Roman"/>
                <w:b/>
                <w:bCs/>
                <w:color w:val="auto"/>
                <w:kern w:val="0"/>
                <w:sz w:val="21"/>
                <w:szCs w:val="21"/>
                <w:highlight w:val="none"/>
                <w:lang w:val="en-US" w:eastAsia="zh-CN"/>
              </w:rPr>
              <w:t>（</w:t>
            </w:r>
            <w:r>
              <w:rPr>
                <w:rFonts w:hint="eastAsia" w:ascii="Times New Roman" w:hAnsi="Times New Roman" w:eastAsia="宋体" w:cs="Times New Roman"/>
                <w:b/>
                <w:bCs/>
                <w:color w:val="auto"/>
                <w:kern w:val="0"/>
                <w:sz w:val="21"/>
                <w:szCs w:val="21"/>
                <w:highlight w:val="none"/>
                <w:lang w:val="en-US" w:eastAsia="zh-CN"/>
              </w:rPr>
              <w:t>粤发改规〔20</w:t>
            </w:r>
            <w:r>
              <w:rPr>
                <w:rFonts w:hint="eastAsia" w:cs="Times New Roman"/>
                <w:b/>
                <w:bCs/>
                <w:color w:val="auto"/>
                <w:kern w:val="0"/>
                <w:sz w:val="21"/>
                <w:szCs w:val="21"/>
                <w:highlight w:val="none"/>
                <w:lang w:val="en-US" w:eastAsia="zh-CN"/>
              </w:rPr>
              <w:t>20</w:t>
            </w:r>
            <w:r>
              <w:rPr>
                <w:rFonts w:hint="eastAsia" w:ascii="Times New Roman" w:hAnsi="Times New Roman" w:eastAsia="宋体" w:cs="Times New Roman"/>
                <w:b/>
                <w:bCs/>
                <w:color w:val="auto"/>
                <w:kern w:val="0"/>
                <w:sz w:val="21"/>
                <w:szCs w:val="21"/>
                <w:highlight w:val="none"/>
                <w:lang w:val="en-US" w:eastAsia="zh-CN"/>
              </w:rPr>
              <w:t>〕8号</w:t>
            </w:r>
            <w:r>
              <w:rPr>
                <w:rFonts w:hint="eastAsia" w:cs="Times New Roman"/>
                <w:b/>
                <w:bCs/>
                <w:color w:val="auto"/>
                <w:kern w:val="0"/>
                <w:sz w:val="21"/>
                <w:szCs w:val="21"/>
                <w:highlight w:val="none"/>
                <w:lang w:val="en-US" w:eastAsia="zh-CN"/>
              </w:rPr>
              <w:t>）</w:t>
            </w:r>
            <w:r>
              <w:rPr>
                <w:rFonts w:hint="eastAsia" w:ascii="Times New Roman" w:hAnsi="Times New Roman" w:eastAsia="宋体" w:cs="Times New Roman"/>
                <w:b/>
                <w:bCs/>
                <w:color w:val="auto"/>
                <w:kern w:val="0"/>
                <w:sz w:val="21"/>
                <w:szCs w:val="21"/>
                <w:highlight w:val="none"/>
                <w:lang w:val="en-US" w:eastAsia="zh-CN"/>
              </w:rPr>
              <w:t>的相符性分析</w:t>
            </w:r>
          </w:p>
          <w:p w14:paraId="5B2748C4">
            <w:pPr>
              <w:pStyle w:val="33"/>
              <w:keepNext w:val="0"/>
              <w:keepLines w:val="0"/>
              <w:suppressLineNumbers w:val="0"/>
              <w:spacing w:before="0" w:beforeAutospacing="0" w:after="0" w:afterAutospacing="0" w:line="360" w:lineRule="auto"/>
              <w:ind w:left="0" w:leftChars="0" w:right="0" w:firstLine="420" w:firstLineChars="200"/>
              <w:jc w:val="left"/>
              <w:rPr>
                <w:rFonts w:hint="eastAsia" w:ascii="Times New Roman" w:hAnsi="Times New Roman" w:eastAsia="宋体" w:cs="Times New Roman"/>
                <w:b w:val="0"/>
                <w:bCs w:val="0"/>
                <w:color w:val="auto"/>
                <w:kern w:val="0"/>
                <w:sz w:val="21"/>
                <w:szCs w:val="21"/>
                <w:highlight w:val="none"/>
                <w:lang w:val="en-US" w:eastAsia="zh-CN"/>
              </w:rPr>
            </w:pP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三</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禁止生产、销售的塑料制品。全省范围内禁止生产和销售厚度小于0.025毫米的超薄塑料购物袋、厚度小于0.01毫米的聚乙烯农用地膜。禁止以医疗废物为原料制造塑料制品</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禁止将回收利用的废塑料输液袋</w:t>
            </w:r>
            <w:r>
              <w:rPr>
                <w:rFonts w:hint="eastAsia" w:cs="Times New Roman"/>
                <w:b w:val="0"/>
                <w:bCs w:val="0"/>
                <w:color w:val="auto"/>
                <w:kern w:val="0"/>
                <w:sz w:val="21"/>
                <w:szCs w:val="21"/>
                <w:highlight w:val="none"/>
                <w:lang w:val="en-US" w:eastAsia="zh-CN"/>
              </w:rPr>
              <w:t>（瓶）</w:t>
            </w:r>
            <w:r>
              <w:rPr>
                <w:rFonts w:hint="eastAsia" w:ascii="Times New Roman" w:hAnsi="Times New Roman" w:eastAsia="宋体" w:cs="Times New Roman"/>
                <w:b w:val="0"/>
                <w:bCs w:val="0"/>
                <w:color w:val="auto"/>
                <w:kern w:val="0"/>
                <w:sz w:val="21"/>
                <w:szCs w:val="21"/>
                <w:highlight w:val="none"/>
                <w:lang w:val="en-US" w:eastAsia="zh-CN"/>
              </w:rPr>
              <w:t>用于原用途或用于制造餐饮容器以及玩具等儿童用品。加大禁止“洋垃圾”进口监管和打私力度，确保“全面禁止废塑料进口”落实到位。到2020年底，禁止生产和销售一次性发泡塑料餐具、一次性塑料棉签</w:t>
            </w:r>
            <w:r>
              <w:rPr>
                <w:rFonts w:hint="eastAsia" w:cs="Times New Roman"/>
                <w:b w:val="0"/>
                <w:bCs w:val="0"/>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禁止生产含塑料微珠的日化产品。到2022年底，禁止销售含塑料微珠的日化产品。国家《产业结构调整指导目录》和《市场准入负面清单》明确的属于淘汰类的塑料制品项目，禁止投资属于限制类项目，禁止新建。</w:t>
            </w:r>
            <w:r>
              <w:rPr>
                <w:rFonts w:hint="eastAsia" w:cs="Times New Roman"/>
                <w:b w:val="0"/>
                <w:bCs w:val="0"/>
                <w:color w:val="auto"/>
                <w:kern w:val="0"/>
                <w:sz w:val="21"/>
                <w:szCs w:val="21"/>
                <w:highlight w:val="none"/>
                <w:lang w:val="en-US" w:eastAsia="zh-CN"/>
              </w:rPr>
              <w:t>”</w:t>
            </w:r>
          </w:p>
          <w:p w14:paraId="4C39A594">
            <w:pPr>
              <w:pStyle w:val="33"/>
              <w:keepNext w:val="0"/>
              <w:keepLines w:val="0"/>
              <w:suppressLineNumbers w:val="0"/>
              <w:spacing w:before="0" w:beforeAutospacing="0" w:after="0" w:afterAutospacing="0" w:line="360" w:lineRule="auto"/>
              <w:ind w:left="0" w:leftChars="0" w:right="0" w:firstLine="422" w:firstLineChars="200"/>
              <w:jc w:val="left"/>
              <w:rPr>
                <w:rFonts w:hint="eastAsia" w:eastAsia="宋体" w:cs="Times New Roman"/>
                <w:color w:val="auto"/>
                <w:highlight w:val="none"/>
                <w:lang w:val="zh-CN"/>
              </w:rPr>
            </w:pPr>
            <w:r>
              <w:rPr>
                <w:rFonts w:hint="eastAsia" w:ascii="Times New Roman" w:hAnsi="Times New Roman" w:eastAsia="宋体" w:cs="Times New Roman"/>
                <w:b/>
                <w:bCs/>
                <w:color w:val="auto"/>
                <w:kern w:val="0"/>
                <w:sz w:val="21"/>
                <w:szCs w:val="21"/>
                <w:highlight w:val="none"/>
                <w:lang w:val="en-US" w:eastAsia="zh-CN"/>
              </w:rPr>
              <w:t>相符性分析</w:t>
            </w:r>
            <w:r>
              <w:rPr>
                <w:rFonts w:hint="eastAsia" w:cs="Times New Roman"/>
                <w:b/>
                <w:bCs/>
                <w:color w:val="auto"/>
                <w:kern w:val="0"/>
                <w:sz w:val="21"/>
                <w:szCs w:val="21"/>
                <w:highlight w:val="none"/>
                <w:lang w:val="en-US" w:eastAsia="zh-CN"/>
              </w:rPr>
              <w:t>：</w:t>
            </w:r>
            <w:r>
              <w:rPr>
                <w:rFonts w:hint="eastAsia" w:ascii="Times New Roman" w:hAnsi="Times New Roman" w:eastAsia="宋体" w:cs="Times New Roman"/>
                <w:b w:val="0"/>
                <w:bCs w:val="0"/>
                <w:color w:val="auto"/>
                <w:kern w:val="0"/>
                <w:sz w:val="21"/>
                <w:szCs w:val="21"/>
                <w:highlight w:val="none"/>
                <w:lang w:val="en-US" w:eastAsia="zh-CN"/>
              </w:rPr>
              <w:t>项目生产过程中使用</w:t>
            </w:r>
            <w:r>
              <w:rPr>
                <w:rFonts w:hint="eastAsia" w:cs="Times New Roman"/>
                <w:b w:val="0"/>
                <w:bCs w:val="0"/>
                <w:color w:val="auto"/>
                <w:kern w:val="0"/>
                <w:sz w:val="21"/>
                <w:szCs w:val="21"/>
                <w:highlight w:val="none"/>
                <w:lang w:val="en-US" w:eastAsia="zh-CN"/>
              </w:rPr>
              <w:t>吸塑</w:t>
            </w:r>
            <w:r>
              <w:rPr>
                <w:rFonts w:hint="eastAsia" w:ascii="Times New Roman" w:hAnsi="Times New Roman" w:eastAsia="宋体" w:cs="Times New Roman"/>
                <w:b w:val="0"/>
                <w:bCs w:val="0"/>
                <w:color w:val="auto"/>
                <w:kern w:val="0"/>
                <w:sz w:val="21"/>
                <w:szCs w:val="21"/>
                <w:highlight w:val="none"/>
                <w:lang w:val="en-US" w:eastAsia="zh-CN"/>
              </w:rPr>
              <w:t>制品厚度为0.06毫米以上，不属于以上禁止生产的产品类型。</w:t>
            </w:r>
          </w:p>
        </w:tc>
      </w:tr>
    </w:tbl>
    <w:p w14:paraId="1AD8DAA6">
      <w:pPr>
        <w:spacing w:line="360" w:lineRule="auto"/>
        <w:outlineLvl w:val="0"/>
        <w:rPr>
          <w:rFonts w:ascii="Times New Roman" w:hAnsi="Times New Roman" w:eastAsia="宋体"/>
          <w:color w:val="auto"/>
          <w:sz w:val="30"/>
          <w:highlight w:val="none"/>
        </w:rPr>
        <w:sectPr>
          <w:footerReference r:id="rId5" w:type="default"/>
          <w:pgSz w:w="11906" w:h="16838"/>
          <w:pgMar w:top="1417" w:right="1417" w:bottom="1417" w:left="1417" w:header="851" w:footer="1077" w:gutter="0"/>
          <w:pgBorders>
            <w:top w:val="none" w:sz="0" w:space="0"/>
            <w:left w:val="none" w:sz="0" w:space="0"/>
            <w:bottom w:val="none" w:sz="0" w:space="0"/>
            <w:right w:val="none" w:sz="0" w:space="0"/>
          </w:pgBorders>
          <w:pgNumType w:start="1"/>
          <w:cols w:space="720" w:num="1"/>
          <w:docGrid w:linePitch="312" w:charSpace="0"/>
        </w:sectPr>
      </w:pPr>
    </w:p>
    <w:p w14:paraId="5D092513">
      <w:pPr>
        <w:pStyle w:val="37"/>
        <w:jc w:val="center"/>
        <w:outlineLvl w:val="0"/>
        <w:rPr>
          <w:rFonts w:ascii="Times New Roman" w:hAnsi="Times New Roman" w:eastAsia="宋体" w:cs="Times New Roman"/>
          <w:snapToGrid w:val="0"/>
          <w:color w:val="auto"/>
          <w:sz w:val="30"/>
          <w:szCs w:val="30"/>
          <w:highlight w:val="none"/>
        </w:rPr>
      </w:pPr>
      <w:r>
        <w:rPr>
          <w:rFonts w:hint="eastAsia" w:ascii="Times New Roman" w:hAnsi="Times New Roman" w:eastAsia="宋体" w:cs="Times New Roman"/>
          <w:snapToGrid w:val="0"/>
          <w:color w:val="auto"/>
          <w:sz w:val="30"/>
          <w:szCs w:val="30"/>
          <w:highlight w:val="none"/>
          <w:lang w:val="en-US" w:eastAsia="zh-CN"/>
        </w:rPr>
        <w:t>二、</w:t>
      </w:r>
      <w:r>
        <w:rPr>
          <w:rFonts w:ascii="Times New Roman" w:hAnsi="Times New Roman" w:eastAsia="宋体" w:cs="Times New Roman"/>
          <w:snapToGrid w:val="0"/>
          <w:color w:val="auto"/>
          <w:sz w:val="30"/>
          <w:szCs w:val="30"/>
          <w:highlight w:val="none"/>
        </w:rPr>
        <w:t>建设项目工程分析</w:t>
      </w:r>
    </w:p>
    <w:tbl>
      <w:tblPr>
        <w:tblStyle w:val="4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1"/>
        <w:gridCol w:w="8868"/>
      </w:tblGrid>
      <w:tr w14:paraId="6E725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6" w:type="pct"/>
            <w:noWrap w:val="0"/>
            <w:vAlign w:val="center"/>
          </w:tcPr>
          <w:p w14:paraId="0E4CC4D8">
            <w:pPr>
              <w:pStyle w:val="37"/>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建设内容</w:t>
            </w:r>
          </w:p>
        </w:tc>
        <w:tc>
          <w:tcPr>
            <w:tcW w:w="4773" w:type="pct"/>
            <w:noWrap w:val="0"/>
            <w:vAlign w:val="top"/>
          </w:tcPr>
          <w:p w14:paraId="6480EAF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2" w:firstLineChars="200"/>
              <w:jc w:val="left"/>
              <w:textAlignment w:val="auto"/>
              <w:rPr>
                <w:rFonts w:hint="default" w:ascii="Times New Roman" w:hAnsi="Times New Roman" w:eastAsia="宋体" w:cs="Times New Roman"/>
                <w:b/>
                <w:color w:val="auto"/>
                <w:sz w:val="21"/>
                <w:szCs w:val="21"/>
                <w:highlight w:val="none"/>
                <w:lang w:val="en-US" w:eastAsia="zh-CN"/>
              </w:rPr>
            </w:pPr>
            <w:r>
              <w:rPr>
                <w:rFonts w:hint="default" w:ascii="Times New Roman" w:hAnsi="Times New Roman" w:eastAsia="宋体" w:cs="Times New Roman"/>
                <w:b/>
                <w:color w:val="auto"/>
                <w:sz w:val="21"/>
                <w:szCs w:val="21"/>
                <w:highlight w:val="none"/>
                <w:lang w:val="en-US" w:eastAsia="zh-CN"/>
              </w:rPr>
              <w:t>1</w:t>
            </w:r>
            <w:r>
              <w:rPr>
                <w:rFonts w:hint="default" w:ascii="Times New Roman" w:hAnsi="Times New Roman" w:eastAsia="宋体" w:cs="Times New Roman"/>
                <w:b/>
                <w:color w:val="auto"/>
                <w:sz w:val="21"/>
                <w:szCs w:val="21"/>
                <w:highlight w:val="none"/>
              </w:rPr>
              <w:t>、项目</w:t>
            </w:r>
            <w:r>
              <w:rPr>
                <w:rFonts w:hint="default" w:ascii="Times New Roman" w:hAnsi="Times New Roman" w:eastAsia="宋体" w:cs="Times New Roman"/>
                <w:b/>
                <w:color w:val="auto"/>
                <w:sz w:val="21"/>
                <w:szCs w:val="21"/>
                <w:highlight w:val="none"/>
                <w:lang w:val="en-US" w:eastAsia="zh-CN"/>
              </w:rPr>
              <w:t>概况</w:t>
            </w:r>
          </w:p>
          <w:p w14:paraId="7877EA36">
            <w:pPr>
              <w:keepNext w:val="0"/>
              <w:keepLines w:val="0"/>
              <w:suppressLineNumbers w:val="0"/>
              <w:spacing w:before="0" w:beforeAutospacing="0" w:after="0" w:afterAutospacing="0" w:line="360" w:lineRule="auto"/>
              <w:ind w:left="0" w:right="0" w:firstLine="422" w:firstLineChars="200"/>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lang w:val="en-US" w:eastAsia="zh-CN"/>
              </w:rPr>
              <w:t>1）现有项目概况</w:t>
            </w:r>
          </w:p>
          <w:p w14:paraId="42D88350">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博罗县合晟包装制品有限公司</w:t>
            </w:r>
            <w:r>
              <w:rPr>
                <w:rFonts w:hint="default" w:ascii="Times New Roman" w:hAnsi="Times New Roman" w:eastAsia="宋体" w:cs="Times New Roman"/>
                <w:color w:val="auto"/>
                <w:sz w:val="21"/>
                <w:szCs w:val="21"/>
                <w:highlight w:val="none"/>
                <w:lang w:val="en-US" w:eastAsia="zh-CN"/>
              </w:rPr>
              <w:t>原有项目位于</w:t>
            </w:r>
            <w:r>
              <w:rPr>
                <w:rFonts w:hint="default" w:ascii="Times New Roman" w:hAnsi="Times New Roman" w:eastAsia="宋体" w:cs="Times New Roman"/>
                <w:color w:val="auto"/>
                <w:sz w:val="21"/>
                <w:szCs w:val="21"/>
                <w:highlight w:val="none"/>
              </w:rPr>
              <w:t>博罗县</w:t>
            </w:r>
            <w:r>
              <w:rPr>
                <w:rFonts w:hint="default" w:ascii="Times New Roman" w:hAnsi="Times New Roman" w:eastAsia="宋体" w:cs="Times New Roman"/>
                <w:color w:val="auto"/>
                <w:sz w:val="21"/>
                <w:szCs w:val="21"/>
                <w:highlight w:val="none"/>
                <w:lang w:val="en-US" w:eastAsia="zh-CN"/>
              </w:rPr>
              <w:t>罗阳镇鸡麻地（</w:t>
            </w:r>
            <w:r>
              <w:rPr>
                <w:rFonts w:hint="eastAsia" w:cs="Times New Roman"/>
                <w:color w:val="auto"/>
                <w:sz w:val="21"/>
                <w:szCs w:val="21"/>
                <w:highlight w:val="none"/>
                <w:lang w:val="en-US" w:eastAsia="zh-CN"/>
              </w:rPr>
              <w:t>韦德</w:t>
            </w:r>
            <w:r>
              <w:rPr>
                <w:rFonts w:hint="default" w:ascii="Times New Roman" w:hAnsi="Times New Roman" w:eastAsia="宋体" w:cs="Times New Roman"/>
                <w:color w:val="auto"/>
                <w:sz w:val="21"/>
                <w:szCs w:val="21"/>
                <w:highlight w:val="none"/>
                <w:lang w:val="en-US" w:eastAsia="zh-CN"/>
              </w:rPr>
              <w:t>厂内），地理位置中心坐标：E</w:t>
            </w:r>
            <w:r>
              <w:rPr>
                <w:rFonts w:hint="default" w:ascii="Times New Roman" w:hAnsi="Times New Roman" w:eastAsia="宋体" w:cs="Times New Roman"/>
                <w:bCs/>
                <w:color w:val="auto"/>
                <w:sz w:val="21"/>
                <w:szCs w:val="21"/>
                <w:highlight w:val="none"/>
              </w:rPr>
              <w:t>11</w:t>
            </w:r>
            <w:r>
              <w:rPr>
                <w:rFonts w:hint="default" w:ascii="Times New Roman" w:hAnsi="Times New Roman" w:eastAsia="宋体" w:cs="Times New Roman"/>
                <w:bCs/>
                <w:color w:val="auto"/>
                <w:sz w:val="21"/>
                <w:szCs w:val="21"/>
                <w:highlight w:val="none"/>
                <w:lang w:val="en-US" w:eastAsia="zh-CN"/>
              </w:rPr>
              <w:t>4</w:t>
            </w:r>
            <w:r>
              <w:rPr>
                <w:rFonts w:hint="default" w:ascii="Times New Roman" w:hAnsi="Times New Roman" w:eastAsia="宋体" w:cs="Times New Roman"/>
                <w:bCs/>
                <w:color w:val="auto"/>
                <w:sz w:val="21"/>
                <w:szCs w:val="21"/>
                <w:highlight w:val="none"/>
              </w:rPr>
              <w:t>°</w:t>
            </w:r>
            <w:r>
              <w:rPr>
                <w:rFonts w:hint="default" w:ascii="Times New Roman" w:hAnsi="Times New Roman" w:eastAsia="宋体" w:cs="Times New Roman"/>
                <w:bCs/>
                <w:color w:val="auto"/>
                <w:sz w:val="21"/>
                <w:szCs w:val="21"/>
                <w:highlight w:val="none"/>
                <w:lang w:val="en-US" w:eastAsia="zh-CN"/>
              </w:rPr>
              <w:t>19</w:t>
            </w:r>
            <w:r>
              <w:rPr>
                <w:rFonts w:hint="default" w:ascii="Times New Roman" w:hAnsi="Times New Roman" w:eastAsia="宋体" w:cs="Times New Roman"/>
                <w:bCs/>
                <w:color w:val="auto"/>
                <w:sz w:val="21"/>
                <w:szCs w:val="21"/>
                <w:highlight w:val="none"/>
              </w:rPr>
              <w:t>′</w:t>
            </w:r>
            <w:r>
              <w:rPr>
                <w:rFonts w:hint="default" w:ascii="Times New Roman" w:hAnsi="Times New Roman" w:eastAsia="宋体" w:cs="Times New Roman"/>
                <w:bCs/>
                <w:color w:val="auto"/>
                <w:sz w:val="21"/>
                <w:szCs w:val="21"/>
                <w:highlight w:val="none"/>
                <w:lang w:val="en-US" w:eastAsia="zh-CN"/>
              </w:rPr>
              <w:t>54.800</w:t>
            </w:r>
            <w:r>
              <w:rPr>
                <w:rFonts w:hint="default" w:ascii="Times New Roman" w:hAnsi="Times New Roman" w:eastAsia="宋体" w:cs="Times New Roman"/>
                <w:bCs/>
                <w:color w:val="auto"/>
                <w:sz w:val="21"/>
                <w:szCs w:val="21"/>
                <w:highlight w:val="none"/>
              </w:rPr>
              <w:t>″，</w:t>
            </w:r>
            <w:r>
              <w:rPr>
                <w:rFonts w:hint="default" w:ascii="Times New Roman" w:hAnsi="Times New Roman" w:eastAsia="宋体" w:cs="Times New Roman"/>
                <w:bCs/>
                <w:color w:val="auto"/>
                <w:sz w:val="21"/>
                <w:szCs w:val="21"/>
                <w:highlight w:val="none"/>
                <w:lang w:val="en-US" w:eastAsia="zh-CN"/>
              </w:rPr>
              <w:t>N</w:t>
            </w:r>
            <w:r>
              <w:rPr>
                <w:rFonts w:hint="default" w:ascii="Times New Roman" w:hAnsi="Times New Roman" w:eastAsia="宋体" w:cs="Times New Roman"/>
                <w:bCs/>
                <w:color w:val="auto"/>
                <w:sz w:val="21"/>
                <w:szCs w:val="21"/>
                <w:highlight w:val="none"/>
              </w:rPr>
              <w:t>23°</w:t>
            </w:r>
            <w:r>
              <w:rPr>
                <w:rFonts w:hint="default" w:ascii="Times New Roman" w:hAnsi="Times New Roman" w:eastAsia="宋体" w:cs="Times New Roman"/>
                <w:bCs/>
                <w:color w:val="auto"/>
                <w:sz w:val="21"/>
                <w:szCs w:val="21"/>
                <w:highlight w:val="none"/>
                <w:lang w:val="en-US" w:eastAsia="zh-CN"/>
              </w:rPr>
              <w:t>11</w:t>
            </w:r>
            <w:r>
              <w:rPr>
                <w:rFonts w:hint="default" w:ascii="Times New Roman" w:hAnsi="Times New Roman" w:eastAsia="宋体" w:cs="Times New Roman"/>
                <w:bCs/>
                <w:color w:val="auto"/>
                <w:sz w:val="21"/>
                <w:szCs w:val="21"/>
                <w:highlight w:val="none"/>
              </w:rPr>
              <w:t>′</w:t>
            </w:r>
            <w:r>
              <w:rPr>
                <w:rFonts w:hint="default" w:ascii="Times New Roman" w:hAnsi="Times New Roman" w:eastAsia="宋体" w:cs="Times New Roman"/>
                <w:bCs/>
                <w:color w:val="auto"/>
                <w:sz w:val="21"/>
                <w:szCs w:val="21"/>
                <w:highlight w:val="none"/>
                <w:lang w:val="en-US" w:eastAsia="zh-CN"/>
              </w:rPr>
              <w:t>34.600</w:t>
            </w:r>
            <w:r>
              <w:rPr>
                <w:rFonts w:hint="default" w:ascii="Times New Roman" w:hAnsi="Times New Roman" w:eastAsia="宋体" w:cs="Times New Roman"/>
                <w:bCs/>
                <w:color w:val="auto"/>
                <w:sz w:val="21"/>
                <w:szCs w:val="21"/>
                <w:highlight w:val="none"/>
              </w:rPr>
              <w:t>″</w:t>
            </w:r>
            <w:r>
              <w:rPr>
                <w:rFonts w:hint="default" w:ascii="Times New Roman" w:hAnsi="Times New Roman" w:eastAsia="宋体" w:cs="Times New Roman"/>
                <w:bCs/>
                <w:color w:val="auto"/>
                <w:sz w:val="21"/>
                <w:szCs w:val="21"/>
                <w:highlight w:val="none"/>
                <w:lang w:eastAsia="zh-CN"/>
              </w:rPr>
              <w:t>。</w:t>
            </w:r>
            <w:r>
              <w:rPr>
                <w:rFonts w:hint="default" w:ascii="Times New Roman" w:hAnsi="Times New Roman" w:eastAsia="宋体" w:cs="Times New Roman"/>
                <w:color w:val="auto"/>
                <w:sz w:val="21"/>
                <w:szCs w:val="21"/>
                <w:highlight w:val="none"/>
                <w:lang w:eastAsia="zh-CN"/>
              </w:rPr>
              <w:t>博罗县合晟包装制品有限公司</w:t>
            </w:r>
            <w:r>
              <w:rPr>
                <w:rFonts w:hint="default" w:ascii="Times New Roman" w:hAnsi="Times New Roman" w:eastAsia="宋体" w:cs="Times New Roman"/>
                <w:color w:val="auto"/>
                <w:sz w:val="21"/>
                <w:szCs w:val="21"/>
                <w:highlight w:val="none"/>
                <w:lang w:val="en-US" w:eastAsia="zh-CN"/>
              </w:rPr>
              <w:t>成立于2008年10月，</w:t>
            </w:r>
            <w:r>
              <w:rPr>
                <w:rFonts w:hint="default" w:ascii="Times New Roman" w:hAnsi="Times New Roman" w:eastAsia="宋体" w:cs="Times New Roman"/>
                <w:color w:val="auto"/>
                <w:sz w:val="21"/>
                <w:szCs w:val="21"/>
                <w:highlight w:val="none"/>
              </w:rPr>
              <w:t>20</w:t>
            </w:r>
            <w:r>
              <w:rPr>
                <w:rFonts w:hint="default" w:ascii="Times New Roman" w:hAnsi="Times New Roman" w:eastAsia="宋体" w:cs="Times New Roman"/>
                <w:color w:val="auto"/>
                <w:sz w:val="21"/>
                <w:szCs w:val="21"/>
                <w:highlight w:val="none"/>
                <w:lang w:val="en-US" w:eastAsia="zh-CN"/>
              </w:rPr>
              <w:t>08</w:t>
            </w:r>
            <w:r>
              <w:rPr>
                <w:rFonts w:hint="default" w:ascii="Times New Roman" w:hAnsi="Times New Roman" w:eastAsia="宋体" w:cs="Times New Roman"/>
                <w:color w:val="auto"/>
                <w:sz w:val="21"/>
                <w:szCs w:val="21"/>
                <w:highlight w:val="none"/>
              </w:rPr>
              <w:t>年</w:t>
            </w:r>
            <w:r>
              <w:rPr>
                <w:rFonts w:hint="default" w:ascii="Times New Roman" w:hAnsi="Times New Roman" w:eastAsia="宋体" w:cs="Times New Roman"/>
                <w:color w:val="auto"/>
                <w:sz w:val="21"/>
                <w:szCs w:val="21"/>
                <w:highlight w:val="none"/>
                <w:lang w:val="en-US" w:eastAsia="zh-CN"/>
              </w:rPr>
              <w:t>企业委托博罗县环境科学研究所编制《博罗县合晟包装制品有限公司建设项目环境影响报告表》，报告表于2008年10月23日取得博罗县环境保护局《关于博罗县合晟包装制品有限公司建设项目环境影响报告表的批复》（批复文号：博环建[2008]390号，详见附件</w:t>
            </w:r>
            <w:r>
              <w:rPr>
                <w:rFonts w:hint="eastAsia"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2016年12月，原有项目委托博罗县环境保护监测站编制《建设项目竣工环境保护监测报告表》（博环监验字（2016）第091号，详见附件</w:t>
            </w:r>
            <w:r>
              <w:rPr>
                <w:rFonts w:hint="eastAsia"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lang w:val="en-US" w:eastAsia="zh-CN"/>
              </w:rPr>
              <w:t>）。</w:t>
            </w:r>
          </w:p>
          <w:p w14:paraId="0E80D6F4">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2018年，因公司业务发展需要扩大产能，企业委托深圳鹏达信能源环保科技有限公司编制《博罗县合晟包装制品有限公司扩建项目环境影响报告表》，报告表于2018年1月3日取得博罗县环境保护局《关于博罗县合晟包装制品有限公司扩建项目环境影响报告表的批复》（批复文号：博环建[2018]3号，详见附件</w:t>
            </w:r>
            <w:r>
              <w:rPr>
                <w:rFonts w:hint="eastAsia"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en-US" w:eastAsia="zh-CN"/>
              </w:rPr>
              <w:t>），原有项目取得《固定污染源排污登记回执》（登记编号：914413226806220726001W，详见附件</w:t>
            </w:r>
            <w:r>
              <w:rPr>
                <w:rFonts w:hint="eastAsia"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lang w:val="en-US" w:eastAsia="zh-CN"/>
              </w:rPr>
              <w:t>），并通过博罗县环境保护局的行政验收，取得《关于博罗县合晟包装制品有限公司扩建项目噪声、固废污染防治设施竣工环境保护验收意见的函》（文件函号：博环建[2018]235号，详见附件</w:t>
            </w:r>
            <w:r>
              <w:rPr>
                <w:rFonts w:hint="eastAsia"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lang w:val="en-US" w:eastAsia="zh-CN"/>
              </w:rPr>
              <w:t>）。</w:t>
            </w:r>
          </w:p>
          <w:p w14:paraId="6AD74843">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auto"/>
                <w:sz w:val="21"/>
                <w:szCs w:val="21"/>
                <w:highlight w:val="none"/>
                <w:lang w:val="en-US" w:eastAsia="zh-CN"/>
              </w:rPr>
            </w:pPr>
            <w:r>
              <w:rPr>
                <w:rFonts w:hint="eastAsia" w:cs="Times New Roman"/>
                <w:bCs/>
                <w:color w:val="auto"/>
                <w:sz w:val="21"/>
                <w:szCs w:val="21"/>
                <w:highlight w:val="none"/>
                <w:lang w:val="en-US" w:eastAsia="zh-CN"/>
              </w:rPr>
              <w:t>现有</w:t>
            </w:r>
            <w:r>
              <w:rPr>
                <w:rFonts w:hint="default" w:ascii="Times New Roman" w:hAnsi="Times New Roman" w:eastAsia="宋体" w:cs="Times New Roman"/>
                <w:bCs/>
                <w:color w:val="auto"/>
                <w:sz w:val="21"/>
                <w:szCs w:val="21"/>
                <w:highlight w:val="none"/>
                <w:lang w:val="en-US" w:eastAsia="zh-CN"/>
              </w:rPr>
              <w:t>项目占地面积</w:t>
            </w:r>
            <w:r>
              <w:rPr>
                <w:rFonts w:hint="eastAsia" w:cs="Times New Roman"/>
                <w:bCs/>
                <w:color w:val="auto"/>
                <w:sz w:val="21"/>
                <w:szCs w:val="21"/>
                <w:highlight w:val="none"/>
                <w:lang w:val="en-US" w:eastAsia="zh-CN"/>
              </w:rPr>
              <w:t>27</w:t>
            </w:r>
            <w:r>
              <w:rPr>
                <w:rFonts w:hint="default" w:ascii="Times New Roman" w:hAnsi="Times New Roman" w:eastAsia="宋体" w:cs="Times New Roman"/>
                <w:bCs/>
                <w:color w:val="auto"/>
                <w:sz w:val="21"/>
                <w:szCs w:val="21"/>
                <w:highlight w:val="none"/>
                <w:lang w:val="en-US" w:eastAsia="zh-CN"/>
              </w:rPr>
              <w:t>0</w:t>
            </w:r>
            <w:r>
              <w:rPr>
                <w:rFonts w:hint="default" w:ascii="Times New Roman" w:hAnsi="Times New Roman" w:eastAsia="宋体" w:cs="Times New Roman"/>
                <w:color w:val="auto"/>
                <w:sz w:val="21"/>
                <w:szCs w:val="21"/>
                <w:highlight w:val="none"/>
                <w:lang w:val="en-US" w:eastAsia="zh-CN"/>
              </w:rPr>
              <w:t>0m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，建筑面积2</w:t>
            </w:r>
            <w:r>
              <w:rPr>
                <w:rFonts w:hint="eastAsia" w:cs="Times New Roman"/>
                <w:color w:val="auto"/>
                <w:sz w:val="21"/>
                <w:szCs w:val="21"/>
                <w:highlight w:val="none"/>
                <w:lang w:val="en-US" w:eastAsia="zh-CN"/>
              </w:rPr>
              <w:t>0</w:t>
            </w:r>
            <w:r>
              <w:rPr>
                <w:rFonts w:hint="default" w:ascii="Times New Roman" w:hAnsi="Times New Roman" w:eastAsia="宋体" w:cs="Times New Roman"/>
                <w:color w:val="auto"/>
                <w:sz w:val="21"/>
                <w:szCs w:val="21"/>
                <w:highlight w:val="none"/>
                <w:lang w:val="en-US" w:eastAsia="zh-CN"/>
              </w:rPr>
              <w:t>00m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，主要从事吸塑制品和包装纸箱的生产，年产吸塑制品360吨、包装纸箱12万个。原有项目员工21人，</w:t>
            </w:r>
            <w:r>
              <w:rPr>
                <w:rFonts w:hint="eastAsia" w:ascii="Times New Roman" w:hAnsi="Times New Roman" w:cs="Times New Roman"/>
                <w:color w:val="auto"/>
                <w:sz w:val="21"/>
                <w:szCs w:val="21"/>
                <w:highlight w:val="none"/>
                <w:lang w:val="en-US" w:eastAsia="zh-CN"/>
              </w:rPr>
              <w:t>均在</w:t>
            </w:r>
            <w:r>
              <w:rPr>
                <w:rFonts w:hint="eastAsia" w:cs="Times New Roman"/>
                <w:color w:val="auto"/>
                <w:sz w:val="21"/>
                <w:szCs w:val="21"/>
                <w:highlight w:val="none"/>
                <w:lang w:val="en-US" w:eastAsia="zh-CN"/>
              </w:rPr>
              <w:t>韦德</w:t>
            </w:r>
            <w:r>
              <w:rPr>
                <w:rFonts w:hint="eastAsia" w:ascii="Times New Roman" w:hAnsi="Times New Roman" w:cs="Times New Roman"/>
                <w:color w:val="auto"/>
                <w:sz w:val="21"/>
                <w:szCs w:val="21"/>
                <w:highlight w:val="none"/>
                <w:lang w:val="en-US" w:eastAsia="zh-CN"/>
              </w:rPr>
              <w:t>电子厂</w:t>
            </w:r>
            <w:r>
              <w:rPr>
                <w:rFonts w:hint="default" w:ascii="Times New Roman" w:hAnsi="Times New Roman" w:eastAsia="宋体" w:cs="Times New Roman"/>
                <w:color w:val="auto"/>
                <w:sz w:val="21"/>
                <w:szCs w:val="21"/>
                <w:highlight w:val="none"/>
                <w:lang w:val="en-US" w:eastAsia="zh-CN"/>
              </w:rPr>
              <w:t>内食宿，每天工作8小时，年工作300天。</w:t>
            </w:r>
          </w:p>
          <w:p w14:paraId="23873801">
            <w:pPr>
              <w:keepNext w:val="0"/>
              <w:keepLines w:val="0"/>
              <w:suppressLineNumbers w:val="0"/>
              <w:spacing w:before="0" w:beforeAutospacing="0" w:after="0" w:afterAutospacing="0" w:line="360" w:lineRule="auto"/>
              <w:ind w:left="0" w:right="0" w:firstLine="422" w:firstLineChars="200"/>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（2）迁改扩建项目概况</w:t>
            </w:r>
          </w:p>
          <w:p w14:paraId="3EC4895A">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lang w:val="en-US" w:eastAsia="zh-CN"/>
              </w:rPr>
              <w:t>为促进企业发展，经建设单位决定，</w:t>
            </w:r>
            <w:r>
              <w:rPr>
                <w:rFonts w:hint="default" w:ascii="Times New Roman" w:hAnsi="Times New Roman" w:eastAsia="宋体" w:cs="Times New Roman"/>
                <w:color w:val="auto"/>
                <w:sz w:val="21"/>
                <w:szCs w:val="21"/>
                <w:highlight w:val="none"/>
                <w:lang w:eastAsia="zh-CN"/>
              </w:rPr>
              <w:t>博罗县合晟包装制品有限公司</w:t>
            </w:r>
            <w:r>
              <w:rPr>
                <w:rFonts w:hint="default" w:ascii="Times New Roman" w:hAnsi="Times New Roman" w:eastAsia="宋体" w:cs="Times New Roman"/>
                <w:color w:val="auto"/>
                <w:sz w:val="21"/>
                <w:szCs w:val="21"/>
                <w:highlight w:val="none"/>
                <w:lang w:val="en-US" w:eastAsia="zh-CN"/>
              </w:rPr>
              <w:t>拟搬迁至</w:t>
            </w:r>
            <w:r>
              <w:rPr>
                <w:rFonts w:hint="default" w:ascii="Times New Roman" w:hAnsi="Times New Roman" w:eastAsia="宋体" w:cs="Times New Roman"/>
                <w:color w:val="auto"/>
                <w:sz w:val="21"/>
                <w:szCs w:val="21"/>
                <w:highlight w:val="none"/>
              </w:rPr>
              <w:t>惠州市博罗县梅花村鸿达九路198号6号厂房605室、7号厂房705室</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地理位置中心坐标：E</w:t>
            </w:r>
            <w:r>
              <w:rPr>
                <w:rFonts w:hint="default" w:ascii="Times New Roman" w:hAnsi="Times New Roman" w:eastAsia="宋体" w:cs="Times New Roman"/>
                <w:bCs/>
                <w:color w:val="auto"/>
                <w:sz w:val="21"/>
                <w:szCs w:val="21"/>
                <w:highlight w:val="none"/>
              </w:rPr>
              <w:t>11</w:t>
            </w:r>
            <w:r>
              <w:rPr>
                <w:rFonts w:hint="default" w:ascii="Times New Roman" w:hAnsi="Times New Roman" w:eastAsia="宋体" w:cs="Times New Roman"/>
                <w:bCs/>
                <w:color w:val="auto"/>
                <w:sz w:val="21"/>
                <w:szCs w:val="21"/>
                <w:highlight w:val="none"/>
                <w:lang w:val="en-US" w:eastAsia="zh-CN"/>
              </w:rPr>
              <w:t>4</w:t>
            </w:r>
            <w:r>
              <w:rPr>
                <w:rFonts w:hint="default" w:ascii="Times New Roman" w:hAnsi="Times New Roman" w:eastAsia="宋体" w:cs="Times New Roman"/>
                <w:bCs/>
                <w:color w:val="auto"/>
                <w:sz w:val="21"/>
                <w:szCs w:val="21"/>
                <w:highlight w:val="none"/>
              </w:rPr>
              <w:t>°</w:t>
            </w:r>
            <w:r>
              <w:rPr>
                <w:rFonts w:hint="default" w:ascii="Times New Roman" w:hAnsi="Times New Roman" w:eastAsia="宋体" w:cs="Times New Roman"/>
                <w:bCs/>
                <w:color w:val="auto"/>
                <w:sz w:val="21"/>
                <w:szCs w:val="21"/>
                <w:highlight w:val="none"/>
                <w:lang w:val="en-US" w:eastAsia="zh-CN"/>
              </w:rPr>
              <w:t>1</w:t>
            </w:r>
            <w:r>
              <w:rPr>
                <w:rFonts w:hint="default" w:ascii="Times New Roman" w:hAnsi="Times New Roman" w:eastAsia="宋体" w:cs="Times New Roman"/>
                <w:bCs/>
                <w:color w:val="auto"/>
                <w:sz w:val="21"/>
                <w:szCs w:val="21"/>
                <w:highlight w:val="none"/>
              </w:rPr>
              <w:t>5′</w:t>
            </w:r>
            <w:r>
              <w:rPr>
                <w:rFonts w:hint="default" w:ascii="Times New Roman" w:hAnsi="Times New Roman" w:eastAsia="宋体" w:cs="Times New Roman"/>
                <w:bCs/>
                <w:color w:val="auto"/>
                <w:sz w:val="21"/>
                <w:szCs w:val="21"/>
                <w:highlight w:val="none"/>
                <w:lang w:val="en-US" w:eastAsia="zh-CN"/>
              </w:rPr>
              <w:t>3</w:t>
            </w:r>
            <w:r>
              <w:rPr>
                <w:rFonts w:hint="eastAsia" w:cs="Times New Roman"/>
                <w:bCs/>
                <w:color w:val="auto"/>
                <w:sz w:val="21"/>
                <w:szCs w:val="21"/>
                <w:highlight w:val="none"/>
                <w:lang w:val="en-US" w:eastAsia="zh-CN"/>
              </w:rPr>
              <w:t>0.799</w:t>
            </w:r>
            <w:r>
              <w:rPr>
                <w:rFonts w:hint="default" w:ascii="Times New Roman" w:hAnsi="Times New Roman" w:eastAsia="宋体" w:cs="Times New Roman"/>
                <w:bCs/>
                <w:color w:val="auto"/>
                <w:sz w:val="21"/>
                <w:szCs w:val="21"/>
                <w:highlight w:val="none"/>
              </w:rPr>
              <w:t>″，</w:t>
            </w:r>
            <w:r>
              <w:rPr>
                <w:rFonts w:hint="default" w:ascii="Times New Roman" w:hAnsi="Times New Roman" w:eastAsia="宋体" w:cs="Times New Roman"/>
                <w:bCs/>
                <w:color w:val="auto"/>
                <w:sz w:val="21"/>
                <w:szCs w:val="21"/>
                <w:highlight w:val="none"/>
                <w:lang w:val="en-US" w:eastAsia="zh-CN"/>
              </w:rPr>
              <w:t>N</w:t>
            </w:r>
            <w:r>
              <w:rPr>
                <w:rFonts w:hint="default" w:ascii="Times New Roman" w:hAnsi="Times New Roman" w:eastAsia="宋体" w:cs="Times New Roman"/>
                <w:bCs/>
                <w:color w:val="auto"/>
                <w:sz w:val="21"/>
                <w:szCs w:val="21"/>
                <w:highlight w:val="none"/>
              </w:rPr>
              <w:t>23°</w:t>
            </w:r>
            <w:r>
              <w:rPr>
                <w:rFonts w:hint="default" w:ascii="Times New Roman" w:hAnsi="Times New Roman" w:eastAsia="宋体" w:cs="Times New Roman"/>
                <w:bCs/>
                <w:color w:val="auto"/>
                <w:sz w:val="21"/>
                <w:szCs w:val="21"/>
                <w:highlight w:val="none"/>
                <w:lang w:val="en-US" w:eastAsia="zh-CN"/>
              </w:rPr>
              <w:t>12</w:t>
            </w:r>
            <w:r>
              <w:rPr>
                <w:rFonts w:hint="default" w:ascii="Times New Roman" w:hAnsi="Times New Roman" w:eastAsia="宋体" w:cs="Times New Roman"/>
                <w:bCs/>
                <w:color w:val="auto"/>
                <w:sz w:val="21"/>
                <w:szCs w:val="21"/>
                <w:highlight w:val="none"/>
              </w:rPr>
              <w:t>′</w:t>
            </w:r>
            <w:r>
              <w:rPr>
                <w:rFonts w:hint="default" w:ascii="Times New Roman" w:hAnsi="Times New Roman" w:eastAsia="宋体" w:cs="Times New Roman"/>
                <w:bCs/>
                <w:color w:val="auto"/>
                <w:sz w:val="21"/>
                <w:szCs w:val="21"/>
                <w:highlight w:val="none"/>
                <w:lang w:val="en-US" w:eastAsia="zh-CN"/>
              </w:rPr>
              <w:t>1</w:t>
            </w:r>
            <w:r>
              <w:rPr>
                <w:rFonts w:hint="eastAsia" w:cs="Times New Roman"/>
                <w:bCs/>
                <w:color w:val="auto"/>
                <w:sz w:val="21"/>
                <w:szCs w:val="21"/>
                <w:highlight w:val="none"/>
                <w:lang w:val="en-US" w:eastAsia="zh-CN"/>
              </w:rPr>
              <w:t>1.980</w:t>
            </w:r>
            <w:r>
              <w:rPr>
                <w:rFonts w:hint="default" w:ascii="Times New Roman" w:hAnsi="Times New Roman" w:eastAsia="宋体" w:cs="Times New Roman"/>
                <w:bCs/>
                <w:color w:val="auto"/>
                <w:sz w:val="21"/>
                <w:szCs w:val="21"/>
                <w:highlight w:val="none"/>
              </w:rPr>
              <w:t>″</w:t>
            </w:r>
            <w:r>
              <w:rPr>
                <w:rFonts w:hint="default" w:ascii="Times New Roman" w:hAnsi="Times New Roman" w:eastAsia="宋体" w:cs="Times New Roman"/>
                <w:bCs/>
                <w:color w:val="auto"/>
                <w:sz w:val="21"/>
                <w:szCs w:val="21"/>
                <w:highlight w:val="none"/>
                <w:lang w:eastAsia="zh-CN"/>
              </w:rPr>
              <w:t>，</w:t>
            </w:r>
            <w:r>
              <w:rPr>
                <w:rFonts w:hint="default" w:ascii="Times New Roman" w:hAnsi="Times New Roman" w:eastAsia="宋体" w:cs="Times New Roman"/>
                <w:bCs/>
                <w:color w:val="auto"/>
                <w:sz w:val="21"/>
                <w:szCs w:val="21"/>
                <w:highlight w:val="none"/>
                <w:lang w:val="en-US" w:eastAsia="zh-CN"/>
              </w:rPr>
              <w:t>租用广东烯谷创新园开发建设有限公司已建成的第6、7栋的第5层厂房进行生产，厂房总高度45.8m，占地面积2400</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，建筑面积2400m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。主要从事吸塑制品和包装纸箱的生产，预计年产吸塑制品180万个、包装纸箱60万个，总投资300万元，环保投资</w:t>
            </w:r>
            <w:r>
              <w:rPr>
                <w:rFonts w:hint="eastAsia"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lang w:val="en-US" w:eastAsia="zh-CN"/>
              </w:rPr>
              <w:t>万元，项目员工人数21人，均不在厂内食宿，全年工作300天，每天一班，每班8小时</w:t>
            </w:r>
            <w:r>
              <w:rPr>
                <w:rFonts w:hint="default" w:ascii="Times New Roman" w:hAnsi="Times New Roman" w:eastAsia="宋体" w:cs="Times New Roman"/>
                <w:bCs/>
                <w:color w:val="auto"/>
                <w:sz w:val="21"/>
                <w:szCs w:val="21"/>
                <w:highlight w:val="none"/>
              </w:rPr>
              <w:t>，项目地理位置图详见附图</w:t>
            </w:r>
            <w:r>
              <w:rPr>
                <w:rFonts w:hint="eastAsia" w:cs="Times New Roman"/>
                <w:bCs/>
                <w:color w:val="auto"/>
                <w:sz w:val="21"/>
                <w:szCs w:val="21"/>
                <w:highlight w:val="none"/>
                <w:lang w:val="en-US" w:eastAsia="zh-CN"/>
              </w:rPr>
              <w:t>1</w:t>
            </w:r>
            <w:r>
              <w:rPr>
                <w:rFonts w:hint="default" w:ascii="Times New Roman" w:hAnsi="Times New Roman" w:eastAsia="宋体" w:cs="Times New Roman"/>
                <w:bCs/>
                <w:color w:val="auto"/>
                <w:sz w:val="21"/>
                <w:szCs w:val="21"/>
                <w:highlight w:val="none"/>
              </w:rPr>
              <w:t>。</w:t>
            </w:r>
          </w:p>
          <w:p w14:paraId="760600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2" w:firstLineChars="200"/>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迁</w:t>
            </w:r>
            <w:r>
              <w:rPr>
                <w:rFonts w:hint="default" w:ascii="Times New Roman" w:hAnsi="Times New Roman" w:eastAsia="宋体" w:cs="Times New Roman"/>
                <w:b/>
                <w:bCs/>
                <w:color w:val="auto"/>
                <w:sz w:val="21"/>
                <w:szCs w:val="21"/>
                <w:highlight w:val="none"/>
                <w:lang w:val="en-US" w:eastAsia="zh-CN"/>
              </w:rPr>
              <w:t>改</w:t>
            </w:r>
            <w:r>
              <w:rPr>
                <w:rFonts w:hint="default" w:ascii="Times New Roman" w:hAnsi="Times New Roman" w:eastAsia="宋体" w:cs="Times New Roman"/>
                <w:b/>
                <w:bCs/>
                <w:color w:val="auto"/>
                <w:sz w:val="21"/>
                <w:szCs w:val="21"/>
                <w:highlight w:val="none"/>
              </w:rPr>
              <w:t>扩建</w:t>
            </w:r>
            <w:r>
              <w:rPr>
                <w:rFonts w:hint="default" w:ascii="Times New Roman" w:hAnsi="Times New Roman" w:eastAsia="宋体" w:cs="Times New Roman"/>
                <w:b/>
                <w:bCs/>
                <w:color w:val="auto"/>
                <w:sz w:val="21"/>
                <w:szCs w:val="21"/>
                <w:highlight w:val="none"/>
                <w:lang w:val="en-US" w:eastAsia="zh-CN"/>
              </w:rPr>
              <w:t>项目</w:t>
            </w:r>
            <w:r>
              <w:rPr>
                <w:rFonts w:hint="default" w:ascii="Times New Roman" w:hAnsi="Times New Roman" w:eastAsia="宋体" w:cs="Times New Roman"/>
                <w:b/>
                <w:bCs/>
                <w:color w:val="auto"/>
                <w:sz w:val="21"/>
                <w:szCs w:val="21"/>
                <w:highlight w:val="none"/>
              </w:rPr>
              <w:t>主要内容如下：</w:t>
            </w:r>
          </w:p>
          <w:p w14:paraId="24A5A87D">
            <w:pPr>
              <w:keepNext w:val="0"/>
              <w:keepLines w:val="0"/>
              <w:pageBreakBefore w:val="0"/>
              <w:numPr>
                <w:ilvl w:val="1"/>
                <w:numId w:val="6"/>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20" w:firstLineChars="200"/>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项目建设地址由</w:t>
            </w:r>
            <w:r>
              <w:rPr>
                <w:rFonts w:hint="eastAsia" w:ascii="宋体" w:hAnsi="宋体" w:eastAsia="宋体" w:cs="宋体"/>
                <w:bCs/>
                <w:color w:val="auto"/>
                <w:sz w:val="21"/>
                <w:szCs w:val="21"/>
                <w:highlight w:val="none"/>
              </w:rPr>
              <w:t>“</w:t>
            </w:r>
            <w:r>
              <w:rPr>
                <w:rFonts w:hint="eastAsia" w:ascii="宋体" w:hAnsi="宋体" w:eastAsia="宋体" w:cs="宋体"/>
                <w:color w:val="auto"/>
                <w:sz w:val="21"/>
                <w:szCs w:val="21"/>
                <w:highlight w:val="none"/>
              </w:rPr>
              <w:t>博</w:t>
            </w:r>
            <w:r>
              <w:rPr>
                <w:rFonts w:hint="default" w:ascii="Times New Roman" w:hAnsi="Times New Roman" w:eastAsia="宋体" w:cs="Times New Roman"/>
                <w:color w:val="auto"/>
                <w:sz w:val="21"/>
                <w:szCs w:val="21"/>
                <w:highlight w:val="none"/>
              </w:rPr>
              <w:t>罗县</w:t>
            </w:r>
            <w:r>
              <w:rPr>
                <w:rFonts w:hint="default" w:ascii="Times New Roman" w:hAnsi="Times New Roman" w:eastAsia="宋体" w:cs="Times New Roman"/>
                <w:color w:val="auto"/>
                <w:sz w:val="21"/>
                <w:szCs w:val="21"/>
                <w:highlight w:val="none"/>
                <w:lang w:val="en-US" w:eastAsia="zh-CN"/>
              </w:rPr>
              <w:t>罗阳镇鸡麻地（</w:t>
            </w:r>
            <w:r>
              <w:rPr>
                <w:rFonts w:hint="eastAsia" w:cs="Times New Roman"/>
                <w:color w:val="auto"/>
                <w:sz w:val="21"/>
                <w:szCs w:val="21"/>
                <w:highlight w:val="none"/>
                <w:lang w:val="en-US" w:eastAsia="zh-CN"/>
              </w:rPr>
              <w:t>韦德</w:t>
            </w:r>
            <w:r>
              <w:rPr>
                <w:rFonts w:hint="default" w:ascii="Times New Roman" w:hAnsi="Times New Roman" w:eastAsia="宋体" w:cs="Times New Roman"/>
                <w:color w:val="auto"/>
                <w:sz w:val="21"/>
                <w:szCs w:val="21"/>
                <w:highlight w:val="none"/>
                <w:lang w:val="en-US" w:eastAsia="zh-CN"/>
              </w:rPr>
              <w:t>厂内</w:t>
            </w:r>
            <w:r>
              <w:rPr>
                <w:rFonts w:hint="eastAsia" w:ascii="宋体" w:hAnsi="宋体" w:eastAsia="宋体" w:cs="宋体"/>
                <w:color w:val="auto"/>
                <w:sz w:val="21"/>
                <w:szCs w:val="21"/>
                <w:highlight w:val="none"/>
                <w:lang w:val="en-US" w:eastAsia="zh-CN"/>
              </w:rPr>
              <w:t>）</w:t>
            </w:r>
            <w:r>
              <w:rPr>
                <w:rFonts w:hint="eastAsia" w:ascii="宋体" w:hAnsi="宋体" w:eastAsia="宋体" w:cs="宋体"/>
                <w:bCs/>
                <w:color w:val="auto"/>
                <w:sz w:val="21"/>
                <w:szCs w:val="21"/>
                <w:highlight w:val="none"/>
              </w:rPr>
              <w:t>”搬</w:t>
            </w:r>
            <w:r>
              <w:rPr>
                <w:rFonts w:hint="default" w:ascii="Times New Roman" w:hAnsi="Times New Roman" w:eastAsia="宋体" w:cs="Times New Roman"/>
                <w:bCs/>
                <w:color w:val="auto"/>
                <w:sz w:val="21"/>
                <w:szCs w:val="21"/>
                <w:highlight w:val="none"/>
              </w:rPr>
              <w:t>迁至</w:t>
            </w:r>
            <w:r>
              <w:rPr>
                <w:rFonts w:hint="eastAsia" w:ascii="宋体" w:hAnsi="宋体" w:eastAsia="宋体" w:cs="宋体"/>
                <w:bCs/>
                <w:color w:val="auto"/>
                <w:sz w:val="21"/>
                <w:szCs w:val="21"/>
                <w:highlight w:val="none"/>
              </w:rPr>
              <w:t>“</w:t>
            </w:r>
            <w:r>
              <w:rPr>
                <w:rFonts w:hint="eastAsia" w:ascii="宋体" w:hAnsi="宋体" w:eastAsia="宋体" w:cs="宋体"/>
                <w:color w:val="auto"/>
                <w:sz w:val="21"/>
                <w:szCs w:val="21"/>
                <w:highlight w:val="none"/>
              </w:rPr>
              <w:t>惠</w:t>
            </w:r>
            <w:r>
              <w:rPr>
                <w:rFonts w:hint="default" w:ascii="Times New Roman" w:hAnsi="Times New Roman" w:eastAsia="宋体" w:cs="Times New Roman"/>
                <w:color w:val="auto"/>
                <w:sz w:val="21"/>
                <w:szCs w:val="21"/>
                <w:highlight w:val="none"/>
              </w:rPr>
              <w:t>州市博罗县梅花村鸿达九路198号6号厂房605室、7号厂房705</w:t>
            </w:r>
            <w:r>
              <w:rPr>
                <w:rFonts w:hint="eastAsia" w:ascii="宋体" w:hAnsi="宋体" w:eastAsia="宋体" w:cs="宋体"/>
                <w:color w:val="auto"/>
                <w:sz w:val="21"/>
                <w:szCs w:val="21"/>
                <w:highlight w:val="none"/>
              </w:rPr>
              <w:t>室</w:t>
            </w:r>
            <w:r>
              <w:rPr>
                <w:rFonts w:hint="eastAsia" w:ascii="宋体" w:hAnsi="宋体" w:eastAsia="宋体" w:cs="宋体"/>
                <w:bCs/>
                <w:color w:val="auto"/>
                <w:sz w:val="21"/>
                <w:szCs w:val="21"/>
                <w:highlight w:val="none"/>
              </w:rPr>
              <w:t>”</w:t>
            </w:r>
            <w:r>
              <w:rPr>
                <w:rFonts w:hint="default" w:ascii="Times New Roman" w:hAnsi="Times New Roman" w:eastAsia="宋体" w:cs="Times New Roman"/>
                <w:bCs/>
                <w:color w:val="auto"/>
                <w:sz w:val="21"/>
                <w:szCs w:val="21"/>
                <w:highlight w:val="none"/>
              </w:rPr>
              <w:t>。</w:t>
            </w:r>
          </w:p>
          <w:p w14:paraId="050BBAFB">
            <w:pPr>
              <w:keepNext w:val="0"/>
              <w:keepLines w:val="0"/>
              <w:pageBreakBefore w:val="0"/>
              <w:numPr>
                <w:ilvl w:val="1"/>
                <w:numId w:val="6"/>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20" w:firstLineChars="200"/>
              <w:jc w:val="left"/>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项目总投资由</w:t>
            </w:r>
            <w:r>
              <w:rPr>
                <w:rFonts w:hint="default" w:ascii="Times New Roman" w:hAnsi="Times New Roman" w:eastAsia="宋体" w:cs="Times New Roman"/>
                <w:bCs/>
                <w:color w:val="auto"/>
                <w:sz w:val="21"/>
                <w:szCs w:val="21"/>
                <w:highlight w:val="none"/>
                <w:lang w:val="en-US" w:eastAsia="zh-CN"/>
              </w:rPr>
              <w:t>116</w:t>
            </w:r>
            <w:r>
              <w:rPr>
                <w:rFonts w:hint="default" w:ascii="Times New Roman" w:hAnsi="Times New Roman" w:eastAsia="宋体" w:cs="Times New Roman"/>
                <w:bCs/>
                <w:color w:val="auto"/>
                <w:sz w:val="21"/>
                <w:szCs w:val="21"/>
                <w:highlight w:val="none"/>
              </w:rPr>
              <w:t>万元增加至</w:t>
            </w:r>
            <w:r>
              <w:rPr>
                <w:rFonts w:hint="default" w:ascii="Times New Roman" w:hAnsi="Times New Roman" w:eastAsia="宋体" w:cs="Times New Roman"/>
                <w:bCs/>
                <w:color w:val="auto"/>
                <w:sz w:val="21"/>
                <w:szCs w:val="21"/>
                <w:highlight w:val="none"/>
                <w:lang w:val="en-US" w:eastAsia="zh-CN"/>
              </w:rPr>
              <w:t>3</w:t>
            </w:r>
            <w:r>
              <w:rPr>
                <w:rFonts w:hint="default" w:ascii="Times New Roman" w:hAnsi="Times New Roman" w:eastAsia="宋体" w:cs="Times New Roman"/>
                <w:bCs/>
                <w:color w:val="auto"/>
                <w:sz w:val="21"/>
                <w:szCs w:val="21"/>
                <w:highlight w:val="none"/>
              </w:rPr>
              <w:t>00万元，占地面积由</w:t>
            </w:r>
            <w:r>
              <w:rPr>
                <w:rFonts w:hint="eastAsia" w:cs="Times New Roman"/>
                <w:bCs/>
                <w:color w:val="auto"/>
                <w:sz w:val="21"/>
                <w:szCs w:val="21"/>
                <w:highlight w:val="none"/>
                <w:lang w:val="en-US" w:eastAsia="zh-CN"/>
              </w:rPr>
              <w:t>27</w:t>
            </w:r>
            <w:r>
              <w:rPr>
                <w:rFonts w:hint="default" w:ascii="Times New Roman" w:hAnsi="Times New Roman" w:eastAsia="宋体" w:cs="Times New Roman"/>
                <w:bCs/>
                <w:color w:val="auto"/>
                <w:sz w:val="21"/>
                <w:szCs w:val="21"/>
                <w:highlight w:val="none"/>
                <w:lang w:val="en-US" w:eastAsia="zh-CN"/>
              </w:rPr>
              <w:t>00</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eastAsia" w:cs="Times New Roman"/>
                <w:bCs/>
                <w:color w:val="auto"/>
                <w:sz w:val="21"/>
                <w:szCs w:val="21"/>
                <w:highlight w:val="none"/>
                <w:lang w:val="en-US" w:eastAsia="zh-CN"/>
              </w:rPr>
              <w:t>调整至</w:t>
            </w:r>
            <w:r>
              <w:rPr>
                <w:rFonts w:hint="default" w:ascii="Times New Roman" w:hAnsi="Times New Roman" w:eastAsia="宋体" w:cs="Times New Roman"/>
                <w:color w:val="auto"/>
                <w:sz w:val="21"/>
                <w:szCs w:val="21"/>
                <w:highlight w:val="none"/>
              </w:rPr>
              <w:t>2</w:t>
            </w:r>
            <w:r>
              <w:rPr>
                <w:rFonts w:hint="default" w:ascii="Times New Roman" w:hAnsi="Times New Roman" w:eastAsia="宋体" w:cs="Times New Roman"/>
                <w:color w:val="auto"/>
                <w:sz w:val="21"/>
                <w:szCs w:val="21"/>
                <w:highlight w:val="none"/>
                <w:lang w:val="en-US" w:eastAsia="zh-CN"/>
              </w:rPr>
              <w:t>400m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bCs/>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建筑面积由</w:t>
            </w:r>
            <w:r>
              <w:rPr>
                <w:rFonts w:hint="eastAsia"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lang w:val="en-US" w:eastAsia="zh-CN"/>
              </w:rPr>
              <w:t>00m</w:t>
            </w:r>
            <w:r>
              <w:rPr>
                <w:rFonts w:hint="default" w:ascii="Times New Roman" w:hAnsi="Times New Roman" w:eastAsia="宋体" w:cs="Times New Roman"/>
                <w:color w:val="auto"/>
                <w:sz w:val="21"/>
                <w:szCs w:val="21"/>
                <w:highlight w:val="none"/>
                <w:vertAlign w:val="superscript"/>
                <w:lang w:val="en-US" w:eastAsia="zh-CN"/>
              </w:rPr>
              <w:t>2</w:t>
            </w:r>
            <w:r>
              <w:rPr>
                <w:rFonts w:hint="eastAsia" w:cs="Times New Roman"/>
                <w:bCs/>
                <w:color w:val="auto"/>
                <w:sz w:val="21"/>
                <w:szCs w:val="21"/>
                <w:highlight w:val="none"/>
                <w:lang w:val="en-US" w:eastAsia="zh-CN"/>
              </w:rPr>
              <w:t>调整至</w:t>
            </w:r>
            <w:r>
              <w:rPr>
                <w:rFonts w:hint="default" w:ascii="Times New Roman" w:hAnsi="Times New Roman" w:eastAsia="宋体" w:cs="Times New Roman"/>
                <w:color w:val="auto"/>
                <w:sz w:val="21"/>
                <w:szCs w:val="21"/>
                <w:highlight w:val="none"/>
                <w:vertAlign w:val="baseline"/>
                <w:lang w:val="en-US" w:eastAsia="zh-CN"/>
              </w:rPr>
              <w:t>2400</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bCs/>
                <w:color w:val="auto"/>
                <w:sz w:val="21"/>
                <w:szCs w:val="21"/>
                <w:highlight w:val="none"/>
              </w:rPr>
              <w:t>。</w:t>
            </w:r>
          </w:p>
          <w:p w14:paraId="333CAB3E">
            <w:pPr>
              <w:keepNext w:val="0"/>
              <w:keepLines w:val="0"/>
              <w:pageBreakBefore w:val="0"/>
              <w:numPr>
                <w:ilvl w:val="1"/>
                <w:numId w:val="6"/>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20" w:firstLineChars="200"/>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项目产品产能由</w:t>
            </w:r>
            <w:r>
              <w:rPr>
                <w:rFonts w:hint="default" w:ascii="Times New Roman" w:hAnsi="Times New Roman" w:eastAsia="宋体" w:cs="Times New Roman"/>
                <w:color w:val="auto"/>
                <w:sz w:val="21"/>
                <w:szCs w:val="21"/>
                <w:highlight w:val="none"/>
                <w:lang w:val="en-US" w:eastAsia="zh-CN"/>
              </w:rPr>
              <w:t>吸塑制品380吨/年、包装纸箱12万只/年</w:t>
            </w:r>
            <w:r>
              <w:rPr>
                <w:rFonts w:hint="default" w:ascii="Times New Roman" w:hAnsi="Times New Roman" w:eastAsia="宋体" w:cs="Times New Roman"/>
                <w:color w:val="auto"/>
                <w:sz w:val="21"/>
                <w:szCs w:val="21"/>
                <w:highlight w:val="none"/>
              </w:rPr>
              <w:t>，调整为年</w:t>
            </w:r>
            <w:r>
              <w:rPr>
                <w:rFonts w:hint="default" w:ascii="Times New Roman" w:hAnsi="Times New Roman" w:eastAsia="宋体" w:cs="Times New Roman"/>
                <w:color w:val="auto"/>
                <w:sz w:val="21"/>
                <w:szCs w:val="21"/>
                <w:highlight w:val="none"/>
                <w:lang w:val="en-US" w:eastAsia="zh-CN"/>
              </w:rPr>
              <w:t>产吸塑制品180万个</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包装纸箱60万个</w:t>
            </w:r>
            <w:r>
              <w:rPr>
                <w:rFonts w:hint="default" w:ascii="Times New Roman" w:hAnsi="Times New Roman" w:eastAsia="宋体" w:cs="Times New Roman"/>
                <w:color w:val="auto"/>
                <w:spacing w:val="20"/>
                <w:sz w:val="21"/>
                <w:szCs w:val="21"/>
                <w:highlight w:val="none"/>
              </w:rPr>
              <w:t>。</w:t>
            </w:r>
          </w:p>
          <w:p w14:paraId="69ABFF12">
            <w:pPr>
              <w:keepNext w:val="0"/>
              <w:keepLines w:val="0"/>
              <w:pageBreakBefore w:val="0"/>
              <w:numPr>
                <w:ilvl w:val="1"/>
                <w:numId w:val="6"/>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20" w:firstLineChars="200"/>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项目迁改扩建后，相应的原辅材料、生产设备等发生改变，具体见报告正文。</w:t>
            </w:r>
          </w:p>
          <w:p w14:paraId="72BDD0FE">
            <w:pPr>
              <w:keepNext w:val="0"/>
              <w:keepLines w:val="0"/>
              <w:suppressLineNumbers w:val="0"/>
              <w:adjustRightInd w:val="0"/>
              <w:snapToGrid w:val="0"/>
              <w:spacing w:before="0" w:beforeAutospacing="0" w:after="0" w:afterAutospacing="0" w:line="360" w:lineRule="auto"/>
              <w:ind w:left="0" w:right="0" w:firstLine="420" w:firstLineChars="200"/>
              <w:jc w:val="left"/>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eastAsia="zh-CN"/>
              </w:rPr>
              <w:t>迁改扩建</w:t>
            </w:r>
            <w:r>
              <w:rPr>
                <w:rFonts w:hint="default" w:ascii="Times New Roman" w:hAnsi="Times New Roman" w:eastAsia="宋体" w:cs="Times New Roman"/>
                <w:color w:val="auto"/>
                <w:sz w:val="21"/>
                <w:szCs w:val="21"/>
                <w:highlight w:val="none"/>
              </w:rPr>
              <w:t>后，</w:t>
            </w:r>
            <w:r>
              <w:rPr>
                <w:rFonts w:hint="default" w:ascii="Times New Roman" w:hAnsi="Times New Roman" w:eastAsia="宋体" w:cs="Times New Roman"/>
                <w:color w:val="auto"/>
                <w:sz w:val="21"/>
                <w:szCs w:val="21"/>
                <w:highlight w:val="none"/>
                <w:lang w:eastAsia="zh-CN"/>
              </w:rPr>
              <w:t>博罗县合晟包装制品有限公司</w:t>
            </w:r>
            <w:r>
              <w:rPr>
                <w:rFonts w:hint="default" w:ascii="Times New Roman" w:hAnsi="Times New Roman" w:eastAsia="宋体" w:cs="Times New Roman"/>
                <w:color w:val="auto"/>
                <w:sz w:val="21"/>
                <w:szCs w:val="21"/>
                <w:highlight w:val="none"/>
              </w:rPr>
              <w:t>位于惠州市博罗县梅花村鸿达九路198号6号厂房605室、7号厂房705室。项目总投资</w:t>
            </w:r>
            <w:r>
              <w:rPr>
                <w:rFonts w:hint="default"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00万元，其中环保投资</w:t>
            </w:r>
            <w:r>
              <w:rPr>
                <w:rFonts w:hint="eastAsia"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rPr>
              <w:t>万元，占地面积</w:t>
            </w:r>
            <w:r>
              <w:rPr>
                <w:rFonts w:hint="default" w:ascii="Times New Roman" w:hAnsi="Times New Roman" w:eastAsia="宋体" w:cs="Times New Roman"/>
                <w:color w:val="auto"/>
                <w:sz w:val="21"/>
                <w:szCs w:val="21"/>
                <w:highlight w:val="none"/>
                <w:lang w:val="en-US" w:eastAsia="zh-CN"/>
              </w:rPr>
              <w:t>2400</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，建筑面积为</w:t>
            </w:r>
            <w:r>
              <w:rPr>
                <w:rFonts w:hint="default" w:ascii="Times New Roman" w:hAnsi="Times New Roman" w:eastAsia="宋体" w:cs="Times New Roman"/>
                <w:color w:val="auto"/>
                <w:sz w:val="21"/>
                <w:szCs w:val="21"/>
                <w:highlight w:val="none"/>
                <w:lang w:val="en-US" w:eastAsia="zh-CN"/>
              </w:rPr>
              <w:t>2400</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。项目主要从事</w:t>
            </w:r>
            <w:r>
              <w:rPr>
                <w:rFonts w:hint="default" w:ascii="Times New Roman" w:hAnsi="Times New Roman" w:eastAsia="宋体" w:cs="Times New Roman"/>
                <w:color w:val="auto"/>
                <w:sz w:val="21"/>
                <w:szCs w:val="21"/>
                <w:highlight w:val="none"/>
                <w:lang w:val="en-US" w:eastAsia="zh-CN"/>
              </w:rPr>
              <w:t>吸塑制品和包装纸箱</w:t>
            </w:r>
            <w:r>
              <w:rPr>
                <w:rFonts w:hint="default" w:ascii="Times New Roman" w:hAnsi="Times New Roman" w:eastAsia="宋体" w:cs="Times New Roman"/>
                <w:color w:val="auto"/>
                <w:sz w:val="21"/>
                <w:szCs w:val="21"/>
                <w:highlight w:val="none"/>
              </w:rPr>
              <w:t>的</w:t>
            </w:r>
            <w:r>
              <w:rPr>
                <w:rFonts w:hint="default" w:ascii="Times New Roman" w:hAnsi="Times New Roman" w:eastAsia="宋体" w:cs="Times New Roman"/>
                <w:color w:val="auto"/>
                <w:sz w:val="21"/>
                <w:szCs w:val="21"/>
                <w:highlight w:val="none"/>
                <w:lang w:val="en-US" w:eastAsia="zh-CN"/>
              </w:rPr>
              <w:t>生产</w:t>
            </w:r>
            <w:r>
              <w:rPr>
                <w:rFonts w:hint="default" w:ascii="Times New Roman" w:hAnsi="Times New Roman" w:eastAsia="宋体" w:cs="Times New Roman"/>
                <w:color w:val="auto"/>
                <w:sz w:val="21"/>
                <w:szCs w:val="21"/>
                <w:highlight w:val="none"/>
              </w:rPr>
              <w:t>，年产</w:t>
            </w:r>
            <w:r>
              <w:rPr>
                <w:rFonts w:hint="default" w:ascii="Times New Roman" w:hAnsi="Times New Roman" w:eastAsia="宋体" w:cs="Times New Roman"/>
                <w:color w:val="auto"/>
                <w:sz w:val="21"/>
                <w:szCs w:val="21"/>
                <w:highlight w:val="none"/>
                <w:lang w:val="en-US" w:eastAsia="zh-CN"/>
              </w:rPr>
              <w:t>吸塑制品1</w:t>
            </w:r>
            <w:r>
              <w:rPr>
                <w:rFonts w:hint="eastAsia"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lang w:val="en-US" w:eastAsia="zh-CN"/>
              </w:rPr>
              <w:t>0万个</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包装纸箱60万个</w:t>
            </w:r>
            <w:r>
              <w:rPr>
                <w:rFonts w:hint="default" w:ascii="Times New Roman" w:hAnsi="Times New Roman" w:eastAsia="宋体" w:cs="Times New Roman"/>
                <w:color w:val="auto"/>
                <w:sz w:val="21"/>
                <w:szCs w:val="21"/>
                <w:highlight w:val="none"/>
              </w:rPr>
              <w:t>。</w:t>
            </w:r>
          </w:p>
          <w:p w14:paraId="3ECD47EA">
            <w:pPr>
              <w:keepNext w:val="0"/>
              <w:keepLines w:val="0"/>
              <w:widowControl/>
              <w:suppressLineNumbers w:val="0"/>
              <w:spacing w:before="0" w:beforeAutospacing="0" w:after="0" w:afterAutospacing="0" w:line="360" w:lineRule="auto"/>
              <w:ind w:left="0" w:right="0" w:firstLine="420" w:firstLineChars="20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根据《建设项目环境影响评价分类管理名录（2021年版）》，项目属</w:t>
            </w:r>
            <w:r>
              <w:rPr>
                <w:rFonts w:hint="eastAsia" w:ascii="宋体" w:hAnsi="宋体" w:eastAsia="宋体" w:cs="宋体"/>
                <w:color w:val="auto"/>
                <w:sz w:val="21"/>
                <w:szCs w:val="21"/>
                <w:highlight w:val="none"/>
              </w:rPr>
              <w:t>于“</w:t>
            </w:r>
            <w:r>
              <w:rPr>
                <w:rFonts w:hint="eastAsia" w:ascii="宋体" w:hAnsi="宋体" w:eastAsia="宋体" w:cs="宋体"/>
                <w:color w:val="auto"/>
                <w:sz w:val="21"/>
                <w:szCs w:val="21"/>
                <w:highlight w:val="none"/>
                <w:lang w:val="en-US" w:eastAsia="zh-CN"/>
              </w:rPr>
              <w:t>十</w:t>
            </w:r>
            <w:r>
              <w:rPr>
                <w:rFonts w:hint="default" w:ascii="Times New Roman" w:hAnsi="Times New Roman" w:eastAsia="宋体" w:cs="Times New Roman"/>
                <w:color w:val="auto"/>
                <w:sz w:val="21"/>
                <w:szCs w:val="21"/>
                <w:highlight w:val="none"/>
                <w:lang w:val="en-US" w:eastAsia="zh-CN"/>
              </w:rPr>
              <w:t>九</w:t>
            </w:r>
            <w:r>
              <w:rPr>
                <w:rFonts w:hint="default" w:ascii="Times New Roman" w:hAnsi="Times New Roman" w:eastAsia="宋体" w:cs="Times New Roman"/>
                <w:color w:val="auto"/>
                <w:kern w:val="0"/>
                <w:sz w:val="21"/>
                <w:szCs w:val="21"/>
                <w:highlight w:val="none"/>
                <w:lang w:bidi="ar"/>
              </w:rPr>
              <w:t>、</w:t>
            </w:r>
            <w:r>
              <w:rPr>
                <w:rFonts w:hint="default" w:ascii="Times New Roman" w:hAnsi="Times New Roman" w:eastAsia="宋体" w:cs="Times New Roman"/>
                <w:color w:val="auto"/>
                <w:kern w:val="0"/>
                <w:sz w:val="21"/>
                <w:szCs w:val="21"/>
                <w:highlight w:val="none"/>
                <w:lang w:val="en-US" w:eastAsia="zh-CN" w:bidi="ar"/>
              </w:rPr>
              <w:t>造纸和纸制品</w:t>
            </w:r>
            <w:r>
              <w:rPr>
                <w:rFonts w:hint="default" w:ascii="Times New Roman" w:hAnsi="Times New Roman" w:eastAsia="宋体" w:cs="Times New Roman"/>
                <w:color w:val="auto"/>
                <w:kern w:val="0"/>
                <w:sz w:val="21"/>
                <w:szCs w:val="21"/>
                <w:highlight w:val="none"/>
                <w:lang w:bidi="ar"/>
              </w:rPr>
              <w:t>业</w:t>
            </w:r>
            <w:r>
              <w:rPr>
                <w:rFonts w:hint="default" w:ascii="Times New Roman" w:hAnsi="Times New Roman" w:eastAsia="宋体" w:cs="Times New Roman"/>
                <w:color w:val="auto"/>
                <w:kern w:val="0"/>
                <w:sz w:val="21"/>
                <w:szCs w:val="21"/>
                <w:highlight w:val="none"/>
                <w:lang w:val="en-US" w:eastAsia="zh-CN" w:bidi="ar"/>
              </w:rPr>
              <w:t>22纸制品</w:t>
            </w:r>
            <w:r>
              <w:rPr>
                <w:rFonts w:hint="default" w:ascii="Times New Roman" w:hAnsi="Times New Roman" w:eastAsia="宋体" w:cs="Times New Roman"/>
                <w:color w:val="auto"/>
                <w:kern w:val="0"/>
                <w:sz w:val="21"/>
                <w:szCs w:val="21"/>
                <w:highlight w:val="none"/>
                <w:lang w:bidi="ar"/>
              </w:rPr>
              <w:t>制造</w:t>
            </w:r>
            <w:r>
              <w:rPr>
                <w:rFonts w:hint="default" w:ascii="Times New Roman" w:hAnsi="Times New Roman" w:eastAsia="宋体" w:cs="Times New Roman"/>
                <w:color w:val="auto"/>
                <w:kern w:val="0"/>
                <w:sz w:val="21"/>
                <w:szCs w:val="21"/>
                <w:highlight w:val="none"/>
                <w:lang w:val="en-US" w:eastAsia="zh-CN" w:bidi="ar"/>
              </w:rPr>
              <w:t>223*</w:t>
            </w:r>
            <w:r>
              <w:rPr>
                <w:rFonts w:hint="default" w:ascii="Times New Roman" w:hAnsi="Times New Roman" w:eastAsia="宋体" w:cs="Times New Roman"/>
                <w:color w:val="auto"/>
                <w:kern w:val="0"/>
                <w:sz w:val="21"/>
                <w:szCs w:val="21"/>
                <w:highlight w:val="none"/>
                <w:lang w:bidi="ar"/>
              </w:rPr>
              <w:t>--</w:t>
            </w:r>
            <w:r>
              <w:rPr>
                <w:rFonts w:hint="default" w:ascii="Times New Roman" w:hAnsi="Times New Roman" w:eastAsia="宋体" w:cs="Times New Roman"/>
                <w:color w:val="auto"/>
                <w:kern w:val="0"/>
                <w:sz w:val="21"/>
                <w:szCs w:val="21"/>
                <w:highlight w:val="none"/>
                <w:lang w:val="en-US" w:eastAsia="zh-CN" w:bidi="ar"/>
              </w:rPr>
              <w:t>有涂布、浸渍、印刷、粘胶工艺</w:t>
            </w:r>
            <w:r>
              <w:rPr>
                <w:rFonts w:hint="eastAsia" w:ascii="宋体" w:hAnsi="宋体" w:eastAsia="宋体" w:cs="宋体"/>
                <w:color w:val="auto"/>
                <w:kern w:val="0"/>
                <w:sz w:val="21"/>
                <w:szCs w:val="21"/>
                <w:highlight w:val="none"/>
                <w:lang w:val="en-US" w:eastAsia="zh-CN" w:bidi="ar"/>
              </w:rPr>
              <w:t>的”和</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二</w:t>
            </w:r>
            <w:r>
              <w:rPr>
                <w:rFonts w:hint="default" w:ascii="Times New Roman" w:hAnsi="Times New Roman" w:eastAsia="宋体" w:cs="Times New Roman"/>
                <w:color w:val="auto"/>
                <w:sz w:val="21"/>
                <w:szCs w:val="21"/>
                <w:highlight w:val="none"/>
                <w:lang w:val="en-US" w:eastAsia="zh-CN"/>
              </w:rPr>
              <w:t>十六</w:t>
            </w:r>
            <w:r>
              <w:rPr>
                <w:rFonts w:hint="default" w:ascii="Times New Roman" w:hAnsi="Times New Roman" w:eastAsia="宋体" w:cs="Times New Roman"/>
                <w:color w:val="auto"/>
                <w:kern w:val="0"/>
                <w:sz w:val="21"/>
                <w:szCs w:val="21"/>
                <w:highlight w:val="none"/>
                <w:lang w:bidi="ar"/>
              </w:rPr>
              <w:t>、</w:t>
            </w:r>
            <w:r>
              <w:rPr>
                <w:rFonts w:hint="default" w:ascii="Times New Roman" w:hAnsi="Times New Roman" w:eastAsia="宋体" w:cs="Times New Roman"/>
                <w:color w:val="auto"/>
                <w:kern w:val="0"/>
                <w:sz w:val="21"/>
                <w:szCs w:val="21"/>
                <w:highlight w:val="none"/>
                <w:lang w:val="en-US" w:eastAsia="zh-CN" w:bidi="ar"/>
              </w:rPr>
              <w:t>橡胶和塑料</w:t>
            </w:r>
            <w:r>
              <w:rPr>
                <w:rFonts w:hint="default" w:ascii="Times New Roman" w:hAnsi="Times New Roman" w:eastAsia="宋体" w:cs="Times New Roman"/>
                <w:color w:val="auto"/>
                <w:kern w:val="0"/>
                <w:sz w:val="21"/>
                <w:szCs w:val="21"/>
                <w:highlight w:val="none"/>
                <w:lang w:bidi="ar"/>
              </w:rPr>
              <w:t>制品业</w:t>
            </w:r>
            <w:r>
              <w:rPr>
                <w:rFonts w:hint="default" w:ascii="Times New Roman" w:hAnsi="Times New Roman" w:eastAsia="宋体" w:cs="Times New Roman"/>
                <w:color w:val="auto"/>
                <w:kern w:val="0"/>
                <w:sz w:val="21"/>
                <w:szCs w:val="21"/>
                <w:highlight w:val="none"/>
                <w:lang w:val="en-US" w:eastAsia="zh-CN" w:bidi="ar"/>
              </w:rPr>
              <w:t>53</w:t>
            </w:r>
            <w:r>
              <w:rPr>
                <w:rFonts w:hint="default" w:ascii="Times New Roman" w:hAnsi="Times New Roman" w:eastAsia="宋体" w:cs="Times New Roman"/>
                <w:color w:val="auto"/>
                <w:kern w:val="0"/>
                <w:sz w:val="21"/>
                <w:szCs w:val="21"/>
                <w:highlight w:val="none"/>
                <w:lang w:bidi="ar"/>
              </w:rPr>
              <w:t>、</w:t>
            </w:r>
            <w:r>
              <w:rPr>
                <w:rFonts w:hint="default" w:ascii="Times New Roman" w:hAnsi="Times New Roman" w:eastAsia="宋体" w:cs="Times New Roman"/>
                <w:color w:val="auto"/>
                <w:kern w:val="0"/>
                <w:sz w:val="21"/>
                <w:szCs w:val="21"/>
                <w:highlight w:val="none"/>
                <w:lang w:val="en-US" w:eastAsia="zh-CN" w:bidi="ar"/>
              </w:rPr>
              <w:t>塑料制品业292</w:t>
            </w:r>
            <w:r>
              <w:rPr>
                <w:rFonts w:hint="default" w:ascii="Times New Roman" w:hAnsi="Times New Roman" w:eastAsia="宋体" w:cs="Times New Roman"/>
                <w:color w:val="auto"/>
                <w:kern w:val="0"/>
                <w:sz w:val="21"/>
                <w:szCs w:val="21"/>
                <w:highlight w:val="none"/>
                <w:lang w:bidi="ar"/>
              </w:rPr>
              <w:t>--</w:t>
            </w:r>
            <w:r>
              <w:rPr>
                <w:rFonts w:hint="default" w:ascii="Times New Roman" w:hAnsi="Times New Roman" w:eastAsia="宋体" w:cs="Times New Roman"/>
                <w:color w:val="auto"/>
                <w:sz w:val="21"/>
                <w:szCs w:val="21"/>
                <w:highlight w:val="none"/>
              </w:rPr>
              <w:t>其他（</w:t>
            </w:r>
            <w:r>
              <w:rPr>
                <w:rFonts w:hint="default" w:ascii="Times New Roman" w:hAnsi="Times New Roman" w:eastAsia="宋体" w:cs="Times New Roman"/>
                <w:color w:val="auto"/>
                <w:sz w:val="21"/>
                <w:szCs w:val="21"/>
                <w:highlight w:val="none"/>
                <w:lang w:val="en-US" w:eastAsia="zh-CN"/>
              </w:rPr>
              <w:t>年用非溶剂型底VOCs含量涂料10吨以下的除外</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sz w:val="21"/>
                <w:szCs w:val="21"/>
                <w:highlight w:val="none"/>
              </w:rPr>
              <w:t>”</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因此应编制环境影响报告表。</w:t>
            </w:r>
          </w:p>
          <w:p w14:paraId="0E2DE64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2" w:firstLineChars="200"/>
              <w:textAlignment w:val="auto"/>
              <w:rPr>
                <w:rFonts w:hint="default" w:ascii="Times New Roman" w:hAnsi="Times New Roman" w:eastAsia="宋体" w:cs="Times New Roman"/>
                <w:b/>
                <w:color w:val="auto"/>
                <w:sz w:val="21"/>
                <w:szCs w:val="21"/>
                <w:highlight w:val="none"/>
                <w:lang w:val="en-US" w:eastAsia="zh-CN"/>
              </w:rPr>
            </w:pPr>
            <w:r>
              <w:rPr>
                <w:rFonts w:hint="default" w:ascii="Times New Roman" w:hAnsi="Times New Roman" w:eastAsia="宋体" w:cs="Times New Roman"/>
                <w:b/>
                <w:color w:val="auto"/>
                <w:sz w:val="21"/>
                <w:szCs w:val="21"/>
                <w:highlight w:val="none"/>
                <w:lang w:val="en-US" w:eastAsia="zh-CN"/>
              </w:rPr>
              <w:t>2</w:t>
            </w:r>
            <w:r>
              <w:rPr>
                <w:rFonts w:hint="default" w:ascii="Times New Roman" w:hAnsi="Times New Roman" w:eastAsia="宋体" w:cs="Times New Roman"/>
                <w:b/>
                <w:color w:val="auto"/>
                <w:sz w:val="21"/>
                <w:szCs w:val="21"/>
                <w:highlight w:val="none"/>
              </w:rPr>
              <w:t>、</w:t>
            </w:r>
            <w:r>
              <w:rPr>
                <w:rFonts w:hint="default" w:ascii="Times New Roman" w:hAnsi="Times New Roman" w:eastAsia="宋体" w:cs="Times New Roman"/>
                <w:b/>
                <w:color w:val="auto"/>
                <w:sz w:val="21"/>
                <w:szCs w:val="21"/>
                <w:highlight w:val="none"/>
                <w:lang w:val="en-US" w:eastAsia="zh-CN"/>
              </w:rPr>
              <w:t>项目工程组成</w:t>
            </w:r>
          </w:p>
          <w:p w14:paraId="08EF420A">
            <w:pPr>
              <w:keepNext w:val="0"/>
              <w:keepLines w:val="0"/>
              <w:suppressLineNumbers w:val="0"/>
              <w:adjustRightInd w:val="0"/>
              <w:snapToGrid w:val="0"/>
              <w:spacing w:before="0" w:beforeAutospacing="0" w:after="0" w:afterAutospacing="0" w:line="360" w:lineRule="auto"/>
              <w:ind w:left="0" w:right="0" w:firstLine="420" w:firstLineChars="200"/>
              <w:jc w:val="left"/>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根据建设单位提供资料，迁改扩建前后工程组成详见下表。</w:t>
            </w:r>
          </w:p>
          <w:p w14:paraId="43858DDB">
            <w:pPr>
              <w:keepNext w:val="0"/>
              <w:keepLines w:val="0"/>
              <w:pageBreakBefore w:val="0"/>
              <w:widowControl/>
              <w:numPr>
                <w:ilvl w:val="0"/>
                <w:numId w:val="4"/>
              </w:numPr>
              <w:suppressLineNumbers w:val="0"/>
              <w:kinsoku/>
              <w:wordWrap/>
              <w:overflowPunct/>
              <w:topLinePunct w:val="0"/>
              <w:autoSpaceDE/>
              <w:autoSpaceDN/>
              <w:bidi w:val="0"/>
              <w:adjustRightInd w:val="0"/>
              <w:snapToGrid/>
              <w:spacing w:before="0" w:beforeAutospacing="0" w:after="0" w:afterAutospacing="0" w:line="360" w:lineRule="auto"/>
              <w:ind w:right="0"/>
              <w:jc w:val="center"/>
              <w:textAlignment w:val="baseline"/>
              <w:rPr>
                <w:rFonts w:hint="default" w:ascii="Times New Roman" w:hAnsi="Times New Roman" w:eastAsia="宋体" w:cs="Times New Roman"/>
                <w:b/>
                <w:color w:val="auto"/>
                <w:highlight w:val="none"/>
                <w:lang w:val="en-US" w:eastAsia="zh-CN"/>
              </w:rPr>
            </w:pPr>
            <w:r>
              <w:rPr>
                <w:rFonts w:hint="default" w:ascii="Times New Roman" w:hAnsi="Times New Roman" w:eastAsia="宋体" w:cs="Times New Roman"/>
                <w:b/>
                <w:color w:val="auto"/>
                <w:highlight w:val="none"/>
                <w:lang w:val="en-US" w:eastAsia="zh-CN"/>
              </w:rPr>
              <w:t>项目迁改扩建前后工程组成一览表</w:t>
            </w:r>
          </w:p>
          <w:tbl>
            <w:tblPr>
              <w:tblStyle w:val="42"/>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3"/>
              <w:gridCol w:w="436"/>
              <w:gridCol w:w="572"/>
              <w:gridCol w:w="3570"/>
              <w:gridCol w:w="3561"/>
            </w:tblGrid>
            <w:tr w14:paraId="533B76C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1" w:type="pct"/>
                  <w:vMerge w:val="restart"/>
                  <w:tcBorders>
                    <w:tl2br w:val="nil"/>
                    <w:tr2bl w:val="nil"/>
                  </w:tcBorders>
                  <w:noWrap w:val="0"/>
                  <w:vAlign w:val="center"/>
                </w:tcPr>
                <w:p w14:paraId="0B9C83F0">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类别</w:t>
                  </w:r>
                </w:p>
              </w:tc>
              <w:tc>
                <w:tcPr>
                  <w:tcW w:w="583" w:type="pct"/>
                  <w:gridSpan w:val="2"/>
                  <w:vMerge w:val="restart"/>
                  <w:tcBorders>
                    <w:tl2br w:val="nil"/>
                    <w:tr2bl w:val="nil"/>
                  </w:tcBorders>
                  <w:noWrap w:val="0"/>
                  <w:vAlign w:val="center"/>
                </w:tcPr>
                <w:p w14:paraId="6BB8041E">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工程项目</w:t>
                  </w:r>
                </w:p>
              </w:tc>
              <w:tc>
                <w:tcPr>
                  <w:tcW w:w="4125" w:type="pct"/>
                  <w:gridSpan w:val="2"/>
                  <w:tcBorders>
                    <w:tl2br w:val="nil"/>
                    <w:tr2bl w:val="nil"/>
                  </w:tcBorders>
                  <w:noWrap w:val="0"/>
                  <w:vAlign w:val="center"/>
                </w:tcPr>
                <w:p w14:paraId="31E030E9">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工程内容</w:t>
                  </w:r>
                </w:p>
              </w:tc>
            </w:tr>
            <w:tr w14:paraId="5724A5D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1" w:type="pct"/>
                  <w:vMerge w:val="continue"/>
                  <w:tcBorders>
                    <w:tl2br w:val="nil"/>
                    <w:tr2bl w:val="nil"/>
                  </w:tcBorders>
                  <w:noWrap w:val="0"/>
                  <w:vAlign w:val="center"/>
                </w:tcPr>
                <w:p w14:paraId="5284327C">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p>
              </w:tc>
              <w:tc>
                <w:tcPr>
                  <w:tcW w:w="583" w:type="pct"/>
                  <w:gridSpan w:val="2"/>
                  <w:vMerge w:val="continue"/>
                  <w:tcBorders>
                    <w:tl2br w:val="nil"/>
                    <w:tr2bl w:val="nil"/>
                  </w:tcBorders>
                  <w:noWrap w:val="0"/>
                  <w:vAlign w:val="center"/>
                </w:tcPr>
                <w:p w14:paraId="3DC1CC8D">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p>
              </w:tc>
              <w:tc>
                <w:tcPr>
                  <w:tcW w:w="2065" w:type="pct"/>
                  <w:tcBorders>
                    <w:tl2br w:val="nil"/>
                    <w:tr2bl w:val="nil"/>
                  </w:tcBorders>
                  <w:noWrap w:val="0"/>
                  <w:vAlign w:val="center"/>
                </w:tcPr>
                <w:p w14:paraId="4E14CE99">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原有项目</w:t>
                  </w:r>
                </w:p>
              </w:tc>
              <w:tc>
                <w:tcPr>
                  <w:tcW w:w="2060" w:type="pct"/>
                  <w:tcBorders>
                    <w:tl2br w:val="nil"/>
                    <w:tr2bl w:val="nil"/>
                  </w:tcBorders>
                  <w:noWrap w:val="0"/>
                  <w:vAlign w:val="center"/>
                </w:tcPr>
                <w:p w14:paraId="48E0318A">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迁改扩建项目</w:t>
                  </w:r>
                </w:p>
              </w:tc>
            </w:tr>
            <w:tr w14:paraId="2944ACB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6" w:hRule="atLeast"/>
                <w:jc w:val="center"/>
              </w:trPr>
              <w:tc>
                <w:tcPr>
                  <w:tcW w:w="291" w:type="pct"/>
                  <w:tcBorders>
                    <w:tl2br w:val="nil"/>
                    <w:tr2bl w:val="nil"/>
                  </w:tcBorders>
                  <w:noWrap w:val="0"/>
                  <w:vAlign w:val="center"/>
                </w:tcPr>
                <w:p w14:paraId="0DD446FC">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主体工程</w:t>
                  </w:r>
                </w:p>
              </w:tc>
              <w:tc>
                <w:tcPr>
                  <w:tcW w:w="583" w:type="pct"/>
                  <w:gridSpan w:val="2"/>
                  <w:tcBorders>
                    <w:tl2br w:val="nil"/>
                    <w:tr2bl w:val="nil"/>
                  </w:tcBorders>
                  <w:noWrap w:val="0"/>
                  <w:vAlign w:val="center"/>
                </w:tcPr>
                <w:p w14:paraId="3C4FCC85">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生产车间</w:t>
                  </w:r>
                </w:p>
              </w:tc>
              <w:tc>
                <w:tcPr>
                  <w:tcW w:w="2065" w:type="pct"/>
                  <w:tcBorders>
                    <w:tl2br w:val="nil"/>
                    <w:tr2bl w:val="nil"/>
                  </w:tcBorders>
                  <w:noWrap w:val="0"/>
                  <w:vAlign w:val="center"/>
                </w:tcPr>
                <w:p w14:paraId="238EBD4B">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2栋1层厂房作为生产车间，占地面积2700</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highlight w:val="none"/>
                      <w:vertAlign w:val="baseline"/>
                      <w:lang w:val="en-US" w:eastAsia="zh-CN"/>
                    </w:rPr>
                    <w:t>，建筑面积2000</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。其中包括吸塑加工车间，建筑面积650m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、模具房，建筑面积50m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、纸箱加工车间，建筑面积1050m</w:t>
                  </w:r>
                  <w:r>
                    <w:rPr>
                      <w:rFonts w:hint="default" w:ascii="Times New Roman" w:hAnsi="Times New Roman" w:eastAsia="宋体" w:cs="Times New Roman"/>
                      <w:color w:val="auto"/>
                      <w:sz w:val="21"/>
                      <w:szCs w:val="21"/>
                      <w:highlight w:val="none"/>
                      <w:vertAlign w:val="superscript"/>
                      <w:lang w:val="en-US" w:eastAsia="zh-CN"/>
                    </w:rPr>
                    <w:t>2</w:t>
                  </w:r>
                </w:p>
              </w:tc>
              <w:tc>
                <w:tcPr>
                  <w:tcW w:w="2060" w:type="pct"/>
                  <w:tcBorders>
                    <w:tl2br w:val="nil"/>
                    <w:tr2bl w:val="nil"/>
                  </w:tcBorders>
                  <w:noWrap w:val="0"/>
                  <w:vAlign w:val="center"/>
                </w:tcPr>
                <w:p w14:paraId="19901390">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1栋9层厂房中5F作为生产车间，</w:t>
                  </w:r>
                  <w:r>
                    <w:rPr>
                      <w:rFonts w:hint="default" w:ascii="Times New Roman" w:hAnsi="Times New Roman" w:eastAsia="宋体" w:cs="Times New Roman"/>
                      <w:bCs/>
                      <w:color w:val="auto"/>
                      <w:sz w:val="21"/>
                      <w:szCs w:val="21"/>
                      <w:highlight w:val="none"/>
                      <w:lang w:val="en-US" w:eastAsia="zh-CN"/>
                    </w:rPr>
                    <w:t>占地面积2400</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，建筑面积2400m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。其中包括吸塑加工车间，建筑面积624m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、纸箱加工车间，建筑面积949m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、模具房，建筑面积46m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、样品室，建筑面积29m</w:t>
                  </w:r>
                  <w:r>
                    <w:rPr>
                      <w:rFonts w:hint="default" w:ascii="Times New Roman" w:hAnsi="Times New Roman" w:eastAsia="宋体" w:cs="Times New Roman"/>
                      <w:color w:val="auto"/>
                      <w:sz w:val="21"/>
                      <w:szCs w:val="21"/>
                      <w:highlight w:val="none"/>
                      <w:vertAlign w:val="superscript"/>
                      <w:lang w:val="en-US" w:eastAsia="zh-CN"/>
                    </w:rPr>
                    <w:t>2</w:t>
                  </w:r>
                </w:p>
              </w:tc>
            </w:tr>
            <w:tr w14:paraId="6476A12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1" w:type="pct"/>
                  <w:tcBorders>
                    <w:tl2br w:val="nil"/>
                    <w:tr2bl w:val="nil"/>
                  </w:tcBorders>
                  <w:noWrap w:val="0"/>
                  <w:vAlign w:val="center"/>
                </w:tcPr>
                <w:p w14:paraId="6AB20345">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辅助工程</w:t>
                  </w:r>
                </w:p>
              </w:tc>
              <w:tc>
                <w:tcPr>
                  <w:tcW w:w="583" w:type="pct"/>
                  <w:gridSpan w:val="2"/>
                  <w:tcBorders>
                    <w:tl2br w:val="nil"/>
                    <w:tr2bl w:val="nil"/>
                  </w:tcBorders>
                  <w:noWrap w:val="0"/>
                  <w:vAlign w:val="center"/>
                </w:tcPr>
                <w:p w14:paraId="02856ECC">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办公室</w:t>
                  </w:r>
                </w:p>
              </w:tc>
              <w:tc>
                <w:tcPr>
                  <w:tcW w:w="2065" w:type="pct"/>
                  <w:tcBorders>
                    <w:tl2br w:val="nil"/>
                    <w:tr2bl w:val="nil"/>
                  </w:tcBorders>
                  <w:noWrap w:val="0"/>
                  <w:vAlign w:val="center"/>
                </w:tcPr>
                <w:p w14:paraId="78E697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位于纸箱加工车间西面，建筑面积100</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p>
              </w:tc>
              <w:tc>
                <w:tcPr>
                  <w:tcW w:w="2060" w:type="pct"/>
                  <w:tcBorders>
                    <w:tl2br w:val="nil"/>
                    <w:tr2bl w:val="nil"/>
                  </w:tcBorders>
                  <w:noWrap w:val="0"/>
                  <w:vAlign w:val="center"/>
                </w:tcPr>
                <w:p w14:paraId="1E75BC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位于吸塑加工车间西面，建筑面积134</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p>
              </w:tc>
            </w:tr>
            <w:tr w14:paraId="561B5C7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1" w:type="pct"/>
                  <w:vMerge w:val="restart"/>
                  <w:tcBorders>
                    <w:tl2br w:val="nil"/>
                    <w:tr2bl w:val="nil"/>
                  </w:tcBorders>
                  <w:noWrap w:val="0"/>
                  <w:vAlign w:val="center"/>
                </w:tcPr>
                <w:p w14:paraId="5B960BF0">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储运工程</w:t>
                  </w:r>
                </w:p>
              </w:tc>
              <w:tc>
                <w:tcPr>
                  <w:tcW w:w="583" w:type="pct"/>
                  <w:gridSpan w:val="2"/>
                  <w:tcBorders>
                    <w:tl2br w:val="nil"/>
                    <w:tr2bl w:val="nil"/>
                  </w:tcBorders>
                  <w:noWrap w:val="0"/>
                  <w:vAlign w:val="center"/>
                </w:tcPr>
                <w:p w14:paraId="7753F710">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危险废物暂存间</w:t>
                  </w:r>
                </w:p>
              </w:tc>
              <w:tc>
                <w:tcPr>
                  <w:tcW w:w="2065" w:type="pct"/>
                  <w:tcBorders>
                    <w:tl2br w:val="nil"/>
                    <w:tr2bl w:val="nil"/>
                  </w:tcBorders>
                  <w:noWrap w:val="0"/>
                  <w:vAlign w:val="center"/>
                </w:tcPr>
                <w:p w14:paraId="4CF354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位于纸箱加工车间西面，建筑面积25</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p>
              </w:tc>
              <w:tc>
                <w:tcPr>
                  <w:tcW w:w="2060" w:type="pct"/>
                  <w:tcBorders>
                    <w:tl2br w:val="nil"/>
                    <w:tr2bl w:val="nil"/>
                  </w:tcBorders>
                  <w:noWrap w:val="0"/>
                  <w:vAlign w:val="center"/>
                </w:tcPr>
                <w:p w14:paraId="0BBBE5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sz w:val="21"/>
                      <w:szCs w:val="21"/>
                      <w:highlight w:val="none"/>
                      <w:lang w:val="en-US" w:eastAsia="zh-CN"/>
                    </w:rPr>
                    <w:t>位于吸塑加工车间北面，建筑面积25m</w:t>
                  </w:r>
                  <w:r>
                    <w:rPr>
                      <w:rFonts w:hint="default" w:ascii="Times New Roman" w:hAnsi="Times New Roman" w:eastAsia="宋体" w:cs="Times New Roman"/>
                      <w:color w:val="auto"/>
                      <w:sz w:val="21"/>
                      <w:szCs w:val="21"/>
                      <w:highlight w:val="none"/>
                      <w:vertAlign w:val="superscript"/>
                      <w:lang w:val="en-US" w:eastAsia="zh-CN"/>
                    </w:rPr>
                    <w:t>2</w:t>
                  </w:r>
                </w:p>
              </w:tc>
            </w:tr>
            <w:tr w14:paraId="0BACBBF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1" w:type="pct"/>
                  <w:vMerge w:val="continue"/>
                  <w:tcBorders>
                    <w:tl2br w:val="nil"/>
                    <w:tr2bl w:val="nil"/>
                  </w:tcBorders>
                  <w:noWrap w:val="0"/>
                  <w:vAlign w:val="center"/>
                </w:tcPr>
                <w:p w14:paraId="3E869CB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p>
              </w:tc>
              <w:tc>
                <w:tcPr>
                  <w:tcW w:w="583" w:type="pct"/>
                  <w:gridSpan w:val="2"/>
                  <w:tcBorders>
                    <w:tl2br w:val="nil"/>
                    <w:tr2bl w:val="nil"/>
                  </w:tcBorders>
                  <w:noWrap w:val="0"/>
                  <w:vAlign w:val="center"/>
                </w:tcPr>
                <w:p w14:paraId="737F6224">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一般固废暂存间</w:t>
                  </w:r>
                </w:p>
              </w:tc>
              <w:tc>
                <w:tcPr>
                  <w:tcW w:w="2065" w:type="pct"/>
                  <w:tcBorders>
                    <w:tl2br w:val="nil"/>
                    <w:tr2bl w:val="nil"/>
                  </w:tcBorders>
                  <w:noWrap w:val="0"/>
                  <w:vAlign w:val="center"/>
                </w:tcPr>
                <w:p w14:paraId="60BC07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位于纸箱加工车间西面，建筑面积25</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p>
              </w:tc>
              <w:tc>
                <w:tcPr>
                  <w:tcW w:w="2060" w:type="pct"/>
                  <w:tcBorders>
                    <w:tl2br w:val="nil"/>
                    <w:tr2bl w:val="nil"/>
                  </w:tcBorders>
                  <w:noWrap w:val="0"/>
                  <w:vAlign w:val="center"/>
                </w:tcPr>
                <w:p w14:paraId="429B01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sz w:val="21"/>
                      <w:szCs w:val="21"/>
                      <w:highlight w:val="none"/>
                      <w:lang w:val="en-US" w:eastAsia="zh-CN"/>
                    </w:rPr>
                    <w:t>位于吸塑加工车间北面，建筑面积25m</w:t>
                  </w:r>
                  <w:r>
                    <w:rPr>
                      <w:rFonts w:hint="default" w:ascii="Times New Roman" w:hAnsi="Times New Roman" w:eastAsia="宋体" w:cs="Times New Roman"/>
                      <w:color w:val="auto"/>
                      <w:sz w:val="21"/>
                      <w:szCs w:val="21"/>
                      <w:highlight w:val="none"/>
                      <w:vertAlign w:val="superscript"/>
                      <w:lang w:val="en-US" w:eastAsia="zh-CN"/>
                    </w:rPr>
                    <w:t>2</w:t>
                  </w:r>
                </w:p>
              </w:tc>
            </w:tr>
            <w:tr w14:paraId="453D0E8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1" w:type="pct"/>
                  <w:vMerge w:val="continue"/>
                  <w:tcBorders>
                    <w:tl2br w:val="nil"/>
                    <w:tr2bl w:val="nil"/>
                  </w:tcBorders>
                  <w:noWrap w:val="0"/>
                  <w:vAlign w:val="center"/>
                </w:tcPr>
                <w:p w14:paraId="7757261B">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p>
              </w:tc>
              <w:tc>
                <w:tcPr>
                  <w:tcW w:w="583" w:type="pct"/>
                  <w:gridSpan w:val="2"/>
                  <w:tcBorders>
                    <w:tl2br w:val="nil"/>
                    <w:tr2bl w:val="nil"/>
                  </w:tcBorders>
                  <w:noWrap w:val="0"/>
                  <w:vAlign w:val="center"/>
                </w:tcPr>
                <w:p w14:paraId="7F523748">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原料仓库</w:t>
                  </w:r>
                </w:p>
              </w:tc>
              <w:tc>
                <w:tcPr>
                  <w:tcW w:w="2065" w:type="pct"/>
                  <w:tcBorders>
                    <w:tl2br w:val="nil"/>
                    <w:tr2bl w:val="nil"/>
                  </w:tcBorders>
                  <w:noWrap w:val="0"/>
                  <w:vAlign w:val="center"/>
                </w:tcPr>
                <w:p w14:paraId="4AA690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sz w:val="21"/>
                      <w:szCs w:val="21"/>
                      <w:highlight w:val="none"/>
                      <w:lang w:val="en-US" w:eastAsia="zh-CN"/>
                    </w:rPr>
                    <w:t>位于吸塑加工车间东面，建筑面积50m</w:t>
                  </w:r>
                  <w:r>
                    <w:rPr>
                      <w:rFonts w:hint="default" w:ascii="Times New Roman" w:hAnsi="Times New Roman" w:eastAsia="宋体" w:cs="Times New Roman"/>
                      <w:color w:val="auto"/>
                      <w:sz w:val="21"/>
                      <w:szCs w:val="21"/>
                      <w:highlight w:val="none"/>
                      <w:vertAlign w:val="superscript"/>
                      <w:lang w:val="en-US" w:eastAsia="zh-CN"/>
                    </w:rPr>
                    <w:t>2</w:t>
                  </w:r>
                </w:p>
              </w:tc>
              <w:tc>
                <w:tcPr>
                  <w:tcW w:w="2060" w:type="pct"/>
                  <w:tcBorders>
                    <w:tl2br w:val="nil"/>
                    <w:tr2bl w:val="nil"/>
                  </w:tcBorders>
                  <w:noWrap w:val="0"/>
                  <w:vAlign w:val="center"/>
                </w:tcPr>
                <w:p w14:paraId="797310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sz w:val="21"/>
                      <w:szCs w:val="21"/>
                      <w:highlight w:val="none"/>
                      <w:lang w:val="en-US" w:eastAsia="zh-CN"/>
                    </w:rPr>
                    <w:t>位于吸塑加工车间北面，建筑面积61m</w:t>
                  </w:r>
                  <w:r>
                    <w:rPr>
                      <w:rFonts w:hint="default" w:ascii="Times New Roman" w:hAnsi="Times New Roman" w:eastAsia="宋体" w:cs="Times New Roman"/>
                      <w:color w:val="auto"/>
                      <w:sz w:val="21"/>
                      <w:szCs w:val="21"/>
                      <w:highlight w:val="none"/>
                      <w:vertAlign w:val="superscript"/>
                      <w:lang w:val="en-US" w:eastAsia="zh-CN"/>
                    </w:rPr>
                    <w:t>2</w:t>
                  </w:r>
                </w:p>
              </w:tc>
            </w:tr>
            <w:tr w14:paraId="21389B5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1" w:type="pct"/>
                  <w:vMerge w:val="continue"/>
                  <w:tcBorders>
                    <w:tl2br w:val="nil"/>
                    <w:tr2bl w:val="nil"/>
                  </w:tcBorders>
                  <w:noWrap w:val="0"/>
                  <w:vAlign w:val="center"/>
                </w:tcPr>
                <w:p w14:paraId="73CE4163">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p>
              </w:tc>
              <w:tc>
                <w:tcPr>
                  <w:tcW w:w="583" w:type="pct"/>
                  <w:gridSpan w:val="2"/>
                  <w:tcBorders>
                    <w:tl2br w:val="nil"/>
                    <w:tr2bl w:val="nil"/>
                  </w:tcBorders>
                  <w:noWrap w:val="0"/>
                  <w:vAlign w:val="center"/>
                </w:tcPr>
                <w:p w14:paraId="7172DAE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成品仓库</w:t>
                  </w:r>
                </w:p>
              </w:tc>
              <w:tc>
                <w:tcPr>
                  <w:tcW w:w="2065" w:type="pct"/>
                  <w:tcBorders>
                    <w:tl2br w:val="nil"/>
                    <w:tr2bl w:val="nil"/>
                  </w:tcBorders>
                  <w:noWrap w:val="0"/>
                  <w:vAlign w:val="center"/>
                </w:tcPr>
                <w:p w14:paraId="7D6B32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位于吸塑加工车间西面，建筑面积</w:t>
                  </w:r>
                  <w:r>
                    <w:rPr>
                      <w:rFonts w:hint="default" w:ascii="Times New Roman" w:hAnsi="Times New Roman" w:eastAsia="宋体" w:cs="Times New Roman"/>
                      <w:color w:val="auto"/>
                      <w:sz w:val="21"/>
                      <w:szCs w:val="21"/>
                      <w:highlight w:val="none"/>
                      <w:lang w:val="en-US" w:eastAsia="zh-CN"/>
                    </w:rPr>
                    <w:t>50m</w:t>
                  </w:r>
                  <w:r>
                    <w:rPr>
                      <w:rFonts w:hint="default" w:ascii="Times New Roman" w:hAnsi="Times New Roman" w:eastAsia="宋体" w:cs="Times New Roman"/>
                      <w:color w:val="auto"/>
                      <w:sz w:val="21"/>
                      <w:szCs w:val="21"/>
                      <w:highlight w:val="none"/>
                      <w:vertAlign w:val="superscript"/>
                      <w:lang w:val="en-US" w:eastAsia="zh-CN"/>
                    </w:rPr>
                    <w:t>2</w:t>
                  </w:r>
                </w:p>
              </w:tc>
              <w:tc>
                <w:tcPr>
                  <w:tcW w:w="2060" w:type="pct"/>
                  <w:tcBorders>
                    <w:tl2br w:val="nil"/>
                    <w:tr2bl w:val="nil"/>
                  </w:tcBorders>
                  <w:noWrap w:val="0"/>
                  <w:vAlign w:val="center"/>
                </w:tcPr>
                <w:p w14:paraId="7E2DEA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sz w:val="21"/>
                      <w:szCs w:val="21"/>
                      <w:highlight w:val="none"/>
                      <w:lang w:val="en-US" w:eastAsia="zh-CN"/>
                    </w:rPr>
                    <w:t>位于吸塑加工车间北面，建筑面积47m</w:t>
                  </w:r>
                  <w:r>
                    <w:rPr>
                      <w:rFonts w:hint="default" w:ascii="Times New Roman" w:hAnsi="Times New Roman" w:eastAsia="宋体" w:cs="Times New Roman"/>
                      <w:color w:val="auto"/>
                      <w:sz w:val="21"/>
                      <w:szCs w:val="21"/>
                      <w:highlight w:val="none"/>
                      <w:vertAlign w:val="superscript"/>
                      <w:lang w:val="en-US" w:eastAsia="zh-CN"/>
                    </w:rPr>
                    <w:t>2</w:t>
                  </w:r>
                </w:p>
              </w:tc>
            </w:tr>
            <w:tr w14:paraId="382EE5C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1" w:type="pct"/>
                  <w:vMerge w:val="restart"/>
                  <w:tcBorders>
                    <w:tl2br w:val="nil"/>
                    <w:tr2bl w:val="nil"/>
                  </w:tcBorders>
                  <w:noWrap w:val="0"/>
                  <w:vAlign w:val="center"/>
                </w:tcPr>
                <w:p w14:paraId="390A0773">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公用工程</w:t>
                  </w:r>
                </w:p>
              </w:tc>
              <w:tc>
                <w:tcPr>
                  <w:tcW w:w="583" w:type="pct"/>
                  <w:gridSpan w:val="2"/>
                  <w:tcBorders>
                    <w:tl2br w:val="nil"/>
                    <w:tr2bl w:val="nil"/>
                  </w:tcBorders>
                  <w:noWrap w:val="0"/>
                  <w:vAlign w:val="center"/>
                </w:tcPr>
                <w:p w14:paraId="676BD19C">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供水系统</w:t>
                  </w:r>
                </w:p>
              </w:tc>
              <w:tc>
                <w:tcPr>
                  <w:tcW w:w="2065" w:type="pct"/>
                  <w:tcBorders>
                    <w:tl2br w:val="nil"/>
                    <w:tr2bl w:val="nil"/>
                  </w:tcBorders>
                  <w:noWrap w:val="0"/>
                  <w:vAlign w:val="center"/>
                </w:tcPr>
                <w:p w14:paraId="6B9DAFE9">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市政供水</w:t>
                  </w:r>
                </w:p>
              </w:tc>
              <w:tc>
                <w:tcPr>
                  <w:tcW w:w="2060" w:type="pct"/>
                  <w:tcBorders>
                    <w:tl2br w:val="nil"/>
                    <w:tr2bl w:val="nil"/>
                  </w:tcBorders>
                  <w:noWrap w:val="0"/>
                  <w:vAlign w:val="center"/>
                </w:tcPr>
                <w:p w14:paraId="2739477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市政供水</w:t>
                  </w:r>
                </w:p>
              </w:tc>
            </w:tr>
            <w:tr w14:paraId="2184111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1" w:type="pct"/>
                  <w:vMerge w:val="continue"/>
                  <w:tcBorders>
                    <w:tl2br w:val="nil"/>
                    <w:tr2bl w:val="nil"/>
                  </w:tcBorders>
                  <w:noWrap w:val="0"/>
                  <w:vAlign w:val="center"/>
                </w:tcPr>
                <w:p w14:paraId="7F54FE7D">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p>
              </w:tc>
              <w:tc>
                <w:tcPr>
                  <w:tcW w:w="583" w:type="pct"/>
                  <w:gridSpan w:val="2"/>
                  <w:tcBorders>
                    <w:tl2br w:val="nil"/>
                    <w:tr2bl w:val="nil"/>
                  </w:tcBorders>
                  <w:noWrap w:val="0"/>
                  <w:vAlign w:val="center"/>
                </w:tcPr>
                <w:p w14:paraId="4D320041">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供电系统</w:t>
                  </w:r>
                </w:p>
              </w:tc>
              <w:tc>
                <w:tcPr>
                  <w:tcW w:w="2065" w:type="pct"/>
                  <w:tcBorders>
                    <w:tl2br w:val="nil"/>
                    <w:tr2bl w:val="nil"/>
                  </w:tcBorders>
                  <w:noWrap w:val="0"/>
                  <w:vAlign w:val="center"/>
                </w:tcPr>
                <w:p w14:paraId="781E8F44">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市政统一供电</w:t>
                  </w:r>
                </w:p>
              </w:tc>
              <w:tc>
                <w:tcPr>
                  <w:tcW w:w="2060" w:type="pct"/>
                  <w:tcBorders>
                    <w:tl2br w:val="nil"/>
                    <w:tr2bl w:val="nil"/>
                  </w:tcBorders>
                  <w:noWrap w:val="0"/>
                  <w:vAlign w:val="center"/>
                </w:tcPr>
                <w:p w14:paraId="4CAA2A91">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市政统一供电</w:t>
                  </w:r>
                </w:p>
              </w:tc>
            </w:tr>
            <w:tr w14:paraId="2F27A59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1" w:type="pct"/>
                  <w:vMerge w:val="continue"/>
                  <w:tcBorders>
                    <w:tl2br w:val="nil"/>
                    <w:tr2bl w:val="nil"/>
                  </w:tcBorders>
                  <w:noWrap w:val="0"/>
                  <w:vAlign w:val="center"/>
                </w:tcPr>
                <w:p w14:paraId="5A5219D0">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p>
              </w:tc>
              <w:tc>
                <w:tcPr>
                  <w:tcW w:w="583" w:type="pct"/>
                  <w:gridSpan w:val="2"/>
                  <w:tcBorders>
                    <w:tl2br w:val="nil"/>
                    <w:tr2bl w:val="nil"/>
                  </w:tcBorders>
                  <w:noWrap w:val="0"/>
                  <w:vAlign w:val="center"/>
                </w:tcPr>
                <w:p w14:paraId="5607CB67">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消防系统</w:t>
                  </w:r>
                </w:p>
              </w:tc>
              <w:tc>
                <w:tcPr>
                  <w:tcW w:w="2065" w:type="pct"/>
                  <w:tcBorders>
                    <w:tl2br w:val="nil"/>
                    <w:tr2bl w:val="nil"/>
                  </w:tcBorders>
                  <w:noWrap w:val="0"/>
                  <w:vAlign w:val="center"/>
                </w:tcPr>
                <w:p w14:paraId="658E17E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市政给水、室外、内消防系统</w:t>
                  </w:r>
                </w:p>
              </w:tc>
              <w:tc>
                <w:tcPr>
                  <w:tcW w:w="2060" w:type="pct"/>
                  <w:tcBorders>
                    <w:tl2br w:val="nil"/>
                    <w:tr2bl w:val="nil"/>
                  </w:tcBorders>
                  <w:noWrap w:val="0"/>
                  <w:vAlign w:val="center"/>
                </w:tcPr>
                <w:p w14:paraId="24B0C739">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市政给水、室外、内消防系统</w:t>
                  </w:r>
                </w:p>
              </w:tc>
            </w:tr>
            <w:tr w14:paraId="4FD1DFA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1" w:type="pct"/>
                  <w:vMerge w:val="restart"/>
                  <w:tcBorders>
                    <w:tl2br w:val="nil"/>
                    <w:tr2bl w:val="nil"/>
                  </w:tcBorders>
                  <w:noWrap w:val="0"/>
                  <w:vAlign w:val="center"/>
                </w:tcPr>
                <w:p w14:paraId="6774FCEB">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环保工程</w:t>
                  </w:r>
                </w:p>
              </w:tc>
              <w:tc>
                <w:tcPr>
                  <w:tcW w:w="252" w:type="pct"/>
                  <w:tcBorders>
                    <w:tl2br w:val="nil"/>
                    <w:tr2bl w:val="nil"/>
                  </w:tcBorders>
                  <w:noWrap w:val="0"/>
                  <w:vAlign w:val="center"/>
                </w:tcPr>
                <w:p w14:paraId="740D0BD8">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废水</w:t>
                  </w:r>
                </w:p>
              </w:tc>
              <w:tc>
                <w:tcPr>
                  <w:tcW w:w="330" w:type="pct"/>
                  <w:tcBorders>
                    <w:tl2br w:val="nil"/>
                    <w:tr2bl w:val="nil"/>
                  </w:tcBorders>
                  <w:noWrap w:val="0"/>
                  <w:vAlign w:val="center"/>
                </w:tcPr>
                <w:p w14:paraId="66303C24">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生活污水</w:t>
                  </w:r>
                </w:p>
              </w:tc>
              <w:tc>
                <w:tcPr>
                  <w:tcW w:w="2065" w:type="pct"/>
                  <w:tcBorders>
                    <w:tl2br w:val="nil"/>
                    <w:tr2bl w:val="nil"/>
                  </w:tcBorders>
                  <w:noWrap w:val="0"/>
                  <w:vAlign w:val="center"/>
                </w:tcPr>
                <w:p w14:paraId="4F9CFB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雨污分流。生活污水经三级化粪池预处理后，排入市政污水管网进入博罗县城污水处理厂进行深度处理</w:t>
                  </w:r>
                </w:p>
              </w:tc>
              <w:tc>
                <w:tcPr>
                  <w:tcW w:w="2060" w:type="pct"/>
                  <w:tcBorders>
                    <w:tl2br w:val="nil"/>
                    <w:tr2bl w:val="nil"/>
                  </w:tcBorders>
                  <w:noWrap w:val="0"/>
                  <w:vAlign w:val="center"/>
                </w:tcPr>
                <w:p w14:paraId="2E6437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雨污分流。生活污水经三级化粪池预处理后，排入市政污水管网进入博罗县城污水处理厂进行深度处理</w:t>
                  </w:r>
                </w:p>
              </w:tc>
            </w:tr>
            <w:tr w14:paraId="52E6EB2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1" w:type="pct"/>
                  <w:vMerge w:val="continue"/>
                  <w:tcBorders>
                    <w:tl2br w:val="nil"/>
                    <w:tr2bl w:val="nil"/>
                  </w:tcBorders>
                  <w:noWrap w:val="0"/>
                  <w:vAlign w:val="center"/>
                </w:tcPr>
                <w:p w14:paraId="7B595203">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p>
              </w:tc>
              <w:tc>
                <w:tcPr>
                  <w:tcW w:w="252" w:type="pct"/>
                  <w:vMerge w:val="restart"/>
                  <w:tcBorders>
                    <w:tl2br w:val="nil"/>
                    <w:tr2bl w:val="nil"/>
                  </w:tcBorders>
                  <w:noWrap w:val="0"/>
                  <w:vAlign w:val="center"/>
                </w:tcPr>
                <w:p w14:paraId="45275246">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p>
              </w:tc>
              <w:tc>
                <w:tcPr>
                  <w:tcW w:w="330" w:type="pct"/>
                  <w:tcBorders>
                    <w:tl2br w:val="nil"/>
                    <w:tr2bl w:val="nil"/>
                  </w:tcBorders>
                  <w:noWrap w:val="0"/>
                  <w:vAlign w:val="center"/>
                </w:tcPr>
                <w:p w14:paraId="3DC39930">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吸塑成型工序</w:t>
                  </w:r>
                </w:p>
              </w:tc>
              <w:tc>
                <w:tcPr>
                  <w:tcW w:w="2065" w:type="pct"/>
                  <w:tcBorders>
                    <w:tl2br w:val="nil"/>
                    <w:tr2bl w:val="nil"/>
                  </w:tcBorders>
                  <w:noWrap w:val="0"/>
                  <w:vAlign w:val="center"/>
                </w:tcPr>
                <w:p w14:paraId="6629BB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产生的废气经集气罩收集后经</w:t>
                  </w:r>
                  <w:r>
                    <w:rPr>
                      <w:rFonts w:hint="eastAsia" w:ascii="宋体" w:hAnsi="宋体" w:eastAsia="宋体" w:cs="宋体"/>
                      <w:color w:val="auto"/>
                      <w:highlight w:val="none"/>
                      <w:vertAlign w:val="baseline"/>
                      <w:lang w:val="en-US" w:eastAsia="zh-CN"/>
                    </w:rPr>
                    <w:t>“活性炭吸附”</w:t>
                  </w:r>
                  <w:r>
                    <w:rPr>
                      <w:rFonts w:hint="default" w:ascii="Times New Roman" w:hAnsi="Times New Roman" w:eastAsia="宋体" w:cs="Times New Roman"/>
                      <w:color w:val="auto"/>
                      <w:highlight w:val="none"/>
                      <w:vertAlign w:val="baseline"/>
                      <w:lang w:val="en-US" w:eastAsia="zh-CN"/>
                    </w:rPr>
                    <w:t>处理后由1根15m高排气筒高空排放</w:t>
                  </w:r>
                </w:p>
              </w:tc>
              <w:tc>
                <w:tcPr>
                  <w:tcW w:w="2060" w:type="pct"/>
                  <w:vMerge w:val="restart"/>
                  <w:tcBorders>
                    <w:tl2br w:val="nil"/>
                    <w:tr2bl w:val="nil"/>
                  </w:tcBorders>
                  <w:noWrap w:val="0"/>
                  <w:vAlign w:val="center"/>
                </w:tcPr>
                <w:p w14:paraId="04FFFB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产生的废气经集气罩收集</w:t>
                  </w:r>
                  <w:r>
                    <w:rPr>
                      <w:rFonts w:hint="eastAsia" w:ascii="宋体" w:hAnsi="宋体" w:eastAsia="宋体" w:cs="宋体"/>
                      <w:color w:val="auto"/>
                      <w:highlight w:val="none"/>
                      <w:vertAlign w:val="baseline"/>
                      <w:lang w:val="en-US" w:eastAsia="zh-CN"/>
                    </w:rPr>
                    <w:t>后经“</w:t>
                  </w:r>
                  <w:r>
                    <w:rPr>
                      <w:rFonts w:hint="eastAsia" w:ascii="宋体" w:hAnsi="宋体" w:cs="宋体"/>
                      <w:color w:val="auto"/>
                      <w:highlight w:val="none"/>
                      <w:vertAlign w:val="baseline"/>
                      <w:lang w:val="en-US" w:eastAsia="zh-CN"/>
                    </w:rPr>
                    <w:t>空气冷却器+</w:t>
                  </w:r>
                  <w:r>
                    <w:rPr>
                      <w:rFonts w:hint="eastAsia" w:ascii="宋体" w:hAnsi="宋体" w:eastAsia="宋体" w:cs="宋体"/>
                      <w:color w:val="auto"/>
                      <w:highlight w:val="none"/>
                      <w:vertAlign w:val="baseline"/>
                      <w:lang w:val="en-US" w:eastAsia="zh-CN"/>
                    </w:rPr>
                    <w:t>两级活性炭吸附”处</w:t>
                  </w:r>
                  <w:r>
                    <w:rPr>
                      <w:rFonts w:hint="default" w:ascii="Times New Roman" w:hAnsi="Times New Roman" w:eastAsia="宋体" w:cs="Times New Roman"/>
                      <w:color w:val="auto"/>
                      <w:highlight w:val="none"/>
                      <w:vertAlign w:val="baseline"/>
                      <w:lang w:val="en-US" w:eastAsia="zh-CN"/>
                    </w:rPr>
                    <w:t>理后由1根</w:t>
                  </w:r>
                  <w:r>
                    <w:rPr>
                      <w:rFonts w:hint="eastAsia" w:ascii="Times New Roman" w:hAnsi="Times New Roman" w:cs="Times New Roman"/>
                      <w:color w:val="auto"/>
                      <w:highlight w:val="none"/>
                      <w:vertAlign w:val="baseline"/>
                      <w:lang w:val="en-US" w:eastAsia="zh-CN"/>
                    </w:rPr>
                    <w:t>46</w:t>
                  </w:r>
                  <w:r>
                    <w:rPr>
                      <w:rFonts w:hint="default" w:ascii="Times New Roman" w:hAnsi="Times New Roman" w:eastAsia="宋体" w:cs="Times New Roman"/>
                      <w:color w:val="auto"/>
                      <w:highlight w:val="none"/>
                      <w:vertAlign w:val="baseline"/>
                      <w:lang w:val="en-US" w:eastAsia="zh-CN"/>
                    </w:rPr>
                    <w:t>m高排气筒高空排放</w:t>
                  </w:r>
                </w:p>
              </w:tc>
            </w:tr>
            <w:tr w14:paraId="53F5D99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91" w:type="pct"/>
                  <w:vMerge w:val="continue"/>
                  <w:tcBorders>
                    <w:tl2br w:val="nil"/>
                    <w:tr2bl w:val="nil"/>
                  </w:tcBorders>
                  <w:noWrap w:val="0"/>
                  <w:vAlign w:val="center"/>
                </w:tcPr>
                <w:p w14:paraId="50417208">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p>
              </w:tc>
              <w:tc>
                <w:tcPr>
                  <w:tcW w:w="252" w:type="pct"/>
                  <w:vMerge w:val="continue"/>
                  <w:tcBorders>
                    <w:tl2br w:val="nil"/>
                    <w:tr2bl w:val="nil"/>
                  </w:tcBorders>
                  <w:noWrap w:val="0"/>
                  <w:vAlign w:val="center"/>
                </w:tcPr>
                <w:p w14:paraId="04879A2D">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p>
              </w:tc>
              <w:tc>
                <w:tcPr>
                  <w:tcW w:w="330" w:type="pct"/>
                  <w:tcBorders>
                    <w:tl2br w:val="nil"/>
                    <w:tr2bl w:val="nil"/>
                  </w:tcBorders>
                  <w:noWrap w:val="0"/>
                  <w:vAlign w:val="center"/>
                </w:tcPr>
                <w:p w14:paraId="167AB438">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印刷工序</w:t>
                  </w:r>
                </w:p>
              </w:tc>
              <w:tc>
                <w:tcPr>
                  <w:tcW w:w="2065" w:type="pct"/>
                  <w:tcBorders>
                    <w:tl2br w:val="nil"/>
                    <w:tr2bl w:val="nil"/>
                  </w:tcBorders>
                  <w:noWrap w:val="0"/>
                  <w:vAlign w:val="center"/>
                </w:tcPr>
                <w:p w14:paraId="5E6216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产生的废气经集气罩收集后</w:t>
                  </w:r>
                  <w:r>
                    <w:rPr>
                      <w:rFonts w:hint="eastAsia" w:ascii="宋体" w:hAnsi="宋体" w:eastAsia="宋体" w:cs="宋体"/>
                      <w:color w:val="auto"/>
                      <w:highlight w:val="none"/>
                      <w:vertAlign w:val="baseline"/>
                      <w:lang w:val="en-US" w:eastAsia="zh-CN"/>
                    </w:rPr>
                    <w:t>经“活性炭吸附”处</w:t>
                  </w:r>
                  <w:r>
                    <w:rPr>
                      <w:rFonts w:hint="default" w:ascii="Times New Roman" w:hAnsi="Times New Roman" w:eastAsia="宋体" w:cs="Times New Roman"/>
                      <w:color w:val="auto"/>
                      <w:highlight w:val="none"/>
                      <w:vertAlign w:val="baseline"/>
                      <w:lang w:val="en-US" w:eastAsia="zh-CN"/>
                    </w:rPr>
                    <w:t>理后由1根15m高排气筒高空排放</w:t>
                  </w:r>
                </w:p>
              </w:tc>
              <w:tc>
                <w:tcPr>
                  <w:tcW w:w="2060" w:type="pct"/>
                  <w:vMerge w:val="continue"/>
                  <w:tcBorders>
                    <w:tl2br w:val="nil"/>
                    <w:tr2bl w:val="nil"/>
                  </w:tcBorders>
                  <w:noWrap w:val="0"/>
                  <w:vAlign w:val="center"/>
                </w:tcPr>
                <w:p w14:paraId="08170C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p>
              </w:tc>
            </w:tr>
            <w:tr w14:paraId="1644507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1" w:type="pct"/>
                  <w:vMerge w:val="continue"/>
                  <w:tcBorders>
                    <w:tl2br w:val="nil"/>
                    <w:tr2bl w:val="nil"/>
                  </w:tcBorders>
                  <w:noWrap w:val="0"/>
                  <w:vAlign w:val="center"/>
                </w:tcPr>
                <w:p w14:paraId="57E356C5">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p>
              </w:tc>
              <w:tc>
                <w:tcPr>
                  <w:tcW w:w="583" w:type="pct"/>
                  <w:gridSpan w:val="2"/>
                  <w:tcBorders>
                    <w:tl2br w:val="nil"/>
                    <w:tr2bl w:val="nil"/>
                  </w:tcBorders>
                  <w:noWrap w:val="0"/>
                  <w:vAlign w:val="center"/>
                </w:tcPr>
                <w:p w14:paraId="1D62A537">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噪声</w:t>
                  </w:r>
                </w:p>
              </w:tc>
              <w:tc>
                <w:tcPr>
                  <w:tcW w:w="2065" w:type="pct"/>
                  <w:tcBorders>
                    <w:tl2br w:val="nil"/>
                    <w:tr2bl w:val="nil"/>
                  </w:tcBorders>
                  <w:noWrap w:val="0"/>
                  <w:vAlign w:val="center"/>
                </w:tcPr>
                <w:p w14:paraId="5ADF43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基础减振、厂房隔声</w:t>
                  </w:r>
                </w:p>
              </w:tc>
              <w:tc>
                <w:tcPr>
                  <w:tcW w:w="2060" w:type="pct"/>
                  <w:tcBorders>
                    <w:tl2br w:val="nil"/>
                    <w:tr2bl w:val="nil"/>
                  </w:tcBorders>
                  <w:noWrap w:val="0"/>
                  <w:vAlign w:val="center"/>
                </w:tcPr>
                <w:p w14:paraId="542987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合理布局，采取消声、隔声、减振等降噪措施</w:t>
                  </w:r>
                </w:p>
              </w:tc>
            </w:tr>
            <w:tr w14:paraId="12DB13C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1" w:type="pct"/>
                  <w:vMerge w:val="continue"/>
                  <w:tcBorders>
                    <w:tl2br w:val="nil"/>
                    <w:tr2bl w:val="nil"/>
                  </w:tcBorders>
                  <w:noWrap w:val="0"/>
                  <w:vAlign w:val="center"/>
                </w:tcPr>
                <w:p w14:paraId="333149D0">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p>
              </w:tc>
              <w:tc>
                <w:tcPr>
                  <w:tcW w:w="583" w:type="pct"/>
                  <w:gridSpan w:val="2"/>
                  <w:vMerge w:val="restart"/>
                  <w:tcBorders>
                    <w:tl2br w:val="nil"/>
                    <w:tr2bl w:val="nil"/>
                  </w:tcBorders>
                  <w:noWrap w:val="0"/>
                  <w:vAlign w:val="center"/>
                </w:tcPr>
                <w:p w14:paraId="528116B9">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固废</w:t>
                  </w:r>
                </w:p>
              </w:tc>
              <w:tc>
                <w:tcPr>
                  <w:tcW w:w="2065" w:type="pct"/>
                  <w:tcBorders>
                    <w:tl2br w:val="nil"/>
                    <w:tr2bl w:val="nil"/>
                  </w:tcBorders>
                  <w:noWrap w:val="0"/>
                  <w:vAlign w:val="center"/>
                </w:tcPr>
                <w:p w14:paraId="41B4BC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在纸箱加工车间西面设置1个危废暂存间（建筑面积25m</w:t>
                  </w:r>
                  <w:r>
                    <w:rPr>
                      <w:rFonts w:hint="default" w:ascii="Times New Roman" w:hAnsi="Times New Roman" w:eastAsia="宋体" w:cs="Times New Roman"/>
                      <w:color w:val="auto"/>
                      <w:highlight w:val="none"/>
                      <w:vertAlign w:val="superscript"/>
                      <w:lang w:val="en-US" w:eastAsia="zh-CN"/>
                    </w:rPr>
                    <w:t>2</w:t>
                  </w:r>
                  <w:r>
                    <w:rPr>
                      <w:rFonts w:hint="default" w:ascii="Times New Roman" w:hAnsi="Times New Roman" w:eastAsia="宋体" w:cs="Times New Roman"/>
                      <w:color w:val="auto"/>
                      <w:highlight w:val="none"/>
                      <w:vertAlign w:val="baseline"/>
                      <w:lang w:val="en-US" w:eastAsia="zh-CN"/>
                    </w:rPr>
                    <w:t>），各类危险废物收集后暂存于危废暂存间，定期交由有危险废物处理资质单位处置</w:t>
                  </w:r>
                </w:p>
              </w:tc>
              <w:tc>
                <w:tcPr>
                  <w:tcW w:w="2060" w:type="pct"/>
                  <w:tcBorders>
                    <w:tl2br w:val="nil"/>
                    <w:tr2bl w:val="nil"/>
                  </w:tcBorders>
                  <w:noWrap w:val="0"/>
                  <w:vAlign w:val="center"/>
                </w:tcPr>
                <w:p w14:paraId="54530B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在吸塑加工车间北面设置1个危废暂存间（建筑面积25m</w:t>
                  </w:r>
                  <w:r>
                    <w:rPr>
                      <w:rFonts w:hint="default" w:ascii="Times New Roman" w:hAnsi="Times New Roman" w:eastAsia="宋体" w:cs="Times New Roman"/>
                      <w:color w:val="auto"/>
                      <w:highlight w:val="none"/>
                      <w:vertAlign w:val="superscript"/>
                      <w:lang w:val="en-US" w:eastAsia="zh-CN"/>
                    </w:rPr>
                    <w:t>2</w:t>
                  </w:r>
                  <w:r>
                    <w:rPr>
                      <w:rFonts w:hint="default" w:ascii="Times New Roman" w:hAnsi="Times New Roman" w:eastAsia="宋体" w:cs="Times New Roman"/>
                      <w:color w:val="auto"/>
                      <w:highlight w:val="none"/>
                      <w:vertAlign w:val="baseline"/>
                      <w:lang w:val="en-US" w:eastAsia="zh-CN"/>
                    </w:rPr>
                    <w:t>），各类危险废物收集后暂存于危废暂存间，定期交由有危险废物处理资质单位处置</w:t>
                  </w:r>
                </w:p>
              </w:tc>
            </w:tr>
            <w:tr w14:paraId="7EAEE09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1" w:type="pct"/>
                  <w:vMerge w:val="continue"/>
                  <w:tcBorders>
                    <w:tl2br w:val="nil"/>
                    <w:tr2bl w:val="nil"/>
                  </w:tcBorders>
                  <w:noWrap w:val="0"/>
                  <w:vAlign w:val="center"/>
                </w:tcPr>
                <w:p w14:paraId="4659BEFA">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p>
              </w:tc>
              <w:tc>
                <w:tcPr>
                  <w:tcW w:w="583" w:type="pct"/>
                  <w:gridSpan w:val="2"/>
                  <w:vMerge w:val="continue"/>
                  <w:tcBorders>
                    <w:tl2br w:val="nil"/>
                    <w:tr2bl w:val="nil"/>
                  </w:tcBorders>
                  <w:noWrap w:val="0"/>
                  <w:vAlign w:val="center"/>
                </w:tcPr>
                <w:p w14:paraId="6E50053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p>
              </w:tc>
              <w:tc>
                <w:tcPr>
                  <w:tcW w:w="2065" w:type="pct"/>
                  <w:tcBorders>
                    <w:tl2br w:val="nil"/>
                    <w:tr2bl w:val="nil"/>
                  </w:tcBorders>
                  <w:noWrap w:val="0"/>
                  <w:vAlign w:val="center"/>
                </w:tcPr>
                <w:p w14:paraId="68424A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在纸箱加工车间北面设置1个一般固体废物暂存间（建筑面积25m</w:t>
                  </w:r>
                  <w:r>
                    <w:rPr>
                      <w:rFonts w:hint="default" w:ascii="Times New Roman" w:hAnsi="Times New Roman" w:eastAsia="宋体" w:cs="Times New Roman"/>
                      <w:color w:val="auto"/>
                      <w:highlight w:val="none"/>
                      <w:vertAlign w:val="superscript"/>
                      <w:lang w:val="en-US" w:eastAsia="zh-CN"/>
                    </w:rPr>
                    <w:t>2</w:t>
                  </w:r>
                  <w:r>
                    <w:rPr>
                      <w:rFonts w:hint="default" w:ascii="Times New Roman" w:hAnsi="Times New Roman" w:eastAsia="宋体" w:cs="Times New Roman"/>
                      <w:color w:val="auto"/>
                      <w:highlight w:val="none"/>
                      <w:vertAlign w:val="baseline"/>
                      <w:lang w:val="en-US" w:eastAsia="zh-CN"/>
                    </w:rPr>
                    <w:t>），一般固体废物收集后交由专业回收公司回收处理</w:t>
                  </w:r>
                </w:p>
              </w:tc>
              <w:tc>
                <w:tcPr>
                  <w:tcW w:w="2060" w:type="pct"/>
                  <w:tcBorders>
                    <w:tl2br w:val="nil"/>
                    <w:tr2bl w:val="nil"/>
                  </w:tcBorders>
                  <w:noWrap w:val="0"/>
                  <w:vAlign w:val="center"/>
                </w:tcPr>
                <w:p w14:paraId="2C94C7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在吸塑加工车间北面设置1个一般固体废物暂存间（建筑面积25m</w:t>
                  </w:r>
                  <w:r>
                    <w:rPr>
                      <w:rFonts w:hint="default" w:ascii="Times New Roman" w:hAnsi="Times New Roman" w:eastAsia="宋体" w:cs="Times New Roman"/>
                      <w:color w:val="auto"/>
                      <w:highlight w:val="none"/>
                      <w:vertAlign w:val="superscript"/>
                      <w:lang w:val="en-US" w:eastAsia="zh-CN"/>
                    </w:rPr>
                    <w:t>2</w:t>
                  </w:r>
                  <w:r>
                    <w:rPr>
                      <w:rFonts w:hint="default" w:ascii="Times New Roman" w:hAnsi="Times New Roman" w:eastAsia="宋体" w:cs="Times New Roman"/>
                      <w:color w:val="auto"/>
                      <w:highlight w:val="none"/>
                      <w:vertAlign w:val="baseline"/>
                      <w:lang w:val="en-US" w:eastAsia="zh-CN"/>
                    </w:rPr>
                    <w:t>），一般固体废物收集后交由专业回收公司回收处理</w:t>
                  </w:r>
                </w:p>
              </w:tc>
            </w:tr>
            <w:tr w14:paraId="1F3EA6B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1" w:type="pct"/>
                  <w:vMerge w:val="continue"/>
                  <w:tcBorders>
                    <w:tl2br w:val="nil"/>
                    <w:tr2bl w:val="nil"/>
                  </w:tcBorders>
                  <w:noWrap w:val="0"/>
                  <w:vAlign w:val="center"/>
                </w:tcPr>
                <w:p w14:paraId="7F27930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p>
              </w:tc>
              <w:tc>
                <w:tcPr>
                  <w:tcW w:w="583" w:type="pct"/>
                  <w:gridSpan w:val="2"/>
                  <w:tcBorders>
                    <w:tl2br w:val="nil"/>
                    <w:tr2bl w:val="nil"/>
                  </w:tcBorders>
                  <w:noWrap w:val="0"/>
                  <w:vAlign w:val="center"/>
                </w:tcPr>
                <w:p w14:paraId="44C1BBE3">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生活垃圾</w:t>
                  </w:r>
                </w:p>
              </w:tc>
              <w:tc>
                <w:tcPr>
                  <w:tcW w:w="2065" w:type="pct"/>
                  <w:tcBorders>
                    <w:tl2br w:val="nil"/>
                    <w:tr2bl w:val="nil"/>
                  </w:tcBorders>
                  <w:noWrap w:val="0"/>
                  <w:vAlign w:val="center"/>
                </w:tcPr>
                <w:p w14:paraId="4016CD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员工生活垃圾收集后由环卫部门进行清运</w:t>
                  </w:r>
                </w:p>
              </w:tc>
              <w:tc>
                <w:tcPr>
                  <w:tcW w:w="2060" w:type="pct"/>
                  <w:tcBorders>
                    <w:tl2br w:val="nil"/>
                    <w:tr2bl w:val="nil"/>
                  </w:tcBorders>
                  <w:noWrap w:val="0"/>
                  <w:vAlign w:val="center"/>
                </w:tcPr>
                <w:p w14:paraId="0CC460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员工生活垃圾收集后由环卫部门进行清运</w:t>
                  </w:r>
                </w:p>
              </w:tc>
            </w:tr>
            <w:tr w14:paraId="6565027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1" w:type="pct"/>
                  <w:tcBorders>
                    <w:tl2br w:val="nil"/>
                    <w:tr2bl w:val="nil"/>
                  </w:tcBorders>
                  <w:noWrap w:val="0"/>
                  <w:vAlign w:val="center"/>
                </w:tcPr>
                <w:p w14:paraId="7B5F82E7">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依托工程</w:t>
                  </w:r>
                </w:p>
              </w:tc>
              <w:tc>
                <w:tcPr>
                  <w:tcW w:w="583" w:type="pct"/>
                  <w:gridSpan w:val="2"/>
                  <w:tcBorders>
                    <w:tl2br w:val="nil"/>
                    <w:tr2bl w:val="nil"/>
                  </w:tcBorders>
                  <w:noWrap w:val="0"/>
                  <w:vAlign w:val="center"/>
                </w:tcPr>
                <w:p w14:paraId="48CB7C8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污水处理厂</w:t>
                  </w:r>
                </w:p>
              </w:tc>
              <w:tc>
                <w:tcPr>
                  <w:tcW w:w="2065" w:type="pct"/>
                  <w:tcBorders>
                    <w:tl2br w:val="nil"/>
                    <w:tr2bl w:val="nil"/>
                  </w:tcBorders>
                  <w:noWrap w:val="0"/>
                  <w:vAlign w:val="center"/>
                </w:tcPr>
                <w:p w14:paraId="30447E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依托博罗县城污水处理厂</w:t>
                  </w:r>
                </w:p>
              </w:tc>
              <w:tc>
                <w:tcPr>
                  <w:tcW w:w="2060" w:type="pct"/>
                  <w:tcBorders>
                    <w:tl2br w:val="nil"/>
                    <w:tr2bl w:val="nil"/>
                  </w:tcBorders>
                  <w:noWrap w:val="0"/>
                  <w:vAlign w:val="center"/>
                </w:tcPr>
                <w:p w14:paraId="4AD739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依托博罗县城污水处理厂</w:t>
                  </w:r>
                </w:p>
              </w:tc>
            </w:tr>
          </w:tbl>
          <w:p w14:paraId="30D60B3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157" w:beforeLines="50" w:beforeAutospacing="0" w:after="0" w:afterAutospacing="0" w:line="360" w:lineRule="auto"/>
              <w:ind w:left="420" w:leftChars="200" w:right="0"/>
              <w:jc w:val="left"/>
              <w:textAlignment w:val="auto"/>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3、主要产品及产能</w:t>
            </w:r>
          </w:p>
          <w:p w14:paraId="785C28F1">
            <w:pPr>
              <w:keepNext w:val="0"/>
              <w:keepLines w:val="0"/>
              <w:suppressLineNumbers w:val="0"/>
              <w:adjustRightInd w:val="0"/>
              <w:snapToGrid w:val="0"/>
              <w:spacing w:before="0" w:beforeAutospacing="0" w:after="0" w:afterAutospacing="0" w:line="360" w:lineRule="auto"/>
              <w:ind w:left="0" w:right="0" w:firstLine="420" w:firstLineChars="200"/>
              <w:jc w:val="left"/>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根据建设单位提供的资料，本项目产品方案如下表所示。</w:t>
            </w:r>
          </w:p>
          <w:p w14:paraId="6CFF29C9">
            <w:pPr>
              <w:keepNext w:val="0"/>
              <w:keepLines w:val="0"/>
              <w:widowControl/>
              <w:numPr>
                <w:ilvl w:val="0"/>
                <w:numId w:val="4"/>
              </w:numPr>
              <w:suppressLineNumbers w:val="0"/>
              <w:adjustRightInd w:val="0"/>
              <w:spacing w:before="0" w:beforeAutospacing="0" w:after="0" w:afterAutospacing="0" w:line="360" w:lineRule="auto"/>
              <w:ind w:right="0"/>
              <w:jc w:val="center"/>
              <w:textAlignment w:val="baseline"/>
              <w:rPr>
                <w:rFonts w:hint="default" w:ascii="Times New Roman" w:hAnsi="Times New Roman" w:eastAsia="宋体" w:cs="Times New Roman"/>
                <w:b/>
                <w:color w:val="auto"/>
                <w:highlight w:val="none"/>
                <w:lang w:val="en-US" w:eastAsia="zh-CN"/>
              </w:rPr>
            </w:pPr>
            <w:r>
              <w:rPr>
                <w:rFonts w:hint="default" w:ascii="Times New Roman" w:hAnsi="Times New Roman" w:eastAsia="宋体" w:cs="Times New Roman"/>
                <w:b/>
                <w:color w:val="auto"/>
                <w:highlight w:val="none"/>
                <w:lang w:val="en-US" w:eastAsia="zh-CN"/>
              </w:rPr>
              <w:t>迁改扩建项目产品方案</w:t>
            </w:r>
          </w:p>
          <w:tbl>
            <w:tblPr>
              <w:tblStyle w:val="42"/>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8"/>
              <w:gridCol w:w="642"/>
              <w:gridCol w:w="4023"/>
              <w:gridCol w:w="1160"/>
              <w:gridCol w:w="1200"/>
              <w:gridCol w:w="1119"/>
            </w:tblGrid>
            <w:tr w14:paraId="58BE04D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288" w:type="pct"/>
                  <w:tcBorders>
                    <w:tl2br w:val="nil"/>
                    <w:tr2bl w:val="nil"/>
                  </w:tcBorders>
                  <w:noWrap w:val="0"/>
                  <w:vAlign w:val="center"/>
                </w:tcPr>
                <w:p w14:paraId="180E9DCD">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序号</w:t>
                  </w:r>
                </w:p>
              </w:tc>
              <w:tc>
                <w:tcPr>
                  <w:tcW w:w="371" w:type="pct"/>
                  <w:tcBorders>
                    <w:tl2br w:val="nil"/>
                    <w:tr2bl w:val="nil"/>
                  </w:tcBorders>
                  <w:noWrap w:val="0"/>
                  <w:vAlign w:val="center"/>
                </w:tcPr>
                <w:p w14:paraId="771A98E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产品名称</w:t>
                  </w:r>
                </w:p>
              </w:tc>
              <w:tc>
                <w:tcPr>
                  <w:tcW w:w="2326" w:type="pct"/>
                  <w:tcBorders>
                    <w:tl2br w:val="nil"/>
                    <w:tr2bl w:val="nil"/>
                  </w:tcBorders>
                  <w:noWrap w:val="0"/>
                  <w:vAlign w:val="center"/>
                </w:tcPr>
                <w:p w14:paraId="7E4391D6">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产品规格</w:t>
                  </w:r>
                </w:p>
              </w:tc>
              <w:tc>
                <w:tcPr>
                  <w:tcW w:w="671" w:type="pct"/>
                  <w:tcBorders>
                    <w:tl2br w:val="nil"/>
                    <w:tr2bl w:val="nil"/>
                  </w:tcBorders>
                  <w:noWrap w:val="0"/>
                  <w:vAlign w:val="center"/>
                </w:tcPr>
                <w:p w14:paraId="15966695">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年产量（万个/a）</w:t>
                  </w:r>
                </w:p>
              </w:tc>
              <w:tc>
                <w:tcPr>
                  <w:tcW w:w="694" w:type="pct"/>
                  <w:tcBorders>
                    <w:tl2br w:val="nil"/>
                    <w:tr2bl w:val="nil"/>
                  </w:tcBorders>
                  <w:noWrap w:val="0"/>
                  <w:vAlign w:val="center"/>
                </w:tcPr>
                <w:p w14:paraId="7F6EAD9D">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单个产品重量</w:t>
                  </w:r>
                </w:p>
              </w:tc>
              <w:tc>
                <w:tcPr>
                  <w:tcW w:w="647" w:type="pct"/>
                  <w:tcBorders>
                    <w:tl2br w:val="nil"/>
                    <w:tr2bl w:val="nil"/>
                  </w:tcBorders>
                  <w:noWrap w:val="0"/>
                  <w:vAlign w:val="center"/>
                </w:tcPr>
                <w:p w14:paraId="35EFCB8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年产量（t/a）</w:t>
                  </w:r>
                </w:p>
              </w:tc>
            </w:tr>
            <w:tr w14:paraId="00A58A7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8" w:type="pct"/>
                  <w:vMerge w:val="restart"/>
                  <w:tcBorders>
                    <w:tl2br w:val="nil"/>
                    <w:tr2bl w:val="nil"/>
                  </w:tcBorders>
                  <w:noWrap w:val="0"/>
                  <w:vAlign w:val="center"/>
                </w:tcPr>
                <w:p w14:paraId="2ABDF6EA">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1</w:t>
                  </w:r>
                </w:p>
              </w:tc>
              <w:tc>
                <w:tcPr>
                  <w:tcW w:w="371" w:type="pct"/>
                  <w:vMerge w:val="restart"/>
                  <w:tcBorders>
                    <w:tl2br w:val="nil"/>
                    <w:tr2bl w:val="nil"/>
                  </w:tcBorders>
                  <w:noWrap w:val="0"/>
                  <w:vAlign w:val="center"/>
                </w:tcPr>
                <w:p w14:paraId="3D67FCEC">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吸塑制品</w:t>
                  </w:r>
                </w:p>
              </w:tc>
              <w:tc>
                <w:tcPr>
                  <w:tcW w:w="2326" w:type="pct"/>
                  <w:tcBorders>
                    <w:tl2br w:val="nil"/>
                    <w:tr2bl w:val="nil"/>
                  </w:tcBorders>
                  <w:noWrap w:val="0"/>
                  <w:vAlign w:val="center"/>
                </w:tcPr>
                <w:p w14:paraId="05C9F08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drawing>
                      <wp:inline distT="0" distB="0" distL="114300" distR="114300">
                        <wp:extent cx="884555" cy="662940"/>
                        <wp:effectExtent l="0" t="0" r="14605" b="7620"/>
                        <wp:docPr id="208" name="图片 251" descr="塑料托盘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片 251" descr="塑料托盘2"/>
                                <pic:cNvPicPr>
                                  <a:picLocks noChangeAspect="1"/>
                                </pic:cNvPicPr>
                              </pic:nvPicPr>
                              <pic:blipFill>
                                <a:blip r:embed="rId9"/>
                                <a:stretch>
                                  <a:fillRect/>
                                </a:stretch>
                              </pic:blipFill>
                              <pic:spPr>
                                <a:xfrm>
                                  <a:off x="0" y="0"/>
                                  <a:ext cx="884555" cy="662940"/>
                                </a:xfrm>
                                <a:prstGeom prst="rect">
                                  <a:avLst/>
                                </a:prstGeom>
                                <a:noFill/>
                                <a:ln>
                                  <a:noFill/>
                                </a:ln>
                              </pic:spPr>
                            </pic:pic>
                          </a:graphicData>
                        </a:graphic>
                      </wp:inline>
                    </w:drawing>
                  </w:r>
                </w:p>
                <w:p w14:paraId="279B059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vertAlign w:val="baseline"/>
                      <w:lang w:val="en-US" w:eastAsia="zh-CN"/>
                    </w:rPr>
                    <w:t>L30×W23</w:t>
                  </w:r>
                  <w:r>
                    <w:rPr>
                      <w:rFonts w:hint="default" w:ascii="Times New Roman" w:hAnsi="Times New Roman" w:eastAsia="宋体" w:cs="Times New Roman"/>
                      <w:color w:val="auto"/>
                      <w:highlight w:val="none"/>
                      <w:lang w:val="en-US" w:eastAsia="zh-CN"/>
                    </w:rPr>
                    <w:t>×H2.5</w:t>
                  </w:r>
                  <w:r>
                    <w:rPr>
                      <w:rFonts w:hint="default" w:ascii="Times New Roman" w:hAnsi="Times New Roman" w:eastAsia="宋体" w:cs="Times New Roman"/>
                      <w:color w:val="auto"/>
                      <w:highlight w:val="none"/>
                      <w:vertAlign w:val="baseline"/>
                      <w:lang w:val="en-US" w:eastAsia="zh-CN"/>
                    </w:rPr>
                    <w:t>（cm）</w:t>
                  </w:r>
                </w:p>
              </w:tc>
              <w:tc>
                <w:tcPr>
                  <w:tcW w:w="671" w:type="pct"/>
                  <w:tcBorders>
                    <w:tl2br w:val="nil"/>
                    <w:tr2bl w:val="nil"/>
                  </w:tcBorders>
                  <w:noWrap w:val="0"/>
                  <w:vAlign w:val="center"/>
                </w:tcPr>
                <w:p w14:paraId="2E047311">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80</w:t>
                  </w:r>
                </w:p>
              </w:tc>
              <w:tc>
                <w:tcPr>
                  <w:tcW w:w="694" w:type="pct"/>
                  <w:tcBorders>
                    <w:tl2br w:val="nil"/>
                    <w:tr2bl w:val="nil"/>
                  </w:tcBorders>
                  <w:noWrap w:val="0"/>
                  <w:vAlign w:val="center"/>
                </w:tcPr>
                <w:p w14:paraId="363249CB">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85g</w:t>
                  </w:r>
                </w:p>
              </w:tc>
              <w:tc>
                <w:tcPr>
                  <w:tcW w:w="647" w:type="pct"/>
                  <w:vMerge w:val="restart"/>
                  <w:tcBorders>
                    <w:tl2br w:val="nil"/>
                    <w:tr2bl w:val="nil"/>
                  </w:tcBorders>
                  <w:noWrap w:val="0"/>
                  <w:vAlign w:val="center"/>
                </w:tcPr>
                <w:p w14:paraId="6F99BBEC">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150t</w:t>
                  </w:r>
                </w:p>
              </w:tc>
            </w:tr>
            <w:tr w14:paraId="36A280D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8" w:type="pct"/>
                  <w:vMerge w:val="continue"/>
                  <w:tcBorders>
                    <w:tl2br w:val="nil"/>
                    <w:tr2bl w:val="nil"/>
                  </w:tcBorders>
                  <w:noWrap w:val="0"/>
                  <w:vAlign w:val="center"/>
                </w:tcPr>
                <w:p w14:paraId="025F481A">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p>
              </w:tc>
              <w:tc>
                <w:tcPr>
                  <w:tcW w:w="371" w:type="pct"/>
                  <w:vMerge w:val="continue"/>
                  <w:tcBorders>
                    <w:tl2br w:val="nil"/>
                    <w:tr2bl w:val="nil"/>
                  </w:tcBorders>
                  <w:noWrap w:val="0"/>
                  <w:vAlign w:val="center"/>
                </w:tcPr>
                <w:p w14:paraId="180BA78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p>
              </w:tc>
              <w:tc>
                <w:tcPr>
                  <w:tcW w:w="2326" w:type="pct"/>
                  <w:tcBorders>
                    <w:tl2br w:val="nil"/>
                    <w:tr2bl w:val="nil"/>
                  </w:tcBorders>
                  <w:noWrap w:val="0"/>
                  <w:vAlign w:val="center"/>
                </w:tcPr>
                <w:p w14:paraId="487DD65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drawing>
                      <wp:inline distT="0" distB="0" distL="114300" distR="114300">
                        <wp:extent cx="884555" cy="662940"/>
                        <wp:effectExtent l="0" t="0" r="14605" b="7620"/>
                        <wp:docPr id="209" name="图片 252" descr="塑料托盘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252" descr="塑料托盘3"/>
                                <pic:cNvPicPr>
                                  <a:picLocks noChangeAspect="1"/>
                                </pic:cNvPicPr>
                              </pic:nvPicPr>
                              <pic:blipFill>
                                <a:blip r:embed="rId10"/>
                                <a:stretch>
                                  <a:fillRect/>
                                </a:stretch>
                              </pic:blipFill>
                              <pic:spPr>
                                <a:xfrm>
                                  <a:off x="0" y="0"/>
                                  <a:ext cx="884555" cy="662940"/>
                                </a:xfrm>
                                <a:prstGeom prst="rect">
                                  <a:avLst/>
                                </a:prstGeom>
                                <a:noFill/>
                                <a:ln>
                                  <a:noFill/>
                                </a:ln>
                              </pic:spPr>
                            </pic:pic>
                          </a:graphicData>
                        </a:graphic>
                      </wp:inline>
                    </w:drawing>
                  </w:r>
                </w:p>
                <w:p w14:paraId="25A5DB4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vertAlign w:val="baseline"/>
                      <w:lang w:val="en-US" w:eastAsia="zh-CN"/>
                    </w:rPr>
                    <w:t>L22.5×W20.7</w:t>
                  </w:r>
                  <w:r>
                    <w:rPr>
                      <w:rFonts w:hint="default" w:ascii="Times New Roman" w:hAnsi="Times New Roman" w:eastAsia="宋体" w:cs="Times New Roman"/>
                      <w:color w:val="auto"/>
                      <w:highlight w:val="none"/>
                      <w:lang w:val="en-US" w:eastAsia="zh-CN"/>
                    </w:rPr>
                    <w:t>×H2.5</w:t>
                  </w:r>
                  <w:r>
                    <w:rPr>
                      <w:rFonts w:hint="default" w:ascii="Times New Roman" w:hAnsi="Times New Roman" w:eastAsia="宋体" w:cs="Times New Roman"/>
                      <w:color w:val="auto"/>
                      <w:highlight w:val="none"/>
                      <w:vertAlign w:val="baseline"/>
                      <w:lang w:val="en-US" w:eastAsia="zh-CN"/>
                    </w:rPr>
                    <w:t>（cm）</w:t>
                  </w:r>
                </w:p>
              </w:tc>
              <w:tc>
                <w:tcPr>
                  <w:tcW w:w="671" w:type="pct"/>
                  <w:tcBorders>
                    <w:tl2br w:val="nil"/>
                    <w:tr2bl w:val="nil"/>
                  </w:tcBorders>
                  <w:noWrap w:val="0"/>
                  <w:vAlign w:val="center"/>
                </w:tcPr>
                <w:p w14:paraId="012A8DC8">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100</w:t>
                  </w:r>
                </w:p>
              </w:tc>
              <w:tc>
                <w:tcPr>
                  <w:tcW w:w="694" w:type="pct"/>
                  <w:tcBorders>
                    <w:tl2br w:val="nil"/>
                    <w:tr2bl w:val="nil"/>
                  </w:tcBorders>
                  <w:noWrap w:val="0"/>
                  <w:vAlign w:val="center"/>
                </w:tcPr>
                <w:p w14:paraId="1CFA04C3">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82g</w:t>
                  </w:r>
                </w:p>
              </w:tc>
              <w:tc>
                <w:tcPr>
                  <w:tcW w:w="647" w:type="pct"/>
                  <w:vMerge w:val="continue"/>
                  <w:tcBorders>
                    <w:tl2br w:val="nil"/>
                    <w:tr2bl w:val="nil"/>
                  </w:tcBorders>
                  <w:noWrap w:val="0"/>
                  <w:vAlign w:val="center"/>
                </w:tcPr>
                <w:p w14:paraId="547DE6CE">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p>
              </w:tc>
            </w:tr>
            <w:tr w14:paraId="088AAA0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8" w:type="pct"/>
                  <w:tcBorders>
                    <w:tl2br w:val="nil"/>
                    <w:tr2bl w:val="nil"/>
                  </w:tcBorders>
                  <w:noWrap w:val="0"/>
                  <w:vAlign w:val="center"/>
                </w:tcPr>
                <w:p w14:paraId="19E6DC24">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2</w:t>
                  </w:r>
                </w:p>
              </w:tc>
              <w:tc>
                <w:tcPr>
                  <w:tcW w:w="371" w:type="pct"/>
                  <w:tcBorders>
                    <w:tl2br w:val="nil"/>
                    <w:tr2bl w:val="nil"/>
                  </w:tcBorders>
                  <w:noWrap w:val="0"/>
                  <w:vAlign w:val="center"/>
                </w:tcPr>
                <w:p w14:paraId="7FD76BC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包装纸箱</w:t>
                  </w:r>
                </w:p>
              </w:tc>
              <w:tc>
                <w:tcPr>
                  <w:tcW w:w="2326" w:type="pct"/>
                  <w:tcBorders>
                    <w:tl2br w:val="nil"/>
                    <w:tr2bl w:val="nil"/>
                  </w:tcBorders>
                  <w:noWrap w:val="0"/>
                  <w:vAlign w:val="center"/>
                </w:tcPr>
                <w:p w14:paraId="36EC430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sz w:val="24"/>
                      <w:highlight w:val="none"/>
                    </w:rPr>
                    <mc:AlternateContent>
                      <mc:Choice Requires="wps">
                        <w:drawing>
                          <wp:anchor distT="0" distB="0" distL="114300" distR="114300" simplePos="0" relativeHeight="251664384" behindDoc="0" locked="0" layoutInCell="1" allowOverlap="1">
                            <wp:simplePos x="0" y="0"/>
                            <wp:positionH relativeFrom="column">
                              <wp:posOffset>1082040</wp:posOffset>
                            </wp:positionH>
                            <wp:positionV relativeFrom="paragraph">
                              <wp:posOffset>318770</wp:posOffset>
                            </wp:positionV>
                            <wp:extent cx="376555" cy="209550"/>
                            <wp:effectExtent l="0" t="0" r="0" b="0"/>
                            <wp:wrapNone/>
                            <wp:docPr id="238" name="文本框 238"/>
                            <wp:cNvGraphicFramePr/>
                            <a:graphic xmlns:a="http://schemas.openxmlformats.org/drawingml/2006/main">
                              <a:graphicData uri="http://schemas.microsoft.com/office/word/2010/wordprocessingShape">
                                <wps:wsp>
                                  <wps:cNvSpPr txBox="1"/>
                                  <wps:spPr>
                                    <a:xfrm>
                                      <a:off x="0" y="0"/>
                                      <a:ext cx="376555" cy="2095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C22D13">
                                        <w:pPr>
                                          <w:rPr>
                                            <w:rFonts w:hint="default" w:eastAsia="宋体"/>
                                            <w:sz w:val="10"/>
                                            <w:szCs w:val="13"/>
                                            <w:lang w:val="en-US" w:eastAsia="zh-CN"/>
                                          </w:rPr>
                                        </w:pPr>
                                        <w:r>
                                          <w:rPr>
                                            <w:rFonts w:hint="eastAsia"/>
                                            <w:sz w:val="10"/>
                                            <w:szCs w:val="13"/>
                                            <w:lang w:val="en-US" w:eastAsia="zh-CN"/>
                                          </w:rPr>
                                          <w:t>6cm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2pt;margin-top:25.1pt;height:16.5pt;width:29.65pt;z-index:251664384;mso-width-relative:page;mso-height-relative:page;" filled="f" stroked="f" coordsize="21600,21600" o:gfxdata="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bpvwk2gAAAAkBAAAPAAAAAAAAAAEAIAAAACIAAABk&#10;cnMvZG93bnJldi54bWxQSwECFAAUAAAACACHTuJAoPezZj0CAABpBAAADgAAAAAAAAABACAAAAAp&#10;AQAAZHJzL2Uyb0RvYy54bWxQSwUGAAAAAAYABgBZAQAA2AUAAAAA&#10;">
                            <v:fill on="f" focussize="0,0"/>
                            <v:stroke on="f" weight="0.5pt"/>
                            <v:imagedata o:title=""/>
                            <o:lock v:ext="edit" aspectratio="f"/>
                            <v:textbox>
                              <w:txbxContent>
                                <w:p w14:paraId="0DC22D13">
                                  <w:pPr>
                                    <w:rPr>
                                      <w:rFonts w:hint="default" w:eastAsia="宋体"/>
                                      <w:sz w:val="10"/>
                                      <w:szCs w:val="13"/>
                                      <w:lang w:val="en-US" w:eastAsia="zh-CN"/>
                                    </w:rPr>
                                  </w:pPr>
                                  <w:r>
                                    <w:rPr>
                                      <w:rFonts w:hint="eastAsia"/>
                                      <w:sz w:val="10"/>
                                      <w:szCs w:val="13"/>
                                      <w:lang w:val="en-US" w:eastAsia="zh-CN"/>
                                    </w:rPr>
                                    <w:t>6cm</w:t>
                                  </w:r>
                                </w:p>
                              </w:txbxContent>
                            </v:textbox>
                          </v:shape>
                        </w:pict>
                      </mc:Fallback>
                    </mc:AlternateContent>
                  </w:r>
                  <w:r>
                    <w:rPr>
                      <w:rFonts w:hint="default" w:ascii="Times New Roman" w:hAnsi="Times New Roman" w:eastAsia="宋体" w:cs="Times New Roman"/>
                      <w:color w:val="auto"/>
                      <w:sz w:val="24"/>
                      <w:highlight w:val="none"/>
                    </w:rPr>
                    <mc:AlternateContent>
                      <mc:Choice Requires="wps">
                        <w:drawing>
                          <wp:anchor distT="0" distB="0" distL="114300" distR="114300" simplePos="0" relativeHeight="251663360" behindDoc="0" locked="0" layoutInCell="1" allowOverlap="1">
                            <wp:simplePos x="0" y="0"/>
                            <wp:positionH relativeFrom="column">
                              <wp:posOffset>1086485</wp:posOffset>
                            </wp:positionH>
                            <wp:positionV relativeFrom="paragraph">
                              <wp:posOffset>347980</wp:posOffset>
                            </wp:positionV>
                            <wp:extent cx="0" cy="119380"/>
                            <wp:effectExtent l="25400" t="0" r="35560" b="2540"/>
                            <wp:wrapNone/>
                            <wp:docPr id="237" name="直接箭头连接符 237"/>
                            <wp:cNvGraphicFramePr/>
                            <a:graphic xmlns:a="http://schemas.openxmlformats.org/drawingml/2006/main">
                              <a:graphicData uri="http://schemas.microsoft.com/office/word/2010/wordprocessingShape">
                                <wps:wsp>
                                  <wps:cNvCnPr/>
                                  <wps:spPr>
                                    <a:xfrm flipV="1">
                                      <a:off x="0" y="0"/>
                                      <a:ext cx="0" cy="119380"/>
                                    </a:xfrm>
                                    <a:prstGeom prst="straightConnector1">
                                      <a:avLst/>
                                    </a:prstGeom>
                                    <a:ln w="6350">
                                      <a:solidFill>
                                        <a:schemeClr val="tx1"/>
                                      </a:solidFill>
                                      <a:headEnd type="triangle" w="sm" len="sm"/>
                                      <a:tailEnd type="triangle" w="sm" len="sm"/>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85.55pt;margin-top:27.4pt;height:9.4pt;width:0pt;z-index:251663360;mso-width-relative:page;mso-height-relative:page;" filled="f" stroked="t" coordsize="21600,21600" o:gfxdata="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3iYVc1QAAAAkBAAAPAAAAAAAAAAEA&#10;IAAAACIAAABkcnMvZG93bnJldi54bWxQSwECFAAUAAAACACHTuJA45uYGxICAAATBAAADgAAAAAA&#10;AAABACAAAAAkAQAAZHJzL2Uyb0RvYy54bWxQSwUGAAAAAAYABgBZAQAAqAUAAAAA&#10;">
                            <v:fill on="f" focussize="0,0"/>
                            <v:stroke weight="0.5pt" color="#000000 [3213]" joinstyle="round" startarrow="block" startarrowwidth="narrow" startarrowlength="short" endarrow="block" endarrowwidth="narrow" endarrowlength="short"/>
                            <v:imagedata o:title=""/>
                            <o:lock v:ext="edit" aspectratio="f"/>
                          </v:shape>
                        </w:pict>
                      </mc:Fallback>
                    </mc:AlternateContent>
                  </w:r>
                  <w:r>
                    <w:rPr>
                      <w:rFonts w:hint="default" w:ascii="Times New Roman" w:hAnsi="Times New Roman" w:eastAsia="宋体" w:cs="Times New Roman"/>
                      <w:color w:val="auto"/>
                      <w:sz w:val="24"/>
                      <w:highlight w:val="none"/>
                    </w:rPr>
                    <mc:AlternateContent>
                      <mc:Choice Requires="wps">
                        <w:drawing>
                          <wp:anchor distT="0" distB="0" distL="114300" distR="114300" simplePos="0" relativeHeight="251662336" behindDoc="0" locked="0" layoutInCell="1" allowOverlap="1">
                            <wp:simplePos x="0" y="0"/>
                            <wp:positionH relativeFrom="column">
                              <wp:posOffset>766445</wp:posOffset>
                            </wp:positionH>
                            <wp:positionV relativeFrom="paragraph">
                              <wp:posOffset>460375</wp:posOffset>
                            </wp:positionV>
                            <wp:extent cx="376555" cy="209550"/>
                            <wp:effectExtent l="0" t="0" r="0" b="0"/>
                            <wp:wrapNone/>
                            <wp:docPr id="236" name="文本框 236"/>
                            <wp:cNvGraphicFramePr/>
                            <a:graphic xmlns:a="http://schemas.openxmlformats.org/drawingml/2006/main">
                              <a:graphicData uri="http://schemas.microsoft.com/office/word/2010/wordprocessingShape">
                                <wps:wsp>
                                  <wps:cNvSpPr txBox="1"/>
                                  <wps:spPr>
                                    <a:xfrm>
                                      <a:off x="2989580" y="9186545"/>
                                      <a:ext cx="376555" cy="2095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6CF795">
                                        <w:pPr>
                                          <w:rPr>
                                            <w:rFonts w:hint="default" w:eastAsia="宋体"/>
                                            <w:sz w:val="10"/>
                                            <w:szCs w:val="13"/>
                                            <w:lang w:val="en-US" w:eastAsia="zh-CN"/>
                                          </w:rPr>
                                        </w:pPr>
                                        <w:r>
                                          <w:rPr>
                                            <w:rFonts w:hint="eastAsia"/>
                                            <w:sz w:val="10"/>
                                            <w:szCs w:val="13"/>
                                            <w:lang w:val="en-US" w:eastAsia="zh-CN"/>
                                          </w:rPr>
                                          <w:t>30cm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0.35pt;margin-top:36.25pt;height:16.5pt;width:29.65pt;z-index:251662336;mso-width-relative:page;mso-height-relative:page;" filled="f" stroked="f" coordsize="21600,21600" o:gfxdata="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oPevY2QAAAAoBAAAPAAAAAAAA&#10;AAEAIAAAACIAAABkcnMvZG93bnJldi54bWxQSwECFAAUAAAACACHTuJAgpmGskoCAAB1BAAADgAA&#10;AAAAAAABACAAAAAoAQAAZHJzL2Uyb0RvYy54bWxQSwUGAAAAAAYABgBZAQAA5AUAAAAA&#10;">
                            <v:fill on="f" focussize="0,0"/>
                            <v:stroke on="f" weight="0.5pt"/>
                            <v:imagedata o:title=""/>
                            <o:lock v:ext="edit" aspectratio="f"/>
                            <v:textbox>
                              <w:txbxContent>
                                <w:p w14:paraId="246CF795">
                                  <w:pPr>
                                    <w:rPr>
                                      <w:rFonts w:hint="default" w:eastAsia="宋体"/>
                                      <w:sz w:val="10"/>
                                      <w:szCs w:val="13"/>
                                      <w:lang w:val="en-US" w:eastAsia="zh-CN"/>
                                    </w:rPr>
                                  </w:pPr>
                                  <w:r>
                                    <w:rPr>
                                      <w:rFonts w:hint="eastAsia"/>
                                      <w:sz w:val="10"/>
                                      <w:szCs w:val="13"/>
                                      <w:lang w:val="en-US" w:eastAsia="zh-CN"/>
                                    </w:rPr>
                                    <w:t>30cm</w:t>
                                  </w:r>
                                </w:p>
                              </w:txbxContent>
                            </v:textbox>
                          </v:shape>
                        </w:pict>
                      </mc:Fallback>
                    </mc:AlternateContent>
                  </w:r>
                  <w:r>
                    <w:rPr>
                      <w:rFonts w:hint="default" w:ascii="Times New Roman" w:hAnsi="Times New Roman" w:eastAsia="宋体" w:cs="Times New Roman"/>
                      <w:color w:val="auto"/>
                      <w:sz w:val="24"/>
                      <w:highlight w:val="none"/>
                    </w:rPr>
                    <mc:AlternateContent>
                      <mc:Choice Requires="wps">
                        <w:drawing>
                          <wp:anchor distT="0" distB="0" distL="114300" distR="114300" simplePos="0" relativeHeight="251661312" behindDoc="0" locked="0" layoutInCell="1" allowOverlap="1">
                            <wp:simplePos x="0" y="0"/>
                            <wp:positionH relativeFrom="column">
                              <wp:posOffset>847090</wp:posOffset>
                            </wp:positionH>
                            <wp:positionV relativeFrom="paragraph">
                              <wp:posOffset>464185</wp:posOffset>
                            </wp:positionV>
                            <wp:extent cx="213995" cy="0"/>
                            <wp:effectExtent l="0" t="25400" r="14605" b="35560"/>
                            <wp:wrapNone/>
                            <wp:docPr id="235" name="直接箭头连接符 235"/>
                            <wp:cNvGraphicFramePr/>
                            <a:graphic xmlns:a="http://schemas.openxmlformats.org/drawingml/2006/main">
                              <a:graphicData uri="http://schemas.microsoft.com/office/word/2010/wordprocessingShape">
                                <wps:wsp>
                                  <wps:cNvCnPr/>
                                  <wps:spPr>
                                    <a:xfrm>
                                      <a:off x="2953385" y="9135745"/>
                                      <a:ext cx="213995" cy="0"/>
                                    </a:xfrm>
                                    <a:prstGeom prst="straightConnector1">
                                      <a:avLst/>
                                    </a:prstGeom>
                                    <a:ln w="6350">
                                      <a:solidFill>
                                        <a:schemeClr val="tx1"/>
                                      </a:solidFill>
                                      <a:headEnd type="triangle" w="sm" len="sm"/>
                                      <a:tailEnd type="triangle" w="sm" len="sm"/>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66.7pt;margin-top:36.55pt;height:0pt;width:16.85pt;z-index:251661312;mso-width-relative:page;mso-height-relative:page;" filled="f" stroked="t" coordsize="21600,21600" o:gfxdata="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YzvWI1gAAAAkBAAAP&#10;AAAAAAAAAAEAIAAAACIAAABkcnMvZG93bnJldi54bWxQSwECFAAUAAAACACHTuJAkyNg6hoCAAAV&#10;BAAADgAAAAAAAAABACAAAAAlAQAAZHJzL2Uyb0RvYy54bWxQSwUGAAAAAAYABgBZAQAAsQUAAAAA&#10;">
                            <v:fill on="f" focussize="0,0"/>
                            <v:stroke weight="0.5pt" color="#000000 [3213]" joinstyle="round" startarrow="block" startarrowwidth="narrow" startarrowlength="short" endarrow="block" endarrowwidth="narrow" endarrowlength="short"/>
                            <v:imagedata o:title=""/>
                            <o:lock v:ext="edit" aspectratio="f"/>
                          </v:shape>
                        </w:pict>
                      </mc:Fallback>
                    </mc:AlternateContent>
                  </w:r>
                  <w:r>
                    <w:rPr>
                      <w:rFonts w:hint="default" w:ascii="Times New Roman" w:hAnsi="Times New Roman" w:eastAsia="宋体" w:cs="Times New Roman"/>
                      <w:bCs/>
                      <w:color w:val="auto"/>
                      <w:sz w:val="24"/>
                      <w:highlight w:val="none"/>
                    </w:rPr>
                    <w:drawing>
                      <wp:inline distT="0" distB="0" distL="114300" distR="114300">
                        <wp:extent cx="741045" cy="988060"/>
                        <wp:effectExtent l="0" t="0" r="2540" b="5715"/>
                        <wp:docPr id="210" name="图片 253" descr="纸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图片 253" descr="纸箱"/>
                                <pic:cNvPicPr>
                                  <a:picLocks noChangeAspect="1"/>
                                </pic:cNvPicPr>
                              </pic:nvPicPr>
                              <pic:blipFill>
                                <a:blip r:embed="rId11"/>
                                <a:stretch>
                                  <a:fillRect/>
                                </a:stretch>
                              </pic:blipFill>
                              <pic:spPr>
                                <a:xfrm rot="16200000">
                                  <a:off x="0" y="0"/>
                                  <a:ext cx="741045" cy="988060"/>
                                </a:xfrm>
                                <a:prstGeom prst="rect">
                                  <a:avLst/>
                                </a:prstGeom>
                                <a:noFill/>
                                <a:ln>
                                  <a:noFill/>
                                </a:ln>
                              </pic:spPr>
                            </pic:pic>
                          </a:graphicData>
                        </a:graphic>
                      </wp:inline>
                    </w:drawing>
                  </w:r>
                </w:p>
                <w:p w14:paraId="02CD7FF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L34.5×W27.5×H13.5（cm）</w:t>
                  </w:r>
                </w:p>
                <w:p w14:paraId="3E34214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（单个产品印刷面积约为0.018m</w:t>
                  </w:r>
                  <w:r>
                    <w:rPr>
                      <w:rFonts w:hint="default" w:ascii="Times New Roman" w:hAnsi="Times New Roman" w:eastAsia="宋体" w:cs="Times New Roman"/>
                      <w:color w:val="auto"/>
                      <w:highlight w:val="none"/>
                      <w:vertAlign w:val="superscript"/>
                      <w:lang w:val="en-US" w:eastAsia="zh-CN"/>
                    </w:rPr>
                    <w:t>2</w:t>
                  </w:r>
                  <w:r>
                    <w:rPr>
                      <w:rFonts w:hint="default" w:ascii="Times New Roman" w:hAnsi="Times New Roman" w:eastAsia="宋体" w:cs="Times New Roman"/>
                      <w:color w:val="auto"/>
                      <w:highlight w:val="none"/>
                      <w:lang w:val="en-US" w:eastAsia="zh-CN"/>
                    </w:rPr>
                    <w:t>）</w:t>
                  </w:r>
                </w:p>
              </w:tc>
              <w:tc>
                <w:tcPr>
                  <w:tcW w:w="671" w:type="pct"/>
                  <w:tcBorders>
                    <w:tl2br w:val="nil"/>
                    <w:tr2bl w:val="nil"/>
                  </w:tcBorders>
                  <w:noWrap w:val="0"/>
                  <w:vAlign w:val="center"/>
                </w:tcPr>
                <w:p w14:paraId="497EDD73">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60</w:t>
                  </w:r>
                </w:p>
              </w:tc>
              <w:tc>
                <w:tcPr>
                  <w:tcW w:w="694" w:type="pct"/>
                  <w:tcBorders>
                    <w:tl2br w:val="nil"/>
                    <w:tr2bl w:val="nil"/>
                  </w:tcBorders>
                  <w:noWrap w:val="0"/>
                  <w:vAlign w:val="center"/>
                </w:tcPr>
                <w:p w14:paraId="25FE15F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163g/个</w:t>
                  </w:r>
                </w:p>
              </w:tc>
              <w:tc>
                <w:tcPr>
                  <w:tcW w:w="647" w:type="pct"/>
                  <w:tcBorders>
                    <w:tl2br w:val="nil"/>
                    <w:tr2bl w:val="nil"/>
                  </w:tcBorders>
                  <w:noWrap w:val="0"/>
                  <w:vAlign w:val="center"/>
                </w:tcPr>
                <w:p w14:paraId="32E7A117">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9</w:t>
                  </w:r>
                  <w:r>
                    <w:rPr>
                      <w:rFonts w:hint="eastAsia" w:cs="Times New Roman"/>
                      <w:color w:val="auto"/>
                      <w:highlight w:val="none"/>
                      <w:vertAlign w:val="baseline"/>
                      <w:lang w:val="en-US" w:eastAsia="zh-CN"/>
                    </w:rPr>
                    <w:t>7.8</w:t>
                  </w:r>
                </w:p>
              </w:tc>
            </w:tr>
          </w:tbl>
          <w:p w14:paraId="06B44FA5">
            <w:pPr>
              <w:keepNext w:val="0"/>
              <w:keepLines w:val="0"/>
              <w:pageBreakBefore w:val="0"/>
              <w:widowControl/>
              <w:numPr>
                <w:ilvl w:val="0"/>
                <w:numId w:val="4"/>
              </w:numPr>
              <w:suppressLineNumbers w:val="0"/>
              <w:kinsoku/>
              <w:wordWrap/>
              <w:overflowPunct/>
              <w:topLinePunct w:val="0"/>
              <w:autoSpaceDE/>
              <w:autoSpaceDN/>
              <w:bidi w:val="0"/>
              <w:adjustRightInd w:val="0"/>
              <w:snapToGrid/>
              <w:spacing w:before="157" w:beforeLines="50" w:beforeAutospacing="0" w:after="0" w:afterAutospacing="0" w:line="360" w:lineRule="auto"/>
              <w:ind w:right="0"/>
              <w:jc w:val="center"/>
              <w:textAlignment w:val="baseline"/>
              <w:rPr>
                <w:rFonts w:hint="default" w:ascii="Times New Roman" w:hAnsi="Times New Roman" w:eastAsia="宋体" w:cs="Times New Roman"/>
                <w:b/>
                <w:color w:val="auto"/>
                <w:highlight w:val="none"/>
                <w:lang w:val="en-US" w:eastAsia="zh-CN"/>
              </w:rPr>
            </w:pPr>
            <w:r>
              <w:rPr>
                <w:rFonts w:hint="default" w:ascii="Times New Roman" w:hAnsi="Times New Roman" w:eastAsia="宋体" w:cs="Times New Roman"/>
                <w:b/>
                <w:color w:val="auto"/>
                <w:highlight w:val="none"/>
                <w:lang w:val="en-US" w:eastAsia="zh-CN"/>
              </w:rPr>
              <w:t>迁改扩建前后项目主要产品及产量</w:t>
            </w:r>
          </w:p>
          <w:tbl>
            <w:tblPr>
              <w:tblStyle w:val="42"/>
              <w:tblW w:w="4999"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1"/>
              <w:gridCol w:w="2197"/>
              <w:gridCol w:w="2050"/>
              <w:gridCol w:w="2202"/>
            </w:tblGrid>
            <w:tr w14:paraId="319DB95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pct"/>
                  <w:vMerge w:val="restart"/>
                  <w:tcBorders>
                    <w:tl2br w:val="nil"/>
                    <w:tr2bl w:val="nil"/>
                  </w:tcBorders>
                  <w:noWrap w:val="0"/>
                  <w:vAlign w:val="center"/>
                </w:tcPr>
                <w:p w14:paraId="3DF5839E">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产品名称</w:t>
                  </w:r>
                </w:p>
              </w:tc>
              <w:tc>
                <w:tcPr>
                  <w:tcW w:w="3731" w:type="pct"/>
                  <w:gridSpan w:val="3"/>
                  <w:tcBorders>
                    <w:tl2br w:val="nil"/>
                    <w:tr2bl w:val="nil"/>
                  </w:tcBorders>
                  <w:noWrap w:val="0"/>
                  <w:vAlign w:val="center"/>
                </w:tcPr>
                <w:p w14:paraId="3016B958">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年产量</w:t>
                  </w:r>
                </w:p>
              </w:tc>
            </w:tr>
            <w:tr w14:paraId="2327D5D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pct"/>
                  <w:vMerge w:val="continue"/>
                  <w:tcBorders>
                    <w:tl2br w:val="nil"/>
                    <w:tr2bl w:val="nil"/>
                  </w:tcBorders>
                  <w:noWrap w:val="0"/>
                  <w:vAlign w:val="center"/>
                </w:tcPr>
                <w:p w14:paraId="4EEBCA81">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p>
              </w:tc>
              <w:tc>
                <w:tcPr>
                  <w:tcW w:w="1271" w:type="pct"/>
                  <w:tcBorders>
                    <w:tl2br w:val="nil"/>
                    <w:tr2bl w:val="nil"/>
                  </w:tcBorders>
                  <w:noWrap w:val="0"/>
                  <w:vAlign w:val="center"/>
                </w:tcPr>
                <w:p w14:paraId="528383E9">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原有项目</w:t>
                  </w:r>
                </w:p>
              </w:tc>
              <w:tc>
                <w:tcPr>
                  <w:tcW w:w="1186" w:type="pct"/>
                  <w:tcBorders>
                    <w:tl2br w:val="nil"/>
                    <w:tr2bl w:val="nil"/>
                  </w:tcBorders>
                  <w:noWrap w:val="0"/>
                  <w:vAlign w:val="center"/>
                </w:tcPr>
                <w:p w14:paraId="2EF6C315">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迁改扩建后</w:t>
                  </w:r>
                </w:p>
              </w:tc>
              <w:tc>
                <w:tcPr>
                  <w:tcW w:w="1273" w:type="pct"/>
                  <w:tcBorders>
                    <w:tl2br w:val="nil"/>
                    <w:tr2bl w:val="nil"/>
                  </w:tcBorders>
                  <w:noWrap w:val="0"/>
                  <w:vAlign w:val="center"/>
                </w:tcPr>
                <w:p w14:paraId="6BA38C2D">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变化量</w:t>
                  </w:r>
                </w:p>
              </w:tc>
            </w:tr>
            <w:tr w14:paraId="683F6FA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pct"/>
                  <w:tcBorders>
                    <w:tl2br w:val="nil"/>
                    <w:tr2bl w:val="nil"/>
                  </w:tcBorders>
                  <w:noWrap w:val="0"/>
                  <w:vAlign w:val="center"/>
                </w:tcPr>
                <w:p w14:paraId="409F32DC">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吸塑制品</w:t>
                  </w:r>
                </w:p>
              </w:tc>
              <w:tc>
                <w:tcPr>
                  <w:tcW w:w="1271" w:type="pct"/>
                  <w:tcBorders>
                    <w:tl2br w:val="nil"/>
                    <w:tr2bl w:val="nil"/>
                  </w:tcBorders>
                  <w:noWrap w:val="0"/>
                  <w:vAlign w:val="center"/>
                </w:tcPr>
                <w:p w14:paraId="428A1A0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380t/a</w:t>
                  </w:r>
                </w:p>
              </w:tc>
              <w:tc>
                <w:tcPr>
                  <w:tcW w:w="1186" w:type="pct"/>
                  <w:tcBorders>
                    <w:tl2br w:val="nil"/>
                    <w:tr2bl w:val="nil"/>
                  </w:tcBorders>
                  <w:noWrap w:val="0"/>
                  <w:vAlign w:val="center"/>
                </w:tcPr>
                <w:p w14:paraId="76BA89F3">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150t/a</w:t>
                  </w:r>
                </w:p>
              </w:tc>
              <w:tc>
                <w:tcPr>
                  <w:tcW w:w="1273" w:type="pct"/>
                  <w:tcBorders>
                    <w:tl2br w:val="nil"/>
                    <w:tr2bl w:val="nil"/>
                  </w:tcBorders>
                  <w:noWrap w:val="0"/>
                  <w:vAlign w:val="center"/>
                </w:tcPr>
                <w:p w14:paraId="59FFF601">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-230t/a</w:t>
                  </w:r>
                </w:p>
              </w:tc>
            </w:tr>
            <w:tr w14:paraId="04CE6A0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 w:type="pct"/>
                  <w:tcBorders>
                    <w:tl2br w:val="nil"/>
                    <w:tr2bl w:val="nil"/>
                  </w:tcBorders>
                  <w:noWrap w:val="0"/>
                  <w:vAlign w:val="center"/>
                </w:tcPr>
                <w:p w14:paraId="4CBDFD15">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包装纸箱</w:t>
                  </w:r>
                </w:p>
              </w:tc>
              <w:tc>
                <w:tcPr>
                  <w:tcW w:w="1271" w:type="pct"/>
                  <w:tcBorders>
                    <w:tl2br w:val="nil"/>
                    <w:tr2bl w:val="nil"/>
                  </w:tcBorders>
                  <w:noWrap w:val="0"/>
                  <w:vAlign w:val="center"/>
                </w:tcPr>
                <w:p w14:paraId="650432E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12万个/a</w:t>
                  </w:r>
                </w:p>
              </w:tc>
              <w:tc>
                <w:tcPr>
                  <w:tcW w:w="1186" w:type="pct"/>
                  <w:tcBorders>
                    <w:tl2br w:val="nil"/>
                    <w:tr2bl w:val="nil"/>
                  </w:tcBorders>
                  <w:noWrap w:val="0"/>
                  <w:vAlign w:val="center"/>
                </w:tcPr>
                <w:p w14:paraId="03C8E87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60万个/a</w:t>
                  </w:r>
                </w:p>
              </w:tc>
              <w:tc>
                <w:tcPr>
                  <w:tcW w:w="1273" w:type="pct"/>
                  <w:tcBorders>
                    <w:tl2br w:val="nil"/>
                    <w:tr2bl w:val="nil"/>
                  </w:tcBorders>
                  <w:noWrap w:val="0"/>
                  <w:vAlign w:val="center"/>
                </w:tcPr>
                <w:p w14:paraId="4BC3C32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w:t>
                  </w:r>
                  <w:r>
                    <w:rPr>
                      <w:rFonts w:hint="eastAsia" w:ascii="Times New Roman" w:hAnsi="Times New Roman" w:cs="Times New Roman"/>
                      <w:color w:val="auto"/>
                      <w:highlight w:val="none"/>
                      <w:vertAlign w:val="baseline"/>
                      <w:lang w:val="en-US" w:eastAsia="zh-CN"/>
                    </w:rPr>
                    <w:t>4</w:t>
                  </w:r>
                  <w:r>
                    <w:rPr>
                      <w:rFonts w:hint="default" w:ascii="Times New Roman" w:hAnsi="Times New Roman" w:eastAsia="宋体" w:cs="Times New Roman"/>
                      <w:color w:val="auto"/>
                      <w:highlight w:val="none"/>
                      <w:vertAlign w:val="baseline"/>
                      <w:lang w:val="en-US" w:eastAsia="zh-CN"/>
                    </w:rPr>
                    <w:t>8万个/a</w:t>
                  </w:r>
                </w:p>
              </w:tc>
            </w:tr>
          </w:tbl>
          <w:p w14:paraId="30DF78FC">
            <w:pPr>
              <w:keepNext w:val="0"/>
              <w:keepLines w:val="0"/>
              <w:pageBreakBefore w:val="0"/>
              <w:widowControl w:val="0"/>
              <w:numPr>
                <w:ilvl w:val="0"/>
                <w:numId w:val="7"/>
              </w:numPr>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firstLine="422" w:firstLineChars="200"/>
              <w:jc w:val="left"/>
              <w:textAlignment w:val="auto"/>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b/>
                <w:bCs/>
                <w:color w:val="auto"/>
                <w:kern w:val="0"/>
                <w:sz w:val="21"/>
                <w:szCs w:val="21"/>
                <w:highlight w:val="none"/>
                <w:lang w:val="en-US" w:eastAsia="zh-CN" w:bidi="ar"/>
              </w:rPr>
              <w:t>主要原辅材料及用量</w:t>
            </w:r>
          </w:p>
          <w:p w14:paraId="4069996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420" w:leftChars="200" w:right="0"/>
              <w:jc w:val="left"/>
              <w:textAlignment w:val="auto"/>
              <w:rPr>
                <w:rFonts w:hint="default" w:ascii="Times New Roman" w:hAnsi="Times New Roman" w:eastAsia="宋体" w:cs="Times New Roman"/>
                <w:b w:val="0"/>
                <w:bCs w:val="0"/>
                <w:color w:val="auto"/>
                <w:kern w:val="0"/>
                <w:sz w:val="21"/>
                <w:szCs w:val="21"/>
                <w:highlight w:val="none"/>
                <w:lang w:val="en-US" w:eastAsia="zh-CN" w:bidi="ar"/>
              </w:rPr>
            </w:pPr>
            <w:r>
              <w:rPr>
                <w:rFonts w:hint="default" w:ascii="Times New Roman" w:hAnsi="Times New Roman" w:eastAsia="宋体" w:cs="Times New Roman"/>
                <w:b w:val="0"/>
                <w:bCs w:val="0"/>
                <w:color w:val="auto"/>
                <w:kern w:val="0"/>
                <w:sz w:val="21"/>
                <w:szCs w:val="21"/>
                <w:highlight w:val="none"/>
                <w:lang w:val="en-US" w:eastAsia="zh-CN" w:bidi="ar"/>
              </w:rPr>
              <w:t>根据建设单位提供的资料，项目原辅材料种类和用量如下表所示。</w:t>
            </w:r>
          </w:p>
          <w:p w14:paraId="6A49B58E">
            <w:pPr>
              <w:keepNext w:val="0"/>
              <w:keepLines w:val="0"/>
              <w:widowControl/>
              <w:numPr>
                <w:ilvl w:val="0"/>
                <w:numId w:val="4"/>
              </w:numPr>
              <w:suppressLineNumbers w:val="0"/>
              <w:adjustRightInd w:val="0"/>
              <w:spacing w:before="0" w:beforeAutospacing="0" w:after="0" w:afterAutospacing="0" w:line="360" w:lineRule="auto"/>
              <w:ind w:right="0"/>
              <w:jc w:val="center"/>
              <w:textAlignment w:val="baseline"/>
              <w:rPr>
                <w:rFonts w:hint="default" w:ascii="Times New Roman" w:hAnsi="Times New Roman" w:eastAsia="宋体" w:cs="Times New Roman"/>
                <w:b/>
                <w:color w:val="auto"/>
                <w:highlight w:val="none"/>
                <w:lang w:val="en-US" w:eastAsia="zh-CN"/>
              </w:rPr>
            </w:pPr>
            <w:r>
              <w:rPr>
                <w:rFonts w:hint="default" w:ascii="Times New Roman" w:hAnsi="Times New Roman" w:eastAsia="宋体" w:cs="Times New Roman"/>
                <w:b/>
                <w:color w:val="auto"/>
                <w:highlight w:val="none"/>
                <w:lang w:val="en-US" w:eastAsia="zh-CN"/>
              </w:rPr>
              <w:t>项目</w:t>
            </w:r>
            <w:r>
              <w:rPr>
                <w:rFonts w:hint="eastAsia" w:cs="Times New Roman"/>
                <w:b/>
                <w:color w:val="auto"/>
                <w:highlight w:val="none"/>
                <w:lang w:val="en-US" w:eastAsia="zh-CN"/>
              </w:rPr>
              <w:t>迁改扩建</w:t>
            </w:r>
            <w:r>
              <w:rPr>
                <w:rFonts w:hint="default" w:ascii="Times New Roman" w:hAnsi="Times New Roman" w:eastAsia="宋体" w:cs="Times New Roman"/>
                <w:b/>
                <w:color w:val="auto"/>
                <w:highlight w:val="none"/>
                <w:lang w:val="en-US" w:eastAsia="zh-CN"/>
              </w:rPr>
              <w:t>主要原辅材料用量</w:t>
            </w:r>
          </w:p>
          <w:tbl>
            <w:tblPr>
              <w:tblStyle w:val="42"/>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5"/>
              <w:gridCol w:w="1287"/>
              <w:gridCol w:w="827"/>
              <w:gridCol w:w="830"/>
              <w:gridCol w:w="998"/>
              <w:gridCol w:w="595"/>
              <w:gridCol w:w="932"/>
              <w:gridCol w:w="1143"/>
              <w:gridCol w:w="1435"/>
            </w:tblGrid>
            <w:tr w14:paraId="405C387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44" w:type="pct"/>
                  <w:vMerge w:val="restart"/>
                  <w:tcBorders>
                    <w:tl2br w:val="nil"/>
                    <w:tr2bl w:val="nil"/>
                  </w:tcBorders>
                  <w:noWrap w:val="0"/>
                  <w:vAlign w:val="center"/>
                </w:tcPr>
                <w:p w14:paraId="46545051">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序号</w:t>
                  </w:r>
                </w:p>
              </w:tc>
              <w:tc>
                <w:tcPr>
                  <w:tcW w:w="744" w:type="pct"/>
                  <w:vMerge w:val="restart"/>
                  <w:tcBorders>
                    <w:tl2br w:val="nil"/>
                    <w:tr2bl w:val="nil"/>
                  </w:tcBorders>
                  <w:noWrap w:val="0"/>
                  <w:vAlign w:val="center"/>
                </w:tcPr>
                <w:p w14:paraId="6F202361">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原辅料名称</w:t>
                  </w:r>
                </w:p>
              </w:tc>
              <w:tc>
                <w:tcPr>
                  <w:tcW w:w="1535" w:type="pct"/>
                  <w:gridSpan w:val="3"/>
                  <w:tcBorders>
                    <w:tl2br w:val="nil"/>
                    <w:tr2bl w:val="nil"/>
                  </w:tcBorders>
                  <w:noWrap w:val="0"/>
                  <w:vAlign w:val="center"/>
                </w:tcPr>
                <w:p w14:paraId="43D49763">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年用量</w:t>
                  </w:r>
                </w:p>
              </w:tc>
              <w:tc>
                <w:tcPr>
                  <w:tcW w:w="344" w:type="pct"/>
                  <w:vMerge w:val="restart"/>
                  <w:tcBorders>
                    <w:tl2br w:val="nil"/>
                    <w:tr2bl w:val="nil"/>
                  </w:tcBorders>
                  <w:noWrap w:val="0"/>
                  <w:vAlign w:val="center"/>
                </w:tcPr>
                <w:p w14:paraId="12289E85">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形态</w:t>
                  </w:r>
                </w:p>
              </w:tc>
              <w:tc>
                <w:tcPr>
                  <w:tcW w:w="539" w:type="pct"/>
                  <w:vMerge w:val="restart"/>
                  <w:tcBorders>
                    <w:tl2br w:val="nil"/>
                    <w:tr2bl w:val="nil"/>
                  </w:tcBorders>
                  <w:noWrap w:val="0"/>
                  <w:vAlign w:val="center"/>
                </w:tcPr>
                <w:p w14:paraId="3F633808">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包装形态</w:t>
                  </w:r>
                </w:p>
              </w:tc>
              <w:tc>
                <w:tcPr>
                  <w:tcW w:w="661" w:type="pct"/>
                  <w:vMerge w:val="restart"/>
                  <w:tcBorders>
                    <w:tl2br w:val="nil"/>
                    <w:tr2bl w:val="nil"/>
                  </w:tcBorders>
                  <w:noWrap w:val="0"/>
                  <w:vAlign w:val="center"/>
                </w:tcPr>
                <w:p w14:paraId="75C51325">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最大储存量</w:t>
                  </w:r>
                </w:p>
              </w:tc>
              <w:tc>
                <w:tcPr>
                  <w:tcW w:w="829" w:type="pct"/>
                  <w:vMerge w:val="restart"/>
                  <w:tcBorders>
                    <w:tl2br w:val="nil"/>
                    <w:tr2bl w:val="nil"/>
                  </w:tcBorders>
                  <w:noWrap w:val="0"/>
                  <w:vAlign w:val="center"/>
                </w:tcPr>
                <w:p w14:paraId="15C00503">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所用工序</w:t>
                  </w:r>
                </w:p>
              </w:tc>
            </w:tr>
            <w:tr w14:paraId="21E4454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44" w:type="pct"/>
                  <w:vMerge w:val="continue"/>
                  <w:tcBorders>
                    <w:tl2br w:val="nil"/>
                    <w:tr2bl w:val="nil"/>
                  </w:tcBorders>
                  <w:noWrap w:val="0"/>
                  <w:vAlign w:val="center"/>
                </w:tcPr>
                <w:p w14:paraId="1400B6C9">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rPr>
                  </w:pPr>
                </w:p>
              </w:tc>
              <w:tc>
                <w:tcPr>
                  <w:tcW w:w="744" w:type="pct"/>
                  <w:vMerge w:val="continue"/>
                  <w:tcBorders>
                    <w:tl2br w:val="nil"/>
                    <w:tr2bl w:val="nil"/>
                  </w:tcBorders>
                  <w:noWrap w:val="0"/>
                  <w:vAlign w:val="center"/>
                </w:tcPr>
                <w:p w14:paraId="6DE86B0D">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rPr>
                  </w:pPr>
                </w:p>
              </w:tc>
              <w:tc>
                <w:tcPr>
                  <w:tcW w:w="478" w:type="pct"/>
                  <w:tcBorders>
                    <w:tl2br w:val="nil"/>
                    <w:tr2bl w:val="nil"/>
                  </w:tcBorders>
                  <w:noWrap w:val="0"/>
                  <w:vAlign w:val="center"/>
                </w:tcPr>
                <w:p w14:paraId="5AE632A3">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原项目</w:t>
                  </w:r>
                </w:p>
              </w:tc>
              <w:tc>
                <w:tcPr>
                  <w:tcW w:w="480" w:type="pct"/>
                  <w:tcBorders>
                    <w:tl2br w:val="nil"/>
                    <w:tr2bl w:val="nil"/>
                  </w:tcBorders>
                  <w:noWrap w:val="0"/>
                  <w:vAlign w:val="center"/>
                </w:tcPr>
                <w:p w14:paraId="11F50D0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变化量</w:t>
                  </w:r>
                </w:p>
              </w:tc>
              <w:tc>
                <w:tcPr>
                  <w:tcW w:w="576" w:type="pct"/>
                  <w:tcBorders>
                    <w:tl2br w:val="nil"/>
                    <w:tr2bl w:val="nil"/>
                  </w:tcBorders>
                  <w:noWrap w:val="0"/>
                  <w:vAlign w:val="center"/>
                </w:tcPr>
                <w:p w14:paraId="47C2541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eastAsia" w:cs="Times New Roman"/>
                      <w:b/>
                      <w:bCs/>
                      <w:color w:val="auto"/>
                      <w:highlight w:val="none"/>
                      <w:vertAlign w:val="baseline"/>
                      <w:lang w:val="en-US" w:eastAsia="zh-CN"/>
                    </w:rPr>
                    <w:t>迁改扩建</w:t>
                  </w:r>
                  <w:r>
                    <w:rPr>
                      <w:rFonts w:hint="default" w:ascii="Times New Roman" w:hAnsi="Times New Roman" w:eastAsia="宋体" w:cs="Times New Roman"/>
                      <w:b/>
                      <w:bCs/>
                      <w:color w:val="auto"/>
                      <w:highlight w:val="none"/>
                      <w:vertAlign w:val="baseline"/>
                      <w:lang w:val="en-US" w:eastAsia="zh-CN"/>
                    </w:rPr>
                    <w:t>后</w:t>
                  </w:r>
                </w:p>
              </w:tc>
              <w:tc>
                <w:tcPr>
                  <w:tcW w:w="344" w:type="pct"/>
                  <w:vMerge w:val="continue"/>
                  <w:tcBorders>
                    <w:tl2br w:val="nil"/>
                    <w:tr2bl w:val="nil"/>
                  </w:tcBorders>
                  <w:noWrap w:val="0"/>
                  <w:vAlign w:val="center"/>
                </w:tcPr>
                <w:p w14:paraId="4D68AD8E">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p>
              </w:tc>
              <w:tc>
                <w:tcPr>
                  <w:tcW w:w="539" w:type="pct"/>
                  <w:vMerge w:val="continue"/>
                  <w:tcBorders>
                    <w:tl2br w:val="nil"/>
                    <w:tr2bl w:val="nil"/>
                  </w:tcBorders>
                  <w:noWrap w:val="0"/>
                  <w:vAlign w:val="center"/>
                </w:tcPr>
                <w:p w14:paraId="12C7A7DE">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p>
              </w:tc>
              <w:tc>
                <w:tcPr>
                  <w:tcW w:w="661" w:type="pct"/>
                  <w:vMerge w:val="continue"/>
                  <w:tcBorders>
                    <w:tl2br w:val="nil"/>
                    <w:tr2bl w:val="nil"/>
                  </w:tcBorders>
                  <w:noWrap w:val="0"/>
                  <w:vAlign w:val="center"/>
                </w:tcPr>
                <w:p w14:paraId="57D08281">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p>
              </w:tc>
              <w:tc>
                <w:tcPr>
                  <w:tcW w:w="829" w:type="pct"/>
                  <w:vMerge w:val="continue"/>
                  <w:tcBorders>
                    <w:tl2br w:val="nil"/>
                    <w:tr2bl w:val="nil"/>
                  </w:tcBorders>
                  <w:noWrap w:val="0"/>
                  <w:vAlign w:val="center"/>
                </w:tcPr>
                <w:p w14:paraId="29E8C98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p>
              </w:tc>
            </w:tr>
            <w:tr w14:paraId="513439E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4" w:type="pct"/>
                  <w:tcBorders>
                    <w:tl2br w:val="nil"/>
                    <w:tr2bl w:val="nil"/>
                  </w:tcBorders>
                  <w:noWrap w:val="0"/>
                  <w:vAlign w:val="center"/>
                </w:tcPr>
                <w:p w14:paraId="4FB9CA00">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1</w:t>
                  </w:r>
                </w:p>
              </w:tc>
              <w:tc>
                <w:tcPr>
                  <w:tcW w:w="744" w:type="pct"/>
                  <w:tcBorders>
                    <w:tl2br w:val="nil"/>
                    <w:tr2bl w:val="nil"/>
                  </w:tcBorders>
                  <w:noWrap w:val="0"/>
                  <w:vAlign w:val="center"/>
                </w:tcPr>
                <w:p w14:paraId="28648386">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PVC塑料膜</w:t>
                  </w:r>
                </w:p>
              </w:tc>
              <w:tc>
                <w:tcPr>
                  <w:tcW w:w="478" w:type="pct"/>
                  <w:tcBorders>
                    <w:tl2br w:val="nil"/>
                    <w:tr2bl w:val="nil"/>
                  </w:tcBorders>
                  <w:noWrap w:val="0"/>
                  <w:vAlign w:val="center"/>
                </w:tcPr>
                <w:p w14:paraId="208705B5">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150t</w:t>
                  </w:r>
                </w:p>
              </w:tc>
              <w:tc>
                <w:tcPr>
                  <w:tcW w:w="480" w:type="pct"/>
                  <w:tcBorders>
                    <w:tl2br w:val="nil"/>
                    <w:tr2bl w:val="nil"/>
                  </w:tcBorders>
                  <w:noWrap w:val="0"/>
                  <w:vAlign w:val="center"/>
                </w:tcPr>
                <w:p w14:paraId="1E08E7B4">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-145t</w:t>
                  </w:r>
                </w:p>
              </w:tc>
              <w:tc>
                <w:tcPr>
                  <w:tcW w:w="576" w:type="pct"/>
                  <w:tcBorders>
                    <w:tl2br w:val="nil"/>
                    <w:tr2bl w:val="nil"/>
                  </w:tcBorders>
                  <w:noWrap w:val="0"/>
                  <w:vAlign w:val="center"/>
                </w:tcPr>
                <w:p w14:paraId="0729B19D">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5t</w:t>
                  </w:r>
                </w:p>
              </w:tc>
              <w:tc>
                <w:tcPr>
                  <w:tcW w:w="344" w:type="pct"/>
                  <w:tcBorders>
                    <w:tl2br w:val="nil"/>
                    <w:tr2bl w:val="nil"/>
                  </w:tcBorders>
                  <w:noWrap w:val="0"/>
                  <w:vAlign w:val="center"/>
                </w:tcPr>
                <w:p w14:paraId="0001C568">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固态</w:t>
                  </w:r>
                </w:p>
              </w:tc>
              <w:tc>
                <w:tcPr>
                  <w:tcW w:w="539" w:type="pct"/>
                  <w:tcBorders>
                    <w:tl2br w:val="nil"/>
                    <w:tr2bl w:val="nil"/>
                  </w:tcBorders>
                  <w:noWrap w:val="0"/>
                  <w:vAlign w:val="center"/>
                </w:tcPr>
                <w:p w14:paraId="5DEBE536">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袋装</w:t>
                  </w:r>
                </w:p>
              </w:tc>
              <w:tc>
                <w:tcPr>
                  <w:tcW w:w="661" w:type="pct"/>
                  <w:tcBorders>
                    <w:tl2br w:val="nil"/>
                    <w:tr2bl w:val="nil"/>
                  </w:tcBorders>
                  <w:noWrap w:val="0"/>
                  <w:vAlign w:val="center"/>
                </w:tcPr>
                <w:p w14:paraId="4FA374CD">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1t</w:t>
                  </w:r>
                </w:p>
              </w:tc>
              <w:tc>
                <w:tcPr>
                  <w:tcW w:w="829" w:type="pct"/>
                  <w:tcBorders>
                    <w:tl2br w:val="nil"/>
                    <w:tr2bl w:val="nil"/>
                  </w:tcBorders>
                  <w:noWrap w:val="0"/>
                  <w:vAlign w:val="center"/>
                </w:tcPr>
                <w:p w14:paraId="728A3404">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吸塑</w:t>
                  </w:r>
                </w:p>
              </w:tc>
            </w:tr>
            <w:tr w14:paraId="03AC004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4" w:type="pct"/>
                  <w:tcBorders>
                    <w:tl2br w:val="nil"/>
                    <w:tr2bl w:val="nil"/>
                  </w:tcBorders>
                  <w:noWrap w:val="0"/>
                  <w:vAlign w:val="center"/>
                </w:tcPr>
                <w:p w14:paraId="27A66A0E">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2</w:t>
                  </w:r>
                </w:p>
              </w:tc>
              <w:tc>
                <w:tcPr>
                  <w:tcW w:w="744" w:type="pct"/>
                  <w:tcBorders>
                    <w:tl2br w:val="nil"/>
                    <w:tr2bl w:val="nil"/>
                  </w:tcBorders>
                  <w:noWrap w:val="0"/>
                  <w:vAlign w:val="center"/>
                </w:tcPr>
                <w:p w14:paraId="07ECF23B">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APET塑料膜</w:t>
                  </w:r>
                </w:p>
              </w:tc>
              <w:tc>
                <w:tcPr>
                  <w:tcW w:w="478" w:type="pct"/>
                  <w:tcBorders>
                    <w:tl2br w:val="nil"/>
                    <w:tr2bl w:val="nil"/>
                  </w:tcBorders>
                  <w:noWrap w:val="0"/>
                  <w:vAlign w:val="center"/>
                </w:tcPr>
                <w:p w14:paraId="3B89A568">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100t</w:t>
                  </w:r>
                </w:p>
              </w:tc>
              <w:tc>
                <w:tcPr>
                  <w:tcW w:w="480" w:type="pct"/>
                  <w:tcBorders>
                    <w:tl2br w:val="nil"/>
                    <w:tr2bl w:val="nil"/>
                  </w:tcBorders>
                  <w:noWrap w:val="0"/>
                  <w:vAlign w:val="center"/>
                </w:tcPr>
                <w:p w14:paraId="14827923">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-30t</w:t>
                  </w:r>
                </w:p>
              </w:tc>
              <w:tc>
                <w:tcPr>
                  <w:tcW w:w="576" w:type="pct"/>
                  <w:tcBorders>
                    <w:tl2br w:val="nil"/>
                    <w:tr2bl w:val="nil"/>
                  </w:tcBorders>
                  <w:noWrap w:val="0"/>
                  <w:vAlign w:val="center"/>
                </w:tcPr>
                <w:p w14:paraId="2817B84E">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70</w:t>
                  </w:r>
                  <w:r>
                    <w:rPr>
                      <w:rFonts w:hint="eastAsia" w:cs="Times New Roman"/>
                      <w:color w:val="auto"/>
                      <w:highlight w:val="none"/>
                      <w:vertAlign w:val="baseline"/>
                      <w:lang w:val="en-US" w:eastAsia="zh-CN"/>
                    </w:rPr>
                    <w:t>.9</w:t>
                  </w:r>
                  <w:r>
                    <w:rPr>
                      <w:rFonts w:hint="default" w:ascii="Times New Roman" w:hAnsi="Times New Roman" w:eastAsia="宋体" w:cs="Times New Roman"/>
                      <w:color w:val="auto"/>
                      <w:highlight w:val="none"/>
                      <w:vertAlign w:val="baseline"/>
                      <w:lang w:val="en-US" w:eastAsia="zh-CN"/>
                    </w:rPr>
                    <w:t>t</w:t>
                  </w:r>
                </w:p>
              </w:tc>
              <w:tc>
                <w:tcPr>
                  <w:tcW w:w="344" w:type="pct"/>
                  <w:tcBorders>
                    <w:tl2br w:val="nil"/>
                    <w:tr2bl w:val="nil"/>
                  </w:tcBorders>
                  <w:noWrap w:val="0"/>
                  <w:vAlign w:val="center"/>
                </w:tcPr>
                <w:p w14:paraId="3AFDEEC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固态</w:t>
                  </w:r>
                </w:p>
              </w:tc>
              <w:tc>
                <w:tcPr>
                  <w:tcW w:w="539" w:type="pct"/>
                  <w:tcBorders>
                    <w:tl2br w:val="nil"/>
                    <w:tr2bl w:val="nil"/>
                  </w:tcBorders>
                  <w:noWrap w:val="0"/>
                  <w:vAlign w:val="center"/>
                </w:tcPr>
                <w:p w14:paraId="427CA85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袋装</w:t>
                  </w:r>
                </w:p>
              </w:tc>
              <w:tc>
                <w:tcPr>
                  <w:tcW w:w="661" w:type="pct"/>
                  <w:tcBorders>
                    <w:tl2br w:val="nil"/>
                    <w:tr2bl w:val="nil"/>
                  </w:tcBorders>
                  <w:noWrap w:val="0"/>
                  <w:vAlign w:val="center"/>
                </w:tcPr>
                <w:p w14:paraId="09F8B2E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5t</w:t>
                  </w:r>
                </w:p>
              </w:tc>
              <w:tc>
                <w:tcPr>
                  <w:tcW w:w="829" w:type="pct"/>
                  <w:tcBorders>
                    <w:tl2br w:val="nil"/>
                    <w:tr2bl w:val="nil"/>
                  </w:tcBorders>
                  <w:noWrap w:val="0"/>
                  <w:vAlign w:val="center"/>
                </w:tcPr>
                <w:p w14:paraId="113B539D">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吸塑</w:t>
                  </w:r>
                </w:p>
              </w:tc>
            </w:tr>
            <w:tr w14:paraId="29295BD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4" w:type="pct"/>
                  <w:tcBorders>
                    <w:tl2br w:val="nil"/>
                    <w:tr2bl w:val="nil"/>
                  </w:tcBorders>
                  <w:noWrap w:val="0"/>
                  <w:vAlign w:val="center"/>
                </w:tcPr>
                <w:p w14:paraId="51DE97C8">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3</w:t>
                  </w:r>
                </w:p>
              </w:tc>
              <w:tc>
                <w:tcPr>
                  <w:tcW w:w="744" w:type="pct"/>
                  <w:tcBorders>
                    <w:tl2br w:val="nil"/>
                    <w:tr2bl w:val="nil"/>
                  </w:tcBorders>
                  <w:noWrap w:val="0"/>
                  <w:vAlign w:val="center"/>
                </w:tcPr>
                <w:p w14:paraId="2DCE69FA">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PP塑料膜</w:t>
                  </w:r>
                </w:p>
              </w:tc>
              <w:tc>
                <w:tcPr>
                  <w:tcW w:w="478" w:type="pct"/>
                  <w:tcBorders>
                    <w:tl2br w:val="nil"/>
                    <w:tr2bl w:val="nil"/>
                  </w:tcBorders>
                  <w:noWrap w:val="0"/>
                  <w:vAlign w:val="center"/>
                </w:tcPr>
                <w:p w14:paraId="1AB26DF6">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50t</w:t>
                  </w:r>
                </w:p>
              </w:tc>
              <w:tc>
                <w:tcPr>
                  <w:tcW w:w="480" w:type="pct"/>
                  <w:tcBorders>
                    <w:tl2br w:val="nil"/>
                    <w:tr2bl w:val="nil"/>
                  </w:tcBorders>
                  <w:noWrap w:val="0"/>
                  <w:vAlign w:val="center"/>
                </w:tcPr>
                <w:p w14:paraId="6A55038E">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-40t</w:t>
                  </w:r>
                </w:p>
              </w:tc>
              <w:tc>
                <w:tcPr>
                  <w:tcW w:w="576" w:type="pct"/>
                  <w:tcBorders>
                    <w:tl2br w:val="nil"/>
                    <w:tr2bl w:val="nil"/>
                  </w:tcBorders>
                  <w:noWrap w:val="0"/>
                  <w:vAlign w:val="center"/>
                </w:tcPr>
                <w:p w14:paraId="4D1418C6">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10</w:t>
                  </w:r>
                  <w:r>
                    <w:rPr>
                      <w:rFonts w:hint="eastAsia" w:cs="Times New Roman"/>
                      <w:color w:val="auto"/>
                      <w:highlight w:val="none"/>
                      <w:vertAlign w:val="baseline"/>
                      <w:lang w:val="en-US" w:eastAsia="zh-CN"/>
                    </w:rPr>
                    <w:t>.2</w:t>
                  </w:r>
                  <w:r>
                    <w:rPr>
                      <w:rFonts w:hint="default" w:ascii="Times New Roman" w:hAnsi="Times New Roman" w:eastAsia="宋体" w:cs="Times New Roman"/>
                      <w:color w:val="auto"/>
                      <w:highlight w:val="none"/>
                      <w:vertAlign w:val="baseline"/>
                      <w:lang w:val="en-US" w:eastAsia="zh-CN"/>
                    </w:rPr>
                    <w:t>t</w:t>
                  </w:r>
                </w:p>
              </w:tc>
              <w:tc>
                <w:tcPr>
                  <w:tcW w:w="344" w:type="pct"/>
                  <w:tcBorders>
                    <w:tl2br w:val="nil"/>
                    <w:tr2bl w:val="nil"/>
                  </w:tcBorders>
                  <w:noWrap w:val="0"/>
                  <w:vAlign w:val="center"/>
                </w:tcPr>
                <w:p w14:paraId="63CBF8A6">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固态</w:t>
                  </w:r>
                </w:p>
              </w:tc>
              <w:tc>
                <w:tcPr>
                  <w:tcW w:w="539" w:type="pct"/>
                  <w:tcBorders>
                    <w:tl2br w:val="nil"/>
                    <w:tr2bl w:val="nil"/>
                  </w:tcBorders>
                  <w:noWrap w:val="0"/>
                  <w:vAlign w:val="center"/>
                </w:tcPr>
                <w:p w14:paraId="382C7479">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袋装</w:t>
                  </w:r>
                </w:p>
              </w:tc>
              <w:tc>
                <w:tcPr>
                  <w:tcW w:w="661" w:type="pct"/>
                  <w:tcBorders>
                    <w:tl2br w:val="nil"/>
                    <w:tr2bl w:val="nil"/>
                  </w:tcBorders>
                  <w:noWrap w:val="0"/>
                  <w:vAlign w:val="center"/>
                </w:tcPr>
                <w:p w14:paraId="006589AD">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2t</w:t>
                  </w:r>
                </w:p>
              </w:tc>
              <w:tc>
                <w:tcPr>
                  <w:tcW w:w="829" w:type="pct"/>
                  <w:tcBorders>
                    <w:tl2br w:val="nil"/>
                    <w:tr2bl w:val="nil"/>
                  </w:tcBorders>
                  <w:noWrap w:val="0"/>
                  <w:vAlign w:val="center"/>
                </w:tcPr>
                <w:p w14:paraId="0772867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吸塑</w:t>
                  </w:r>
                </w:p>
              </w:tc>
            </w:tr>
            <w:tr w14:paraId="018C3CB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4" w:type="pct"/>
                  <w:tcBorders>
                    <w:tl2br w:val="nil"/>
                    <w:tr2bl w:val="nil"/>
                  </w:tcBorders>
                  <w:noWrap w:val="0"/>
                  <w:vAlign w:val="center"/>
                </w:tcPr>
                <w:p w14:paraId="6B93C5FC">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4</w:t>
                  </w:r>
                </w:p>
              </w:tc>
              <w:tc>
                <w:tcPr>
                  <w:tcW w:w="744" w:type="pct"/>
                  <w:tcBorders>
                    <w:tl2br w:val="nil"/>
                    <w:tr2bl w:val="nil"/>
                  </w:tcBorders>
                  <w:noWrap w:val="0"/>
                  <w:vAlign w:val="center"/>
                </w:tcPr>
                <w:p w14:paraId="45D91AE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ABS塑料膜</w:t>
                  </w:r>
                </w:p>
              </w:tc>
              <w:tc>
                <w:tcPr>
                  <w:tcW w:w="478" w:type="pct"/>
                  <w:tcBorders>
                    <w:tl2br w:val="nil"/>
                    <w:tr2bl w:val="nil"/>
                  </w:tcBorders>
                  <w:noWrap w:val="0"/>
                  <w:vAlign w:val="center"/>
                </w:tcPr>
                <w:p w14:paraId="51FA784B">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50t</w:t>
                  </w:r>
                </w:p>
              </w:tc>
              <w:tc>
                <w:tcPr>
                  <w:tcW w:w="480" w:type="pct"/>
                  <w:tcBorders>
                    <w:tl2br w:val="nil"/>
                    <w:tr2bl w:val="nil"/>
                  </w:tcBorders>
                  <w:noWrap w:val="0"/>
                  <w:vAlign w:val="center"/>
                </w:tcPr>
                <w:p w14:paraId="722507DE">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-45t</w:t>
                  </w:r>
                </w:p>
              </w:tc>
              <w:tc>
                <w:tcPr>
                  <w:tcW w:w="576" w:type="pct"/>
                  <w:tcBorders>
                    <w:tl2br w:val="nil"/>
                    <w:tr2bl w:val="nil"/>
                  </w:tcBorders>
                  <w:noWrap w:val="0"/>
                  <w:vAlign w:val="center"/>
                </w:tcPr>
                <w:p w14:paraId="0F335123">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5t</w:t>
                  </w:r>
                </w:p>
              </w:tc>
              <w:tc>
                <w:tcPr>
                  <w:tcW w:w="344" w:type="pct"/>
                  <w:tcBorders>
                    <w:tl2br w:val="nil"/>
                    <w:tr2bl w:val="nil"/>
                  </w:tcBorders>
                  <w:noWrap w:val="0"/>
                  <w:vAlign w:val="center"/>
                </w:tcPr>
                <w:p w14:paraId="647DD59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固态</w:t>
                  </w:r>
                </w:p>
              </w:tc>
              <w:tc>
                <w:tcPr>
                  <w:tcW w:w="539" w:type="pct"/>
                  <w:tcBorders>
                    <w:tl2br w:val="nil"/>
                    <w:tr2bl w:val="nil"/>
                  </w:tcBorders>
                  <w:noWrap w:val="0"/>
                  <w:vAlign w:val="center"/>
                </w:tcPr>
                <w:p w14:paraId="538CDB6A">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袋装</w:t>
                  </w:r>
                </w:p>
              </w:tc>
              <w:tc>
                <w:tcPr>
                  <w:tcW w:w="661" w:type="pct"/>
                  <w:tcBorders>
                    <w:tl2br w:val="nil"/>
                    <w:tr2bl w:val="nil"/>
                  </w:tcBorders>
                  <w:noWrap w:val="0"/>
                  <w:vAlign w:val="center"/>
                </w:tcPr>
                <w:p w14:paraId="7166C0D9">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1t</w:t>
                  </w:r>
                </w:p>
              </w:tc>
              <w:tc>
                <w:tcPr>
                  <w:tcW w:w="829" w:type="pct"/>
                  <w:tcBorders>
                    <w:tl2br w:val="nil"/>
                    <w:tr2bl w:val="nil"/>
                  </w:tcBorders>
                  <w:noWrap w:val="0"/>
                  <w:vAlign w:val="center"/>
                </w:tcPr>
                <w:p w14:paraId="45964A9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吸塑</w:t>
                  </w:r>
                </w:p>
              </w:tc>
            </w:tr>
            <w:tr w14:paraId="22B5BAD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4" w:type="pct"/>
                  <w:tcBorders>
                    <w:tl2br w:val="nil"/>
                    <w:tr2bl w:val="nil"/>
                  </w:tcBorders>
                  <w:noWrap w:val="0"/>
                  <w:vAlign w:val="center"/>
                </w:tcPr>
                <w:p w14:paraId="667AA11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5</w:t>
                  </w:r>
                </w:p>
              </w:tc>
              <w:tc>
                <w:tcPr>
                  <w:tcW w:w="744" w:type="pct"/>
                  <w:tcBorders>
                    <w:tl2br w:val="nil"/>
                    <w:tr2bl w:val="nil"/>
                  </w:tcBorders>
                  <w:noWrap w:val="0"/>
                  <w:vAlign w:val="center"/>
                </w:tcPr>
                <w:p w14:paraId="6618E0AE">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HTPS塑料膜</w:t>
                  </w:r>
                </w:p>
              </w:tc>
              <w:tc>
                <w:tcPr>
                  <w:tcW w:w="478" w:type="pct"/>
                  <w:tcBorders>
                    <w:tl2br w:val="nil"/>
                    <w:tr2bl w:val="nil"/>
                  </w:tcBorders>
                  <w:noWrap w:val="0"/>
                  <w:vAlign w:val="center"/>
                </w:tcPr>
                <w:p w14:paraId="2CF4898B">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50t</w:t>
                  </w:r>
                </w:p>
              </w:tc>
              <w:tc>
                <w:tcPr>
                  <w:tcW w:w="480" w:type="pct"/>
                  <w:tcBorders>
                    <w:tl2br w:val="nil"/>
                    <w:tr2bl w:val="nil"/>
                  </w:tcBorders>
                  <w:noWrap w:val="0"/>
                  <w:vAlign w:val="center"/>
                </w:tcPr>
                <w:p w14:paraId="7968EC01">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+10t</w:t>
                  </w:r>
                </w:p>
              </w:tc>
              <w:tc>
                <w:tcPr>
                  <w:tcW w:w="576" w:type="pct"/>
                  <w:tcBorders>
                    <w:tl2br w:val="nil"/>
                    <w:tr2bl w:val="nil"/>
                  </w:tcBorders>
                  <w:noWrap w:val="0"/>
                  <w:vAlign w:val="center"/>
                </w:tcPr>
                <w:p w14:paraId="498A9613">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60</w:t>
                  </w:r>
                  <w:r>
                    <w:rPr>
                      <w:rFonts w:hint="eastAsia" w:cs="Times New Roman"/>
                      <w:color w:val="auto"/>
                      <w:highlight w:val="none"/>
                      <w:vertAlign w:val="baseline"/>
                      <w:lang w:val="en-US" w:eastAsia="zh-CN"/>
                    </w:rPr>
                    <w:t>.9</w:t>
                  </w:r>
                  <w:r>
                    <w:rPr>
                      <w:rFonts w:hint="default" w:ascii="Times New Roman" w:hAnsi="Times New Roman" w:eastAsia="宋体" w:cs="Times New Roman"/>
                      <w:color w:val="auto"/>
                      <w:highlight w:val="none"/>
                      <w:vertAlign w:val="baseline"/>
                      <w:lang w:val="en-US" w:eastAsia="zh-CN"/>
                    </w:rPr>
                    <w:t>t</w:t>
                  </w:r>
                </w:p>
              </w:tc>
              <w:tc>
                <w:tcPr>
                  <w:tcW w:w="344" w:type="pct"/>
                  <w:tcBorders>
                    <w:tl2br w:val="nil"/>
                    <w:tr2bl w:val="nil"/>
                  </w:tcBorders>
                  <w:noWrap w:val="0"/>
                  <w:vAlign w:val="center"/>
                </w:tcPr>
                <w:p w14:paraId="722B2D0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固态</w:t>
                  </w:r>
                </w:p>
              </w:tc>
              <w:tc>
                <w:tcPr>
                  <w:tcW w:w="539" w:type="pct"/>
                  <w:tcBorders>
                    <w:tl2br w:val="nil"/>
                    <w:tr2bl w:val="nil"/>
                  </w:tcBorders>
                  <w:noWrap w:val="0"/>
                  <w:vAlign w:val="center"/>
                </w:tcPr>
                <w:p w14:paraId="45A02039">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袋装</w:t>
                  </w:r>
                </w:p>
              </w:tc>
              <w:tc>
                <w:tcPr>
                  <w:tcW w:w="661" w:type="pct"/>
                  <w:tcBorders>
                    <w:tl2br w:val="nil"/>
                    <w:tr2bl w:val="nil"/>
                  </w:tcBorders>
                  <w:noWrap w:val="0"/>
                  <w:vAlign w:val="center"/>
                </w:tcPr>
                <w:p w14:paraId="6664880A">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5t</w:t>
                  </w:r>
                </w:p>
              </w:tc>
              <w:tc>
                <w:tcPr>
                  <w:tcW w:w="829" w:type="pct"/>
                  <w:tcBorders>
                    <w:tl2br w:val="nil"/>
                    <w:tr2bl w:val="nil"/>
                  </w:tcBorders>
                  <w:noWrap w:val="0"/>
                  <w:vAlign w:val="center"/>
                </w:tcPr>
                <w:p w14:paraId="6C8956AA">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吸塑</w:t>
                  </w:r>
                </w:p>
              </w:tc>
            </w:tr>
            <w:tr w14:paraId="18E02CF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4" w:type="pct"/>
                  <w:tcBorders>
                    <w:tl2br w:val="nil"/>
                    <w:tr2bl w:val="nil"/>
                  </w:tcBorders>
                  <w:noWrap w:val="0"/>
                  <w:vAlign w:val="center"/>
                </w:tcPr>
                <w:p w14:paraId="2A30F223">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6</w:t>
                  </w:r>
                </w:p>
              </w:tc>
              <w:tc>
                <w:tcPr>
                  <w:tcW w:w="744" w:type="pct"/>
                  <w:tcBorders>
                    <w:tl2br w:val="nil"/>
                    <w:tr2bl w:val="nil"/>
                  </w:tcBorders>
                  <w:noWrap w:val="0"/>
                  <w:vAlign w:val="center"/>
                </w:tcPr>
                <w:p w14:paraId="35CBB141">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纸板</w:t>
                  </w:r>
                </w:p>
              </w:tc>
              <w:tc>
                <w:tcPr>
                  <w:tcW w:w="478" w:type="pct"/>
                  <w:tcBorders>
                    <w:tl2br w:val="nil"/>
                    <w:tr2bl w:val="nil"/>
                  </w:tcBorders>
                  <w:noWrap w:val="0"/>
                  <w:vAlign w:val="center"/>
                </w:tcPr>
                <w:p w14:paraId="1E6ED524">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42t</w:t>
                  </w:r>
                </w:p>
              </w:tc>
              <w:tc>
                <w:tcPr>
                  <w:tcW w:w="480" w:type="pct"/>
                  <w:tcBorders>
                    <w:tl2br w:val="nil"/>
                    <w:tr2bl w:val="nil"/>
                  </w:tcBorders>
                  <w:noWrap w:val="0"/>
                  <w:vAlign w:val="center"/>
                </w:tcPr>
                <w:p w14:paraId="7A991F48">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+58t</w:t>
                  </w:r>
                </w:p>
              </w:tc>
              <w:tc>
                <w:tcPr>
                  <w:tcW w:w="576" w:type="pct"/>
                  <w:tcBorders>
                    <w:tl2br w:val="nil"/>
                    <w:tr2bl w:val="nil"/>
                  </w:tcBorders>
                  <w:noWrap w:val="0"/>
                  <w:vAlign w:val="center"/>
                </w:tcPr>
                <w:p w14:paraId="3CE9399B">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100t</w:t>
                  </w:r>
                </w:p>
              </w:tc>
              <w:tc>
                <w:tcPr>
                  <w:tcW w:w="344" w:type="pct"/>
                  <w:tcBorders>
                    <w:tl2br w:val="nil"/>
                    <w:tr2bl w:val="nil"/>
                  </w:tcBorders>
                  <w:noWrap w:val="0"/>
                  <w:vAlign w:val="center"/>
                </w:tcPr>
                <w:p w14:paraId="19C74001">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固态</w:t>
                  </w:r>
                </w:p>
              </w:tc>
              <w:tc>
                <w:tcPr>
                  <w:tcW w:w="539" w:type="pct"/>
                  <w:tcBorders>
                    <w:tl2br w:val="nil"/>
                    <w:tr2bl w:val="nil"/>
                  </w:tcBorders>
                  <w:noWrap w:val="0"/>
                  <w:vAlign w:val="center"/>
                </w:tcPr>
                <w:p w14:paraId="1F6D010E">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捆装</w:t>
                  </w:r>
                </w:p>
              </w:tc>
              <w:tc>
                <w:tcPr>
                  <w:tcW w:w="661" w:type="pct"/>
                  <w:tcBorders>
                    <w:tl2br w:val="nil"/>
                    <w:tr2bl w:val="nil"/>
                  </w:tcBorders>
                  <w:noWrap w:val="0"/>
                  <w:vAlign w:val="center"/>
                </w:tcPr>
                <w:p w14:paraId="0242FFDC">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5t</w:t>
                  </w:r>
                </w:p>
              </w:tc>
              <w:tc>
                <w:tcPr>
                  <w:tcW w:w="829" w:type="pct"/>
                  <w:tcBorders>
                    <w:tl2br w:val="nil"/>
                    <w:tr2bl w:val="nil"/>
                  </w:tcBorders>
                  <w:noWrap w:val="0"/>
                  <w:vAlign w:val="center"/>
                </w:tcPr>
                <w:p w14:paraId="3D39B57A">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纸箱制作</w:t>
                  </w:r>
                </w:p>
              </w:tc>
            </w:tr>
            <w:tr w14:paraId="3A73967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4" w:type="pct"/>
                  <w:tcBorders>
                    <w:tl2br w:val="nil"/>
                    <w:tr2bl w:val="nil"/>
                  </w:tcBorders>
                  <w:noWrap w:val="0"/>
                  <w:vAlign w:val="center"/>
                </w:tcPr>
                <w:p w14:paraId="53A4FB6B">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7</w:t>
                  </w:r>
                </w:p>
              </w:tc>
              <w:tc>
                <w:tcPr>
                  <w:tcW w:w="744" w:type="pct"/>
                  <w:tcBorders>
                    <w:tl2br w:val="nil"/>
                    <w:tr2bl w:val="nil"/>
                  </w:tcBorders>
                  <w:noWrap w:val="0"/>
                  <w:vAlign w:val="center"/>
                </w:tcPr>
                <w:p w14:paraId="7F393BCA">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水性油墨</w:t>
                  </w:r>
                </w:p>
              </w:tc>
              <w:tc>
                <w:tcPr>
                  <w:tcW w:w="478" w:type="pct"/>
                  <w:tcBorders>
                    <w:tl2br w:val="nil"/>
                    <w:tr2bl w:val="nil"/>
                  </w:tcBorders>
                  <w:noWrap w:val="0"/>
                  <w:vAlign w:val="center"/>
                </w:tcPr>
                <w:p w14:paraId="326DE9D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120kg</w:t>
                  </w:r>
                </w:p>
              </w:tc>
              <w:tc>
                <w:tcPr>
                  <w:tcW w:w="480" w:type="pct"/>
                  <w:tcBorders>
                    <w:tl2br w:val="nil"/>
                    <w:tr2bl w:val="nil"/>
                  </w:tcBorders>
                  <w:noWrap w:val="0"/>
                  <w:vAlign w:val="center"/>
                </w:tcPr>
                <w:p w14:paraId="026E737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+24kg</w:t>
                  </w:r>
                </w:p>
              </w:tc>
              <w:tc>
                <w:tcPr>
                  <w:tcW w:w="576" w:type="pct"/>
                  <w:tcBorders>
                    <w:tl2br w:val="nil"/>
                    <w:tr2bl w:val="nil"/>
                  </w:tcBorders>
                  <w:noWrap w:val="0"/>
                  <w:vAlign w:val="center"/>
                </w:tcPr>
                <w:p w14:paraId="248D465E">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144kg</w:t>
                  </w:r>
                </w:p>
              </w:tc>
              <w:tc>
                <w:tcPr>
                  <w:tcW w:w="344" w:type="pct"/>
                  <w:tcBorders>
                    <w:tl2br w:val="nil"/>
                    <w:tr2bl w:val="nil"/>
                  </w:tcBorders>
                  <w:noWrap w:val="0"/>
                  <w:vAlign w:val="center"/>
                </w:tcPr>
                <w:p w14:paraId="48BBC301">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液态</w:t>
                  </w:r>
                </w:p>
              </w:tc>
              <w:tc>
                <w:tcPr>
                  <w:tcW w:w="539" w:type="pct"/>
                  <w:tcBorders>
                    <w:tl2br w:val="nil"/>
                    <w:tr2bl w:val="nil"/>
                  </w:tcBorders>
                  <w:noWrap w:val="0"/>
                  <w:vAlign w:val="center"/>
                </w:tcPr>
                <w:p w14:paraId="5104AA3B">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桶装</w:t>
                  </w:r>
                </w:p>
              </w:tc>
              <w:tc>
                <w:tcPr>
                  <w:tcW w:w="661" w:type="pct"/>
                  <w:tcBorders>
                    <w:tl2br w:val="nil"/>
                    <w:tr2bl w:val="nil"/>
                  </w:tcBorders>
                  <w:noWrap w:val="0"/>
                  <w:vAlign w:val="center"/>
                </w:tcPr>
                <w:p w14:paraId="58877BC0">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50kg</w:t>
                  </w:r>
                </w:p>
              </w:tc>
              <w:tc>
                <w:tcPr>
                  <w:tcW w:w="829" w:type="pct"/>
                  <w:tcBorders>
                    <w:tl2br w:val="nil"/>
                    <w:tr2bl w:val="nil"/>
                  </w:tcBorders>
                  <w:noWrap w:val="0"/>
                  <w:vAlign w:val="center"/>
                </w:tcPr>
                <w:p w14:paraId="40C55985">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印刷</w:t>
                  </w:r>
                </w:p>
              </w:tc>
            </w:tr>
            <w:tr w14:paraId="319755D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4" w:type="pct"/>
                  <w:tcBorders>
                    <w:tl2br w:val="nil"/>
                    <w:tr2bl w:val="nil"/>
                  </w:tcBorders>
                  <w:noWrap w:val="0"/>
                  <w:vAlign w:val="center"/>
                </w:tcPr>
                <w:p w14:paraId="3B13092E">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8</w:t>
                  </w:r>
                </w:p>
              </w:tc>
              <w:tc>
                <w:tcPr>
                  <w:tcW w:w="744" w:type="pct"/>
                  <w:tcBorders>
                    <w:tl2br w:val="nil"/>
                    <w:tr2bl w:val="nil"/>
                  </w:tcBorders>
                  <w:noWrap w:val="0"/>
                  <w:vAlign w:val="center"/>
                </w:tcPr>
                <w:p w14:paraId="19B959AE">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机油</w:t>
                  </w:r>
                </w:p>
              </w:tc>
              <w:tc>
                <w:tcPr>
                  <w:tcW w:w="478" w:type="pct"/>
                  <w:tcBorders>
                    <w:tl2br w:val="nil"/>
                    <w:tr2bl w:val="nil"/>
                  </w:tcBorders>
                  <w:noWrap w:val="0"/>
                  <w:vAlign w:val="center"/>
                </w:tcPr>
                <w:p w14:paraId="688E53CE">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0</w:t>
                  </w:r>
                </w:p>
              </w:tc>
              <w:tc>
                <w:tcPr>
                  <w:tcW w:w="480" w:type="pct"/>
                  <w:tcBorders>
                    <w:tl2br w:val="nil"/>
                    <w:tr2bl w:val="nil"/>
                  </w:tcBorders>
                  <w:noWrap w:val="0"/>
                  <w:vAlign w:val="center"/>
                </w:tcPr>
                <w:p w14:paraId="6FEC19A0">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+0.01t</w:t>
                  </w:r>
                </w:p>
              </w:tc>
              <w:tc>
                <w:tcPr>
                  <w:tcW w:w="576" w:type="pct"/>
                  <w:tcBorders>
                    <w:tl2br w:val="nil"/>
                    <w:tr2bl w:val="nil"/>
                  </w:tcBorders>
                  <w:noWrap w:val="0"/>
                  <w:vAlign w:val="center"/>
                </w:tcPr>
                <w:p w14:paraId="311042F4">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0.01t</w:t>
                  </w:r>
                </w:p>
              </w:tc>
              <w:tc>
                <w:tcPr>
                  <w:tcW w:w="344" w:type="pct"/>
                  <w:tcBorders>
                    <w:tl2br w:val="nil"/>
                    <w:tr2bl w:val="nil"/>
                  </w:tcBorders>
                  <w:noWrap w:val="0"/>
                  <w:vAlign w:val="center"/>
                </w:tcPr>
                <w:p w14:paraId="4677832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液态</w:t>
                  </w:r>
                </w:p>
              </w:tc>
              <w:tc>
                <w:tcPr>
                  <w:tcW w:w="539" w:type="pct"/>
                  <w:tcBorders>
                    <w:tl2br w:val="nil"/>
                    <w:tr2bl w:val="nil"/>
                  </w:tcBorders>
                  <w:noWrap w:val="0"/>
                  <w:vAlign w:val="center"/>
                </w:tcPr>
                <w:p w14:paraId="279EF175">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桶装</w:t>
                  </w:r>
                </w:p>
              </w:tc>
              <w:tc>
                <w:tcPr>
                  <w:tcW w:w="661" w:type="pct"/>
                  <w:tcBorders>
                    <w:tl2br w:val="nil"/>
                    <w:tr2bl w:val="nil"/>
                  </w:tcBorders>
                  <w:noWrap w:val="0"/>
                  <w:vAlign w:val="center"/>
                </w:tcPr>
                <w:p w14:paraId="75BB3B37">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0.01t</w:t>
                  </w:r>
                </w:p>
              </w:tc>
              <w:tc>
                <w:tcPr>
                  <w:tcW w:w="829" w:type="pct"/>
                  <w:tcBorders>
                    <w:tl2br w:val="nil"/>
                    <w:tr2bl w:val="nil"/>
                  </w:tcBorders>
                  <w:noWrap w:val="0"/>
                  <w:vAlign w:val="center"/>
                </w:tcPr>
                <w:p w14:paraId="4FD57B27">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设施保养和维护</w:t>
                  </w:r>
                </w:p>
              </w:tc>
            </w:tr>
          </w:tbl>
          <w:p w14:paraId="37DE0094">
            <w:pPr>
              <w:keepNext w:val="0"/>
              <w:keepLines w:val="0"/>
              <w:suppressLineNumbers w:val="0"/>
              <w:adjustRightInd w:val="0"/>
              <w:snapToGrid w:val="0"/>
              <w:spacing w:before="120" w:beforeLines="50" w:beforeAutospacing="0" w:after="0" w:afterAutospacing="0" w:line="360" w:lineRule="auto"/>
              <w:ind w:left="0" w:right="0" w:firstLine="422" w:firstLineChars="200"/>
              <w:jc w:val="left"/>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主要原辅料理化性质：</w:t>
            </w:r>
          </w:p>
          <w:p w14:paraId="156E99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2" w:firstLineChars="20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highlight w:val="none"/>
                <w:lang w:val="en-US" w:eastAsia="zh-CN"/>
              </w:rPr>
              <w:t>PVC塑料膜：</w:t>
            </w:r>
            <w:r>
              <w:rPr>
                <w:rFonts w:hint="default" w:ascii="Times New Roman" w:hAnsi="Times New Roman" w:eastAsia="宋体" w:cs="Times New Roman"/>
                <w:color w:val="auto"/>
                <w:highlight w:val="none"/>
                <w:lang w:val="en-US" w:eastAsia="zh-CN"/>
              </w:rPr>
              <w:t>PVC（聚氯乙烯）是由氯乙烯单体聚合而成的热塑性聚合物，外观通常为白色或浅黄色，硬质PVC呈坚硬固体</w:t>
            </w:r>
            <w:r>
              <w:rPr>
                <w:rFonts w:hint="eastAsia" w:cs="Times New Roman"/>
                <w:color w:val="auto"/>
                <w:highlight w:val="none"/>
                <w:lang w:val="en-US" w:eastAsia="zh-CN"/>
              </w:rPr>
              <w:t>片</w:t>
            </w:r>
            <w:r>
              <w:rPr>
                <w:rFonts w:hint="default" w:ascii="Times New Roman" w:hAnsi="Times New Roman" w:eastAsia="宋体" w:cs="Times New Roman"/>
                <w:color w:val="auto"/>
                <w:highlight w:val="none"/>
                <w:lang w:val="en-US" w:eastAsia="zh-CN"/>
              </w:rPr>
              <w:t>状，软质PVC则柔韧有弹性；其相对密度为1.3~1.6，具有耐腐蚀、绝缘性佳、阻燃（氧指数</w:t>
            </w:r>
            <w:r>
              <w:rPr>
                <w:rFonts w:hint="default" w:ascii="Times New Roman" w:hAnsi="Times New Roman" w:cs="Times New Roman"/>
                <w:color w:val="auto"/>
                <w:highlight w:val="none"/>
                <w:lang w:val="en-US" w:eastAsia="zh-CN"/>
              </w:rPr>
              <w:t>≥</w:t>
            </w:r>
            <w:r>
              <w:rPr>
                <w:rFonts w:hint="default" w:ascii="Times New Roman" w:hAnsi="Times New Roman" w:eastAsia="宋体" w:cs="Times New Roman"/>
                <w:color w:val="auto"/>
                <w:highlight w:val="none"/>
                <w:lang w:val="en-US" w:eastAsia="zh-CN"/>
              </w:rPr>
              <w:t>40）等特性，但耐热性较差，熔融温度约160~210℃，热稳定性低，分解温度在200℃以上，高温下易释放氯化氢等有毒气体。该材料可通过添加增塑剂、稳定剂等改性，广泛应用于建材、电缆、日用品等领域，但需避免高温加工及接触食品类用途。</w:t>
            </w:r>
          </w:p>
          <w:p w14:paraId="7A978E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2" w:firstLineChars="20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highlight w:val="none"/>
                <w:lang w:val="en-US" w:eastAsia="zh-CN"/>
              </w:rPr>
              <w:t>APET塑料膜：</w:t>
            </w:r>
            <w:r>
              <w:rPr>
                <w:rFonts w:hint="default" w:ascii="Times New Roman" w:hAnsi="Times New Roman" w:eastAsia="宋体" w:cs="Times New Roman"/>
                <w:color w:val="auto"/>
                <w:highlight w:val="none"/>
                <w:lang w:val="en-US" w:eastAsia="zh-CN"/>
              </w:rPr>
              <w:t>APET（非结晶型聚对苯二甲酸乙二醇酯）是由对苯二甲酸和乙二醇缩聚而成的聚酯类热塑性塑料，外观通常为透明或半透明的片材或薄膜，表面光滑且光泽度高；其相对密度约为1.33-1.40，具有优异的透明度、高机械强度、耐油脂及溶剂腐蚀性，以及良好的加工成型性和可回收性，但吸湿性较强，加工前需充分干燥。熔融温度范围在250-260℃之间，分解温度高于270℃，热稳定性较好，但在高温或长时间加热时会降解产生二氧化碳等气体。</w:t>
            </w:r>
          </w:p>
          <w:p w14:paraId="4A1275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2" w:firstLineChars="20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highlight w:val="none"/>
                <w:lang w:val="en-US" w:eastAsia="zh-CN"/>
              </w:rPr>
              <w:t>PP塑料膜：</w:t>
            </w:r>
            <w:r>
              <w:rPr>
                <w:rFonts w:hint="default" w:ascii="Times New Roman" w:hAnsi="Times New Roman" w:eastAsia="宋体" w:cs="Times New Roman"/>
                <w:color w:val="auto"/>
                <w:highlight w:val="none"/>
                <w:lang w:val="en-US" w:eastAsia="zh-CN"/>
              </w:rPr>
              <w:t>PP（聚丙烯）是由丙烯单体通过聚合反应生成的线型热塑性聚合物，外观通常为半透明至乳白色片材，表面光滑且易着色；其相对密度约为0.89~0.91，是常见塑料中最轻的品种之一。PP具有优异的耐化学腐蚀性（耐酸、碱及有机溶剂）、高绝缘性、良好的抗疲劳性及可反复弯折的铰链特性，但低温脆性明显（脆化温度约-10℃），耐候性较差。熔融温度范围为160-170℃，软化点约140℃，分解温度高于300℃，加工时需避免高温氧化。</w:t>
            </w:r>
          </w:p>
          <w:p w14:paraId="2A9F94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2" w:firstLineChars="20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highlight w:val="none"/>
                <w:lang w:val="en-US" w:eastAsia="zh-CN"/>
              </w:rPr>
              <w:t>ABS塑料膜：</w:t>
            </w:r>
            <w:r>
              <w:rPr>
                <w:rFonts w:hint="default" w:ascii="Times New Roman" w:hAnsi="Times New Roman" w:eastAsia="宋体" w:cs="Times New Roman"/>
                <w:color w:val="auto"/>
                <w:highlight w:val="none"/>
                <w:lang w:val="en-US" w:eastAsia="zh-CN"/>
              </w:rPr>
              <w:t>ABS（丙烯腈-丁二烯-苯乙烯共聚物）是由丙烯腈、丁二烯和苯乙烯三种单体通过接枝共聚制备的热塑性工程塑料，外观为浅象牙色或不透明的米白色</w:t>
            </w:r>
            <w:r>
              <w:rPr>
                <w:rFonts w:hint="eastAsia" w:cs="Times New Roman"/>
                <w:color w:val="auto"/>
                <w:highlight w:val="none"/>
                <w:lang w:val="en-US" w:eastAsia="zh-CN"/>
              </w:rPr>
              <w:t>片材</w:t>
            </w:r>
            <w:r>
              <w:rPr>
                <w:rFonts w:hint="default" w:ascii="Times New Roman" w:hAnsi="Times New Roman" w:eastAsia="宋体" w:cs="Times New Roman"/>
                <w:color w:val="auto"/>
                <w:highlight w:val="none"/>
                <w:lang w:val="en-US" w:eastAsia="zh-CN"/>
              </w:rPr>
              <w:t>，表面平滑且易着色；其相对密度约为1.03-1.07，综合性能优异，兼具丙烯腈的耐化学腐蚀性、丁二烯的韧性与抗冲击性（常温缺口冲击强度可达20kJ/m²以上）以及苯乙烯的刚性和易加工性，但耐候性较差，长期暴露于紫外线易黄化脆化。熔融温度范围在210-240℃之间，分解温度约270℃，加工时需严格控制温度以避免过热降解。</w:t>
            </w:r>
          </w:p>
          <w:p w14:paraId="503D3EE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2" w:firstLineChars="20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highlight w:val="none"/>
                <w:lang w:val="en-US" w:eastAsia="zh-CN"/>
              </w:rPr>
              <w:t>HTPS塑料膜：</w:t>
            </w:r>
            <w:r>
              <w:rPr>
                <w:rFonts w:hint="default" w:ascii="Times New Roman" w:hAnsi="Times New Roman" w:eastAsia="宋体" w:cs="Times New Roman"/>
                <w:color w:val="auto"/>
                <w:highlight w:val="none"/>
                <w:lang w:val="en-US" w:eastAsia="zh-CN"/>
              </w:rPr>
              <w:t>HTPS（耐高温聚苯乙烯）通常指通过化学改性（如引入刚性基团或共聚单体）或物理增强（如玻璃纤维填充）提升耐热性能的聚苯乙烯基热塑性塑料，外观为乳白色至浅黄色不透明片材，表面光滑；相对密度约为1.06-1.20（依增强剂含量不同而异），具有较高的热变形温度（可达100-120℃）、良好的尺寸稳定性及电绝缘性，同时保留聚苯乙烯的易加工性和低成本优势，但韧性较低，易脆裂。其熔融温度范围在200-240℃之间，分解温度约300-350℃，加工时需避免高温停留时间过长以防降解。</w:t>
            </w:r>
          </w:p>
          <w:p w14:paraId="0FACE451">
            <w:pPr>
              <w:keepNext w:val="0"/>
              <w:keepLines w:val="0"/>
              <w:suppressLineNumbers w:val="0"/>
              <w:adjustRightInd w:val="0"/>
              <w:snapToGrid w:val="0"/>
              <w:spacing w:before="0" w:beforeAutospacing="0" w:after="0" w:afterAutospacing="0" w:line="360" w:lineRule="auto"/>
              <w:ind w:left="0" w:right="0" w:firstLine="422" w:firstLineChars="200"/>
              <w:rPr>
                <w:rFonts w:hint="default" w:ascii="Times New Roman" w:hAnsi="Times New Roman" w:eastAsia="宋体" w:cs="Times New Roman"/>
                <w:b/>
                <w:bCs/>
                <w:color w:val="auto"/>
                <w:highlight w:val="none"/>
                <w:lang w:val="en-US" w:eastAsia="zh-CN"/>
              </w:rPr>
            </w:pPr>
            <w:r>
              <w:rPr>
                <w:rFonts w:hint="default" w:ascii="Times New Roman" w:hAnsi="Times New Roman" w:eastAsia="宋体" w:cs="Times New Roman"/>
                <w:b/>
                <w:bCs/>
                <w:color w:val="auto"/>
                <w:highlight w:val="none"/>
                <w:lang w:val="en-US" w:eastAsia="zh-CN"/>
              </w:rPr>
              <w:t>水性油墨：</w:t>
            </w:r>
            <w:r>
              <w:rPr>
                <w:rFonts w:hint="default" w:ascii="Times New Roman" w:hAnsi="Times New Roman" w:eastAsia="宋体" w:cs="Times New Roman"/>
                <w:color w:val="auto"/>
                <w:highlight w:val="none"/>
                <w:lang w:val="en-US" w:eastAsia="zh-CN"/>
              </w:rPr>
              <w:t>根据MSDS，其主要成分为颜料（黑色）25%~40%、水性丙烯酸颜料50%~75%、水5~10%、消泡剂0.2~0.5%，常温下为液态，不含有机溶剂，根据其VOCs含量检测报告，</w:t>
            </w:r>
            <w:r>
              <w:rPr>
                <w:rFonts w:hint="default" w:ascii="Times New Roman" w:hAnsi="Times New Roman" w:eastAsia="宋体" w:cs="Times New Roman"/>
                <w:color w:val="auto"/>
                <w:sz w:val="21"/>
                <w:szCs w:val="21"/>
                <w:highlight w:val="none"/>
              </w:rPr>
              <w:t>水性油墨VOCs含量为</w:t>
            </w:r>
            <w:r>
              <w:rPr>
                <w:rFonts w:hint="default" w:ascii="Times New Roman" w:hAnsi="Times New Roman" w:eastAsia="宋体" w:cs="Times New Roman"/>
                <w:color w:val="auto"/>
                <w:sz w:val="21"/>
                <w:szCs w:val="21"/>
                <w:highlight w:val="none"/>
                <w:lang w:val="en-US" w:eastAsia="zh-CN"/>
              </w:rPr>
              <w:t>未检出，小于5</w:t>
            </w:r>
            <w:r>
              <w:rPr>
                <w:rFonts w:hint="default" w:ascii="Times New Roman" w:hAnsi="Times New Roman" w:eastAsia="宋体" w:cs="Times New Roman"/>
                <w:color w:val="auto"/>
                <w:sz w:val="21"/>
                <w:szCs w:val="21"/>
                <w:highlight w:val="none"/>
              </w:rPr>
              <w:t>%，满足《油墨中可挥发性有机化合物（VOCs）含量的限值》（GB38507-2020）</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水</w:t>
            </w:r>
            <w:r>
              <w:rPr>
                <w:rFonts w:hint="default" w:ascii="Times New Roman" w:hAnsi="Times New Roman" w:eastAsia="宋体" w:cs="Times New Roman"/>
                <w:color w:val="auto"/>
                <w:sz w:val="21"/>
                <w:szCs w:val="21"/>
                <w:highlight w:val="none"/>
              </w:rPr>
              <w:t>性油墨—</w:t>
            </w:r>
            <w:r>
              <w:rPr>
                <w:rFonts w:hint="default" w:ascii="Times New Roman" w:hAnsi="Times New Roman" w:eastAsia="宋体" w:cs="Times New Roman"/>
                <w:color w:val="auto"/>
                <w:sz w:val="21"/>
                <w:szCs w:val="21"/>
                <w:highlight w:val="none"/>
                <w:lang w:val="en-US" w:eastAsia="zh-CN"/>
              </w:rPr>
              <w:t>柔性油墨—吸收性承印</w:t>
            </w:r>
            <w:r>
              <w:rPr>
                <w:rFonts w:hint="eastAsia" w:ascii="宋体" w:hAnsi="宋体" w:eastAsia="宋体" w:cs="宋体"/>
                <w:color w:val="auto"/>
                <w:sz w:val="21"/>
                <w:szCs w:val="21"/>
                <w:highlight w:val="none"/>
                <w:lang w:val="en-US" w:eastAsia="zh-CN"/>
              </w:rPr>
              <w:t>物”</w:t>
            </w:r>
            <w:r>
              <w:rPr>
                <w:rFonts w:hint="eastAsia" w:ascii="宋体" w:hAnsi="宋体" w:eastAsia="宋体" w:cs="宋体"/>
                <w:color w:val="auto"/>
                <w:sz w:val="21"/>
                <w:szCs w:val="21"/>
                <w:highlight w:val="none"/>
              </w:rPr>
              <w:t>的</w:t>
            </w:r>
            <w:r>
              <w:rPr>
                <w:rFonts w:hint="default" w:ascii="Times New Roman" w:hAnsi="Times New Roman" w:eastAsia="宋体" w:cs="Times New Roman"/>
                <w:color w:val="auto"/>
                <w:sz w:val="21"/>
                <w:szCs w:val="21"/>
                <w:highlight w:val="none"/>
              </w:rPr>
              <w:t>标准要求（≤</w:t>
            </w:r>
            <w:r>
              <w:rPr>
                <w:rFonts w:hint="default" w:ascii="Times New Roman" w:hAnsi="Times New Roman" w:eastAsia="宋体"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rPr>
              <w:t>%），属于低挥发性有机物含量的</w:t>
            </w:r>
            <w:r>
              <w:rPr>
                <w:rFonts w:hint="default" w:ascii="Times New Roman" w:hAnsi="Times New Roman" w:eastAsia="宋体" w:cs="Times New Roman"/>
                <w:color w:val="auto"/>
                <w:sz w:val="21"/>
                <w:szCs w:val="21"/>
                <w:highlight w:val="none"/>
                <w:lang w:val="en-US" w:eastAsia="zh-CN"/>
              </w:rPr>
              <w:t>油墨</w:t>
            </w:r>
            <w:r>
              <w:rPr>
                <w:rFonts w:hint="default" w:ascii="Times New Roman" w:hAnsi="Times New Roman" w:eastAsia="宋体" w:cs="Times New Roman"/>
                <w:color w:val="auto"/>
                <w:sz w:val="21"/>
                <w:szCs w:val="21"/>
                <w:highlight w:val="none"/>
                <w:lang w:eastAsia="zh-CN"/>
              </w:rPr>
              <w:t>。</w:t>
            </w:r>
          </w:p>
          <w:p w14:paraId="15EB12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2" w:firstLineChars="20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bCs/>
                <w:color w:val="auto"/>
                <w:highlight w:val="none"/>
                <w:lang w:val="en-US" w:eastAsia="zh-CN"/>
              </w:rPr>
              <w:t>机油：</w:t>
            </w:r>
            <w:r>
              <w:rPr>
                <w:rFonts w:hint="default" w:ascii="Times New Roman" w:hAnsi="Times New Roman" w:eastAsia="宋体" w:cs="Times New Roman"/>
                <w:color w:val="auto"/>
                <w:highlight w:val="none"/>
                <w:lang w:val="en-US" w:eastAsia="zh-CN"/>
              </w:rPr>
              <w:t>是用在各种类型机械设备上以减少摩擦，保护机械及加工件的液体或半固体润滑剂，主要起润滑、辅助冷却、防锈、清洁、密封和缓冲等作用。</w:t>
            </w:r>
          </w:p>
          <w:p w14:paraId="7C86A772">
            <w:pPr>
              <w:keepNext w:val="0"/>
              <w:keepLines w:val="0"/>
              <w:suppressLineNumbers w:val="0"/>
              <w:spacing w:before="0" w:beforeAutospacing="0" w:after="0" w:afterAutospacing="0" w:line="360" w:lineRule="auto"/>
              <w:ind w:left="0" w:right="0" w:firstLine="422" w:firstLineChars="200"/>
              <w:rPr>
                <w:rFonts w:hint="default" w:ascii="Times New Roman" w:hAnsi="Times New Roman" w:eastAsia="宋体" w:cs="Times New Roman"/>
                <w:b/>
                <w:bCs w:val="0"/>
                <w:color w:val="auto"/>
                <w:sz w:val="21"/>
                <w:highlight w:val="none"/>
                <w:lang w:val="en-US" w:eastAsia="zh-CN"/>
              </w:rPr>
            </w:pPr>
            <w:r>
              <w:rPr>
                <w:rFonts w:hint="default" w:ascii="Times New Roman" w:hAnsi="Times New Roman" w:eastAsia="宋体" w:cs="Times New Roman"/>
                <w:b/>
                <w:bCs w:val="0"/>
                <w:color w:val="auto"/>
                <w:sz w:val="21"/>
                <w:highlight w:val="none"/>
                <w:lang w:val="en-US" w:eastAsia="zh-CN"/>
              </w:rPr>
              <w:t>水性油墨用量核算</w:t>
            </w:r>
          </w:p>
          <w:p w14:paraId="768A35D8">
            <w:pPr>
              <w:pStyle w:val="34"/>
              <w:keepNext w:val="0"/>
              <w:keepLines w:val="0"/>
              <w:suppressLineNumbers w:val="0"/>
              <w:spacing w:before="0" w:beforeAutospacing="0" w:after="0" w:afterAutospacing="0" w:line="360" w:lineRule="auto"/>
              <w:ind w:left="0" w:leftChars="0" w:right="0" w:firstLine="420" w:firstLineChars="200"/>
              <w:rPr>
                <w:rFonts w:hint="default" w:ascii="Times New Roman" w:hAnsi="Times New Roman" w:eastAsia="宋体" w:cs="Times New Roman"/>
                <w:bCs/>
                <w:color w:val="auto"/>
                <w:highlight w:val="none"/>
                <w:lang w:val="en-US" w:eastAsia="zh-CN"/>
              </w:rPr>
            </w:pPr>
            <w:r>
              <w:rPr>
                <w:rFonts w:hint="default" w:ascii="Times New Roman" w:hAnsi="Times New Roman" w:eastAsia="宋体" w:cs="Times New Roman"/>
                <w:bCs/>
                <w:color w:val="auto"/>
                <w:highlight w:val="none"/>
                <w:lang w:val="en-US" w:eastAsia="zh-CN"/>
              </w:rPr>
              <w:t>根据企业提供资料，</w:t>
            </w:r>
            <w:r>
              <w:rPr>
                <w:rFonts w:hint="default" w:ascii="Times New Roman" w:hAnsi="Times New Roman" w:eastAsia="宋体" w:cs="Times New Roman"/>
                <w:bCs/>
                <w:color w:val="auto"/>
                <w:highlight w:val="none"/>
              </w:rPr>
              <w:t>本项目需在</w:t>
            </w:r>
            <w:r>
              <w:rPr>
                <w:rFonts w:hint="default" w:ascii="Times New Roman" w:hAnsi="Times New Roman" w:eastAsia="宋体" w:cs="Times New Roman"/>
                <w:bCs/>
                <w:color w:val="auto"/>
                <w:highlight w:val="none"/>
                <w:lang w:val="en-US" w:eastAsia="zh-CN"/>
              </w:rPr>
              <w:t>纸箱上印刷图案，平均每个图案的面积约0.018m</w:t>
            </w:r>
            <w:r>
              <w:rPr>
                <w:rFonts w:hint="default" w:ascii="Times New Roman" w:hAnsi="Times New Roman" w:eastAsia="宋体" w:cs="Times New Roman"/>
                <w:bCs/>
                <w:color w:val="auto"/>
                <w:highlight w:val="none"/>
                <w:vertAlign w:val="superscript"/>
                <w:lang w:val="en-US" w:eastAsia="zh-CN"/>
              </w:rPr>
              <w:t>2</w:t>
            </w:r>
            <w:r>
              <w:rPr>
                <w:rFonts w:hint="default" w:ascii="Times New Roman" w:hAnsi="Times New Roman" w:eastAsia="宋体" w:cs="Times New Roman"/>
                <w:bCs/>
                <w:color w:val="auto"/>
                <w:highlight w:val="none"/>
                <w:lang w:val="en-US" w:eastAsia="zh-CN"/>
              </w:rPr>
              <w:t>，</w:t>
            </w:r>
            <w:r>
              <w:rPr>
                <w:rFonts w:hint="default" w:ascii="Times New Roman" w:hAnsi="Times New Roman" w:eastAsia="宋体" w:cs="Times New Roman"/>
                <w:bCs/>
                <w:color w:val="auto"/>
                <w:highlight w:val="none"/>
              </w:rPr>
              <w:t>油墨</w:t>
            </w:r>
            <w:r>
              <w:rPr>
                <w:rFonts w:hint="default" w:ascii="Times New Roman" w:hAnsi="Times New Roman" w:eastAsia="宋体" w:cs="Times New Roman"/>
                <w:bCs/>
                <w:color w:val="auto"/>
                <w:highlight w:val="none"/>
                <w:lang w:val="en-US" w:eastAsia="zh-CN"/>
              </w:rPr>
              <w:t>湿</w:t>
            </w:r>
            <w:r>
              <w:rPr>
                <w:rFonts w:hint="default" w:ascii="Times New Roman" w:hAnsi="Times New Roman" w:eastAsia="宋体" w:cs="Times New Roman"/>
                <w:bCs/>
                <w:color w:val="auto"/>
                <w:highlight w:val="none"/>
              </w:rPr>
              <w:t>膜</w:t>
            </w:r>
            <w:r>
              <w:rPr>
                <w:rFonts w:hint="default" w:ascii="Times New Roman" w:hAnsi="Times New Roman" w:eastAsia="宋体" w:cs="Times New Roman"/>
                <w:color w:val="auto"/>
                <w:highlight w:val="none"/>
                <w:lang w:val="zh-CN"/>
              </w:rPr>
              <w:t>厚度约0.</w:t>
            </w:r>
            <w:r>
              <w:rPr>
                <w:rFonts w:hint="default" w:ascii="Times New Roman" w:hAnsi="Times New Roman" w:eastAsia="宋体" w:cs="Times New Roman"/>
                <w:color w:val="auto"/>
                <w:highlight w:val="none"/>
              </w:rPr>
              <w:t>0</w:t>
            </w:r>
            <w:r>
              <w:rPr>
                <w:rFonts w:hint="default" w:ascii="Times New Roman" w:hAnsi="Times New Roman" w:eastAsia="宋体" w:cs="Times New Roman"/>
                <w:color w:val="auto"/>
                <w:highlight w:val="none"/>
                <w:lang w:val="en-US" w:eastAsia="zh-CN"/>
              </w:rPr>
              <w:t>12</w:t>
            </w:r>
            <w:r>
              <w:rPr>
                <w:rFonts w:hint="default" w:ascii="Times New Roman" w:hAnsi="Times New Roman" w:eastAsia="宋体" w:cs="Times New Roman"/>
                <w:color w:val="auto"/>
                <w:highlight w:val="none"/>
                <w:lang w:val="zh-CN"/>
              </w:rPr>
              <w:t>mm</w:t>
            </w:r>
            <w:r>
              <w:rPr>
                <w:rFonts w:hint="default" w:ascii="Times New Roman" w:hAnsi="Times New Roman" w:eastAsia="宋体" w:cs="Times New Roman"/>
                <w:color w:val="auto"/>
                <w:highlight w:val="none"/>
              </w:rPr>
              <w:t>。</w:t>
            </w:r>
          </w:p>
          <w:p w14:paraId="25899D70">
            <w:pPr>
              <w:pStyle w:val="34"/>
              <w:keepNext w:val="0"/>
              <w:keepLines w:val="0"/>
              <w:numPr>
                <w:ilvl w:val="0"/>
                <w:numId w:val="0"/>
              </w:numPr>
              <w:suppressLineNumbers w:val="0"/>
              <w:spacing w:before="0" w:beforeAutospacing="0" w:after="0" w:afterAutospacing="0" w:line="360" w:lineRule="auto"/>
              <w:ind w:leftChars="200" w:right="0"/>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1）印刷面积核算</w:t>
            </w:r>
          </w:p>
          <w:p w14:paraId="75D17106">
            <w:pPr>
              <w:keepNext w:val="0"/>
              <w:keepLines w:val="0"/>
              <w:widowControl/>
              <w:numPr>
                <w:ilvl w:val="0"/>
                <w:numId w:val="4"/>
              </w:numPr>
              <w:suppressLineNumbers w:val="0"/>
              <w:spacing w:before="0" w:beforeAutospacing="0" w:after="0" w:afterAutospacing="0" w:line="360" w:lineRule="auto"/>
              <w:ind w:left="842" w:right="0" w:hanging="42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lang w:val="en-US" w:eastAsia="zh-CN"/>
              </w:rPr>
              <w:t>纸箱印刷面积核算</w:t>
            </w:r>
            <w:r>
              <w:rPr>
                <w:rFonts w:hint="default" w:ascii="Times New Roman" w:hAnsi="Times New Roman" w:eastAsia="宋体" w:cs="Times New Roman"/>
                <w:b/>
                <w:bCs/>
                <w:color w:val="auto"/>
                <w:szCs w:val="21"/>
                <w:highlight w:val="none"/>
              </w:rPr>
              <w:t>表</w:t>
            </w:r>
          </w:p>
          <w:tbl>
            <w:tblPr>
              <w:tblStyle w:val="41"/>
              <w:tblW w:w="4998"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8"/>
              <w:gridCol w:w="1258"/>
              <w:gridCol w:w="1782"/>
              <w:gridCol w:w="2995"/>
              <w:gridCol w:w="1926"/>
            </w:tblGrid>
            <w:tr w14:paraId="4745131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2" w:type="pct"/>
                  <w:tcBorders>
                    <w:tl2br w:val="nil"/>
                    <w:tr2bl w:val="nil"/>
                  </w:tcBorders>
                  <w:noWrap w:val="0"/>
                  <w:vAlign w:val="center"/>
                </w:tcPr>
                <w:p w14:paraId="64962B85">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序号</w:t>
                  </w:r>
                </w:p>
              </w:tc>
              <w:tc>
                <w:tcPr>
                  <w:tcW w:w="728" w:type="pct"/>
                  <w:tcBorders>
                    <w:tl2br w:val="nil"/>
                    <w:tr2bl w:val="nil"/>
                  </w:tcBorders>
                  <w:noWrap w:val="0"/>
                  <w:vAlign w:val="center"/>
                </w:tcPr>
                <w:p w14:paraId="0CA106A6">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产品</w:t>
                  </w:r>
                </w:p>
              </w:tc>
              <w:tc>
                <w:tcPr>
                  <w:tcW w:w="1031" w:type="pct"/>
                  <w:tcBorders>
                    <w:tl2br w:val="nil"/>
                    <w:tr2bl w:val="nil"/>
                  </w:tcBorders>
                  <w:noWrap w:val="0"/>
                  <w:vAlign w:val="center"/>
                </w:tcPr>
                <w:p w14:paraId="0A765452">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auto"/>
                      <w:szCs w:val="21"/>
                      <w:highlight w:val="none"/>
                      <w:lang w:val="en-US" w:eastAsia="zh-CN"/>
                    </w:rPr>
                  </w:pPr>
                  <w:r>
                    <w:rPr>
                      <w:rFonts w:hint="default" w:ascii="Times New Roman" w:hAnsi="Times New Roman" w:eastAsia="宋体" w:cs="Times New Roman"/>
                      <w:b/>
                      <w:bCs w:val="0"/>
                      <w:color w:val="auto"/>
                      <w:szCs w:val="21"/>
                      <w:highlight w:val="none"/>
                      <w:lang w:val="en-US" w:eastAsia="zh-CN"/>
                    </w:rPr>
                    <w:t>产量（万个）</w:t>
                  </w:r>
                </w:p>
              </w:tc>
              <w:tc>
                <w:tcPr>
                  <w:tcW w:w="1733" w:type="pct"/>
                  <w:tcBorders>
                    <w:tl2br w:val="nil"/>
                    <w:tr2bl w:val="nil"/>
                  </w:tcBorders>
                  <w:noWrap w:val="0"/>
                  <w:vAlign w:val="center"/>
                </w:tcPr>
                <w:p w14:paraId="2031A54F">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单个产品印刷面积</w:t>
                  </w:r>
                  <w:r>
                    <w:rPr>
                      <w:rFonts w:hint="default" w:ascii="Times New Roman" w:hAnsi="Times New Roman" w:eastAsia="宋体" w:cs="Times New Roman"/>
                      <w:b/>
                      <w:bCs w:val="0"/>
                      <w:color w:val="auto"/>
                      <w:szCs w:val="21"/>
                      <w:highlight w:val="none"/>
                      <w:lang w:val="en-US" w:eastAsia="zh-CN"/>
                    </w:rPr>
                    <w:t>（m</w:t>
                  </w:r>
                  <w:r>
                    <w:rPr>
                      <w:rFonts w:hint="default" w:ascii="Times New Roman" w:hAnsi="Times New Roman" w:eastAsia="宋体" w:cs="Times New Roman"/>
                      <w:b/>
                      <w:bCs w:val="0"/>
                      <w:color w:val="auto"/>
                      <w:szCs w:val="21"/>
                      <w:highlight w:val="none"/>
                      <w:vertAlign w:val="superscript"/>
                      <w:lang w:val="en-US" w:eastAsia="zh-CN"/>
                    </w:rPr>
                    <w:t>2</w:t>
                  </w:r>
                  <w:r>
                    <w:rPr>
                      <w:rFonts w:hint="default" w:ascii="Times New Roman" w:hAnsi="Times New Roman" w:eastAsia="宋体" w:cs="Times New Roman"/>
                      <w:b/>
                      <w:bCs w:val="0"/>
                      <w:color w:val="auto"/>
                      <w:szCs w:val="21"/>
                      <w:highlight w:val="none"/>
                      <w:lang w:val="en-US" w:eastAsia="zh-CN"/>
                    </w:rPr>
                    <w:t>）</w:t>
                  </w:r>
                </w:p>
              </w:tc>
              <w:tc>
                <w:tcPr>
                  <w:tcW w:w="1114" w:type="pct"/>
                  <w:tcBorders>
                    <w:tl2br w:val="nil"/>
                    <w:tr2bl w:val="nil"/>
                  </w:tcBorders>
                  <w:noWrap w:val="0"/>
                  <w:vAlign w:val="center"/>
                </w:tcPr>
                <w:p w14:paraId="3CA6EFD8">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印刷总面积</w:t>
                  </w:r>
                  <w:r>
                    <w:rPr>
                      <w:rFonts w:hint="default" w:ascii="Times New Roman" w:hAnsi="Times New Roman" w:eastAsia="宋体" w:cs="Times New Roman"/>
                      <w:b/>
                      <w:bCs w:val="0"/>
                      <w:color w:val="auto"/>
                      <w:szCs w:val="21"/>
                      <w:highlight w:val="none"/>
                      <w:lang w:val="en-US" w:eastAsia="zh-CN"/>
                    </w:rPr>
                    <w:t>（m</w:t>
                  </w:r>
                  <w:r>
                    <w:rPr>
                      <w:rFonts w:hint="default" w:ascii="Times New Roman" w:hAnsi="Times New Roman" w:eastAsia="宋体" w:cs="Times New Roman"/>
                      <w:b/>
                      <w:bCs w:val="0"/>
                      <w:color w:val="auto"/>
                      <w:szCs w:val="21"/>
                      <w:highlight w:val="none"/>
                      <w:vertAlign w:val="superscript"/>
                      <w:lang w:val="en-US" w:eastAsia="zh-CN"/>
                    </w:rPr>
                    <w:t>2</w:t>
                  </w:r>
                  <w:r>
                    <w:rPr>
                      <w:rFonts w:hint="default" w:ascii="Times New Roman" w:hAnsi="Times New Roman" w:eastAsia="宋体" w:cs="Times New Roman"/>
                      <w:b/>
                      <w:bCs w:val="0"/>
                      <w:color w:val="auto"/>
                      <w:szCs w:val="21"/>
                      <w:highlight w:val="none"/>
                      <w:lang w:val="en-US" w:eastAsia="zh-CN"/>
                    </w:rPr>
                    <w:t>）</w:t>
                  </w:r>
                </w:p>
              </w:tc>
            </w:tr>
            <w:tr w14:paraId="2B67B5A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392" w:type="pct"/>
                  <w:tcBorders>
                    <w:tl2br w:val="nil"/>
                    <w:tr2bl w:val="nil"/>
                  </w:tcBorders>
                  <w:noWrap w:val="0"/>
                  <w:vAlign w:val="center"/>
                </w:tcPr>
                <w:p w14:paraId="1EDFBB2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1</w:t>
                  </w:r>
                </w:p>
              </w:tc>
              <w:tc>
                <w:tcPr>
                  <w:tcW w:w="728" w:type="pct"/>
                  <w:tcBorders>
                    <w:tl2br w:val="nil"/>
                    <w:tr2bl w:val="nil"/>
                  </w:tcBorders>
                  <w:noWrap w:val="0"/>
                  <w:vAlign w:val="center"/>
                </w:tcPr>
                <w:p w14:paraId="35A6AF1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纸箱制品</w:t>
                  </w:r>
                </w:p>
              </w:tc>
              <w:tc>
                <w:tcPr>
                  <w:tcW w:w="1031" w:type="pct"/>
                  <w:tcBorders>
                    <w:tl2br w:val="nil"/>
                    <w:tr2bl w:val="nil"/>
                  </w:tcBorders>
                  <w:noWrap w:val="0"/>
                  <w:vAlign w:val="center"/>
                </w:tcPr>
                <w:p w14:paraId="167098A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60</w:t>
                  </w:r>
                </w:p>
              </w:tc>
              <w:tc>
                <w:tcPr>
                  <w:tcW w:w="1733" w:type="pct"/>
                  <w:tcBorders>
                    <w:tl2br w:val="nil"/>
                    <w:tr2bl w:val="nil"/>
                  </w:tcBorders>
                  <w:noWrap w:val="0"/>
                  <w:vAlign w:val="center"/>
                </w:tcPr>
                <w:p w14:paraId="2E36335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0.018</w:t>
                  </w:r>
                </w:p>
              </w:tc>
              <w:tc>
                <w:tcPr>
                  <w:tcW w:w="1114" w:type="pct"/>
                  <w:tcBorders>
                    <w:tl2br w:val="nil"/>
                    <w:tr2bl w:val="nil"/>
                  </w:tcBorders>
                  <w:noWrap w:val="0"/>
                  <w:vAlign w:val="center"/>
                </w:tcPr>
                <w:p w14:paraId="120CAF8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10800</w:t>
                  </w:r>
                </w:p>
              </w:tc>
            </w:tr>
          </w:tbl>
          <w:p w14:paraId="294C70C6">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20" w:firstLineChars="20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根据上述分析，印刷总面积为10800m</w:t>
            </w:r>
            <w:r>
              <w:rPr>
                <w:rFonts w:hint="default" w:ascii="Times New Roman" w:hAnsi="Times New Roman" w:eastAsia="宋体" w:cs="Times New Roman"/>
                <w:color w:val="auto"/>
                <w:highlight w:val="none"/>
                <w:vertAlign w:val="superscript"/>
                <w:lang w:val="en-US" w:eastAsia="zh-CN"/>
              </w:rPr>
              <w:t>2</w:t>
            </w:r>
            <w:r>
              <w:rPr>
                <w:rFonts w:hint="default" w:ascii="Times New Roman" w:hAnsi="Times New Roman" w:eastAsia="宋体" w:cs="Times New Roman"/>
                <w:color w:val="auto"/>
                <w:highlight w:val="none"/>
                <w:lang w:val="en-US" w:eastAsia="zh-CN"/>
              </w:rPr>
              <w:t>，油墨湿膜厚度约0.012mm。</w:t>
            </w:r>
          </w:p>
          <w:p w14:paraId="4CF06BCB">
            <w:pPr>
              <w:keepNext w:val="0"/>
              <w:keepLines w:val="0"/>
              <w:pageBreakBefore w:val="0"/>
              <w:widowControl w:val="0"/>
              <w:numPr>
                <w:ilvl w:val="0"/>
                <w:numId w:val="8"/>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油墨用量按下式计算：</w:t>
            </w:r>
          </w:p>
          <w:p w14:paraId="31F4422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jc w:val="center"/>
              <w:textAlignment w:val="auto"/>
              <w:rPr>
                <w:rFonts w:hint="default" w:ascii="Times New Roman" w:hAnsi="Times New Roman" w:eastAsia="宋体" w:cs="Times New Roman"/>
                <w:color w:val="auto"/>
                <w:highlight w:val="none"/>
              </w:rPr>
            </w:pPr>
            <m:oMathPara>
              <m:oMath>
                <m:r>
                  <m:rPr>
                    <m:sty m:val="p"/>
                  </m:rPr>
                  <w:rPr>
                    <w:rFonts w:hint="default" w:ascii="Cambria Math" w:hAnsi="Cambria Math" w:eastAsia="宋体" w:cs="Times New Roman"/>
                    <w:color w:val="auto"/>
                    <w:kern w:val="2"/>
                    <w:sz w:val="21"/>
                    <w:szCs w:val="24"/>
                    <w:highlight w:val="none"/>
                    <w:lang w:val="en-US" w:eastAsia="zh-CN" w:bidi="ar-SA"/>
                  </w:rPr>
                  <m:t>油墨用量（t）=</m:t>
                </m:r>
                <m:f>
                  <m:fPr>
                    <m:ctrlPr>
                      <w:rPr>
                        <w:rFonts w:hint="default" w:ascii="Cambria Math" w:hAnsi="Cambria Math" w:eastAsia="宋体" w:cs="Times New Roman"/>
                        <w:color w:val="auto"/>
                        <w:kern w:val="2"/>
                        <w:sz w:val="21"/>
                        <w:szCs w:val="24"/>
                        <w:highlight w:val="none"/>
                        <w:lang w:val="en-US" w:eastAsia="zh-CN" w:bidi="ar-SA"/>
                      </w:rPr>
                    </m:ctrlPr>
                  </m:fPr>
                  <m:num>
                    <m:r>
                      <m:rPr>
                        <m:sty m:val="p"/>
                      </m:rPr>
                      <w:rPr>
                        <w:rFonts w:hint="default" w:ascii="Cambria Math" w:hAnsi="Cambria Math" w:eastAsia="宋体" w:cs="Times New Roman"/>
                        <w:color w:val="auto"/>
                        <w:kern w:val="2"/>
                        <w:sz w:val="21"/>
                        <w:szCs w:val="24"/>
                        <w:highlight w:val="none"/>
                        <w:lang w:val="en-US" w:eastAsia="zh-CN" w:bidi="ar-SA"/>
                      </w:rPr>
                      <m:t>湿膜厚度（mm）</m:t>
                    </m:r>
                    <m:r>
                      <m:rPr>
                        <m:sty m:val="p"/>
                      </m:rPr>
                      <w:rPr>
                        <w:rFonts w:hint="default" w:ascii="Cambria Math" w:hAnsi="Cambria Math" w:eastAsia="宋体" w:cs="Times New Roman"/>
                        <w:color w:val="auto"/>
                        <w:kern w:val="2"/>
                        <w:sz w:val="21"/>
                        <w:szCs w:val="24"/>
                        <w:highlight w:val="none"/>
                        <w:lang w:val="en-US" w:bidi="ar-SA"/>
                      </w:rPr>
                      <m:t>×</m:t>
                    </m:r>
                    <m:r>
                      <m:rPr>
                        <m:sty m:val="p"/>
                      </m:rPr>
                      <w:rPr>
                        <w:rFonts w:hint="default" w:ascii="Cambria Math" w:hAnsi="Cambria Math" w:eastAsia="宋体" w:cs="Times New Roman"/>
                        <w:color w:val="auto"/>
                        <w:kern w:val="2"/>
                        <w:sz w:val="21"/>
                        <w:szCs w:val="24"/>
                        <w:highlight w:val="none"/>
                        <w:lang w:val="en-US" w:eastAsia="zh-CN" w:bidi="ar-SA"/>
                      </w:rPr>
                      <m:t>印刷面积（</m:t>
                    </m:r>
                    <m:sSup>
                      <m:sSupPr>
                        <m:ctrlPr>
                          <w:rPr>
                            <w:rFonts w:hint="default" w:ascii="Cambria Math" w:hAnsi="Cambria Math" w:eastAsia="宋体" w:cs="Times New Roman"/>
                            <w:color w:val="auto"/>
                            <w:kern w:val="2"/>
                            <w:sz w:val="21"/>
                            <w:szCs w:val="24"/>
                            <w:highlight w:val="none"/>
                            <w:lang w:val="en-US" w:eastAsia="zh-CN" w:bidi="ar-SA"/>
                          </w:rPr>
                        </m:ctrlPr>
                      </m:sSupPr>
                      <m:e>
                        <m:r>
                          <m:rPr>
                            <m:sty m:val="p"/>
                          </m:rPr>
                          <w:rPr>
                            <w:rFonts w:hint="default" w:ascii="Cambria Math" w:hAnsi="Cambria Math" w:eastAsia="宋体" w:cs="Times New Roman"/>
                            <w:color w:val="auto"/>
                            <w:kern w:val="2"/>
                            <w:sz w:val="21"/>
                            <w:szCs w:val="24"/>
                            <w:highlight w:val="none"/>
                            <w:lang w:val="en-US" w:eastAsia="zh-CN" w:bidi="ar-SA"/>
                          </w:rPr>
                          <m:t>m</m:t>
                        </m:r>
                        <m:ctrlPr>
                          <w:rPr>
                            <w:rFonts w:hint="default" w:ascii="Cambria Math" w:hAnsi="Cambria Math" w:eastAsia="宋体" w:cs="Times New Roman"/>
                            <w:color w:val="auto"/>
                            <w:kern w:val="2"/>
                            <w:sz w:val="21"/>
                            <w:szCs w:val="24"/>
                            <w:highlight w:val="none"/>
                            <w:lang w:val="en-US" w:eastAsia="zh-CN" w:bidi="ar-SA"/>
                          </w:rPr>
                        </m:ctrlPr>
                      </m:e>
                      <m:sup>
                        <m:r>
                          <m:rPr>
                            <m:sty m:val="p"/>
                          </m:rPr>
                          <w:rPr>
                            <w:rFonts w:hint="default" w:ascii="Cambria Math" w:hAnsi="Cambria Math" w:eastAsia="宋体" w:cs="Times New Roman"/>
                            <w:color w:val="auto"/>
                            <w:kern w:val="2"/>
                            <w:sz w:val="21"/>
                            <w:szCs w:val="24"/>
                            <w:highlight w:val="none"/>
                            <w:lang w:val="en-US" w:eastAsia="zh-CN" w:bidi="ar-SA"/>
                          </w:rPr>
                          <m:t>2</m:t>
                        </m:r>
                        <m:ctrlPr>
                          <w:rPr>
                            <w:rFonts w:hint="default" w:ascii="Cambria Math" w:hAnsi="Cambria Math" w:eastAsia="宋体" w:cs="Times New Roman"/>
                            <w:color w:val="auto"/>
                            <w:kern w:val="2"/>
                            <w:sz w:val="21"/>
                            <w:szCs w:val="24"/>
                            <w:highlight w:val="none"/>
                            <w:lang w:val="en-US" w:eastAsia="zh-CN" w:bidi="ar-SA"/>
                          </w:rPr>
                        </m:ctrlPr>
                      </m:sup>
                    </m:sSup>
                    <m:r>
                      <m:rPr>
                        <m:sty m:val="p"/>
                      </m:rPr>
                      <w:rPr>
                        <w:rFonts w:hint="default" w:ascii="Cambria Math" w:hAnsi="Cambria Math" w:eastAsia="宋体" w:cs="Times New Roman"/>
                        <w:color w:val="auto"/>
                        <w:kern w:val="2"/>
                        <w:sz w:val="21"/>
                        <w:szCs w:val="24"/>
                        <w:highlight w:val="none"/>
                        <w:lang w:val="en-US" w:eastAsia="zh-CN" w:bidi="ar-SA"/>
                      </w:rPr>
                      <m:t>）</m:t>
                    </m:r>
                    <m:r>
                      <m:rPr>
                        <m:sty m:val="p"/>
                      </m:rPr>
                      <w:rPr>
                        <w:rFonts w:hint="default" w:ascii="Cambria Math" w:hAnsi="Cambria Math" w:eastAsia="宋体" w:cs="Times New Roman"/>
                        <w:color w:val="auto"/>
                        <w:kern w:val="2"/>
                        <w:sz w:val="21"/>
                        <w:szCs w:val="24"/>
                        <w:highlight w:val="none"/>
                        <w:lang w:val="en-US" w:bidi="ar-SA"/>
                      </w:rPr>
                      <m:t>×</m:t>
                    </m:r>
                    <m:r>
                      <m:rPr>
                        <m:sty m:val="p"/>
                      </m:rPr>
                      <w:rPr>
                        <w:rFonts w:hint="default" w:ascii="Cambria Math" w:hAnsi="Cambria Math" w:eastAsia="宋体" w:cs="Times New Roman"/>
                        <w:color w:val="auto"/>
                        <w:kern w:val="2"/>
                        <w:sz w:val="21"/>
                        <w:szCs w:val="24"/>
                        <w:highlight w:val="none"/>
                        <w:lang w:val="en-US" w:eastAsia="zh-CN" w:bidi="ar-SA"/>
                      </w:rPr>
                      <m:t>油墨密度（kg/</m:t>
                    </m:r>
                    <m:sSup>
                      <m:sSupPr>
                        <m:ctrlPr>
                          <w:rPr>
                            <w:rFonts w:hint="default" w:ascii="Cambria Math" w:hAnsi="Cambria Math" w:eastAsia="宋体" w:cs="Times New Roman"/>
                            <w:color w:val="auto"/>
                            <w:kern w:val="2"/>
                            <w:sz w:val="21"/>
                            <w:szCs w:val="24"/>
                            <w:highlight w:val="none"/>
                            <w:lang w:val="en-US" w:eastAsia="zh-CN" w:bidi="ar-SA"/>
                          </w:rPr>
                        </m:ctrlPr>
                      </m:sSupPr>
                      <m:e>
                        <m:r>
                          <m:rPr>
                            <m:sty m:val="p"/>
                          </m:rPr>
                          <w:rPr>
                            <w:rFonts w:hint="default" w:ascii="Cambria Math" w:hAnsi="Cambria Math" w:eastAsia="宋体" w:cs="Times New Roman"/>
                            <w:color w:val="auto"/>
                            <w:kern w:val="2"/>
                            <w:sz w:val="21"/>
                            <w:szCs w:val="24"/>
                            <w:highlight w:val="none"/>
                            <w:lang w:val="en-US" w:eastAsia="zh-CN" w:bidi="ar-SA"/>
                          </w:rPr>
                          <m:t>m</m:t>
                        </m:r>
                        <m:ctrlPr>
                          <w:rPr>
                            <w:rFonts w:hint="default" w:ascii="Cambria Math" w:hAnsi="Cambria Math" w:eastAsia="宋体" w:cs="Times New Roman"/>
                            <w:color w:val="auto"/>
                            <w:kern w:val="2"/>
                            <w:sz w:val="21"/>
                            <w:szCs w:val="24"/>
                            <w:highlight w:val="none"/>
                            <w:lang w:val="en-US" w:eastAsia="zh-CN" w:bidi="ar-SA"/>
                          </w:rPr>
                        </m:ctrlPr>
                      </m:e>
                      <m:sup>
                        <m:r>
                          <m:rPr>
                            <m:sty m:val="p"/>
                          </m:rPr>
                          <w:rPr>
                            <w:rFonts w:hint="default" w:ascii="Cambria Math" w:hAnsi="Cambria Math" w:eastAsia="宋体" w:cs="Times New Roman"/>
                            <w:color w:val="auto"/>
                            <w:kern w:val="2"/>
                            <w:sz w:val="21"/>
                            <w:szCs w:val="24"/>
                            <w:highlight w:val="none"/>
                            <w:lang w:val="en-US" w:eastAsia="zh-CN" w:bidi="ar-SA"/>
                          </w:rPr>
                          <m:t>2</m:t>
                        </m:r>
                        <m:ctrlPr>
                          <w:rPr>
                            <w:rFonts w:hint="default" w:ascii="Cambria Math" w:hAnsi="Cambria Math" w:eastAsia="宋体" w:cs="Times New Roman"/>
                            <w:color w:val="auto"/>
                            <w:kern w:val="2"/>
                            <w:sz w:val="21"/>
                            <w:szCs w:val="24"/>
                            <w:highlight w:val="none"/>
                            <w:lang w:val="en-US" w:eastAsia="zh-CN" w:bidi="ar-SA"/>
                          </w:rPr>
                        </m:ctrlPr>
                      </m:sup>
                    </m:sSup>
                    <m:r>
                      <m:rPr>
                        <m:sty m:val="p"/>
                      </m:rPr>
                      <w:rPr>
                        <w:rFonts w:hint="default" w:ascii="Cambria Math" w:hAnsi="Cambria Math" w:eastAsia="宋体" w:cs="Times New Roman"/>
                        <w:color w:val="auto"/>
                        <w:kern w:val="2"/>
                        <w:sz w:val="21"/>
                        <w:szCs w:val="24"/>
                        <w:highlight w:val="none"/>
                        <w:lang w:val="en-US" w:eastAsia="zh-CN" w:bidi="ar-SA"/>
                      </w:rPr>
                      <m:t>）</m:t>
                    </m:r>
                    <m:ctrlPr>
                      <w:rPr>
                        <w:rFonts w:hint="default" w:ascii="Cambria Math" w:hAnsi="Cambria Math" w:eastAsia="宋体" w:cs="Times New Roman"/>
                        <w:color w:val="auto"/>
                        <w:kern w:val="2"/>
                        <w:sz w:val="21"/>
                        <w:szCs w:val="24"/>
                        <w:highlight w:val="none"/>
                        <w:lang w:val="en-US" w:eastAsia="zh-CN" w:bidi="ar-SA"/>
                      </w:rPr>
                    </m:ctrlPr>
                  </m:num>
                  <m:den>
                    <m:r>
                      <m:rPr>
                        <m:sty m:val="p"/>
                      </m:rPr>
                      <w:rPr>
                        <w:rFonts w:hint="default" w:ascii="Cambria Math" w:hAnsi="Cambria Math" w:eastAsia="宋体" w:cs="Times New Roman"/>
                        <w:color w:val="auto"/>
                        <w:kern w:val="2"/>
                        <w:sz w:val="21"/>
                        <w:szCs w:val="24"/>
                        <w:highlight w:val="none"/>
                        <w:lang w:val="en-US" w:eastAsia="zh-CN" w:bidi="ar-SA"/>
                      </w:rPr>
                      <m:t>附着率</m:t>
                    </m:r>
                    <m:r>
                      <m:rPr>
                        <m:sty m:val="p"/>
                      </m:rPr>
                      <w:rPr>
                        <w:rFonts w:hint="default" w:ascii="Cambria Math" w:hAnsi="Cambria Math" w:eastAsia="宋体" w:cs="Times New Roman"/>
                        <w:color w:val="auto"/>
                        <w:kern w:val="2"/>
                        <w:sz w:val="21"/>
                        <w:szCs w:val="24"/>
                        <w:highlight w:val="none"/>
                        <w:lang w:val="en-US" w:bidi="ar-SA"/>
                      </w:rPr>
                      <m:t>×</m:t>
                    </m:r>
                    <m:r>
                      <m:rPr>
                        <m:sty m:val="p"/>
                      </m:rPr>
                      <w:rPr>
                        <w:rFonts w:hint="default" w:ascii="Cambria Math" w:hAnsi="Cambria Math" w:eastAsia="宋体" w:cs="Times New Roman"/>
                        <w:color w:val="auto"/>
                        <w:kern w:val="2"/>
                        <w:sz w:val="21"/>
                        <w:szCs w:val="24"/>
                        <w:highlight w:val="none"/>
                        <w:lang w:val="en-US" w:eastAsia="zh-CN" w:bidi="ar-SA"/>
                      </w:rPr>
                      <m:t>1000</m:t>
                    </m:r>
                    <m:ctrlPr>
                      <w:rPr>
                        <w:rFonts w:hint="default" w:ascii="Cambria Math" w:hAnsi="Cambria Math" w:eastAsia="宋体" w:cs="Times New Roman"/>
                        <w:color w:val="auto"/>
                        <w:kern w:val="2"/>
                        <w:sz w:val="21"/>
                        <w:szCs w:val="24"/>
                        <w:highlight w:val="none"/>
                        <w:lang w:val="en-US" w:eastAsia="zh-CN" w:bidi="ar-SA"/>
                      </w:rPr>
                    </m:ctrlPr>
                  </m:den>
                </m:f>
              </m:oMath>
            </m:oMathPara>
          </w:p>
          <w:p w14:paraId="0C24016A">
            <w:pPr>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20" w:firstLineChars="200"/>
              <w:textAlignment w:val="auto"/>
              <w:rPr>
                <w:rFonts w:hint="default" w:ascii="Times New Roman" w:hAnsi="Times New Roman" w:eastAsia="宋体" w:cs="Times New Roman"/>
                <w:bCs/>
                <w:color w:val="auto"/>
                <w:highlight w:val="none"/>
              </w:rPr>
            </w:pPr>
            <w:r>
              <w:rPr>
                <w:rFonts w:hint="default" w:ascii="Times New Roman" w:hAnsi="Times New Roman" w:eastAsia="宋体" w:cs="Times New Roman"/>
                <w:bCs/>
                <w:color w:val="auto"/>
                <w:highlight w:val="none"/>
              </w:rPr>
              <w:t>项目水性油墨用量核算见下表。</w:t>
            </w:r>
          </w:p>
          <w:p w14:paraId="2B1C0455">
            <w:pPr>
              <w:keepNext w:val="0"/>
              <w:keepLines w:val="0"/>
              <w:widowControl/>
              <w:numPr>
                <w:ilvl w:val="0"/>
                <w:numId w:val="4"/>
              </w:numPr>
              <w:suppressLineNumbers w:val="0"/>
              <w:spacing w:before="0" w:beforeAutospacing="0" w:after="0" w:afterAutospacing="0" w:line="360" w:lineRule="auto"/>
              <w:ind w:left="842" w:right="0" w:hanging="42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水性油墨用量核算一览表</w:t>
            </w:r>
          </w:p>
          <w:tbl>
            <w:tblPr>
              <w:tblStyle w:val="41"/>
              <w:tblW w:w="4998"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8"/>
              <w:gridCol w:w="1546"/>
              <w:gridCol w:w="1666"/>
              <w:gridCol w:w="1595"/>
              <w:gridCol w:w="1709"/>
              <w:gridCol w:w="1555"/>
            </w:tblGrid>
            <w:tr w14:paraId="5F2497C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9" w:type="pct"/>
                  <w:tcBorders>
                    <w:tl2br w:val="nil"/>
                    <w:tr2bl w:val="nil"/>
                  </w:tcBorders>
                  <w:noWrap w:val="0"/>
                  <w:vAlign w:val="center"/>
                </w:tcPr>
                <w:p w14:paraId="1A55CC2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工艺</w:t>
                  </w:r>
                </w:p>
              </w:tc>
              <w:tc>
                <w:tcPr>
                  <w:tcW w:w="895" w:type="pct"/>
                  <w:tcBorders>
                    <w:tl2br w:val="nil"/>
                    <w:tr2bl w:val="nil"/>
                  </w:tcBorders>
                  <w:noWrap w:val="0"/>
                  <w:vAlign w:val="center"/>
                </w:tcPr>
                <w:p w14:paraId="3D78E3F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lang w:val="en-US" w:eastAsia="zh-CN"/>
                    </w:rPr>
                    <w:t>印刷</w:t>
                  </w:r>
                  <w:r>
                    <w:rPr>
                      <w:rFonts w:hint="default" w:ascii="Times New Roman" w:hAnsi="Times New Roman" w:eastAsia="宋体" w:cs="Times New Roman"/>
                      <w:b/>
                      <w:bCs/>
                      <w:color w:val="auto"/>
                      <w:highlight w:val="none"/>
                    </w:rPr>
                    <w:t>面积（</w:t>
                  </w:r>
                  <w:r>
                    <w:rPr>
                      <w:rFonts w:hint="default" w:ascii="Times New Roman" w:hAnsi="Times New Roman" w:eastAsia="宋体" w:cs="Times New Roman"/>
                      <w:b/>
                      <w:bCs/>
                      <w:color w:val="auto"/>
                      <w:highlight w:val="none"/>
                      <w:lang w:val="en-US" w:eastAsia="zh-CN"/>
                    </w:rPr>
                    <w:t>m</w:t>
                  </w:r>
                  <w:r>
                    <w:rPr>
                      <w:rFonts w:hint="default" w:ascii="Times New Roman" w:hAnsi="Times New Roman" w:eastAsia="宋体" w:cs="Times New Roman"/>
                      <w:b/>
                      <w:bCs/>
                      <w:color w:val="auto"/>
                      <w:highlight w:val="none"/>
                      <w:vertAlign w:val="superscript"/>
                      <w:lang w:val="en-US" w:eastAsia="zh-CN"/>
                    </w:rPr>
                    <w:t>2</w:t>
                  </w:r>
                  <w:r>
                    <w:rPr>
                      <w:rFonts w:hint="default" w:ascii="Times New Roman" w:hAnsi="Times New Roman" w:eastAsia="宋体" w:cs="Times New Roman"/>
                      <w:b/>
                      <w:bCs/>
                      <w:color w:val="auto"/>
                      <w:highlight w:val="none"/>
                    </w:rPr>
                    <w:t>）</w:t>
                  </w:r>
                </w:p>
              </w:tc>
              <w:tc>
                <w:tcPr>
                  <w:tcW w:w="964" w:type="pct"/>
                  <w:tcBorders>
                    <w:tl2br w:val="nil"/>
                    <w:tr2bl w:val="nil"/>
                  </w:tcBorders>
                  <w:noWrap w:val="0"/>
                  <w:vAlign w:val="center"/>
                </w:tcPr>
                <w:p w14:paraId="7D360F8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油墨密度（t/m</w:t>
                  </w:r>
                  <w:r>
                    <w:rPr>
                      <w:rFonts w:hint="default" w:ascii="Times New Roman" w:hAnsi="Times New Roman" w:eastAsia="宋体" w:cs="Times New Roman"/>
                      <w:b/>
                      <w:bCs/>
                      <w:color w:val="auto"/>
                      <w:highlight w:val="none"/>
                      <w:vertAlign w:val="superscript"/>
                    </w:rPr>
                    <w:t>3</w:t>
                  </w:r>
                  <w:r>
                    <w:rPr>
                      <w:rFonts w:hint="default" w:ascii="Times New Roman" w:hAnsi="Times New Roman" w:eastAsia="宋体" w:cs="Times New Roman"/>
                      <w:b/>
                      <w:bCs/>
                      <w:color w:val="auto"/>
                      <w:highlight w:val="none"/>
                    </w:rPr>
                    <w:t>）</w:t>
                  </w:r>
                </w:p>
              </w:tc>
              <w:tc>
                <w:tcPr>
                  <w:tcW w:w="923" w:type="pct"/>
                  <w:tcBorders>
                    <w:tl2br w:val="nil"/>
                    <w:tr2bl w:val="nil"/>
                  </w:tcBorders>
                  <w:noWrap w:val="0"/>
                  <w:vAlign w:val="center"/>
                </w:tcPr>
                <w:p w14:paraId="7492478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lang w:val="en-US" w:eastAsia="zh-CN"/>
                    </w:rPr>
                    <w:t>湿</w:t>
                  </w:r>
                  <w:r>
                    <w:rPr>
                      <w:rFonts w:hint="default" w:ascii="Times New Roman" w:hAnsi="Times New Roman" w:eastAsia="宋体" w:cs="Times New Roman"/>
                      <w:b/>
                      <w:bCs/>
                      <w:color w:val="auto"/>
                      <w:highlight w:val="none"/>
                    </w:rPr>
                    <w:t>膜厚</w:t>
                  </w:r>
                  <w:r>
                    <w:rPr>
                      <w:rFonts w:hint="default" w:ascii="Times New Roman" w:hAnsi="Times New Roman" w:eastAsia="宋体" w:cs="Times New Roman"/>
                      <w:b/>
                      <w:bCs/>
                      <w:color w:val="auto"/>
                      <w:highlight w:val="none"/>
                      <w:lang w:val="en-US" w:eastAsia="zh-CN"/>
                    </w:rPr>
                    <w:t>度</w:t>
                  </w:r>
                  <w:r>
                    <w:rPr>
                      <w:rFonts w:hint="default" w:ascii="Times New Roman" w:hAnsi="Times New Roman" w:eastAsia="宋体" w:cs="Times New Roman"/>
                      <w:b/>
                      <w:bCs/>
                      <w:color w:val="auto"/>
                      <w:highlight w:val="none"/>
                    </w:rPr>
                    <w:t>（</w:t>
                  </w:r>
                  <w:r>
                    <w:rPr>
                      <w:rFonts w:hint="default" w:ascii="Times New Roman" w:hAnsi="Times New Roman" w:eastAsia="宋体" w:cs="Times New Roman"/>
                      <w:b/>
                      <w:bCs/>
                      <w:color w:val="auto"/>
                      <w:highlight w:val="none"/>
                      <w:lang w:val="en-US" w:eastAsia="zh-CN"/>
                    </w:rPr>
                    <w:t>m</w:t>
                  </w:r>
                  <w:r>
                    <w:rPr>
                      <w:rFonts w:hint="default" w:ascii="Times New Roman" w:hAnsi="Times New Roman" w:eastAsia="宋体" w:cs="Times New Roman"/>
                      <w:b/>
                      <w:bCs/>
                      <w:color w:val="auto"/>
                      <w:highlight w:val="none"/>
                    </w:rPr>
                    <w:t>m）</w:t>
                  </w:r>
                </w:p>
              </w:tc>
              <w:tc>
                <w:tcPr>
                  <w:tcW w:w="989" w:type="pct"/>
                  <w:tcBorders>
                    <w:tl2br w:val="nil"/>
                    <w:tr2bl w:val="nil"/>
                  </w:tcBorders>
                  <w:noWrap w:val="0"/>
                  <w:vAlign w:val="center"/>
                </w:tcPr>
                <w:p w14:paraId="6CA513D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印刷附着率（%）</w:t>
                  </w:r>
                </w:p>
              </w:tc>
              <w:tc>
                <w:tcPr>
                  <w:tcW w:w="898" w:type="pct"/>
                  <w:tcBorders>
                    <w:tl2br w:val="nil"/>
                    <w:tr2bl w:val="nil"/>
                  </w:tcBorders>
                  <w:noWrap w:val="0"/>
                  <w:vAlign w:val="center"/>
                </w:tcPr>
                <w:p w14:paraId="7677E1C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油墨用量（t/a）</w:t>
                  </w:r>
                </w:p>
              </w:tc>
            </w:tr>
            <w:tr w14:paraId="20E952A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29" w:type="pct"/>
                  <w:tcBorders>
                    <w:tl2br w:val="nil"/>
                    <w:tr2bl w:val="nil"/>
                  </w:tcBorders>
                  <w:noWrap w:val="0"/>
                  <w:vAlign w:val="center"/>
                </w:tcPr>
                <w:p w14:paraId="26C8A15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印刷</w:t>
                  </w:r>
                </w:p>
              </w:tc>
              <w:tc>
                <w:tcPr>
                  <w:tcW w:w="895" w:type="pct"/>
                  <w:tcBorders>
                    <w:tl2br w:val="nil"/>
                    <w:tr2bl w:val="nil"/>
                  </w:tcBorders>
                  <w:noWrap w:val="0"/>
                  <w:vAlign w:val="center"/>
                </w:tcPr>
                <w:p w14:paraId="2F3343B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highlight w:val="none"/>
                      <w:lang w:val="en-US" w:eastAsia="zh-CN"/>
                    </w:rPr>
                  </w:pPr>
                  <w:r>
                    <w:rPr>
                      <w:rFonts w:hint="default" w:ascii="Times New Roman" w:hAnsi="Times New Roman" w:eastAsia="宋体" w:cs="Times New Roman"/>
                      <w:color w:val="auto"/>
                      <w:kern w:val="0"/>
                      <w:highlight w:val="none"/>
                      <w:lang w:val="en-US" w:eastAsia="zh-CN"/>
                    </w:rPr>
                    <w:t>10800</w:t>
                  </w:r>
                </w:p>
              </w:tc>
              <w:tc>
                <w:tcPr>
                  <w:tcW w:w="964" w:type="pct"/>
                  <w:tcBorders>
                    <w:tl2br w:val="nil"/>
                    <w:tr2bl w:val="nil"/>
                  </w:tcBorders>
                  <w:noWrap w:val="0"/>
                  <w:vAlign w:val="center"/>
                </w:tcPr>
                <w:p w14:paraId="09ECD2D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rPr>
                    <w:t>1.</w:t>
                  </w:r>
                  <w:r>
                    <w:rPr>
                      <w:rFonts w:hint="default" w:ascii="Times New Roman" w:hAnsi="Times New Roman" w:eastAsia="宋体" w:cs="Times New Roman"/>
                      <w:color w:val="auto"/>
                      <w:highlight w:val="none"/>
                      <w:lang w:val="en-US" w:eastAsia="zh-CN"/>
                    </w:rPr>
                    <w:t>10</w:t>
                  </w:r>
                </w:p>
              </w:tc>
              <w:tc>
                <w:tcPr>
                  <w:tcW w:w="923" w:type="pct"/>
                  <w:tcBorders>
                    <w:tl2br w:val="nil"/>
                    <w:tr2bl w:val="nil"/>
                  </w:tcBorders>
                  <w:noWrap w:val="0"/>
                  <w:vAlign w:val="center"/>
                </w:tcPr>
                <w:p w14:paraId="58C5817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0.012</w:t>
                  </w:r>
                </w:p>
              </w:tc>
              <w:tc>
                <w:tcPr>
                  <w:tcW w:w="989" w:type="pct"/>
                  <w:tcBorders>
                    <w:tl2br w:val="nil"/>
                    <w:tr2bl w:val="nil"/>
                  </w:tcBorders>
                  <w:noWrap w:val="0"/>
                  <w:vAlign w:val="center"/>
                </w:tcPr>
                <w:p w14:paraId="3BFA9AF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rPr>
                  </w:pPr>
                  <w:r>
                    <w:rPr>
                      <w:rFonts w:hint="default" w:ascii="Times New Roman" w:hAnsi="Times New Roman" w:eastAsia="宋体" w:cs="Times New Roman"/>
                      <w:color w:val="auto"/>
                      <w:highlight w:val="none"/>
                      <w:lang w:val="en-US" w:eastAsia="zh-CN"/>
                    </w:rPr>
                    <w:t>99</w:t>
                  </w:r>
                </w:p>
              </w:tc>
              <w:tc>
                <w:tcPr>
                  <w:tcW w:w="898" w:type="pct"/>
                  <w:tcBorders>
                    <w:tl2br w:val="nil"/>
                    <w:tr2bl w:val="nil"/>
                  </w:tcBorders>
                  <w:noWrap w:val="0"/>
                  <w:vAlign w:val="center"/>
                </w:tcPr>
                <w:p w14:paraId="0B00CB7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0.144</w:t>
                  </w:r>
                </w:p>
              </w:tc>
            </w:tr>
            <w:tr w14:paraId="1CA039E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6"/>
                  <w:tcBorders>
                    <w:tl2br w:val="nil"/>
                    <w:tr2bl w:val="nil"/>
                  </w:tcBorders>
                  <w:noWrap w:val="0"/>
                  <w:vAlign w:val="center"/>
                </w:tcPr>
                <w:p w14:paraId="60A661DD">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注：</w:t>
                  </w:r>
                </w:p>
                <w:p w14:paraId="00A962F6">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1、附着率按生产经验取99%。根据水性油墨成分分析，固体份含量在90~95%，本项目保守按90%计。</w:t>
                  </w:r>
                </w:p>
                <w:p w14:paraId="0A9181FF">
                  <w:pPr>
                    <w:keepNext w:val="0"/>
                    <w:keepLines w:val="0"/>
                    <w:suppressLineNumbers w:val="0"/>
                    <w:spacing w:before="0" w:beforeAutospacing="0" w:after="0" w:afterAutospacing="0" w:line="240" w:lineRule="auto"/>
                    <w:ind w:left="0" w:right="0"/>
                    <w:jc w:val="left"/>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sz w:val="21"/>
                      <w:szCs w:val="21"/>
                      <w:highlight w:val="none"/>
                      <w:lang w:val="en-US" w:eastAsia="zh-CN"/>
                    </w:rPr>
                    <w:t>2、根据水性油墨MSDS，油墨密度1.10g/cm</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lang w:val="en-US" w:eastAsia="zh-CN"/>
                    </w:rPr>
                    <w:t>。</w:t>
                  </w:r>
                </w:p>
              </w:tc>
            </w:tr>
          </w:tbl>
          <w:p w14:paraId="17D28F71">
            <w:pPr>
              <w:keepNext w:val="0"/>
              <w:keepLines w:val="0"/>
              <w:pageBreakBefore w:val="0"/>
              <w:widowControl w:val="0"/>
              <w:numPr>
                <w:ilvl w:val="0"/>
                <w:numId w:val="7"/>
              </w:numPr>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firstLine="422" w:firstLineChars="200"/>
              <w:jc w:val="left"/>
              <w:textAlignment w:val="auto"/>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项目主要生产设备</w:t>
            </w:r>
          </w:p>
          <w:p w14:paraId="1E7B5EE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20" w:firstLineChars="200"/>
              <w:jc w:val="left"/>
              <w:textAlignment w:val="auto"/>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根据建设单位提供的资料，项目迁改扩建主要生产设备</w:t>
            </w:r>
            <w:r>
              <w:rPr>
                <w:rFonts w:hint="eastAsia" w:ascii="Times New Roman" w:hAnsi="Times New Roman" w:cs="Times New Roman"/>
                <w:b w:val="0"/>
                <w:bCs/>
                <w:color w:val="auto"/>
                <w:sz w:val="21"/>
                <w:szCs w:val="21"/>
                <w:highlight w:val="none"/>
                <w:lang w:val="en-US" w:eastAsia="zh-CN"/>
              </w:rPr>
              <w:t>如</w:t>
            </w:r>
            <w:r>
              <w:rPr>
                <w:rFonts w:hint="default" w:ascii="Times New Roman" w:hAnsi="Times New Roman" w:eastAsia="宋体" w:cs="Times New Roman"/>
                <w:b w:val="0"/>
                <w:bCs/>
                <w:color w:val="auto"/>
                <w:sz w:val="21"/>
                <w:szCs w:val="21"/>
                <w:highlight w:val="none"/>
                <w:lang w:val="en-US" w:eastAsia="zh-CN"/>
              </w:rPr>
              <w:t>下表所示。</w:t>
            </w:r>
          </w:p>
          <w:p w14:paraId="33DC931E">
            <w:pPr>
              <w:keepNext w:val="0"/>
              <w:keepLines w:val="0"/>
              <w:widowControl/>
              <w:numPr>
                <w:ilvl w:val="0"/>
                <w:numId w:val="4"/>
              </w:numPr>
              <w:suppressLineNumbers w:val="0"/>
              <w:adjustRightInd w:val="0"/>
              <w:spacing w:before="0" w:beforeAutospacing="0" w:after="0" w:afterAutospacing="0" w:line="360" w:lineRule="auto"/>
              <w:ind w:right="0"/>
              <w:jc w:val="center"/>
              <w:textAlignment w:val="baseline"/>
              <w:rPr>
                <w:rFonts w:hint="default" w:ascii="Times New Roman" w:hAnsi="Times New Roman" w:eastAsia="宋体" w:cs="Times New Roman"/>
                <w:b/>
                <w:color w:val="auto"/>
                <w:highlight w:val="none"/>
                <w:lang w:val="en-US" w:eastAsia="zh-CN"/>
              </w:rPr>
            </w:pPr>
            <w:r>
              <w:rPr>
                <w:rFonts w:hint="default" w:ascii="Times New Roman" w:hAnsi="Times New Roman" w:eastAsia="宋体" w:cs="Times New Roman"/>
                <w:b/>
                <w:color w:val="auto"/>
                <w:highlight w:val="none"/>
                <w:lang w:val="en-US" w:eastAsia="zh-CN"/>
              </w:rPr>
              <w:t>迁改扩建项目主要生产设备一览表</w:t>
            </w:r>
          </w:p>
          <w:tbl>
            <w:tblPr>
              <w:tblStyle w:val="42"/>
              <w:tblW w:w="4997"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7"/>
              <w:gridCol w:w="1297"/>
              <w:gridCol w:w="1217"/>
              <w:gridCol w:w="1546"/>
              <w:gridCol w:w="1112"/>
              <w:gridCol w:w="1048"/>
              <w:gridCol w:w="915"/>
              <w:gridCol w:w="885"/>
            </w:tblGrid>
            <w:tr w14:paraId="73824C7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357" w:type="pct"/>
                  <w:tcBorders>
                    <w:tl2br w:val="nil"/>
                    <w:tr2bl w:val="nil"/>
                  </w:tcBorders>
                  <w:noWrap w:val="0"/>
                  <w:vAlign w:val="center"/>
                </w:tcPr>
                <w:p w14:paraId="1BE4BB9D">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序号</w:t>
                  </w:r>
                </w:p>
              </w:tc>
              <w:tc>
                <w:tcPr>
                  <w:tcW w:w="750" w:type="pct"/>
                  <w:tcBorders>
                    <w:tl2br w:val="nil"/>
                    <w:tr2bl w:val="nil"/>
                  </w:tcBorders>
                  <w:noWrap w:val="0"/>
                  <w:vAlign w:val="center"/>
                </w:tcPr>
                <w:p w14:paraId="426AB934">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主要生产单元</w:t>
                  </w:r>
                </w:p>
              </w:tc>
              <w:tc>
                <w:tcPr>
                  <w:tcW w:w="704" w:type="pct"/>
                  <w:tcBorders>
                    <w:tl2br w:val="nil"/>
                    <w:tr2bl w:val="nil"/>
                  </w:tcBorders>
                  <w:noWrap w:val="0"/>
                  <w:vAlign w:val="center"/>
                </w:tcPr>
                <w:p w14:paraId="487B5DDE">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生产工序</w:t>
                  </w:r>
                </w:p>
              </w:tc>
              <w:tc>
                <w:tcPr>
                  <w:tcW w:w="894" w:type="pct"/>
                  <w:tcBorders>
                    <w:tl2br w:val="nil"/>
                    <w:tr2bl w:val="nil"/>
                  </w:tcBorders>
                  <w:noWrap w:val="0"/>
                  <w:vAlign w:val="center"/>
                </w:tcPr>
                <w:p w14:paraId="13300C4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生产设施名称</w:t>
                  </w:r>
                </w:p>
              </w:tc>
              <w:tc>
                <w:tcPr>
                  <w:tcW w:w="643" w:type="pct"/>
                  <w:tcBorders>
                    <w:tl2br w:val="nil"/>
                    <w:tr2bl w:val="nil"/>
                  </w:tcBorders>
                  <w:noWrap w:val="0"/>
                  <w:vAlign w:val="center"/>
                </w:tcPr>
                <w:p w14:paraId="0FB28160">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设备数量</w:t>
                  </w:r>
                </w:p>
              </w:tc>
              <w:tc>
                <w:tcPr>
                  <w:tcW w:w="606" w:type="pct"/>
                  <w:tcBorders>
                    <w:tl2br w:val="nil"/>
                    <w:tr2bl w:val="nil"/>
                  </w:tcBorders>
                  <w:noWrap w:val="0"/>
                  <w:vAlign w:val="center"/>
                </w:tcPr>
                <w:p w14:paraId="516563E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eastAsia" w:ascii="Times New Roman" w:hAnsi="Times New Roman" w:cs="Times New Roman"/>
                      <w:b/>
                      <w:bCs/>
                      <w:color w:val="auto"/>
                      <w:sz w:val="21"/>
                      <w:szCs w:val="21"/>
                      <w:highlight w:val="none"/>
                      <w:vertAlign w:val="baseline"/>
                      <w:lang w:val="en-US" w:eastAsia="zh-CN"/>
                    </w:rPr>
                    <w:t>单台</w:t>
                  </w:r>
                  <w:r>
                    <w:rPr>
                      <w:rFonts w:hint="default" w:ascii="Times New Roman" w:hAnsi="Times New Roman" w:eastAsia="宋体" w:cs="Times New Roman"/>
                      <w:b/>
                      <w:bCs/>
                      <w:color w:val="auto"/>
                      <w:sz w:val="21"/>
                      <w:szCs w:val="21"/>
                      <w:highlight w:val="none"/>
                      <w:vertAlign w:val="baseline"/>
                      <w:lang w:val="en-US" w:eastAsia="zh-CN"/>
                    </w:rPr>
                    <w:t>设备参数</w:t>
                  </w:r>
                </w:p>
              </w:tc>
              <w:tc>
                <w:tcPr>
                  <w:tcW w:w="529" w:type="pct"/>
                  <w:tcBorders>
                    <w:tl2br w:val="nil"/>
                    <w:tr2bl w:val="nil"/>
                  </w:tcBorders>
                  <w:noWrap w:val="0"/>
                  <w:vAlign w:val="center"/>
                </w:tcPr>
                <w:p w14:paraId="7C1BA80C">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参数值</w:t>
                  </w:r>
                </w:p>
              </w:tc>
              <w:tc>
                <w:tcPr>
                  <w:tcW w:w="512" w:type="pct"/>
                  <w:tcBorders>
                    <w:tl2br w:val="nil"/>
                    <w:tr2bl w:val="nil"/>
                  </w:tcBorders>
                  <w:noWrap w:val="0"/>
                  <w:vAlign w:val="center"/>
                </w:tcPr>
                <w:p w14:paraId="3FEC260D">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设备运行时间</w:t>
                  </w:r>
                </w:p>
              </w:tc>
            </w:tr>
            <w:tr w14:paraId="445E702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7" w:type="pct"/>
                  <w:vMerge w:val="restart"/>
                  <w:tcBorders>
                    <w:tl2br w:val="nil"/>
                    <w:tr2bl w:val="nil"/>
                  </w:tcBorders>
                  <w:noWrap w:val="0"/>
                  <w:vAlign w:val="center"/>
                </w:tcPr>
                <w:p w14:paraId="67BD5A23">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w:t>
                  </w:r>
                </w:p>
              </w:tc>
              <w:tc>
                <w:tcPr>
                  <w:tcW w:w="750" w:type="pct"/>
                  <w:vMerge w:val="restart"/>
                  <w:tcBorders>
                    <w:tl2br w:val="nil"/>
                    <w:tr2bl w:val="nil"/>
                  </w:tcBorders>
                  <w:noWrap w:val="0"/>
                  <w:vAlign w:val="center"/>
                </w:tcPr>
                <w:p w14:paraId="5115E138">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吸塑制品制造</w:t>
                  </w:r>
                </w:p>
              </w:tc>
              <w:tc>
                <w:tcPr>
                  <w:tcW w:w="704" w:type="pct"/>
                  <w:vMerge w:val="restart"/>
                  <w:tcBorders>
                    <w:tl2br w:val="nil"/>
                    <w:tr2bl w:val="nil"/>
                  </w:tcBorders>
                  <w:noWrap w:val="0"/>
                  <w:vAlign w:val="center"/>
                </w:tcPr>
                <w:p w14:paraId="7768FE83">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吸塑</w:t>
                  </w:r>
                </w:p>
              </w:tc>
              <w:tc>
                <w:tcPr>
                  <w:tcW w:w="894" w:type="pct"/>
                  <w:vMerge w:val="restart"/>
                  <w:tcBorders>
                    <w:tl2br w:val="nil"/>
                    <w:tr2bl w:val="nil"/>
                  </w:tcBorders>
                  <w:noWrap w:val="0"/>
                  <w:vAlign w:val="center"/>
                </w:tcPr>
                <w:p w14:paraId="64134E7B">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rPr>
                    <w:t>吸塑机</w:t>
                  </w:r>
                </w:p>
              </w:tc>
              <w:tc>
                <w:tcPr>
                  <w:tcW w:w="643" w:type="pct"/>
                  <w:vMerge w:val="restart"/>
                  <w:tcBorders>
                    <w:tl2br w:val="nil"/>
                    <w:tr2bl w:val="nil"/>
                  </w:tcBorders>
                  <w:noWrap w:val="0"/>
                  <w:vAlign w:val="center"/>
                </w:tcPr>
                <w:p w14:paraId="606B5BC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rPr>
                    <w:t>6</w:t>
                  </w:r>
                  <w:r>
                    <w:rPr>
                      <w:rFonts w:hint="default" w:ascii="Times New Roman" w:hAnsi="Times New Roman" w:eastAsia="宋体" w:cs="Times New Roman"/>
                      <w:bCs/>
                      <w:color w:val="auto"/>
                      <w:sz w:val="21"/>
                      <w:szCs w:val="21"/>
                      <w:highlight w:val="none"/>
                      <w:lang w:val="en-US" w:eastAsia="zh-CN"/>
                    </w:rPr>
                    <w:t>台</w:t>
                  </w:r>
                </w:p>
              </w:tc>
              <w:tc>
                <w:tcPr>
                  <w:tcW w:w="606" w:type="pct"/>
                  <w:tcBorders>
                    <w:tl2br w:val="nil"/>
                    <w:tr2bl w:val="nil"/>
                  </w:tcBorders>
                  <w:noWrap w:val="0"/>
                  <w:vAlign w:val="center"/>
                </w:tcPr>
                <w:p w14:paraId="52E467B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加工</w:t>
                  </w:r>
                  <w:r>
                    <w:rPr>
                      <w:rFonts w:hint="default" w:ascii="Times New Roman" w:hAnsi="Times New Roman" w:cs="Times New Roman"/>
                      <w:color w:val="auto"/>
                      <w:sz w:val="21"/>
                      <w:szCs w:val="21"/>
                      <w:highlight w:val="none"/>
                      <w:vertAlign w:val="baseline"/>
                      <w:lang w:val="en-US" w:eastAsia="zh-CN"/>
                    </w:rPr>
                    <w:t>能力</w:t>
                  </w:r>
                </w:p>
              </w:tc>
              <w:tc>
                <w:tcPr>
                  <w:tcW w:w="529" w:type="pct"/>
                  <w:tcBorders>
                    <w:tl2br w:val="nil"/>
                    <w:tr2bl w:val="nil"/>
                  </w:tcBorders>
                  <w:noWrap w:val="0"/>
                  <w:vAlign w:val="center"/>
                </w:tcPr>
                <w:p w14:paraId="758BABF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12</w:t>
                  </w:r>
                  <w:r>
                    <w:rPr>
                      <w:rFonts w:hint="eastAsia" w:cs="Times New Roman"/>
                      <w:color w:val="auto"/>
                      <w:sz w:val="21"/>
                      <w:szCs w:val="21"/>
                      <w:highlight w:val="none"/>
                      <w:vertAlign w:val="baseline"/>
                      <w:lang w:val="en-US" w:eastAsia="zh-CN"/>
                    </w:rPr>
                    <w:t>kg</w:t>
                  </w:r>
                  <w:r>
                    <w:rPr>
                      <w:rFonts w:hint="default" w:ascii="Times New Roman" w:hAnsi="Times New Roman" w:cs="Times New Roman"/>
                      <w:color w:val="auto"/>
                      <w:sz w:val="21"/>
                      <w:szCs w:val="21"/>
                      <w:highlight w:val="none"/>
                      <w:vertAlign w:val="baseline"/>
                      <w:lang w:val="en-US" w:eastAsia="zh-CN"/>
                    </w:rPr>
                    <w:t>/h</w:t>
                  </w:r>
                </w:p>
              </w:tc>
              <w:tc>
                <w:tcPr>
                  <w:tcW w:w="512" w:type="pct"/>
                  <w:vMerge w:val="restart"/>
                  <w:tcBorders>
                    <w:tl2br w:val="nil"/>
                    <w:tr2bl w:val="nil"/>
                  </w:tcBorders>
                  <w:noWrap w:val="0"/>
                  <w:vAlign w:val="center"/>
                </w:tcPr>
                <w:p w14:paraId="68BBCECD">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2400h</w:t>
                  </w:r>
                </w:p>
              </w:tc>
            </w:tr>
            <w:tr w14:paraId="676A9DC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7" w:type="pct"/>
                  <w:vMerge w:val="continue"/>
                  <w:tcBorders>
                    <w:tl2br w:val="nil"/>
                    <w:tr2bl w:val="nil"/>
                  </w:tcBorders>
                  <w:noWrap w:val="0"/>
                  <w:vAlign w:val="center"/>
                </w:tcPr>
                <w:p w14:paraId="2018F59B">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750" w:type="pct"/>
                  <w:vMerge w:val="continue"/>
                  <w:tcBorders>
                    <w:tl2br w:val="nil"/>
                    <w:tr2bl w:val="nil"/>
                  </w:tcBorders>
                  <w:noWrap w:val="0"/>
                  <w:vAlign w:val="center"/>
                </w:tcPr>
                <w:p w14:paraId="3126060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704" w:type="pct"/>
                  <w:vMerge w:val="continue"/>
                  <w:tcBorders>
                    <w:tl2br w:val="nil"/>
                    <w:tr2bl w:val="nil"/>
                  </w:tcBorders>
                  <w:noWrap w:val="0"/>
                  <w:vAlign w:val="center"/>
                </w:tcPr>
                <w:p w14:paraId="18A01E17">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894" w:type="pct"/>
                  <w:vMerge w:val="continue"/>
                  <w:tcBorders>
                    <w:tl2br w:val="nil"/>
                    <w:tr2bl w:val="nil"/>
                  </w:tcBorders>
                  <w:noWrap w:val="0"/>
                  <w:vAlign w:val="center"/>
                </w:tcPr>
                <w:p w14:paraId="19A047C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Cs/>
                      <w:color w:val="auto"/>
                      <w:sz w:val="21"/>
                      <w:szCs w:val="21"/>
                      <w:highlight w:val="none"/>
                    </w:rPr>
                  </w:pPr>
                </w:p>
              </w:tc>
              <w:tc>
                <w:tcPr>
                  <w:tcW w:w="643" w:type="pct"/>
                  <w:vMerge w:val="continue"/>
                  <w:tcBorders>
                    <w:tl2br w:val="nil"/>
                    <w:tr2bl w:val="nil"/>
                  </w:tcBorders>
                  <w:noWrap w:val="0"/>
                  <w:vAlign w:val="center"/>
                </w:tcPr>
                <w:p w14:paraId="47541D7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1"/>
                      <w:szCs w:val="21"/>
                      <w:highlight w:val="none"/>
                    </w:rPr>
                  </w:pPr>
                </w:p>
              </w:tc>
              <w:tc>
                <w:tcPr>
                  <w:tcW w:w="606" w:type="pct"/>
                  <w:tcBorders>
                    <w:tl2br w:val="nil"/>
                    <w:tr2bl w:val="nil"/>
                  </w:tcBorders>
                  <w:noWrap w:val="0"/>
                  <w:vAlign w:val="center"/>
                </w:tcPr>
                <w:p w14:paraId="27D3DE5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工作压力</w:t>
                  </w:r>
                </w:p>
              </w:tc>
              <w:tc>
                <w:tcPr>
                  <w:tcW w:w="529" w:type="pct"/>
                  <w:tcBorders>
                    <w:tl2br w:val="nil"/>
                    <w:tr2bl w:val="nil"/>
                  </w:tcBorders>
                  <w:noWrap w:val="0"/>
                  <w:vAlign w:val="center"/>
                </w:tcPr>
                <w:p w14:paraId="62369EE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12T</w:t>
                  </w:r>
                </w:p>
              </w:tc>
              <w:tc>
                <w:tcPr>
                  <w:tcW w:w="512" w:type="pct"/>
                  <w:vMerge w:val="continue"/>
                  <w:tcBorders>
                    <w:tl2br w:val="nil"/>
                    <w:tr2bl w:val="nil"/>
                  </w:tcBorders>
                  <w:noWrap w:val="0"/>
                  <w:vAlign w:val="center"/>
                </w:tcPr>
                <w:p w14:paraId="74C0687B">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r>
            <w:tr w14:paraId="5BEB0BE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7" w:type="pct"/>
                  <w:tcBorders>
                    <w:tl2br w:val="nil"/>
                    <w:tr2bl w:val="nil"/>
                  </w:tcBorders>
                  <w:noWrap w:val="0"/>
                  <w:vAlign w:val="center"/>
                </w:tcPr>
                <w:p w14:paraId="4B1098C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w:t>
                  </w:r>
                </w:p>
              </w:tc>
              <w:tc>
                <w:tcPr>
                  <w:tcW w:w="750" w:type="pct"/>
                  <w:vMerge w:val="continue"/>
                  <w:tcBorders>
                    <w:tl2br w:val="nil"/>
                    <w:tr2bl w:val="nil"/>
                  </w:tcBorders>
                  <w:noWrap w:val="0"/>
                  <w:vAlign w:val="center"/>
                </w:tcPr>
                <w:p w14:paraId="0F44BD3A">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704" w:type="pct"/>
                  <w:vMerge w:val="restart"/>
                  <w:tcBorders>
                    <w:tl2br w:val="nil"/>
                    <w:tr2bl w:val="nil"/>
                  </w:tcBorders>
                  <w:noWrap w:val="0"/>
                  <w:vAlign w:val="center"/>
                </w:tcPr>
                <w:p w14:paraId="2CC9D72B">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冲压</w:t>
                  </w:r>
                </w:p>
              </w:tc>
              <w:tc>
                <w:tcPr>
                  <w:tcW w:w="894" w:type="pct"/>
                  <w:tcBorders>
                    <w:tl2br w:val="nil"/>
                    <w:tr2bl w:val="nil"/>
                  </w:tcBorders>
                  <w:noWrap w:val="0"/>
                  <w:vAlign w:val="center"/>
                </w:tcPr>
                <w:p w14:paraId="0460AB84">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rPr>
                    <w:t>冲床</w:t>
                  </w:r>
                </w:p>
              </w:tc>
              <w:tc>
                <w:tcPr>
                  <w:tcW w:w="643" w:type="pct"/>
                  <w:tcBorders>
                    <w:tl2br w:val="nil"/>
                    <w:tr2bl w:val="nil"/>
                  </w:tcBorders>
                  <w:noWrap w:val="0"/>
                  <w:vAlign w:val="center"/>
                </w:tcPr>
                <w:p w14:paraId="6694209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rPr>
                    <w:t>7</w:t>
                  </w:r>
                  <w:r>
                    <w:rPr>
                      <w:rFonts w:hint="default" w:ascii="Times New Roman" w:hAnsi="Times New Roman" w:eastAsia="宋体" w:cs="Times New Roman"/>
                      <w:bCs/>
                      <w:color w:val="auto"/>
                      <w:sz w:val="21"/>
                      <w:szCs w:val="21"/>
                      <w:highlight w:val="none"/>
                      <w:lang w:val="en-US" w:eastAsia="zh-CN"/>
                    </w:rPr>
                    <w:t>台</w:t>
                  </w:r>
                </w:p>
              </w:tc>
              <w:tc>
                <w:tcPr>
                  <w:tcW w:w="606" w:type="pct"/>
                  <w:tcBorders>
                    <w:tl2br w:val="nil"/>
                    <w:tr2bl w:val="nil"/>
                  </w:tcBorders>
                  <w:noWrap w:val="0"/>
                  <w:vAlign w:val="center"/>
                </w:tcPr>
                <w:p w14:paraId="223B8F6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功率</w:t>
                  </w:r>
                </w:p>
              </w:tc>
              <w:tc>
                <w:tcPr>
                  <w:tcW w:w="529" w:type="pct"/>
                  <w:tcBorders>
                    <w:tl2br w:val="nil"/>
                    <w:tr2bl w:val="nil"/>
                  </w:tcBorders>
                  <w:noWrap w:val="0"/>
                  <w:vAlign w:val="center"/>
                </w:tcPr>
                <w:p w14:paraId="75CA72E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0.6kW</w:t>
                  </w:r>
                </w:p>
              </w:tc>
              <w:tc>
                <w:tcPr>
                  <w:tcW w:w="512" w:type="pct"/>
                  <w:vMerge w:val="continue"/>
                  <w:tcBorders>
                    <w:tl2br w:val="nil"/>
                    <w:tr2bl w:val="nil"/>
                  </w:tcBorders>
                  <w:noWrap w:val="0"/>
                  <w:vAlign w:val="center"/>
                </w:tcPr>
                <w:p w14:paraId="44F7626C">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r>
            <w:tr w14:paraId="5B9D1A3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7" w:type="pct"/>
                  <w:tcBorders>
                    <w:tl2br w:val="nil"/>
                    <w:tr2bl w:val="nil"/>
                  </w:tcBorders>
                  <w:noWrap w:val="0"/>
                  <w:vAlign w:val="center"/>
                </w:tcPr>
                <w:p w14:paraId="18A6CA46">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3</w:t>
                  </w:r>
                </w:p>
              </w:tc>
              <w:tc>
                <w:tcPr>
                  <w:tcW w:w="750" w:type="pct"/>
                  <w:vMerge w:val="continue"/>
                  <w:tcBorders>
                    <w:tl2br w:val="nil"/>
                    <w:tr2bl w:val="nil"/>
                  </w:tcBorders>
                  <w:noWrap w:val="0"/>
                  <w:vAlign w:val="center"/>
                </w:tcPr>
                <w:p w14:paraId="643AA89B">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704" w:type="pct"/>
                  <w:vMerge w:val="continue"/>
                  <w:tcBorders>
                    <w:tl2br w:val="nil"/>
                    <w:tr2bl w:val="nil"/>
                  </w:tcBorders>
                  <w:noWrap w:val="0"/>
                  <w:vAlign w:val="center"/>
                </w:tcPr>
                <w:p w14:paraId="7EC1F1E6">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894" w:type="pct"/>
                  <w:tcBorders>
                    <w:tl2br w:val="nil"/>
                    <w:tr2bl w:val="nil"/>
                  </w:tcBorders>
                  <w:noWrap w:val="0"/>
                  <w:vAlign w:val="center"/>
                </w:tcPr>
                <w:p w14:paraId="2FC32A1C">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rPr>
                    <w:t>打</w:t>
                  </w:r>
                  <w:r>
                    <w:rPr>
                      <w:rFonts w:hint="default" w:ascii="Times New Roman" w:hAnsi="Times New Roman" w:cs="Times New Roman"/>
                      <w:bCs/>
                      <w:color w:val="auto"/>
                      <w:sz w:val="21"/>
                      <w:szCs w:val="21"/>
                      <w:highlight w:val="none"/>
                      <w:lang w:val="en-US" w:eastAsia="zh-CN"/>
                    </w:rPr>
                    <w:t>版</w:t>
                  </w:r>
                  <w:r>
                    <w:rPr>
                      <w:rFonts w:hint="default" w:ascii="Times New Roman" w:hAnsi="Times New Roman" w:eastAsia="宋体" w:cs="Times New Roman"/>
                      <w:bCs/>
                      <w:color w:val="auto"/>
                      <w:sz w:val="21"/>
                      <w:szCs w:val="21"/>
                      <w:highlight w:val="none"/>
                    </w:rPr>
                    <w:t>机</w:t>
                  </w:r>
                </w:p>
              </w:tc>
              <w:tc>
                <w:tcPr>
                  <w:tcW w:w="643" w:type="pct"/>
                  <w:tcBorders>
                    <w:tl2br w:val="nil"/>
                    <w:tr2bl w:val="nil"/>
                  </w:tcBorders>
                  <w:noWrap w:val="0"/>
                  <w:vAlign w:val="center"/>
                </w:tcPr>
                <w:p w14:paraId="4EC076F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rPr>
                    <w:t>1</w:t>
                  </w:r>
                  <w:r>
                    <w:rPr>
                      <w:rFonts w:hint="default" w:ascii="Times New Roman" w:hAnsi="Times New Roman" w:eastAsia="宋体" w:cs="Times New Roman"/>
                      <w:bCs/>
                      <w:color w:val="auto"/>
                      <w:sz w:val="21"/>
                      <w:szCs w:val="21"/>
                      <w:highlight w:val="none"/>
                      <w:lang w:val="en-US" w:eastAsia="zh-CN"/>
                    </w:rPr>
                    <w:t>台</w:t>
                  </w:r>
                </w:p>
              </w:tc>
              <w:tc>
                <w:tcPr>
                  <w:tcW w:w="606" w:type="pct"/>
                  <w:tcBorders>
                    <w:tl2br w:val="nil"/>
                    <w:tr2bl w:val="nil"/>
                  </w:tcBorders>
                  <w:shd w:val="clear" w:color="auto" w:fill="auto"/>
                  <w:noWrap w:val="0"/>
                  <w:vAlign w:val="center"/>
                </w:tcPr>
                <w:p w14:paraId="0C6A0B8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功率</w:t>
                  </w:r>
                </w:p>
              </w:tc>
              <w:tc>
                <w:tcPr>
                  <w:tcW w:w="529" w:type="pct"/>
                  <w:tcBorders>
                    <w:tl2br w:val="nil"/>
                    <w:tr2bl w:val="nil"/>
                  </w:tcBorders>
                  <w:shd w:val="clear" w:color="auto" w:fill="auto"/>
                  <w:noWrap w:val="0"/>
                  <w:vAlign w:val="center"/>
                </w:tcPr>
                <w:p w14:paraId="12A313D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0.2kW</w:t>
                  </w:r>
                </w:p>
              </w:tc>
              <w:tc>
                <w:tcPr>
                  <w:tcW w:w="512" w:type="pct"/>
                  <w:vMerge w:val="continue"/>
                  <w:tcBorders>
                    <w:tl2br w:val="nil"/>
                    <w:tr2bl w:val="nil"/>
                  </w:tcBorders>
                  <w:noWrap w:val="0"/>
                  <w:vAlign w:val="center"/>
                </w:tcPr>
                <w:p w14:paraId="399D49B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r>
            <w:tr w14:paraId="53FC9E5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7" w:type="pct"/>
                  <w:tcBorders>
                    <w:tl2br w:val="nil"/>
                    <w:tr2bl w:val="nil"/>
                  </w:tcBorders>
                  <w:noWrap w:val="0"/>
                  <w:vAlign w:val="center"/>
                </w:tcPr>
                <w:p w14:paraId="6BF40A49">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4</w:t>
                  </w:r>
                </w:p>
              </w:tc>
              <w:tc>
                <w:tcPr>
                  <w:tcW w:w="750" w:type="pct"/>
                  <w:vMerge w:val="continue"/>
                  <w:tcBorders>
                    <w:tl2br w:val="nil"/>
                    <w:tr2bl w:val="nil"/>
                  </w:tcBorders>
                  <w:noWrap w:val="0"/>
                  <w:vAlign w:val="center"/>
                </w:tcPr>
                <w:p w14:paraId="7FA6E7B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704" w:type="pct"/>
                  <w:tcBorders>
                    <w:tl2br w:val="nil"/>
                    <w:tr2bl w:val="nil"/>
                  </w:tcBorders>
                  <w:noWrap w:val="0"/>
                  <w:vAlign w:val="center"/>
                </w:tcPr>
                <w:p w14:paraId="33BDA671">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折边</w:t>
                  </w:r>
                </w:p>
              </w:tc>
              <w:tc>
                <w:tcPr>
                  <w:tcW w:w="894" w:type="pct"/>
                  <w:tcBorders>
                    <w:tl2br w:val="nil"/>
                    <w:tr2bl w:val="nil"/>
                  </w:tcBorders>
                  <w:noWrap w:val="0"/>
                  <w:vAlign w:val="center"/>
                </w:tcPr>
                <w:p w14:paraId="2A3F8FA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rPr>
                    <w:t>折边机</w:t>
                  </w:r>
                </w:p>
              </w:tc>
              <w:tc>
                <w:tcPr>
                  <w:tcW w:w="643" w:type="pct"/>
                  <w:tcBorders>
                    <w:tl2br w:val="nil"/>
                    <w:tr2bl w:val="nil"/>
                  </w:tcBorders>
                  <w:noWrap w:val="0"/>
                  <w:vAlign w:val="center"/>
                </w:tcPr>
                <w:p w14:paraId="3715C9E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rPr>
                    <w:t>1</w:t>
                  </w:r>
                  <w:r>
                    <w:rPr>
                      <w:rFonts w:hint="default" w:ascii="Times New Roman" w:hAnsi="Times New Roman" w:eastAsia="宋体" w:cs="Times New Roman"/>
                      <w:bCs/>
                      <w:color w:val="auto"/>
                      <w:sz w:val="21"/>
                      <w:szCs w:val="21"/>
                      <w:highlight w:val="none"/>
                      <w:lang w:val="en-US" w:eastAsia="zh-CN"/>
                    </w:rPr>
                    <w:t>台</w:t>
                  </w:r>
                </w:p>
              </w:tc>
              <w:tc>
                <w:tcPr>
                  <w:tcW w:w="606" w:type="pct"/>
                  <w:tcBorders>
                    <w:tl2br w:val="nil"/>
                    <w:tr2bl w:val="nil"/>
                  </w:tcBorders>
                  <w:shd w:val="clear" w:color="auto" w:fill="auto"/>
                  <w:noWrap w:val="0"/>
                  <w:vAlign w:val="center"/>
                </w:tcPr>
                <w:p w14:paraId="5E1A214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功率</w:t>
                  </w:r>
                </w:p>
              </w:tc>
              <w:tc>
                <w:tcPr>
                  <w:tcW w:w="529" w:type="pct"/>
                  <w:tcBorders>
                    <w:tl2br w:val="nil"/>
                    <w:tr2bl w:val="nil"/>
                  </w:tcBorders>
                  <w:shd w:val="clear" w:color="auto" w:fill="auto"/>
                  <w:noWrap w:val="0"/>
                  <w:vAlign w:val="center"/>
                </w:tcPr>
                <w:p w14:paraId="766D7DB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0.3kW</w:t>
                  </w:r>
                </w:p>
              </w:tc>
              <w:tc>
                <w:tcPr>
                  <w:tcW w:w="512" w:type="pct"/>
                  <w:vMerge w:val="continue"/>
                  <w:tcBorders>
                    <w:tl2br w:val="nil"/>
                    <w:tr2bl w:val="nil"/>
                  </w:tcBorders>
                  <w:noWrap w:val="0"/>
                  <w:vAlign w:val="center"/>
                </w:tcPr>
                <w:p w14:paraId="4433E073">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r>
            <w:tr w14:paraId="0342460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7" w:type="pct"/>
                  <w:tcBorders>
                    <w:tl2br w:val="nil"/>
                    <w:tr2bl w:val="nil"/>
                  </w:tcBorders>
                  <w:noWrap w:val="0"/>
                  <w:vAlign w:val="center"/>
                </w:tcPr>
                <w:p w14:paraId="0E8BC1AB">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5</w:t>
                  </w:r>
                </w:p>
              </w:tc>
              <w:tc>
                <w:tcPr>
                  <w:tcW w:w="750" w:type="pct"/>
                  <w:vMerge w:val="restart"/>
                  <w:tcBorders>
                    <w:tl2br w:val="nil"/>
                    <w:tr2bl w:val="nil"/>
                  </w:tcBorders>
                  <w:noWrap w:val="0"/>
                  <w:vAlign w:val="center"/>
                </w:tcPr>
                <w:p w14:paraId="3E05941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包装纸箱制造</w:t>
                  </w:r>
                </w:p>
              </w:tc>
              <w:tc>
                <w:tcPr>
                  <w:tcW w:w="704" w:type="pct"/>
                  <w:tcBorders>
                    <w:tl2br w:val="nil"/>
                    <w:tr2bl w:val="nil"/>
                  </w:tcBorders>
                  <w:noWrap w:val="0"/>
                  <w:vAlign w:val="center"/>
                </w:tcPr>
                <w:p w14:paraId="5F83AE8D">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分切</w:t>
                  </w:r>
                </w:p>
              </w:tc>
              <w:tc>
                <w:tcPr>
                  <w:tcW w:w="894" w:type="pct"/>
                  <w:tcBorders>
                    <w:tl2br w:val="nil"/>
                    <w:tr2bl w:val="nil"/>
                  </w:tcBorders>
                  <w:noWrap w:val="0"/>
                  <w:vAlign w:val="center"/>
                </w:tcPr>
                <w:p w14:paraId="0F9955D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分纸机</w:t>
                  </w:r>
                </w:p>
              </w:tc>
              <w:tc>
                <w:tcPr>
                  <w:tcW w:w="643" w:type="pct"/>
                  <w:tcBorders>
                    <w:tl2br w:val="nil"/>
                    <w:tr2bl w:val="nil"/>
                  </w:tcBorders>
                  <w:noWrap w:val="0"/>
                  <w:vAlign w:val="center"/>
                </w:tcPr>
                <w:p w14:paraId="16CA662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rPr>
                    <w:t>3</w:t>
                  </w:r>
                  <w:r>
                    <w:rPr>
                      <w:rFonts w:hint="default" w:ascii="Times New Roman" w:hAnsi="Times New Roman" w:eastAsia="宋体" w:cs="Times New Roman"/>
                      <w:bCs/>
                      <w:color w:val="auto"/>
                      <w:sz w:val="21"/>
                      <w:szCs w:val="21"/>
                      <w:highlight w:val="none"/>
                      <w:lang w:val="en-US" w:eastAsia="zh-CN"/>
                    </w:rPr>
                    <w:t>台</w:t>
                  </w:r>
                </w:p>
              </w:tc>
              <w:tc>
                <w:tcPr>
                  <w:tcW w:w="606" w:type="pct"/>
                  <w:tcBorders>
                    <w:tl2br w:val="nil"/>
                    <w:tr2bl w:val="nil"/>
                  </w:tcBorders>
                  <w:noWrap w:val="0"/>
                  <w:vAlign w:val="center"/>
                </w:tcPr>
                <w:p w14:paraId="722375F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功率</w:t>
                  </w:r>
                </w:p>
              </w:tc>
              <w:tc>
                <w:tcPr>
                  <w:tcW w:w="529" w:type="pct"/>
                  <w:tcBorders>
                    <w:tl2br w:val="nil"/>
                    <w:tr2bl w:val="nil"/>
                  </w:tcBorders>
                  <w:noWrap w:val="0"/>
                  <w:vAlign w:val="center"/>
                </w:tcPr>
                <w:p w14:paraId="27C99F6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0.3kW</w:t>
                  </w:r>
                </w:p>
              </w:tc>
              <w:tc>
                <w:tcPr>
                  <w:tcW w:w="512" w:type="pct"/>
                  <w:vMerge w:val="continue"/>
                  <w:tcBorders>
                    <w:tl2br w:val="nil"/>
                    <w:tr2bl w:val="nil"/>
                  </w:tcBorders>
                  <w:noWrap w:val="0"/>
                  <w:vAlign w:val="center"/>
                </w:tcPr>
                <w:p w14:paraId="4BEA885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r>
            <w:tr w14:paraId="69300A2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7" w:type="pct"/>
                  <w:tcBorders>
                    <w:tl2br w:val="nil"/>
                    <w:tr2bl w:val="nil"/>
                  </w:tcBorders>
                  <w:noWrap w:val="0"/>
                  <w:vAlign w:val="center"/>
                </w:tcPr>
                <w:p w14:paraId="3FA823DD">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6</w:t>
                  </w:r>
                </w:p>
              </w:tc>
              <w:tc>
                <w:tcPr>
                  <w:tcW w:w="750" w:type="pct"/>
                  <w:vMerge w:val="continue"/>
                  <w:tcBorders>
                    <w:tl2br w:val="nil"/>
                    <w:tr2bl w:val="nil"/>
                  </w:tcBorders>
                  <w:noWrap w:val="0"/>
                  <w:vAlign w:val="center"/>
                </w:tcPr>
                <w:p w14:paraId="2C9DF466">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704" w:type="pct"/>
                  <w:tcBorders>
                    <w:tl2br w:val="nil"/>
                    <w:tr2bl w:val="nil"/>
                  </w:tcBorders>
                  <w:noWrap w:val="0"/>
                  <w:vAlign w:val="center"/>
                </w:tcPr>
                <w:p w14:paraId="291DE773">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印刷</w:t>
                  </w:r>
                </w:p>
              </w:tc>
              <w:tc>
                <w:tcPr>
                  <w:tcW w:w="894" w:type="pct"/>
                  <w:tcBorders>
                    <w:tl2br w:val="nil"/>
                    <w:tr2bl w:val="nil"/>
                  </w:tcBorders>
                  <w:noWrap w:val="0"/>
                  <w:vAlign w:val="center"/>
                </w:tcPr>
                <w:p w14:paraId="13EA5F7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印刷机</w:t>
                  </w:r>
                </w:p>
              </w:tc>
              <w:tc>
                <w:tcPr>
                  <w:tcW w:w="643" w:type="pct"/>
                  <w:tcBorders>
                    <w:tl2br w:val="nil"/>
                    <w:tr2bl w:val="nil"/>
                  </w:tcBorders>
                  <w:noWrap w:val="0"/>
                  <w:vAlign w:val="center"/>
                </w:tcPr>
                <w:p w14:paraId="0728489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rPr>
                    <w:t>2</w:t>
                  </w:r>
                  <w:r>
                    <w:rPr>
                      <w:rFonts w:hint="default" w:ascii="Times New Roman" w:hAnsi="Times New Roman" w:eastAsia="宋体" w:cs="Times New Roman"/>
                      <w:bCs/>
                      <w:color w:val="auto"/>
                      <w:sz w:val="21"/>
                      <w:szCs w:val="21"/>
                      <w:highlight w:val="none"/>
                      <w:lang w:val="en-US" w:eastAsia="zh-CN"/>
                    </w:rPr>
                    <w:t>台</w:t>
                  </w:r>
                </w:p>
              </w:tc>
              <w:tc>
                <w:tcPr>
                  <w:tcW w:w="606" w:type="pct"/>
                  <w:tcBorders>
                    <w:tl2br w:val="nil"/>
                    <w:tr2bl w:val="nil"/>
                  </w:tcBorders>
                  <w:noWrap w:val="0"/>
                  <w:vAlign w:val="center"/>
                </w:tcPr>
                <w:p w14:paraId="75D54A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供墨量</w:t>
                  </w:r>
                </w:p>
              </w:tc>
              <w:tc>
                <w:tcPr>
                  <w:tcW w:w="529" w:type="pct"/>
                  <w:tcBorders>
                    <w:tl2br w:val="nil"/>
                    <w:tr2bl w:val="nil"/>
                  </w:tcBorders>
                  <w:noWrap w:val="0"/>
                  <w:vAlign w:val="center"/>
                </w:tcPr>
                <w:p w14:paraId="0453496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0.2</w:t>
                  </w:r>
                  <w:r>
                    <w:rPr>
                      <w:rFonts w:hint="default" w:ascii="Times New Roman" w:hAnsi="Times New Roman" w:eastAsia="宋体" w:cs="Times New Roman"/>
                      <w:color w:val="auto"/>
                      <w:sz w:val="21"/>
                      <w:szCs w:val="21"/>
                      <w:highlight w:val="none"/>
                      <w:vertAlign w:val="baseline"/>
                      <w:lang w:val="en-US" w:eastAsia="zh-CN"/>
                    </w:rPr>
                    <w:t>kg/h</w:t>
                  </w:r>
                </w:p>
              </w:tc>
              <w:tc>
                <w:tcPr>
                  <w:tcW w:w="512" w:type="pct"/>
                  <w:tcBorders>
                    <w:tl2br w:val="nil"/>
                    <w:tr2bl w:val="nil"/>
                  </w:tcBorders>
                  <w:noWrap w:val="0"/>
                  <w:vAlign w:val="center"/>
                </w:tcPr>
                <w:p w14:paraId="10130289">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5</w:t>
                  </w:r>
                  <w:r>
                    <w:rPr>
                      <w:rFonts w:hint="default" w:ascii="Times New Roman" w:hAnsi="Times New Roman" w:eastAsia="宋体" w:cs="Times New Roman"/>
                      <w:color w:val="auto"/>
                      <w:sz w:val="21"/>
                      <w:szCs w:val="21"/>
                      <w:highlight w:val="none"/>
                      <w:vertAlign w:val="baseline"/>
                      <w:lang w:val="en-US" w:eastAsia="zh-CN"/>
                    </w:rPr>
                    <w:t>00h</w:t>
                  </w:r>
                </w:p>
              </w:tc>
            </w:tr>
            <w:tr w14:paraId="6D08F50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7" w:type="pct"/>
                  <w:tcBorders>
                    <w:tl2br w:val="nil"/>
                    <w:tr2bl w:val="nil"/>
                  </w:tcBorders>
                  <w:noWrap w:val="0"/>
                  <w:vAlign w:val="center"/>
                </w:tcPr>
                <w:p w14:paraId="6B17AC80">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7</w:t>
                  </w:r>
                </w:p>
              </w:tc>
              <w:tc>
                <w:tcPr>
                  <w:tcW w:w="750" w:type="pct"/>
                  <w:vMerge w:val="continue"/>
                  <w:tcBorders>
                    <w:tl2br w:val="nil"/>
                    <w:tr2bl w:val="nil"/>
                  </w:tcBorders>
                  <w:noWrap w:val="0"/>
                  <w:vAlign w:val="center"/>
                </w:tcPr>
                <w:p w14:paraId="55407A06">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704" w:type="pct"/>
                  <w:tcBorders>
                    <w:tl2br w:val="nil"/>
                    <w:tr2bl w:val="nil"/>
                  </w:tcBorders>
                  <w:noWrap w:val="0"/>
                  <w:vAlign w:val="center"/>
                </w:tcPr>
                <w:p w14:paraId="55D8D397">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开槽</w:t>
                  </w:r>
                </w:p>
              </w:tc>
              <w:tc>
                <w:tcPr>
                  <w:tcW w:w="894" w:type="pct"/>
                  <w:tcBorders>
                    <w:tl2br w:val="nil"/>
                    <w:tr2bl w:val="nil"/>
                  </w:tcBorders>
                  <w:noWrap w:val="0"/>
                  <w:vAlign w:val="center"/>
                </w:tcPr>
                <w:p w14:paraId="7D9CD46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开槽机</w:t>
                  </w:r>
                </w:p>
              </w:tc>
              <w:tc>
                <w:tcPr>
                  <w:tcW w:w="643" w:type="pct"/>
                  <w:tcBorders>
                    <w:tl2br w:val="nil"/>
                    <w:tr2bl w:val="nil"/>
                  </w:tcBorders>
                  <w:noWrap w:val="0"/>
                  <w:vAlign w:val="center"/>
                </w:tcPr>
                <w:p w14:paraId="4407007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rPr>
                    <w:t>1</w:t>
                  </w:r>
                  <w:r>
                    <w:rPr>
                      <w:rFonts w:hint="default" w:ascii="Times New Roman" w:hAnsi="Times New Roman" w:eastAsia="宋体" w:cs="Times New Roman"/>
                      <w:bCs/>
                      <w:color w:val="auto"/>
                      <w:sz w:val="21"/>
                      <w:szCs w:val="21"/>
                      <w:highlight w:val="none"/>
                      <w:lang w:val="en-US" w:eastAsia="zh-CN"/>
                    </w:rPr>
                    <w:t>台</w:t>
                  </w:r>
                </w:p>
              </w:tc>
              <w:tc>
                <w:tcPr>
                  <w:tcW w:w="606" w:type="pct"/>
                  <w:tcBorders>
                    <w:tl2br w:val="nil"/>
                    <w:tr2bl w:val="nil"/>
                  </w:tcBorders>
                  <w:noWrap w:val="0"/>
                  <w:vAlign w:val="center"/>
                </w:tcPr>
                <w:p w14:paraId="485E9E1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功率</w:t>
                  </w:r>
                </w:p>
              </w:tc>
              <w:tc>
                <w:tcPr>
                  <w:tcW w:w="529" w:type="pct"/>
                  <w:tcBorders>
                    <w:tl2br w:val="nil"/>
                    <w:tr2bl w:val="nil"/>
                  </w:tcBorders>
                  <w:noWrap w:val="0"/>
                  <w:vAlign w:val="center"/>
                </w:tcPr>
                <w:p w14:paraId="4E8D38F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0.35kW</w:t>
                  </w:r>
                </w:p>
              </w:tc>
              <w:tc>
                <w:tcPr>
                  <w:tcW w:w="512" w:type="pct"/>
                  <w:vMerge w:val="restart"/>
                  <w:tcBorders>
                    <w:tl2br w:val="nil"/>
                    <w:tr2bl w:val="nil"/>
                  </w:tcBorders>
                  <w:noWrap w:val="0"/>
                  <w:vAlign w:val="center"/>
                </w:tcPr>
                <w:p w14:paraId="124629DE">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2400h</w:t>
                  </w:r>
                </w:p>
              </w:tc>
            </w:tr>
            <w:tr w14:paraId="36FE325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357" w:type="pct"/>
                  <w:tcBorders>
                    <w:tl2br w:val="nil"/>
                    <w:tr2bl w:val="nil"/>
                  </w:tcBorders>
                  <w:noWrap w:val="0"/>
                  <w:vAlign w:val="center"/>
                </w:tcPr>
                <w:p w14:paraId="320BCE55">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8</w:t>
                  </w:r>
                </w:p>
              </w:tc>
              <w:tc>
                <w:tcPr>
                  <w:tcW w:w="750" w:type="pct"/>
                  <w:vMerge w:val="continue"/>
                  <w:tcBorders>
                    <w:tl2br w:val="nil"/>
                    <w:tr2bl w:val="nil"/>
                  </w:tcBorders>
                  <w:noWrap w:val="0"/>
                  <w:vAlign w:val="center"/>
                </w:tcPr>
                <w:p w14:paraId="2A93DFCE">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704" w:type="pct"/>
                  <w:tcBorders>
                    <w:tl2br w:val="nil"/>
                    <w:tr2bl w:val="nil"/>
                  </w:tcBorders>
                  <w:noWrap w:val="0"/>
                  <w:vAlign w:val="center"/>
                </w:tcPr>
                <w:p w14:paraId="5DB3EDD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钉合</w:t>
                  </w:r>
                </w:p>
              </w:tc>
              <w:tc>
                <w:tcPr>
                  <w:tcW w:w="894" w:type="pct"/>
                  <w:tcBorders>
                    <w:tl2br w:val="nil"/>
                    <w:tr2bl w:val="nil"/>
                  </w:tcBorders>
                  <w:noWrap w:val="0"/>
                  <w:vAlign w:val="center"/>
                </w:tcPr>
                <w:p w14:paraId="046096E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打角机</w:t>
                  </w:r>
                </w:p>
              </w:tc>
              <w:tc>
                <w:tcPr>
                  <w:tcW w:w="643" w:type="pct"/>
                  <w:tcBorders>
                    <w:tl2br w:val="nil"/>
                    <w:tr2bl w:val="nil"/>
                  </w:tcBorders>
                  <w:noWrap w:val="0"/>
                  <w:vAlign w:val="center"/>
                </w:tcPr>
                <w:p w14:paraId="72E83C6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rPr>
                    <w:t>1</w:t>
                  </w:r>
                  <w:r>
                    <w:rPr>
                      <w:rFonts w:hint="default" w:ascii="Times New Roman" w:hAnsi="Times New Roman" w:eastAsia="宋体" w:cs="Times New Roman"/>
                      <w:bCs/>
                      <w:color w:val="auto"/>
                      <w:sz w:val="21"/>
                      <w:szCs w:val="21"/>
                      <w:highlight w:val="none"/>
                      <w:lang w:val="en-US" w:eastAsia="zh-CN"/>
                    </w:rPr>
                    <w:t>台</w:t>
                  </w:r>
                </w:p>
              </w:tc>
              <w:tc>
                <w:tcPr>
                  <w:tcW w:w="606" w:type="pct"/>
                  <w:tcBorders>
                    <w:tl2br w:val="nil"/>
                    <w:tr2bl w:val="nil"/>
                  </w:tcBorders>
                  <w:noWrap w:val="0"/>
                  <w:vAlign w:val="center"/>
                </w:tcPr>
                <w:p w14:paraId="5C63F97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功率</w:t>
                  </w:r>
                </w:p>
              </w:tc>
              <w:tc>
                <w:tcPr>
                  <w:tcW w:w="529" w:type="pct"/>
                  <w:tcBorders>
                    <w:tl2br w:val="nil"/>
                    <w:tr2bl w:val="nil"/>
                  </w:tcBorders>
                  <w:noWrap w:val="0"/>
                  <w:vAlign w:val="center"/>
                </w:tcPr>
                <w:p w14:paraId="25C51DD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0.35kW</w:t>
                  </w:r>
                </w:p>
              </w:tc>
              <w:tc>
                <w:tcPr>
                  <w:tcW w:w="512" w:type="pct"/>
                  <w:vMerge w:val="continue"/>
                  <w:tcBorders>
                    <w:tl2br w:val="nil"/>
                    <w:tr2bl w:val="nil"/>
                  </w:tcBorders>
                  <w:noWrap w:val="0"/>
                  <w:vAlign w:val="center"/>
                </w:tcPr>
                <w:p w14:paraId="5085A59A">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r>
            <w:tr w14:paraId="49BFB1D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7" w:type="pct"/>
                  <w:tcBorders>
                    <w:tl2br w:val="nil"/>
                    <w:tr2bl w:val="nil"/>
                  </w:tcBorders>
                  <w:noWrap w:val="0"/>
                  <w:vAlign w:val="center"/>
                </w:tcPr>
                <w:p w14:paraId="184D3E20">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9</w:t>
                  </w:r>
                </w:p>
              </w:tc>
              <w:tc>
                <w:tcPr>
                  <w:tcW w:w="750" w:type="pct"/>
                  <w:vMerge w:val="continue"/>
                  <w:tcBorders>
                    <w:tl2br w:val="nil"/>
                    <w:tr2bl w:val="nil"/>
                  </w:tcBorders>
                  <w:noWrap w:val="0"/>
                  <w:vAlign w:val="center"/>
                </w:tcPr>
                <w:p w14:paraId="2E81A23D">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704" w:type="pct"/>
                  <w:tcBorders>
                    <w:tl2br w:val="nil"/>
                    <w:tr2bl w:val="nil"/>
                  </w:tcBorders>
                  <w:noWrap w:val="0"/>
                  <w:vAlign w:val="center"/>
                </w:tcPr>
                <w:p w14:paraId="0AB7AF01">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钉合</w:t>
                  </w:r>
                </w:p>
              </w:tc>
              <w:tc>
                <w:tcPr>
                  <w:tcW w:w="894" w:type="pct"/>
                  <w:tcBorders>
                    <w:tl2br w:val="nil"/>
                    <w:tr2bl w:val="nil"/>
                  </w:tcBorders>
                  <w:noWrap w:val="0"/>
                  <w:vAlign w:val="center"/>
                </w:tcPr>
                <w:p w14:paraId="606F593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打钉机</w:t>
                  </w:r>
                </w:p>
              </w:tc>
              <w:tc>
                <w:tcPr>
                  <w:tcW w:w="643" w:type="pct"/>
                  <w:tcBorders>
                    <w:tl2br w:val="nil"/>
                    <w:tr2bl w:val="nil"/>
                  </w:tcBorders>
                  <w:noWrap w:val="0"/>
                  <w:vAlign w:val="center"/>
                </w:tcPr>
                <w:p w14:paraId="63B5039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rPr>
                    <w:t>2</w:t>
                  </w:r>
                  <w:r>
                    <w:rPr>
                      <w:rFonts w:hint="default" w:ascii="Times New Roman" w:hAnsi="Times New Roman" w:eastAsia="宋体" w:cs="Times New Roman"/>
                      <w:bCs/>
                      <w:color w:val="auto"/>
                      <w:sz w:val="21"/>
                      <w:szCs w:val="21"/>
                      <w:highlight w:val="none"/>
                      <w:lang w:val="en-US" w:eastAsia="zh-CN"/>
                    </w:rPr>
                    <w:t>台</w:t>
                  </w:r>
                </w:p>
              </w:tc>
              <w:tc>
                <w:tcPr>
                  <w:tcW w:w="606" w:type="pct"/>
                  <w:tcBorders>
                    <w:tl2br w:val="nil"/>
                    <w:tr2bl w:val="nil"/>
                  </w:tcBorders>
                  <w:noWrap w:val="0"/>
                  <w:vAlign w:val="center"/>
                </w:tcPr>
                <w:p w14:paraId="4262AC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功率</w:t>
                  </w:r>
                </w:p>
              </w:tc>
              <w:tc>
                <w:tcPr>
                  <w:tcW w:w="529" w:type="pct"/>
                  <w:tcBorders>
                    <w:tl2br w:val="nil"/>
                    <w:tr2bl w:val="nil"/>
                  </w:tcBorders>
                  <w:noWrap w:val="0"/>
                  <w:vAlign w:val="center"/>
                </w:tcPr>
                <w:p w14:paraId="7361C5A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0.2kW</w:t>
                  </w:r>
                </w:p>
              </w:tc>
              <w:tc>
                <w:tcPr>
                  <w:tcW w:w="512" w:type="pct"/>
                  <w:vMerge w:val="continue"/>
                  <w:tcBorders>
                    <w:tl2br w:val="nil"/>
                    <w:tr2bl w:val="nil"/>
                  </w:tcBorders>
                  <w:noWrap w:val="0"/>
                  <w:vAlign w:val="center"/>
                </w:tcPr>
                <w:p w14:paraId="4CCB282D">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r>
            <w:tr w14:paraId="4BC6C72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7" w:type="pct"/>
                  <w:tcBorders>
                    <w:tl2br w:val="nil"/>
                    <w:tr2bl w:val="nil"/>
                  </w:tcBorders>
                  <w:noWrap w:val="0"/>
                  <w:vAlign w:val="center"/>
                </w:tcPr>
                <w:p w14:paraId="00B917B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10</w:t>
                  </w:r>
                </w:p>
              </w:tc>
              <w:tc>
                <w:tcPr>
                  <w:tcW w:w="750" w:type="pct"/>
                  <w:vMerge w:val="continue"/>
                  <w:tcBorders>
                    <w:tl2br w:val="nil"/>
                    <w:tr2bl w:val="nil"/>
                  </w:tcBorders>
                  <w:noWrap w:val="0"/>
                  <w:vAlign w:val="center"/>
                </w:tcPr>
                <w:p w14:paraId="67DBE09A">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704" w:type="pct"/>
                  <w:tcBorders>
                    <w:tl2br w:val="nil"/>
                    <w:tr2bl w:val="nil"/>
                  </w:tcBorders>
                  <w:noWrap w:val="0"/>
                  <w:vAlign w:val="center"/>
                </w:tcPr>
                <w:p w14:paraId="1721FA7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啤模</w:t>
                  </w:r>
                </w:p>
              </w:tc>
              <w:tc>
                <w:tcPr>
                  <w:tcW w:w="894" w:type="pct"/>
                  <w:tcBorders>
                    <w:tl2br w:val="nil"/>
                    <w:tr2bl w:val="nil"/>
                  </w:tcBorders>
                  <w:noWrap w:val="0"/>
                  <w:vAlign w:val="center"/>
                </w:tcPr>
                <w:p w14:paraId="07DA018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啤机</w:t>
                  </w:r>
                </w:p>
              </w:tc>
              <w:tc>
                <w:tcPr>
                  <w:tcW w:w="643" w:type="pct"/>
                  <w:tcBorders>
                    <w:tl2br w:val="nil"/>
                    <w:tr2bl w:val="nil"/>
                  </w:tcBorders>
                  <w:noWrap w:val="0"/>
                  <w:vAlign w:val="center"/>
                </w:tcPr>
                <w:p w14:paraId="3472C5C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rPr>
                    <w:t>1</w:t>
                  </w:r>
                  <w:r>
                    <w:rPr>
                      <w:rFonts w:hint="default" w:ascii="Times New Roman" w:hAnsi="Times New Roman" w:eastAsia="宋体" w:cs="Times New Roman"/>
                      <w:bCs/>
                      <w:color w:val="auto"/>
                      <w:sz w:val="21"/>
                      <w:szCs w:val="21"/>
                      <w:highlight w:val="none"/>
                      <w:lang w:val="en-US" w:eastAsia="zh-CN"/>
                    </w:rPr>
                    <w:t>台</w:t>
                  </w:r>
                </w:p>
              </w:tc>
              <w:tc>
                <w:tcPr>
                  <w:tcW w:w="606" w:type="pct"/>
                  <w:tcBorders>
                    <w:tl2br w:val="nil"/>
                    <w:tr2bl w:val="nil"/>
                  </w:tcBorders>
                  <w:shd w:val="clear" w:color="auto" w:fill="auto"/>
                  <w:noWrap w:val="0"/>
                  <w:vAlign w:val="center"/>
                </w:tcPr>
                <w:p w14:paraId="07C7408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功率</w:t>
                  </w:r>
                </w:p>
              </w:tc>
              <w:tc>
                <w:tcPr>
                  <w:tcW w:w="529" w:type="pct"/>
                  <w:tcBorders>
                    <w:tl2br w:val="nil"/>
                    <w:tr2bl w:val="nil"/>
                  </w:tcBorders>
                  <w:shd w:val="clear" w:color="auto" w:fill="auto"/>
                  <w:noWrap w:val="0"/>
                  <w:vAlign w:val="center"/>
                </w:tcPr>
                <w:p w14:paraId="1701EF4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0.45kW</w:t>
                  </w:r>
                </w:p>
              </w:tc>
              <w:tc>
                <w:tcPr>
                  <w:tcW w:w="512" w:type="pct"/>
                  <w:vMerge w:val="continue"/>
                  <w:tcBorders>
                    <w:tl2br w:val="nil"/>
                    <w:tr2bl w:val="nil"/>
                  </w:tcBorders>
                  <w:noWrap w:val="0"/>
                  <w:vAlign w:val="center"/>
                </w:tcPr>
                <w:p w14:paraId="390325C4">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r>
            <w:tr w14:paraId="1298328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7" w:type="pct"/>
                  <w:tcBorders>
                    <w:tl2br w:val="nil"/>
                    <w:tr2bl w:val="nil"/>
                  </w:tcBorders>
                  <w:noWrap w:val="0"/>
                  <w:vAlign w:val="center"/>
                </w:tcPr>
                <w:p w14:paraId="6735C41E">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11</w:t>
                  </w:r>
                </w:p>
              </w:tc>
              <w:tc>
                <w:tcPr>
                  <w:tcW w:w="750" w:type="pct"/>
                  <w:vMerge w:val="restart"/>
                  <w:tcBorders>
                    <w:tl2br w:val="nil"/>
                    <w:tr2bl w:val="nil"/>
                  </w:tcBorders>
                  <w:noWrap w:val="0"/>
                  <w:vAlign w:val="center"/>
                </w:tcPr>
                <w:p w14:paraId="427ED434">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辅助单元</w:t>
                  </w:r>
                </w:p>
              </w:tc>
              <w:tc>
                <w:tcPr>
                  <w:tcW w:w="704" w:type="pct"/>
                  <w:tcBorders>
                    <w:tl2br w:val="nil"/>
                    <w:tr2bl w:val="nil"/>
                  </w:tcBorders>
                  <w:noWrap w:val="0"/>
                  <w:vAlign w:val="center"/>
                </w:tcPr>
                <w:p w14:paraId="47E680A0">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压缩空气</w:t>
                  </w:r>
                </w:p>
              </w:tc>
              <w:tc>
                <w:tcPr>
                  <w:tcW w:w="894" w:type="pct"/>
                  <w:tcBorders>
                    <w:tl2br w:val="nil"/>
                    <w:tr2bl w:val="nil"/>
                  </w:tcBorders>
                  <w:noWrap w:val="0"/>
                  <w:vAlign w:val="center"/>
                </w:tcPr>
                <w:p w14:paraId="254AB75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空压机</w:t>
                  </w:r>
                </w:p>
              </w:tc>
              <w:tc>
                <w:tcPr>
                  <w:tcW w:w="643" w:type="pct"/>
                  <w:tcBorders>
                    <w:tl2br w:val="nil"/>
                    <w:tr2bl w:val="nil"/>
                  </w:tcBorders>
                  <w:noWrap w:val="0"/>
                  <w:vAlign w:val="center"/>
                </w:tcPr>
                <w:p w14:paraId="717DB0B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Cs/>
                      <w:color w:val="auto"/>
                      <w:sz w:val="21"/>
                      <w:szCs w:val="21"/>
                      <w:highlight w:val="none"/>
                    </w:rPr>
                    <w:t>2</w:t>
                  </w:r>
                  <w:r>
                    <w:rPr>
                      <w:rFonts w:hint="default" w:ascii="Times New Roman" w:hAnsi="Times New Roman" w:eastAsia="宋体" w:cs="Times New Roman"/>
                      <w:bCs/>
                      <w:color w:val="auto"/>
                      <w:sz w:val="21"/>
                      <w:szCs w:val="21"/>
                      <w:highlight w:val="none"/>
                      <w:lang w:val="en-US" w:eastAsia="zh-CN"/>
                    </w:rPr>
                    <w:t>台</w:t>
                  </w:r>
                </w:p>
              </w:tc>
              <w:tc>
                <w:tcPr>
                  <w:tcW w:w="606" w:type="pct"/>
                  <w:tcBorders>
                    <w:tl2br w:val="nil"/>
                    <w:tr2bl w:val="nil"/>
                  </w:tcBorders>
                  <w:noWrap w:val="0"/>
                  <w:vAlign w:val="center"/>
                </w:tcPr>
                <w:p w14:paraId="6D4DD82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额定功率</w:t>
                  </w:r>
                </w:p>
              </w:tc>
              <w:tc>
                <w:tcPr>
                  <w:tcW w:w="529" w:type="pct"/>
                  <w:tcBorders>
                    <w:tl2br w:val="nil"/>
                    <w:tr2bl w:val="nil"/>
                  </w:tcBorders>
                  <w:noWrap w:val="0"/>
                  <w:vAlign w:val="center"/>
                </w:tcPr>
                <w:p w14:paraId="00D8462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20HP</w:t>
                  </w:r>
                </w:p>
              </w:tc>
              <w:tc>
                <w:tcPr>
                  <w:tcW w:w="512" w:type="pct"/>
                  <w:vMerge w:val="continue"/>
                  <w:tcBorders>
                    <w:tl2br w:val="nil"/>
                    <w:tr2bl w:val="nil"/>
                  </w:tcBorders>
                  <w:noWrap w:val="0"/>
                  <w:vAlign w:val="center"/>
                </w:tcPr>
                <w:p w14:paraId="237610B6">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r>
            <w:tr w14:paraId="0693EBB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7" w:type="pct"/>
                  <w:tcBorders>
                    <w:tl2br w:val="nil"/>
                    <w:tr2bl w:val="nil"/>
                  </w:tcBorders>
                  <w:noWrap w:val="0"/>
                  <w:vAlign w:val="center"/>
                </w:tcPr>
                <w:p w14:paraId="43A7FABA">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12</w:t>
                  </w:r>
                </w:p>
              </w:tc>
              <w:tc>
                <w:tcPr>
                  <w:tcW w:w="750" w:type="pct"/>
                  <w:vMerge w:val="continue"/>
                  <w:tcBorders>
                    <w:tl2br w:val="nil"/>
                    <w:tr2bl w:val="nil"/>
                  </w:tcBorders>
                  <w:noWrap w:val="0"/>
                  <w:vAlign w:val="center"/>
                </w:tcPr>
                <w:p w14:paraId="5E450D2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704" w:type="pct"/>
                  <w:tcBorders>
                    <w:tl2br w:val="nil"/>
                    <w:tr2bl w:val="nil"/>
                  </w:tcBorders>
                  <w:noWrap w:val="0"/>
                  <w:vAlign w:val="center"/>
                </w:tcPr>
                <w:p w14:paraId="1F0311BE">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间接冷却</w:t>
                  </w:r>
                </w:p>
              </w:tc>
              <w:tc>
                <w:tcPr>
                  <w:tcW w:w="894" w:type="pct"/>
                  <w:tcBorders>
                    <w:tl2br w:val="nil"/>
                    <w:tr2bl w:val="nil"/>
                  </w:tcBorders>
                  <w:noWrap w:val="0"/>
                  <w:vAlign w:val="center"/>
                </w:tcPr>
                <w:p w14:paraId="041C4FD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模温机</w:t>
                  </w:r>
                </w:p>
              </w:tc>
              <w:tc>
                <w:tcPr>
                  <w:tcW w:w="643" w:type="pct"/>
                  <w:tcBorders>
                    <w:tl2br w:val="nil"/>
                    <w:tr2bl w:val="nil"/>
                  </w:tcBorders>
                  <w:noWrap w:val="0"/>
                  <w:vAlign w:val="center"/>
                </w:tcPr>
                <w:p w14:paraId="0C83581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1台</w:t>
                  </w:r>
                </w:p>
              </w:tc>
              <w:tc>
                <w:tcPr>
                  <w:tcW w:w="606" w:type="pct"/>
                  <w:tcBorders>
                    <w:tl2br w:val="nil"/>
                    <w:tr2bl w:val="nil"/>
                  </w:tcBorders>
                  <w:noWrap w:val="0"/>
                  <w:vAlign w:val="center"/>
                </w:tcPr>
                <w:p w14:paraId="04E91BF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循环水量</w:t>
                  </w:r>
                </w:p>
              </w:tc>
              <w:tc>
                <w:tcPr>
                  <w:tcW w:w="529" w:type="pct"/>
                  <w:tcBorders>
                    <w:tl2br w:val="nil"/>
                    <w:tr2bl w:val="nil"/>
                  </w:tcBorders>
                  <w:noWrap w:val="0"/>
                  <w:vAlign w:val="center"/>
                </w:tcPr>
                <w:p w14:paraId="441C800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kern w:val="0"/>
                      <w:sz w:val="21"/>
                      <w:szCs w:val="21"/>
                      <w:highlight w:val="none"/>
                      <w:lang w:val="en-US" w:eastAsia="zh-CN" w:bidi="ar"/>
                    </w:rPr>
                    <w:t>5</w:t>
                  </w:r>
                  <w:r>
                    <w:rPr>
                      <w:rFonts w:hint="default" w:ascii="Times New Roman" w:hAnsi="Times New Roman" w:eastAsia="宋体" w:cs="Times New Roman"/>
                      <w:color w:val="auto"/>
                      <w:kern w:val="0"/>
                      <w:sz w:val="21"/>
                      <w:szCs w:val="21"/>
                      <w:highlight w:val="none"/>
                      <w:lang w:bidi="ar"/>
                    </w:rPr>
                    <w:t>m</w:t>
                  </w:r>
                  <w:r>
                    <w:rPr>
                      <w:rFonts w:hint="default" w:ascii="Times New Roman" w:hAnsi="Times New Roman" w:eastAsia="宋体" w:cs="Times New Roman"/>
                      <w:color w:val="auto"/>
                      <w:kern w:val="0"/>
                      <w:sz w:val="21"/>
                      <w:szCs w:val="21"/>
                      <w:highlight w:val="none"/>
                      <w:vertAlign w:val="superscript"/>
                      <w:lang w:bidi="ar"/>
                    </w:rPr>
                    <w:t>3</w:t>
                  </w:r>
                  <w:r>
                    <w:rPr>
                      <w:rFonts w:hint="default" w:ascii="Times New Roman" w:hAnsi="Times New Roman" w:eastAsia="宋体" w:cs="Times New Roman"/>
                      <w:color w:val="auto"/>
                      <w:kern w:val="0"/>
                      <w:sz w:val="21"/>
                      <w:szCs w:val="21"/>
                      <w:highlight w:val="none"/>
                      <w:lang w:bidi="ar"/>
                    </w:rPr>
                    <w:t>/h</w:t>
                  </w:r>
                </w:p>
              </w:tc>
              <w:tc>
                <w:tcPr>
                  <w:tcW w:w="512" w:type="pct"/>
                  <w:vMerge w:val="continue"/>
                  <w:tcBorders>
                    <w:tl2br w:val="nil"/>
                    <w:tr2bl w:val="nil"/>
                  </w:tcBorders>
                  <w:noWrap w:val="0"/>
                  <w:vAlign w:val="center"/>
                </w:tcPr>
                <w:p w14:paraId="076E368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r>
            <w:tr w14:paraId="441E02C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7" w:type="pct"/>
                  <w:tcBorders>
                    <w:tl2br w:val="nil"/>
                    <w:tr2bl w:val="nil"/>
                  </w:tcBorders>
                  <w:noWrap w:val="0"/>
                  <w:vAlign w:val="center"/>
                </w:tcPr>
                <w:p w14:paraId="2AE296AA">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13</w:t>
                  </w:r>
                </w:p>
              </w:tc>
              <w:tc>
                <w:tcPr>
                  <w:tcW w:w="750" w:type="pct"/>
                  <w:vMerge w:val="continue"/>
                  <w:tcBorders>
                    <w:tl2br w:val="nil"/>
                    <w:tr2bl w:val="nil"/>
                  </w:tcBorders>
                  <w:noWrap w:val="0"/>
                  <w:vAlign w:val="center"/>
                </w:tcPr>
                <w:p w14:paraId="2AA2E4F4">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704" w:type="pct"/>
                  <w:tcBorders>
                    <w:tl2br w:val="nil"/>
                    <w:tr2bl w:val="nil"/>
                  </w:tcBorders>
                  <w:noWrap w:val="0"/>
                  <w:vAlign w:val="center"/>
                </w:tcPr>
                <w:p w14:paraId="1D3BD9F5">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模具</w:t>
                  </w:r>
                </w:p>
              </w:tc>
              <w:tc>
                <w:tcPr>
                  <w:tcW w:w="894" w:type="pct"/>
                  <w:tcBorders>
                    <w:tl2br w:val="nil"/>
                    <w:tr2bl w:val="nil"/>
                  </w:tcBorders>
                  <w:noWrap w:val="0"/>
                  <w:vAlign w:val="center"/>
                </w:tcPr>
                <w:p w14:paraId="4AA3B2F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模具</w:t>
                  </w:r>
                </w:p>
              </w:tc>
              <w:tc>
                <w:tcPr>
                  <w:tcW w:w="643" w:type="pct"/>
                  <w:tcBorders>
                    <w:tl2br w:val="nil"/>
                    <w:tr2bl w:val="nil"/>
                  </w:tcBorders>
                  <w:noWrap w:val="0"/>
                  <w:vAlign w:val="center"/>
                </w:tcPr>
                <w:p w14:paraId="4EFF1DA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20套</w:t>
                  </w:r>
                </w:p>
              </w:tc>
              <w:tc>
                <w:tcPr>
                  <w:tcW w:w="606" w:type="pct"/>
                  <w:tcBorders>
                    <w:tl2br w:val="nil"/>
                    <w:tr2bl w:val="nil"/>
                  </w:tcBorders>
                  <w:noWrap w:val="0"/>
                  <w:vAlign w:val="center"/>
                </w:tcPr>
                <w:p w14:paraId="0049A70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w:t>
                  </w:r>
                </w:p>
              </w:tc>
              <w:tc>
                <w:tcPr>
                  <w:tcW w:w="529" w:type="pct"/>
                  <w:tcBorders>
                    <w:tl2br w:val="nil"/>
                    <w:tr2bl w:val="nil"/>
                  </w:tcBorders>
                  <w:noWrap w:val="0"/>
                  <w:vAlign w:val="center"/>
                </w:tcPr>
                <w:p w14:paraId="0CB0CDCB">
                  <w:pPr>
                    <w:keepNext w:val="0"/>
                    <w:keepLines w:val="0"/>
                    <w:suppressLineNumbers w:val="0"/>
                    <w:adjustRightInd w:val="0"/>
                    <w:snapToGrid w:val="0"/>
                    <w:spacing w:before="0" w:beforeAutospacing="0" w:after="0" w:afterAutospacing="0"/>
                    <w:ind w:left="0" w:right="0"/>
                    <w:jc w:val="center"/>
                    <w:rPr>
                      <w:rFonts w:hint="default" w:cs="Times New Roman"/>
                      <w:color w:val="auto"/>
                      <w:kern w:val="0"/>
                      <w:sz w:val="21"/>
                      <w:szCs w:val="21"/>
                      <w:highlight w:val="none"/>
                      <w:lang w:val="en-US" w:eastAsia="zh-CN" w:bidi="ar"/>
                    </w:rPr>
                  </w:pPr>
                  <w:r>
                    <w:rPr>
                      <w:rFonts w:hint="eastAsia" w:cs="Times New Roman"/>
                      <w:color w:val="auto"/>
                      <w:kern w:val="0"/>
                      <w:sz w:val="21"/>
                      <w:szCs w:val="21"/>
                      <w:highlight w:val="none"/>
                      <w:lang w:val="en-US" w:eastAsia="zh-CN" w:bidi="ar"/>
                    </w:rPr>
                    <w:t>/</w:t>
                  </w:r>
                </w:p>
              </w:tc>
              <w:tc>
                <w:tcPr>
                  <w:tcW w:w="512" w:type="pct"/>
                  <w:tcBorders>
                    <w:tl2br w:val="nil"/>
                    <w:tr2bl w:val="nil"/>
                  </w:tcBorders>
                  <w:noWrap w:val="0"/>
                  <w:vAlign w:val="center"/>
                </w:tcPr>
                <w:p w14:paraId="4CBFB06C">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w:t>
                  </w:r>
                </w:p>
              </w:tc>
            </w:tr>
          </w:tbl>
          <w:p w14:paraId="12229649">
            <w:pPr>
              <w:keepNext w:val="0"/>
              <w:keepLines w:val="0"/>
              <w:pageBreakBefore w:val="0"/>
              <w:widowControl/>
              <w:numPr>
                <w:ilvl w:val="0"/>
                <w:numId w:val="4"/>
              </w:numPr>
              <w:suppressLineNumbers w:val="0"/>
              <w:kinsoku/>
              <w:wordWrap/>
              <w:overflowPunct/>
              <w:topLinePunct w:val="0"/>
              <w:autoSpaceDE/>
              <w:autoSpaceDN/>
              <w:bidi w:val="0"/>
              <w:adjustRightInd w:val="0"/>
              <w:snapToGrid/>
              <w:spacing w:before="157" w:beforeLines="50" w:beforeAutospacing="0" w:after="0" w:afterAutospacing="0" w:line="360" w:lineRule="auto"/>
              <w:ind w:right="0"/>
              <w:jc w:val="center"/>
              <w:textAlignment w:val="baseline"/>
              <w:rPr>
                <w:rFonts w:hint="default" w:ascii="Times New Roman" w:hAnsi="Times New Roman" w:eastAsia="宋体" w:cs="Times New Roman"/>
                <w:b/>
                <w:color w:val="auto"/>
                <w:highlight w:val="none"/>
                <w:lang w:val="en-US" w:eastAsia="zh-CN"/>
              </w:rPr>
            </w:pPr>
            <w:r>
              <w:rPr>
                <w:rFonts w:hint="default" w:ascii="Times New Roman" w:hAnsi="Times New Roman" w:eastAsia="宋体" w:cs="Times New Roman"/>
                <w:b/>
                <w:color w:val="auto"/>
                <w:highlight w:val="none"/>
                <w:lang w:val="en-US" w:eastAsia="zh-CN"/>
              </w:rPr>
              <w:t>迁改扩建前后项目设备变化情况表</w:t>
            </w:r>
          </w:p>
          <w:tbl>
            <w:tblPr>
              <w:tblStyle w:val="42"/>
              <w:tblW w:w="4999"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6"/>
              <w:gridCol w:w="1876"/>
              <w:gridCol w:w="1876"/>
              <w:gridCol w:w="2251"/>
              <w:gridCol w:w="1511"/>
            </w:tblGrid>
            <w:tr w14:paraId="106AC5E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restart"/>
                  <w:tcBorders>
                    <w:tl2br w:val="nil"/>
                    <w:tr2bl w:val="nil"/>
                  </w:tcBorders>
                  <w:noWrap w:val="0"/>
                  <w:vAlign w:val="center"/>
                </w:tcPr>
                <w:p w14:paraId="2C1B0B57">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序号</w:t>
                  </w:r>
                </w:p>
              </w:tc>
              <w:tc>
                <w:tcPr>
                  <w:tcW w:w="1085" w:type="pct"/>
                  <w:vMerge w:val="restart"/>
                  <w:tcBorders>
                    <w:tl2br w:val="nil"/>
                    <w:tr2bl w:val="nil"/>
                  </w:tcBorders>
                  <w:noWrap w:val="0"/>
                  <w:vAlign w:val="center"/>
                </w:tcPr>
                <w:p w14:paraId="6528CE6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设备名称</w:t>
                  </w:r>
                </w:p>
              </w:tc>
              <w:tc>
                <w:tcPr>
                  <w:tcW w:w="3261" w:type="pct"/>
                  <w:gridSpan w:val="3"/>
                  <w:tcBorders>
                    <w:tl2br w:val="nil"/>
                    <w:tr2bl w:val="nil"/>
                  </w:tcBorders>
                  <w:noWrap w:val="0"/>
                  <w:vAlign w:val="center"/>
                </w:tcPr>
                <w:p w14:paraId="69EDCD2A">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设备数量</w:t>
                  </w:r>
                </w:p>
              </w:tc>
            </w:tr>
            <w:tr w14:paraId="2F8A17E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vMerge w:val="continue"/>
                  <w:tcBorders>
                    <w:tl2br w:val="nil"/>
                    <w:tr2bl w:val="nil"/>
                  </w:tcBorders>
                  <w:noWrap w:val="0"/>
                  <w:vAlign w:val="center"/>
                </w:tcPr>
                <w:p w14:paraId="3D6E88D5">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p>
              </w:tc>
              <w:tc>
                <w:tcPr>
                  <w:tcW w:w="1085" w:type="pct"/>
                  <w:vMerge w:val="continue"/>
                  <w:tcBorders>
                    <w:tl2br w:val="nil"/>
                    <w:tr2bl w:val="nil"/>
                  </w:tcBorders>
                  <w:noWrap w:val="0"/>
                  <w:vAlign w:val="center"/>
                </w:tcPr>
                <w:p w14:paraId="53C688F8">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p>
              </w:tc>
              <w:tc>
                <w:tcPr>
                  <w:tcW w:w="1085" w:type="pct"/>
                  <w:tcBorders>
                    <w:tl2br w:val="nil"/>
                    <w:tr2bl w:val="nil"/>
                  </w:tcBorders>
                  <w:noWrap w:val="0"/>
                  <w:vAlign w:val="center"/>
                </w:tcPr>
                <w:p w14:paraId="21F0018D">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原有项目</w:t>
                  </w:r>
                </w:p>
              </w:tc>
              <w:tc>
                <w:tcPr>
                  <w:tcW w:w="1302" w:type="pct"/>
                  <w:tcBorders>
                    <w:tl2br w:val="nil"/>
                    <w:tr2bl w:val="nil"/>
                  </w:tcBorders>
                  <w:noWrap w:val="0"/>
                  <w:vAlign w:val="center"/>
                </w:tcPr>
                <w:p w14:paraId="529317C6">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迁改扩建后</w:t>
                  </w:r>
                </w:p>
              </w:tc>
              <w:tc>
                <w:tcPr>
                  <w:tcW w:w="873" w:type="pct"/>
                  <w:tcBorders>
                    <w:tl2br w:val="nil"/>
                    <w:tr2bl w:val="nil"/>
                  </w:tcBorders>
                  <w:noWrap w:val="0"/>
                  <w:vAlign w:val="center"/>
                </w:tcPr>
                <w:p w14:paraId="1D6265A0">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b/>
                      <w:bCs/>
                      <w:color w:val="auto"/>
                      <w:highlight w:val="none"/>
                      <w:vertAlign w:val="baseline"/>
                      <w:lang w:val="en-US" w:eastAsia="zh-CN"/>
                    </w:rPr>
                  </w:pPr>
                  <w:r>
                    <w:rPr>
                      <w:rFonts w:hint="default" w:ascii="Times New Roman" w:hAnsi="Times New Roman" w:eastAsia="宋体" w:cs="Times New Roman"/>
                      <w:b/>
                      <w:bCs/>
                      <w:color w:val="auto"/>
                      <w:highlight w:val="none"/>
                      <w:vertAlign w:val="baseline"/>
                      <w:lang w:val="en-US" w:eastAsia="zh-CN"/>
                    </w:rPr>
                    <w:t>变化量</w:t>
                  </w:r>
                </w:p>
              </w:tc>
            </w:tr>
            <w:tr w14:paraId="6753915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tcBorders>
                    <w:tl2br w:val="nil"/>
                    <w:tr2bl w:val="nil"/>
                  </w:tcBorders>
                  <w:noWrap w:val="0"/>
                  <w:vAlign w:val="center"/>
                </w:tcPr>
                <w:p w14:paraId="01121E26">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1</w:t>
                  </w:r>
                </w:p>
              </w:tc>
              <w:tc>
                <w:tcPr>
                  <w:tcW w:w="1085" w:type="pct"/>
                  <w:tcBorders>
                    <w:tl2br w:val="nil"/>
                    <w:tr2bl w:val="nil"/>
                  </w:tcBorders>
                  <w:noWrap w:val="0"/>
                  <w:vAlign w:val="center"/>
                </w:tcPr>
                <w:p w14:paraId="35EC5004">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吸塑机</w:t>
                  </w:r>
                </w:p>
              </w:tc>
              <w:tc>
                <w:tcPr>
                  <w:tcW w:w="1085" w:type="pct"/>
                  <w:tcBorders>
                    <w:tl2br w:val="nil"/>
                    <w:tr2bl w:val="nil"/>
                  </w:tcBorders>
                  <w:noWrap w:val="0"/>
                  <w:vAlign w:val="center"/>
                </w:tcPr>
                <w:p w14:paraId="60281923">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3台</w:t>
                  </w:r>
                </w:p>
              </w:tc>
              <w:tc>
                <w:tcPr>
                  <w:tcW w:w="1302" w:type="pct"/>
                  <w:tcBorders>
                    <w:tl2br w:val="nil"/>
                    <w:tr2bl w:val="nil"/>
                  </w:tcBorders>
                  <w:noWrap w:val="0"/>
                  <w:vAlign w:val="center"/>
                </w:tcPr>
                <w:p w14:paraId="4BD239DC">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6台</w:t>
                  </w:r>
                </w:p>
              </w:tc>
              <w:tc>
                <w:tcPr>
                  <w:tcW w:w="873" w:type="pct"/>
                  <w:tcBorders>
                    <w:tl2br w:val="nil"/>
                    <w:tr2bl w:val="nil"/>
                  </w:tcBorders>
                  <w:noWrap w:val="0"/>
                  <w:vAlign w:val="center"/>
                </w:tcPr>
                <w:p w14:paraId="31570F3D">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+3台</w:t>
                  </w:r>
                </w:p>
              </w:tc>
            </w:tr>
            <w:tr w14:paraId="3B81A91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tcBorders>
                    <w:tl2br w:val="nil"/>
                    <w:tr2bl w:val="nil"/>
                  </w:tcBorders>
                  <w:noWrap w:val="0"/>
                  <w:vAlign w:val="center"/>
                </w:tcPr>
                <w:p w14:paraId="2781FBD1">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2</w:t>
                  </w:r>
                </w:p>
              </w:tc>
              <w:tc>
                <w:tcPr>
                  <w:tcW w:w="1085" w:type="pct"/>
                  <w:tcBorders>
                    <w:tl2br w:val="nil"/>
                    <w:tr2bl w:val="nil"/>
                  </w:tcBorders>
                  <w:noWrap w:val="0"/>
                  <w:vAlign w:val="center"/>
                </w:tcPr>
                <w:p w14:paraId="1A7ED3F9">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冲床</w:t>
                  </w:r>
                </w:p>
              </w:tc>
              <w:tc>
                <w:tcPr>
                  <w:tcW w:w="1085" w:type="pct"/>
                  <w:tcBorders>
                    <w:tl2br w:val="nil"/>
                    <w:tr2bl w:val="nil"/>
                  </w:tcBorders>
                  <w:noWrap w:val="0"/>
                  <w:vAlign w:val="center"/>
                </w:tcPr>
                <w:p w14:paraId="72225DFA">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6台</w:t>
                  </w:r>
                </w:p>
              </w:tc>
              <w:tc>
                <w:tcPr>
                  <w:tcW w:w="1302" w:type="pct"/>
                  <w:tcBorders>
                    <w:tl2br w:val="nil"/>
                    <w:tr2bl w:val="nil"/>
                  </w:tcBorders>
                  <w:noWrap w:val="0"/>
                  <w:vAlign w:val="center"/>
                </w:tcPr>
                <w:p w14:paraId="1A774148">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7台</w:t>
                  </w:r>
                </w:p>
              </w:tc>
              <w:tc>
                <w:tcPr>
                  <w:tcW w:w="873" w:type="pct"/>
                  <w:tcBorders>
                    <w:tl2br w:val="nil"/>
                    <w:tr2bl w:val="nil"/>
                  </w:tcBorders>
                  <w:noWrap w:val="0"/>
                  <w:vAlign w:val="center"/>
                </w:tcPr>
                <w:p w14:paraId="6308FD34">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+1台</w:t>
                  </w:r>
                </w:p>
              </w:tc>
            </w:tr>
            <w:tr w14:paraId="3D21542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tcBorders>
                    <w:tl2br w:val="nil"/>
                    <w:tr2bl w:val="nil"/>
                  </w:tcBorders>
                  <w:noWrap w:val="0"/>
                  <w:vAlign w:val="center"/>
                </w:tcPr>
                <w:p w14:paraId="6D24FFE5">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3</w:t>
                  </w:r>
                </w:p>
              </w:tc>
              <w:tc>
                <w:tcPr>
                  <w:tcW w:w="1085" w:type="pct"/>
                  <w:tcBorders>
                    <w:tl2br w:val="nil"/>
                    <w:tr2bl w:val="nil"/>
                  </w:tcBorders>
                  <w:noWrap w:val="0"/>
                  <w:vAlign w:val="center"/>
                </w:tcPr>
                <w:p w14:paraId="2079F24C">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打版机</w:t>
                  </w:r>
                </w:p>
              </w:tc>
              <w:tc>
                <w:tcPr>
                  <w:tcW w:w="1085" w:type="pct"/>
                  <w:tcBorders>
                    <w:tl2br w:val="nil"/>
                    <w:tr2bl w:val="nil"/>
                  </w:tcBorders>
                  <w:noWrap w:val="0"/>
                  <w:vAlign w:val="center"/>
                </w:tcPr>
                <w:p w14:paraId="79947E77">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1台</w:t>
                  </w:r>
                </w:p>
              </w:tc>
              <w:tc>
                <w:tcPr>
                  <w:tcW w:w="1302" w:type="pct"/>
                  <w:tcBorders>
                    <w:tl2br w:val="nil"/>
                    <w:tr2bl w:val="nil"/>
                  </w:tcBorders>
                  <w:noWrap w:val="0"/>
                  <w:vAlign w:val="center"/>
                </w:tcPr>
                <w:p w14:paraId="59BC3186">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1台</w:t>
                  </w:r>
                </w:p>
              </w:tc>
              <w:tc>
                <w:tcPr>
                  <w:tcW w:w="873" w:type="pct"/>
                  <w:tcBorders>
                    <w:tl2br w:val="nil"/>
                    <w:tr2bl w:val="nil"/>
                  </w:tcBorders>
                  <w:noWrap w:val="0"/>
                  <w:vAlign w:val="center"/>
                </w:tcPr>
                <w:p w14:paraId="1E215E7B">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0</w:t>
                  </w:r>
                </w:p>
              </w:tc>
            </w:tr>
            <w:tr w14:paraId="49F01FB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tcBorders>
                    <w:tl2br w:val="nil"/>
                    <w:tr2bl w:val="nil"/>
                  </w:tcBorders>
                  <w:noWrap w:val="0"/>
                  <w:vAlign w:val="center"/>
                </w:tcPr>
                <w:p w14:paraId="3D92296D">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4</w:t>
                  </w:r>
                </w:p>
              </w:tc>
              <w:tc>
                <w:tcPr>
                  <w:tcW w:w="1085" w:type="pct"/>
                  <w:tcBorders>
                    <w:tl2br w:val="nil"/>
                    <w:tr2bl w:val="nil"/>
                  </w:tcBorders>
                  <w:noWrap w:val="0"/>
                  <w:vAlign w:val="center"/>
                </w:tcPr>
                <w:p w14:paraId="15C4B509">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折边机</w:t>
                  </w:r>
                </w:p>
              </w:tc>
              <w:tc>
                <w:tcPr>
                  <w:tcW w:w="1085" w:type="pct"/>
                  <w:tcBorders>
                    <w:tl2br w:val="nil"/>
                    <w:tr2bl w:val="nil"/>
                  </w:tcBorders>
                  <w:noWrap w:val="0"/>
                  <w:vAlign w:val="center"/>
                </w:tcPr>
                <w:p w14:paraId="7FB8DDF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3台</w:t>
                  </w:r>
                </w:p>
              </w:tc>
              <w:tc>
                <w:tcPr>
                  <w:tcW w:w="1302" w:type="pct"/>
                  <w:tcBorders>
                    <w:tl2br w:val="nil"/>
                    <w:tr2bl w:val="nil"/>
                  </w:tcBorders>
                  <w:noWrap w:val="0"/>
                  <w:vAlign w:val="center"/>
                </w:tcPr>
                <w:p w14:paraId="03C584D1">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1台</w:t>
                  </w:r>
                </w:p>
              </w:tc>
              <w:tc>
                <w:tcPr>
                  <w:tcW w:w="873" w:type="pct"/>
                  <w:tcBorders>
                    <w:tl2br w:val="nil"/>
                    <w:tr2bl w:val="nil"/>
                  </w:tcBorders>
                  <w:noWrap w:val="0"/>
                  <w:vAlign w:val="center"/>
                </w:tcPr>
                <w:p w14:paraId="257E752A">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-2台</w:t>
                  </w:r>
                </w:p>
              </w:tc>
            </w:tr>
            <w:tr w14:paraId="78FC4D2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tcBorders>
                    <w:tl2br w:val="nil"/>
                    <w:tr2bl w:val="nil"/>
                  </w:tcBorders>
                  <w:noWrap w:val="0"/>
                  <w:vAlign w:val="center"/>
                </w:tcPr>
                <w:p w14:paraId="14C45629">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5</w:t>
                  </w:r>
                </w:p>
              </w:tc>
              <w:tc>
                <w:tcPr>
                  <w:tcW w:w="1085" w:type="pct"/>
                  <w:tcBorders>
                    <w:tl2br w:val="nil"/>
                    <w:tr2bl w:val="nil"/>
                  </w:tcBorders>
                  <w:noWrap w:val="0"/>
                  <w:vAlign w:val="center"/>
                </w:tcPr>
                <w:p w14:paraId="44D463DE">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分纸机</w:t>
                  </w:r>
                </w:p>
              </w:tc>
              <w:tc>
                <w:tcPr>
                  <w:tcW w:w="1085" w:type="pct"/>
                  <w:tcBorders>
                    <w:tl2br w:val="nil"/>
                    <w:tr2bl w:val="nil"/>
                  </w:tcBorders>
                  <w:noWrap w:val="0"/>
                  <w:vAlign w:val="center"/>
                </w:tcPr>
                <w:p w14:paraId="3F40E0F1">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3台</w:t>
                  </w:r>
                </w:p>
              </w:tc>
              <w:tc>
                <w:tcPr>
                  <w:tcW w:w="1302" w:type="pct"/>
                  <w:tcBorders>
                    <w:tl2br w:val="nil"/>
                    <w:tr2bl w:val="nil"/>
                  </w:tcBorders>
                  <w:noWrap w:val="0"/>
                  <w:vAlign w:val="center"/>
                </w:tcPr>
                <w:p w14:paraId="564B118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3台</w:t>
                  </w:r>
                </w:p>
              </w:tc>
              <w:tc>
                <w:tcPr>
                  <w:tcW w:w="873" w:type="pct"/>
                  <w:tcBorders>
                    <w:tl2br w:val="nil"/>
                    <w:tr2bl w:val="nil"/>
                  </w:tcBorders>
                  <w:noWrap w:val="0"/>
                  <w:vAlign w:val="center"/>
                </w:tcPr>
                <w:p w14:paraId="79474735">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0</w:t>
                  </w:r>
                </w:p>
              </w:tc>
            </w:tr>
            <w:tr w14:paraId="6F7EE2C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tcBorders>
                    <w:tl2br w:val="nil"/>
                    <w:tr2bl w:val="nil"/>
                  </w:tcBorders>
                  <w:noWrap w:val="0"/>
                  <w:vAlign w:val="center"/>
                </w:tcPr>
                <w:p w14:paraId="1FE26E0C">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6</w:t>
                  </w:r>
                </w:p>
              </w:tc>
              <w:tc>
                <w:tcPr>
                  <w:tcW w:w="1085" w:type="pct"/>
                  <w:tcBorders>
                    <w:tl2br w:val="nil"/>
                    <w:tr2bl w:val="nil"/>
                  </w:tcBorders>
                  <w:noWrap w:val="0"/>
                  <w:vAlign w:val="center"/>
                </w:tcPr>
                <w:p w14:paraId="36781F35">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印刷机</w:t>
                  </w:r>
                </w:p>
              </w:tc>
              <w:tc>
                <w:tcPr>
                  <w:tcW w:w="1085" w:type="pct"/>
                  <w:tcBorders>
                    <w:tl2br w:val="nil"/>
                    <w:tr2bl w:val="nil"/>
                  </w:tcBorders>
                  <w:noWrap w:val="0"/>
                  <w:vAlign w:val="center"/>
                </w:tcPr>
                <w:p w14:paraId="3B7303B9">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2台</w:t>
                  </w:r>
                </w:p>
              </w:tc>
              <w:tc>
                <w:tcPr>
                  <w:tcW w:w="1302" w:type="pct"/>
                  <w:tcBorders>
                    <w:tl2br w:val="nil"/>
                    <w:tr2bl w:val="nil"/>
                  </w:tcBorders>
                  <w:noWrap w:val="0"/>
                  <w:vAlign w:val="center"/>
                </w:tcPr>
                <w:p w14:paraId="10DFF9A5">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2台</w:t>
                  </w:r>
                </w:p>
              </w:tc>
              <w:tc>
                <w:tcPr>
                  <w:tcW w:w="873" w:type="pct"/>
                  <w:tcBorders>
                    <w:tl2br w:val="nil"/>
                    <w:tr2bl w:val="nil"/>
                  </w:tcBorders>
                  <w:noWrap w:val="0"/>
                  <w:vAlign w:val="center"/>
                </w:tcPr>
                <w:p w14:paraId="328D32D1">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0</w:t>
                  </w:r>
                </w:p>
              </w:tc>
            </w:tr>
            <w:tr w14:paraId="47F72AE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tcBorders>
                    <w:tl2br w:val="nil"/>
                    <w:tr2bl w:val="nil"/>
                  </w:tcBorders>
                  <w:noWrap w:val="0"/>
                  <w:vAlign w:val="center"/>
                </w:tcPr>
                <w:p w14:paraId="2C6A5742">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7</w:t>
                  </w:r>
                </w:p>
              </w:tc>
              <w:tc>
                <w:tcPr>
                  <w:tcW w:w="1085" w:type="pct"/>
                  <w:tcBorders>
                    <w:tl2br w:val="nil"/>
                    <w:tr2bl w:val="nil"/>
                  </w:tcBorders>
                  <w:noWrap w:val="0"/>
                  <w:vAlign w:val="center"/>
                </w:tcPr>
                <w:p w14:paraId="34E6B3A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开槽机</w:t>
                  </w:r>
                </w:p>
              </w:tc>
              <w:tc>
                <w:tcPr>
                  <w:tcW w:w="1085" w:type="pct"/>
                  <w:tcBorders>
                    <w:tl2br w:val="nil"/>
                    <w:tr2bl w:val="nil"/>
                  </w:tcBorders>
                  <w:noWrap w:val="0"/>
                  <w:vAlign w:val="center"/>
                </w:tcPr>
                <w:p w14:paraId="1775A3BC">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1台</w:t>
                  </w:r>
                </w:p>
              </w:tc>
              <w:tc>
                <w:tcPr>
                  <w:tcW w:w="1302" w:type="pct"/>
                  <w:tcBorders>
                    <w:tl2br w:val="nil"/>
                    <w:tr2bl w:val="nil"/>
                  </w:tcBorders>
                  <w:noWrap w:val="0"/>
                  <w:vAlign w:val="center"/>
                </w:tcPr>
                <w:p w14:paraId="1AA06C3A">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1台</w:t>
                  </w:r>
                </w:p>
              </w:tc>
              <w:tc>
                <w:tcPr>
                  <w:tcW w:w="873" w:type="pct"/>
                  <w:tcBorders>
                    <w:tl2br w:val="nil"/>
                    <w:tr2bl w:val="nil"/>
                  </w:tcBorders>
                  <w:noWrap w:val="0"/>
                  <w:vAlign w:val="center"/>
                </w:tcPr>
                <w:p w14:paraId="0AC462A5">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0</w:t>
                  </w:r>
                </w:p>
              </w:tc>
            </w:tr>
            <w:tr w14:paraId="518CE4B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tcBorders>
                    <w:tl2br w:val="nil"/>
                    <w:tr2bl w:val="nil"/>
                  </w:tcBorders>
                  <w:noWrap w:val="0"/>
                  <w:vAlign w:val="center"/>
                </w:tcPr>
                <w:p w14:paraId="74BB05BF">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8</w:t>
                  </w:r>
                </w:p>
              </w:tc>
              <w:tc>
                <w:tcPr>
                  <w:tcW w:w="1085" w:type="pct"/>
                  <w:tcBorders>
                    <w:tl2br w:val="nil"/>
                    <w:tr2bl w:val="nil"/>
                  </w:tcBorders>
                  <w:noWrap w:val="0"/>
                  <w:vAlign w:val="center"/>
                </w:tcPr>
                <w:p w14:paraId="2A2C88B1">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打角机</w:t>
                  </w:r>
                </w:p>
              </w:tc>
              <w:tc>
                <w:tcPr>
                  <w:tcW w:w="1085" w:type="pct"/>
                  <w:tcBorders>
                    <w:tl2br w:val="nil"/>
                    <w:tr2bl w:val="nil"/>
                  </w:tcBorders>
                  <w:noWrap w:val="0"/>
                  <w:vAlign w:val="center"/>
                </w:tcPr>
                <w:p w14:paraId="19C01926">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2台</w:t>
                  </w:r>
                </w:p>
              </w:tc>
              <w:tc>
                <w:tcPr>
                  <w:tcW w:w="1302" w:type="pct"/>
                  <w:tcBorders>
                    <w:tl2br w:val="nil"/>
                    <w:tr2bl w:val="nil"/>
                  </w:tcBorders>
                  <w:noWrap w:val="0"/>
                  <w:vAlign w:val="center"/>
                </w:tcPr>
                <w:p w14:paraId="66219C24">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1台</w:t>
                  </w:r>
                </w:p>
              </w:tc>
              <w:tc>
                <w:tcPr>
                  <w:tcW w:w="873" w:type="pct"/>
                  <w:tcBorders>
                    <w:tl2br w:val="nil"/>
                    <w:tr2bl w:val="nil"/>
                  </w:tcBorders>
                  <w:noWrap w:val="0"/>
                  <w:vAlign w:val="center"/>
                </w:tcPr>
                <w:p w14:paraId="26304C0B">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-1台</w:t>
                  </w:r>
                </w:p>
              </w:tc>
            </w:tr>
            <w:tr w14:paraId="65B5BFD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tcBorders>
                    <w:tl2br w:val="nil"/>
                    <w:tr2bl w:val="nil"/>
                  </w:tcBorders>
                  <w:noWrap w:val="0"/>
                  <w:vAlign w:val="center"/>
                </w:tcPr>
                <w:p w14:paraId="52B858D9">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9</w:t>
                  </w:r>
                </w:p>
              </w:tc>
              <w:tc>
                <w:tcPr>
                  <w:tcW w:w="1085" w:type="pct"/>
                  <w:tcBorders>
                    <w:tl2br w:val="nil"/>
                    <w:tr2bl w:val="nil"/>
                  </w:tcBorders>
                  <w:noWrap w:val="0"/>
                  <w:vAlign w:val="center"/>
                </w:tcPr>
                <w:p w14:paraId="302CC80B">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打钉机</w:t>
                  </w:r>
                </w:p>
              </w:tc>
              <w:tc>
                <w:tcPr>
                  <w:tcW w:w="1085" w:type="pct"/>
                  <w:tcBorders>
                    <w:tl2br w:val="nil"/>
                    <w:tr2bl w:val="nil"/>
                  </w:tcBorders>
                  <w:noWrap w:val="0"/>
                  <w:vAlign w:val="center"/>
                </w:tcPr>
                <w:p w14:paraId="7536BAE0">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2台</w:t>
                  </w:r>
                </w:p>
              </w:tc>
              <w:tc>
                <w:tcPr>
                  <w:tcW w:w="1302" w:type="pct"/>
                  <w:tcBorders>
                    <w:tl2br w:val="nil"/>
                    <w:tr2bl w:val="nil"/>
                  </w:tcBorders>
                  <w:noWrap w:val="0"/>
                  <w:vAlign w:val="center"/>
                </w:tcPr>
                <w:p w14:paraId="1BA1EFCA">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2台</w:t>
                  </w:r>
                </w:p>
              </w:tc>
              <w:tc>
                <w:tcPr>
                  <w:tcW w:w="873" w:type="pct"/>
                  <w:tcBorders>
                    <w:tl2br w:val="nil"/>
                    <w:tr2bl w:val="nil"/>
                  </w:tcBorders>
                  <w:noWrap w:val="0"/>
                  <w:vAlign w:val="center"/>
                </w:tcPr>
                <w:p w14:paraId="2B69D0A0">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0</w:t>
                  </w:r>
                </w:p>
              </w:tc>
            </w:tr>
            <w:tr w14:paraId="3F5654B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tcBorders>
                    <w:tl2br w:val="nil"/>
                    <w:tr2bl w:val="nil"/>
                  </w:tcBorders>
                  <w:noWrap w:val="0"/>
                  <w:vAlign w:val="center"/>
                </w:tcPr>
                <w:p w14:paraId="4A4324FA">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eastAsia="宋体" w:cs="Times New Roman"/>
                      <w:color w:val="auto"/>
                      <w:highlight w:val="none"/>
                      <w:vertAlign w:val="baseline"/>
                      <w:lang w:val="en-US" w:eastAsia="zh-CN"/>
                    </w:rPr>
                    <w:t>10</w:t>
                  </w:r>
                </w:p>
              </w:tc>
              <w:tc>
                <w:tcPr>
                  <w:tcW w:w="1085" w:type="pct"/>
                  <w:tcBorders>
                    <w:tl2br w:val="nil"/>
                    <w:tr2bl w:val="nil"/>
                  </w:tcBorders>
                  <w:noWrap w:val="0"/>
                  <w:vAlign w:val="center"/>
                </w:tcPr>
                <w:p w14:paraId="7956DFD7">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啤机</w:t>
                  </w:r>
                </w:p>
              </w:tc>
              <w:tc>
                <w:tcPr>
                  <w:tcW w:w="1085" w:type="pct"/>
                  <w:tcBorders>
                    <w:tl2br w:val="nil"/>
                    <w:tr2bl w:val="nil"/>
                  </w:tcBorders>
                  <w:noWrap w:val="0"/>
                  <w:vAlign w:val="center"/>
                </w:tcPr>
                <w:p w14:paraId="6F46B26B">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2台</w:t>
                  </w:r>
                </w:p>
              </w:tc>
              <w:tc>
                <w:tcPr>
                  <w:tcW w:w="1302" w:type="pct"/>
                  <w:tcBorders>
                    <w:tl2br w:val="nil"/>
                    <w:tr2bl w:val="nil"/>
                  </w:tcBorders>
                  <w:noWrap w:val="0"/>
                  <w:vAlign w:val="center"/>
                </w:tcPr>
                <w:p w14:paraId="666450C7">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1台</w:t>
                  </w:r>
                </w:p>
              </w:tc>
              <w:tc>
                <w:tcPr>
                  <w:tcW w:w="873" w:type="pct"/>
                  <w:tcBorders>
                    <w:tl2br w:val="nil"/>
                    <w:tr2bl w:val="nil"/>
                  </w:tcBorders>
                  <w:noWrap w:val="0"/>
                  <w:vAlign w:val="center"/>
                </w:tcPr>
                <w:p w14:paraId="772EC2F1">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-1台</w:t>
                  </w:r>
                </w:p>
              </w:tc>
            </w:tr>
            <w:tr w14:paraId="57DA0C1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tcBorders>
                    <w:tl2br w:val="nil"/>
                    <w:tr2bl w:val="nil"/>
                  </w:tcBorders>
                  <w:noWrap w:val="0"/>
                  <w:vAlign w:val="center"/>
                </w:tcPr>
                <w:p w14:paraId="5F0CC141">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eastAsia="宋体"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11</w:t>
                  </w:r>
                </w:p>
              </w:tc>
              <w:tc>
                <w:tcPr>
                  <w:tcW w:w="1085" w:type="pct"/>
                  <w:tcBorders>
                    <w:tl2br w:val="nil"/>
                    <w:tr2bl w:val="nil"/>
                  </w:tcBorders>
                  <w:noWrap w:val="0"/>
                  <w:vAlign w:val="center"/>
                </w:tcPr>
                <w:p w14:paraId="12CF98A4">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空压机</w:t>
                  </w:r>
                </w:p>
              </w:tc>
              <w:tc>
                <w:tcPr>
                  <w:tcW w:w="1085" w:type="pct"/>
                  <w:tcBorders>
                    <w:tl2br w:val="nil"/>
                    <w:tr2bl w:val="nil"/>
                  </w:tcBorders>
                  <w:noWrap w:val="0"/>
                  <w:vAlign w:val="center"/>
                </w:tcPr>
                <w:p w14:paraId="7A36DB0E">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1台</w:t>
                  </w:r>
                </w:p>
              </w:tc>
              <w:tc>
                <w:tcPr>
                  <w:tcW w:w="1302" w:type="pct"/>
                  <w:tcBorders>
                    <w:tl2br w:val="nil"/>
                    <w:tr2bl w:val="nil"/>
                  </w:tcBorders>
                  <w:noWrap w:val="0"/>
                  <w:vAlign w:val="center"/>
                </w:tcPr>
                <w:p w14:paraId="2D4A17B0">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2台</w:t>
                  </w:r>
                </w:p>
              </w:tc>
              <w:tc>
                <w:tcPr>
                  <w:tcW w:w="873" w:type="pct"/>
                  <w:tcBorders>
                    <w:tl2br w:val="nil"/>
                    <w:tr2bl w:val="nil"/>
                  </w:tcBorders>
                  <w:noWrap w:val="0"/>
                  <w:vAlign w:val="center"/>
                </w:tcPr>
                <w:p w14:paraId="0D0DAD65">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+1台</w:t>
                  </w:r>
                </w:p>
              </w:tc>
            </w:tr>
            <w:tr w14:paraId="3D45382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tcBorders>
                    <w:tl2br w:val="nil"/>
                    <w:tr2bl w:val="nil"/>
                  </w:tcBorders>
                  <w:noWrap w:val="0"/>
                  <w:vAlign w:val="center"/>
                </w:tcPr>
                <w:p w14:paraId="57F7AB8E">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12</w:t>
                  </w:r>
                </w:p>
              </w:tc>
              <w:tc>
                <w:tcPr>
                  <w:tcW w:w="1085" w:type="pct"/>
                  <w:tcBorders>
                    <w:tl2br w:val="nil"/>
                    <w:tr2bl w:val="nil"/>
                  </w:tcBorders>
                  <w:noWrap w:val="0"/>
                  <w:vAlign w:val="center"/>
                </w:tcPr>
                <w:p w14:paraId="0592D9EB">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highlight w:val="none"/>
                      <w:vertAlign w:val="baseline"/>
                      <w:lang w:val="en-US" w:eastAsia="zh-CN"/>
                    </w:rPr>
                  </w:pPr>
                  <w:r>
                    <w:rPr>
                      <w:rFonts w:hint="eastAsia" w:cs="Times New Roman"/>
                      <w:color w:val="auto"/>
                      <w:highlight w:val="none"/>
                      <w:vertAlign w:val="baseline"/>
                      <w:lang w:val="en-US" w:eastAsia="zh-CN"/>
                    </w:rPr>
                    <w:t>模温机</w:t>
                  </w:r>
                </w:p>
              </w:tc>
              <w:tc>
                <w:tcPr>
                  <w:tcW w:w="1085" w:type="pct"/>
                  <w:tcBorders>
                    <w:tl2br w:val="nil"/>
                    <w:tr2bl w:val="nil"/>
                  </w:tcBorders>
                  <w:noWrap w:val="0"/>
                  <w:vAlign w:val="center"/>
                </w:tcPr>
                <w:p w14:paraId="25DFA39A">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0台</w:t>
                  </w:r>
                </w:p>
              </w:tc>
              <w:tc>
                <w:tcPr>
                  <w:tcW w:w="1302" w:type="pct"/>
                  <w:tcBorders>
                    <w:tl2br w:val="nil"/>
                    <w:tr2bl w:val="nil"/>
                  </w:tcBorders>
                  <w:noWrap w:val="0"/>
                  <w:vAlign w:val="center"/>
                </w:tcPr>
                <w:p w14:paraId="4687E0CA">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1台</w:t>
                  </w:r>
                </w:p>
              </w:tc>
              <w:tc>
                <w:tcPr>
                  <w:tcW w:w="873" w:type="pct"/>
                  <w:tcBorders>
                    <w:tl2br w:val="nil"/>
                    <w:tr2bl w:val="nil"/>
                  </w:tcBorders>
                  <w:noWrap w:val="0"/>
                  <w:vAlign w:val="center"/>
                </w:tcPr>
                <w:p w14:paraId="1051DDF9">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+1台</w:t>
                  </w:r>
                </w:p>
              </w:tc>
            </w:tr>
            <w:tr w14:paraId="1D7EF4B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2" w:type="pct"/>
                  <w:tcBorders>
                    <w:tl2br w:val="nil"/>
                    <w:tr2bl w:val="nil"/>
                  </w:tcBorders>
                  <w:noWrap w:val="0"/>
                  <w:vAlign w:val="center"/>
                </w:tcPr>
                <w:p w14:paraId="6F4F006E">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13</w:t>
                  </w:r>
                </w:p>
              </w:tc>
              <w:tc>
                <w:tcPr>
                  <w:tcW w:w="1085" w:type="pct"/>
                  <w:tcBorders>
                    <w:tl2br w:val="nil"/>
                    <w:tr2bl w:val="nil"/>
                  </w:tcBorders>
                  <w:noWrap w:val="0"/>
                  <w:vAlign w:val="center"/>
                </w:tcPr>
                <w:p w14:paraId="23551263">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模具</w:t>
                  </w:r>
                </w:p>
              </w:tc>
              <w:tc>
                <w:tcPr>
                  <w:tcW w:w="1085" w:type="pct"/>
                  <w:tcBorders>
                    <w:tl2br w:val="nil"/>
                    <w:tr2bl w:val="nil"/>
                  </w:tcBorders>
                  <w:noWrap w:val="0"/>
                  <w:vAlign w:val="center"/>
                </w:tcPr>
                <w:p w14:paraId="6BDEA86A">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0套</w:t>
                  </w:r>
                </w:p>
              </w:tc>
              <w:tc>
                <w:tcPr>
                  <w:tcW w:w="1302" w:type="pct"/>
                  <w:tcBorders>
                    <w:tl2br w:val="nil"/>
                    <w:tr2bl w:val="nil"/>
                  </w:tcBorders>
                  <w:noWrap w:val="0"/>
                  <w:vAlign w:val="center"/>
                </w:tcPr>
                <w:p w14:paraId="7B1BABFC">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20套</w:t>
                  </w:r>
                </w:p>
              </w:tc>
              <w:tc>
                <w:tcPr>
                  <w:tcW w:w="873" w:type="pct"/>
                  <w:tcBorders>
                    <w:tl2br w:val="nil"/>
                    <w:tr2bl w:val="nil"/>
                  </w:tcBorders>
                  <w:noWrap w:val="0"/>
                  <w:vAlign w:val="center"/>
                </w:tcPr>
                <w:p w14:paraId="0A2147C6">
                  <w:pPr>
                    <w:pStyle w:val="1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ascii="Times New Roman" w:hAnsi="Times New Roman" w:cs="Times New Roman"/>
                      <w:color w:val="auto"/>
                      <w:highlight w:val="none"/>
                      <w:vertAlign w:val="baseline"/>
                      <w:lang w:val="en-US" w:eastAsia="zh-CN"/>
                    </w:rPr>
                  </w:pPr>
                  <w:r>
                    <w:rPr>
                      <w:rFonts w:hint="eastAsia" w:ascii="Times New Roman" w:hAnsi="Times New Roman" w:cs="Times New Roman"/>
                      <w:color w:val="auto"/>
                      <w:highlight w:val="none"/>
                      <w:vertAlign w:val="baseline"/>
                      <w:lang w:val="en-US" w:eastAsia="zh-CN"/>
                    </w:rPr>
                    <w:t>+20套</w:t>
                  </w:r>
                </w:p>
              </w:tc>
            </w:tr>
          </w:tbl>
          <w:p w14:paraId="28BFFE40">
            <w:pPr>
              <w:keepNext w:val="0"/>
              <w:keepLines w:val="0"/>
              <w:pageBreakBefore w:val="0"/>
              <w:widowControl w:val="0"/>
              <w:suppressLineNumbers w:val="0"/>
              <w:kinsoku/>
              <w:wordWrap/>
              <w:overflowPunct/>
              <w:topLinePunct w:val="0"/>
              <w:autoSpaceDE/>
              <w:autoSpaceDN/>
              <w:bidi w:val="0"/>
              <w:adjustRightInd w:val="0"/>
              <w:snapToGrid w:val="0"/>
              <w:spacing w:before="120" w:beforeLines="50" w:beforeAutospacing="0" w:after="0" w:afterAutospacing="0" w:line="360" w:lineRule="auto"/>
              <w:ind w:left="0" w:right="0" w:firstLine="422" w:firstLineChars="200"/>
              <w:jc w:val="left"/>
              <w:textAlignment w:val="auto"/>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b/>
                <w:bCs/>
                <w:color w:val="auto"/>
                <w:kern w:val="0"/>
                <w:sz w:val="21"/>
                <w:szCs w:val="21"/>
                <w:highlight w:val="none"/>
                <w:lang w:val="en-US" w:eastAsia="zh-CN" w:bidi="ar"/>
              </w:rPr>
              <w:t>主要设施产能匹配性分析</w:t>
            </w:r>
          </w:p>
          <w:p w14:paraId="7F2B41E8">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2" w:firstLineChars="200"/>
              <w:jc w:val="left"/>
              <w:textAlignment w:val="auto"/>
              <w:rPr>
                <w:rFonts w:hint="default" w:ascii="Times New Roman" w:hAnsi="Times New Roman" w:eastAsia="宋体" w:cs="Times New Roman"/>
                <w:b/>
                <w:bCs/>
                <w:color w:val="auto"/>
                <w:highlight w:val="none"/>
                <w:lang w:val="en-US" w:eastAsia="zh-CN"/>
              </w:rPr>
            </w:pPr>
            <w:r>
              <w:rPr>
                <w:rFonts w:hint="eastAsia" w:ascii="Times New Roman" w:hAnsi="Times New Roman" w:cs="Times New Roman"/>
                <w:b/>
                <w:bCs/>
                <w:color w:val="auto"/>
                <w:highlight w:val="none"/>
                <w:lang w:val="en-US" w:eastAsia="zh-CN"/>
              </w:rPr>
              <w:t>吸塑</w:t>
            </w:r>
            <w:r>
              <w:rPr>
                <w:rFonts w:hint="default" w:ascii="Times New Roman" w:hAnsi="Times New Roman" w:eastAsia="宋体" w:cs="Times New Roman"/>
                <w:b/>
                <w:bCs/>
                <w:color w:val="auto"/>
                <w:highlight w:val="none"/>
                <w:lang w:val="en-US" w:eastAsia="zh-CN"/>
              </w:rPr>
              <w:t>设备产能匹配性分析</w:t>
            </w:r>
          </w:p>
          <w:p w14:paraId="1EF62BAB">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20" w:firstLineChars="20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项目设</w:t>
            </w:r>
            <w:r>
              <w:rPr>
                <w:rFonts w:hint="eastAsia" w:ascii="Times New Roman" w:hAnsi="Times New Roman" w:cs="Times New Roman"/>
                <w:color w:val="auto"/>
                <w:highlight w:val="none"/>
                <w:lang w:val="en-US" w:eastAsia="zh-CN"/>
              </w:rPr>
              <w:t>6</w:t>
            </w:r>
            <w:r>
              <w:rPr>
                <w:rFonts w:hint="default" w:ascii="Times New Roman" w:hAnsi="Times New Roman" w:eastAsia="宋体" w:cs="Times New Roman"/>
                <w:color w:val="auto"/>
                <w:highlight w:val="none"/>
                <w:lang w:val="en-US" w:eastAsia="zh-CN"/>
              </w:rPr>
              <w:t>台</w:t>
            </w:r>
            <w:r>
              <w:rPr>
                <w:rFonts w:hint="eastAsia" w:ascii="Times New Roman" w:hAnsi="Times New Roman" w:cs="Times New Roman"/>
                <w:color w:val="auto"/>
                <w:highlight w:val="none"/>
                <w:lang w:val="en-US" w:eastAsia="zh-CN"/>
              </w:rPr>
              <w:t>吸塑</w:t>
            </w:r>
            <w:r>
              <w:rPr>
                <w:rFonts w:hint="default" w:ascii="Times New Roman" w:hAnsi="Times New Roman" w:eastAsia="宋体" w:cs="Times New Roman"/>
                <w:color w:val="auto"/>
                <w:highlight w:val="none"/>
                <w:lang w:val="en-US" w:eastAsia="zh-CN"/>
              </w:rPr>
              <w:t>机，用于</w:t>
            </w:r>
            <w:r>
              <w:rPr>
                <w:rFonts w:hint="eastAsia" w:ascii="Times New Roman" w:hAnsi="Times New Roman" w:cs="Times New Roman"/>
                <w:color w:val="auto"/>
                <w:highlight w:val="none"/>
                <w:lang w:val="en-US" w:eastAsia="zh-CN"/>
              </w:rPr>
              <w:t>吸塑加工</w:t>
            </w:r>
            <w:r>
              <w:rPr>
                <w:rFonts w:hint="default" w:ascii="Times New Roman" w:hAnsi="Times New Roman" w:eastAsia="宋体" w:cs="Times New Roman"/>
                <w:color w:val="auto"/>
                <w:highlight w:val="none"/>
                <w:lang w:val="en-US" w:eastAsia="zh-CN"/>
              </w:rPr>
              <w:t>工艺，</w:t>
            </w:r>
            <w:r>
              <w:rPr>
                <w:rFonts w:hint="eastAsia" w:ascii="Times New Roman" w:hAnsi="Times New Roman" w:cs="Times New Roman"/>
                <w:color w:val="auto"/>
                <w:highlight w:val="none"/>
                <w:lang w:val="en-US" w:eastAsia="zh-CN"/>
              </w:rPr>
              <w:t>每台设施加工能力</w:t>
            </w:r>
            <w:r>
              <w:rPr>
                <w:rFonts w:hint="default" w:ascii="Times New Roman" w:hAnsi="Times New Roman" w:eastAsia="宋体" w:cs="Times New Roman"/>
                <w:color w:val="auto"/>
                <w:highlight w:val="none"/>
                <w:lang w:val="en-US" w:eastAsia="zh-CN"/>
              </w:rPr>
              <w:t>为12kg/h，年工作</w:t>
            </w:r>
            <w:r>
              <w:rPr>
                <w:rFonts w:hint="eastAsia" w:ascii="Times New Roman" w:hAnsi="Times New Roman" w:cs="Times New Roman"/>
                <w:color w:val="auto"/>
                <w:highlight w:val="none"/>
                <w:lang w:val="en-US" w:eastAsia="zh-CN"/>
              </w:rPr>
              <w:t>2400</w:t>
            </w:r>
            <w:r>
              <w:rPr>
                <w:rFonts w:hint="default" w:ascii="Times New Roman" w:hAnsi="Times New Roman" w:eastAsia="宋体" w:cs="Times New Roman"/>
                <w:color w:val="auto"/>
                <w:highlight w:val="none"/>
                <w:lang w:val="en-US" w:eastAsia="zh-CN"/>
              </w:rPr>
              <w:t>h，设计生产能力合计</w:t>
            </w:r>
            <w:r>
              <w:rPr>
                <w:rFonts w:hint="eastAsia" w:ascii="Times New Roman" w:hAnsi="Times New Roman" w:cs="Times New Roman"/>
                <w:color w:val="auto"/>
                <w:highlight w:val="none"/>
                <w:lang w:val="en-US" w:eastAsia="zh-CN"/>
              </w:rPr>
              <w:t>吸塑</w:t>
            </w:r>
            <w:r>
              <w:rPr>
                <w:rFonts w:hint="default" w:ascii="Times New Roman" w:hAnsi="Times New Roman" w:eastAsia="宋体" w:cs="Times New Roman"/>
                <w:color w:val="auto"/>
                <w:highlight w:val="none"/>
                <w:lang w:val="en-US" w:eastAsia="zh-CN"/>
              </w:rPr>
              <w:t>量为</w:t>
            </w:r>
            <w:r>
              <w:rPr>
                <w:rFonts w:hint="eastAsia" w:ascii="Times New Roman" w:hAnsi="Times New Roman" w:cs="Times New Roman"/>
                <w:color w:val="auto"/>
                <w:highlight w:val="none"/>
                <w:lang w:val="en-US" w:eastAsia="zh-CN"/>
              </w:rPr>
              <w:t>172.8t</w:t>
            </w:r>
            <w:r>
              <w:rPr>
                <w:rFonts w:hint="default" w:ascii="Times New Roman" w:hAnsi="Times New Roman" w:eastAsia="宋体" w:cs="Times New Roman"/>
                <w:color w:val="auto"/>
                <w:highlight w:val="none"/>
                <w:lang w:val="en-US" w:eastAsia="zh-CN"/>
              </w:rPr>
              <w:t>/</w:t>
            </w:r>
            <w:r>
              <w:rPr>
                <w:rFonts w:hint="eastAsia" w:ascii="Times New Roman" w:hAnsi="Times New Roman" w:cs="Times New Roman"/>
                <w:color w:val="auto"/>
                <w:highlight w:val="none"/>
                <w:lang w:val="en-US" w:eastAsia="zh-CN"/>
              </w:rPr>
              <w:t>a</w:t>
            </w:r>
            <w:r>
              <w:rPr>
                <w:rFonts w:hint="default" w:ascii="Times New Roman" w:hAnsi="Times New Roman" w:eastAsia="宋体" w:cs="Times New Roman"/>
                <w:color w:val="auto"/>
                <w:highlight w:val="none"/>
                <w:lang w:val="en-US" w:eastAsia="zh-CN"/>
              </w:rPr>
              <w:t>。根据项目</w:t>
            </w:r>
            <w:r>
              <w:rPr>
                <w:rFonts w:hint="eastAsia" w:ascii="Times New Roman" w:hAnsi="Times New Roman" w:cs="Times New Roman"/>
                <w:color w:val="auto"/>
                <w:highlight w:val="none"/>
                <w:lang w:val="en-US" w:eastAsia="zh-CN"/>
              </w:rPr>
              <w:t>吸塑加工</w:t>
            </w:r>
            <w:r>
              <w:rPr>
                <w:rFonts w:hint="default" w:ascii="Times New Roman" w:hAnsi="Times New Roman" w:eastAsia="宋体" w:cs="Times New Roman"/>
                <w:color w:val="auto"/>
                <w:highlight w:val="none"/>
                <w:lang w:val="en-US" w:eastAsia="zh-CN"/>
              </w:rPr>
              <w:t>工艺原辅料消耗，实际</w:t>
            </w:r>
            <w:r>
              <w:rPr>
                <w:rFonts w:hint="eastAsia" w:ascii="Times New Roman" w:hAnsi="Times New Roman" w:cs="Times New Roman"/>
                <w:color w:val="auto"/>
                <w:highlight w:val="none"/>
                <w:lang w:val="en-US" w:eastAsia="zh-CN"/>
              </w:rPr>
              <w:t>加工</w:t>
            </w:r>
            <w:r>
              <w:rPr>
                <w:rFonts w:hint="default" w:ascii="Times New Roman" w:hAnsi="Times New Roman" w:eastAsia="宋体" w:cs="Times New Roman"/>
                <w:color w:val="auto"/>
                <w:highlight w:val="none"/>
                <w:lang w:val="en-US" w:eastAsia="zh-CN"/>
              </w:rPr>
              <w:t>量约为</w:t>
            </w:r>
            <w:r>
              <w:rPr>
                <w:rFonts w:hint="eastAsia" w:ascii="Times New Roman" w:hAnsi="Times New Roman" w:cs="Times New Roman"/>
                <w:color w:val="auto"/>
                <w:highlight w:val="none"/>
                <w:lang w:val="en-US" w:eastAsia="zh-CN"/>
              </w:rPr>
              <w:t>150t</w:t>
            </w:r>
            <w:r>
              <w:rPr>
                <w:rFonts w:hint="default" w:ascii="Times New Roman" w:hAnsi="Times New Roman" w:eastAsia="宋体" w:cs="Times New Roman"/>
                <w:color w:val="auto"/>
                <w:highlight w:val="none"/>
                <w:lang w:val="en-US" w:eastAsia="zh-CN"/>
              </w:rPr>
              <w:t>/</w:t>
            </w:r>
            <w:r>
              <w:rPr>
                <w:rFonts w:hint="eastAsia" w:ascii="Times New Roman" w:hAnsi="Times New Roman" w:cs="Times New Roman"/>
                <w:color w:val="auto"/>
                <w:highlight w:val="none"/>
                <w:lang w:val="en-US" w:eastAsia="zh-CN"/>
              </w:rPr>
              <w:t>a</w:t>
            </w:r>
            <w:r>
              <w:rPr>
                <w:rFonts w:hint="default" w:ascii="Times New Roman" w:hAnsi="Times New Roman" w:eastAsia="宋体" w:cs="Times New Roman"/>
                <w:color w:val="auto"/>
                <w:highlight w:val="none"/>
                <w:lang w:val="en-US" w:eastAsia="zh-CN"/>
              </w:rPr>
              <w:t>，项目</w:t>
            </w:r>
            <w:r>
              <w:rPr>
                <w:rFonts w:hint="eastAsia" w:ascii="Times New Roman" w:hAnsi="Times New Roman" w:cs="Times New Roman"/>
                <w:color w:val="auto"/>
                <w:highlight w:val="none"/>
                <w:lang w:val="en-US" w:eastAsia="zh-CN"/>
              </w:rPr>
              <w:t>吸塑机</w:t>
            </w:r>
            <w:r>
              <w:rPr>
                <w:rFonts w:hint="default" w:ascii="Times New Roman" w:hAnsi="Times New Roman" w:eastAsia="宋体" w:cs="Times New Roman"/>
                <w:color w:val="auto"/>
                <w:highlight w:val="none"/>
                <w:lang w:val="en-US" w:eastAsia="zh-CN"/>
              </w:rPr>
              <w:t>实际年</w:t>
            </w:r>
            <w:r>
              <w:rPr>
                <w:rFonts w:hint="eastAsia" w:ascii="Times New Roman" w:hAnsi="Times New Roman" w:cs="Times New Roman"/>
                <w:color w:val="auto"/>
                <w:highlight w:val="none"/>
                <w:lang w:val="en-US" w:eastAsia="zh-CN"/>
              </w:rPr>
              <w:t>加工</w:t>
            </w:r>
            <w:r>
              <w:rPr>
                <w:rFonts w:hint="default" w:ascii="Times New Roman" w:hAnsi="Times New Roman" w:eastAsia="宋体" w:cs="Times New Roman"/>
                <w:color w:val="auto"/>
                <w:highlight w:val="none"/>
                <w:lang w:val="en-US" w:eastAsia="zh-CN"/>
              </w:rPr>
              <w:t>量约占设备最大设计产能的8</w:t>
            </w:r>
            <w:r>
              <w:rPr>
                <w:rFonts w:hint="eastAsia" w:ascii="Times New Roman" w:hAnsi="Times New Roman" w:cs="Times New Roman"/>
                <w:color w:val="auto"/>
                <w:highlight w:val="none"/>
                <w:lang w:val="en-US" w:eastAsia="zh-CN"/>
              </w:rPr>
              <w:t>7.0</w:t>
            </w:r>
            <w:r>
              <w:rPr>
                <w:rFonts w:hint="default" w:ascii="Times New Roman" w:hAnsi="Times New Roman" w:eastAsia="宋体" w:cs="Times New Roman"/>
                <w:color w:val="auto"/>
                <w:highlight w:val="none"/>
                <w:lang w:val="en-US" w:eastAsia="zh-CN"/>
              </w:rPr>
              <w:t>%，生产能力与产能基本匹配。</w:t>
            </w:r>
          </w:p>
          <w:p w14:paraId="7BC51BB5">
            <w:pPr>
              <w:keepNext w:val="0"/>
              <w:keepLines w:val="0"/>
              <w:pageBreakBefore w:val="0"/>
              <w:widowControl w:val="0"/>
              <w:numPr>
                <w:ilvl w:val="0"/>
                <w:numId w:val="9"/>
              </w:numPr>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22" w:firstLineChars="200"/>
              <w:jc w:val="left"/>
              <w:textAlignment w:val="auto"/>
              <w:rPr>
                <w:rFonts w:hint="default" w:ascii="Times New Roman" w:hAnsi="Times New Roman" w:eastAsia="宋体" w:cs="Times New Roman"/>
                <w:b/>
                <w:bCs/>
                <w:color w:val="auto"/>
                <w:highlight w:val="none"/>
                <w:lang w:val="en-US" w:eastAsia="zh-CN"/>
              </w:rPr>
            </w:pPr>
            <w:r>
              <w:rPr>
                <w:rFonts w:hint="eastAsia" w:ascii="Times New Roman" w:hAnsi="Times New Roman" w:cs="Times New Roman"/>
                <w:b/>
                <w:bCs/>
                <w:color w:val="auto"/>
                <w:highlight w:val="none"/>
                <w:lang w:val="en-US" w:eastAsia="zh-CN"/>
              </w:rPr>
              <w:t>印刷</w:t>
            </w:r>
            <w:r>
              <w:rPr>
                <w:rFonts w:hint="default" w:ascii="Times New Roman" w:hAnsi="Times New Roman" w:eastAsia="宋体" w:cs="Times New Roman"/>
                <w:b/>
                <w:bCs/>
                <w:color w:val="auto"/>
                <w:highlight w:val="none"/>
                <w:lang w:val="en-US" w:eastAsia="zh-CN"/>
              </w:rPr>
              <w:t>设备产能匹配性分析</w:t>
            </w:r>
          </w:p>
          <w:p w14:paraId="2E4CFBC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20" w:firstLineChars="20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项目设</w:t>
            </w:r>
            <w:r>
              <w:rPr>
                <w:rFonts w:hint="eastAsia" w:cs="Times New Roman"/>
                <w:color w:val="auto"/>
                <w:highlight w:val="none"/>
                <w:lang w:val="en-US" w:eastAsia="zh-CN"/>
              </w:rPr>
              <w:t>2</w:t>
            </w:r>
            <w:r>
              <w:rPr>
                <w:rFonts w:hint="default" w:ascii="Times New Roman" w:hAnsi="Times New Roman" w:eastAsia="宋体" w:cs="Times New Roman"/>
                <w:color w:val="auto"/>
                <w:highlight w:val="none"/>
                <w:lang w:val="en-US" w:eastAsia="zh-CN"/>
              </w:rPr>
              <w:t>台</w:t>
            </w:r>
            <w:r>
              <w:rPr>
                <w:rFonts w:hint="eastAsia" w:cs="Times New Roman"/>
                <w:color w:val="auto"/>
                <w:highlight w:val="none"/>
                <w:lang w:val="en-US" w:eastAsia="zh-CN"/>
              </w:rPr>
              <w:t>印刷</w:t>
            </w:r>
            <w:r>
              <w:rPr>
                <w:rFonts w:hint="default" w:ascii="Times New Roman" w:hAnsi="Times New Roman" w:eastAsia="宋体" w:cs="Times New Roman"/>
                <w:color w:val="auto"/>
                <w:highlight w:val="none"/>
                <w:lang w:val="en-US" w:eastAsia="zh-CN"/>
              </w:rPr>
              <w:t>机，每台</w:t>
            </w:r>
            <w:r>
              <w:rPr>
                <w:rFonts w:hint="eastAsia" w:cs="Times New Roman"/>
                <w:color w:val="auto"/>
                <w:highlight w:val="none"/>
                <w:lang w:val="en-US" w:eastAsia="zh-CN"/>
              </w:rPr>
              <w:t>供墨</w:t>
            </w:r>
            <w:r>
              <w:rPr>
                <w:rFonts w:hint="default" w:ascii="Times New Roman" w:hAnsi="Times New Roman" w:eastAsia="宋体" w:cs="Times New Roman"/>
                <w:color w:val="auto"/>
                <w:highlight w:val="none"/>
                <w:lang w:val="en-US" w:eastAsia="zh-CN"/>
              </w:rPr>
              <w:t>量为</w:t>
            </w:r>
            <w:r>
              <w:rPr>
                <w:rFonts w:hint="eastAsia" w:cs="Times New Roman"/>
                <w:color w:val="auto"/>
                <w:highlight w:val="none"/>
                <w:lang w:val="en-US" w:eastAsia="zh-CN"/>
              </w:rPr>
              <w:t>0.2</w:t>
            </w:r>
            <w:r>
              <w:rPr>
                <w:rFonts w:hint="default" w:ascii="Times New Roman" w:hAnsi="Times New Roman" w:eastAsia="宋体" w:cs="Times New Roman"/>
                <w:color w:val="auto"/>
                <w:highlight w:val="none"/>
                <w:lang w:val="en-US" w:eastAsia="zh-CN"/>
              </w:rPr>
              <w:t>kg/h，年工作500h，设计</w:t>
            </w:r>
            <w:r>
              <w:rPr>
                <w:rFonts w:hint="eastAsia" w:cs="Times New Roman"/>
                <w:color w:val="auto"/>
                <w:highlight w:val="none"/>
                <w:lang w:val="en-US" w:eastAsia="zh-CN"/>
              </w:rPr>
              <w:t>供墨</w:t>
            </w:r>
            <w:r>
              <w:rPr>
                <w:rFonts w:hint="default" w:ascii="Times New Roman" w:hAnsi="Times New Roman" w:eastAsia="宋体" w:cs="Times New Roman"/>
                <w:color w:val="auto"/>
                <w:highlight w:val="none"/>
                <w:lang w:val="en-US" w:eastAsia="zh-CN"/>
              </w:rPr>
              <w:t>量为</w:t>
            </w:r>
            <w:r>
              <w:rPr>
                <w:rFonts w:hint="eastAsia" w:cs="Times New Roman"/>
                <w:color w:val="auto"/>
                <w:highlight w:val="none"/>
                <w:lang w:val="en-US" w:eastAsia="zh-CN"/>
              </w:rPr>
              <w:t>0.2t</w:t>
            </w:r>
            <w:r>
              <w:rPr>
                <w:rFonts w:hint="default" w:ascii="Times New Roman" w:hAnsi="Times New Roman" w:eastAsia="宋体" w:cs="Times New Roman"/>
                <w:color w:val="auto"/>
                <w:highlight w:val="none"/>
                <w:lang w:val="en-US" w:eastAsia="zh-CN"/>
              </w:rPr>
              <w:t>/</w:t>
            </w:r>
            <w:r>
              <w:rPr>
                <w:rFonts w:hint="eastAsia" w:cs="Times New Roman"/>
                <w:color w:val="auto"/>
                <w:highlight w:val="none"/>
                <w:lang w:val="en-US" w:eastAsia="zh-CN"/>
              </w:rPr>
              <w:t>a</w:t>
            </w:r>
            <w:r>
              <w:rPr>
                <w:rFonts w:hint="default" w:ascii="Times New Roman" w:hAnsi="Times New Roman" w:eastAsia="宋体" w:cs="Times New Roman"/>
                <w:color w:val="auto"/>
                <w:highlight w:val="none"/>
                <w:lang w:val="en-US" w:eastAsia="zh-CN"/>
              </w:rPr>
              <w:t>。项目</w:t>
            </w:r>
            <w:r>
              <w:rPr>
                <w:rFonts w:hint="eastAsia" w:cs="Times New Roman"/>
                <w:color w:val="auto"/>
                <w:highlight w:val="none"/>
                <w:lang w:val="en-US" w:eastAsia="zh-CN"/>
              </w:rPr>
              <w:t>印刷</w:t>
            </w:r>
            <w:r>
              <w:rPr>
                <w:rFonts w:hint="default" w:ascii="Times New Roman" w:hAnsi="Times New Roman" w:eastAsia="宋体" w:cs="Times New Roman"/>
                <w:color w:val="auto"/>
                <w:highlight w:val="none"/>
                <w:lang w:val="en-US" w:eastAsia="zh-CN"/>
              </w:rPr>
              <w:t>工艺原辅料消耗，实际</w:t>
            </w:r>
            <w:r>
              <w:rPr>
                <w:rFonts w:hint="eastAsia" w:cs="Times New Roman"/>
                <w:color w:val="auto"/>
                <w:highlight w:val="none"/>
                <w:lang w:val="en-US" w:eastAsia="zh-CN"/>
              </w:rPr>
              <w:t>水性油墨用</w:t>
            </w:r>
            <w:r>
              <w:rPr>
                <w:rFonts w:hint="default" w:ascii="Times New Roman" w:hAnsi="Times New Roman" w:eastAsia="宋体" w:cs="Times New Roman"/>
                <w:color w:val="auto"/>
                <w:highlight w:val="none"/>
                <w:lang w:val="en-US" w:eastAsia="zh-CN"/>
              </w:rPr>
              <w:t>量约为</w:t>
            </w:r>
            <w:r>
              <w:rPr>
                <w:rFonts w:hint="eastAsia" w:cs="Times New Roman"/>
                <w:color w:val="auto"/>
                <w:highlight w:val="none"/>
                <w:lang w:val="en-US" w:eastAsia="zh-CN"/>
              </w:rPr>
              <w:t>0.144t/a</w:t>
            </w:r>
            <w:r>
              <w:rPr>
                <w:rFonts w:hint="default" w:ascii="Times New Roman" w:hAnsi="Times New Roman" w:eastAsia="宋体" w:cs="Times New Roman"/>
                <w:color w:val="auto"/>
                <w:highlight w:val="none"/>
                <w:lang w:val="en-US" w:eastAsia="zh-CN"/>
              </w:rPr>
              <w:t>，项目</w:t>
            </w:r>
            <w:r>
              <w:rPr>
                <w:rFonts w:hint="eastAsia" w:cs="Times New Roman"/>
                <w:color w:val="auto"/>
                <w:highlight w:val="none"/>
                <w:lang w:val="en-US" w:eastAsia="zh-CN"/>
              </w:rPr>
              <w:t>印刷产能</w:t>
            </w:r>
            <w:r>
              <w:rPr>
                <w:rFonts w:hint="default" w:ascii="Times New Roman" w:hAnsi="Times New Roman" w:eastAsia="宋体" w:cs="Times New Roman"/>
                <w:color w:val="auto"/>
                <w:highlight w:val="none"/>
                <w:lang w:val="en-US" w:eastAsia="zh-CN"/>
              </w:rPr>
              <w:t>约占设备最大设计产能的</w:t>
            </w:r>
            <w:r>
              <w:rPr>
                <w:rFonts w:hint="eastAsia" w:cs="Times New Roman"/>
                <w:color w:val="auto"/>
                <w:highlight w:val="none"/>
                <w:lang w:val="en-US" w:eastAsia="zh-CN"/>
              </w:rPr>
              <w:t>72.0</w:t>
            </w:r>
            <w:r>
              <w:rPr>
                <w:rFonts w:hint="default" w:ascii="Times New Roman" w:hAnsi="Times New Roman" w:eastAsia="宋体" w:cs="Times New Roman"/>
                <w:color w:val="auto"/>
                <w:highlight w:val="none"/>
                <w:lang w:val="en-US" w:eastAsia="zh-CN"/>
              </w:rPr>
              <w:t>%，生产能力与产能基本匹配。</w:t>
            </w:r>
          </w:p>
          <w:p w14:paraId="2230A122">
            <w:pPr>
              <w:keepNext w:val="0"/>
              <w:keepLines w:val="0"/>
              <w:pageBreakBefore w:val="0"/>
              <w:widowControl w:val="0"/>
              <w:numPr>
                <w:ilvl w:val="0"/>
                <w:numId w:val="1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2" w:firstLineChars="200"/>
              <w:jc w:val="left"/>
              <w:textAlignment w:val="auto"/>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sz w:val="21"/>
                <w:szCs w:val="21"/>
                <w:highlight w:val="none"/>
              </w:rPr>
              <w:t>劳动定员及工作制度</w:t>
            </w:r>
          </w:p>
          <w:p w14:paraId="441AABAF">
            <w:pPr>
              <w:keepNext w:val="0"/>
              <w:keepLines w:val="0"/>
              <w:widowControl/>
              <w:numPr>
                <w:ilvl w:val="0"/>
                <w:numId w:val="4"/>
              </w:numPr>
              <w:suppressLineNumbers w:val="0"/>
              <w:spacing w:before="0" w:beforeAutospacing="0" w:after="0" w:afterAutospacing="0" w:line="360" w:lineRule="auto"/>
              <w:ind w:left="842" w:right="0" w:hanging="42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lang w:val="en-US" w:eastAsia="zh-CN"/>
              </w:rPr>
              <w:t>迁改扩建前后项目劳动定员及工作制度变化情况表</w:t>
            </w:r>
          </w:p>
          <w:tbl>
            <w:tblPr>
              <w:tblStyle w:val="41"/>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0"/>
              <w:gridCol w:w="3167"/>
              <w:gridCol w:w="3001"/>
              <w:gridCol w:w="1964"/>
            </w:tblGrid>
            <w:tr w14:paraId="4971794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PrEx>
              <w:trPr>
                <w:trHeight w:val="397" w:hRule="atLeast"/>
                <w:jc w:val="center"/>
              </w:trPr>
              <w:tc>
                <w:tcPr>
                  <w:tcW w:w="295" w:type="pct"/>
                  <w:tcBorders>
                    <w:tl2br w:val="nil"/>
                    <w:tr2bl w:val="nil"/>
                  </w:tcBorders>
                  <w:noWrap w:val="0"/>
                  <w:vAlign w:val="center"/>
                </w:tcPr>
                <w:p w14:paraId="0AA8FC7B">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序号</w:t>
                  </w:r>
                </w:p>
              </w:tc>
              <w:tc>
                <w:tcPr>
                  <w:tcW w:w="1832" w:type="pct"/>
                  <w:tcBorders>
                    <w:tl2br w:val="nil"/>
                    <w:tr2bl w:val="nil"/>
                  </w:tcBorders>
                  <w:noWrap w:val="0"/>
                  <w:vAlign w:val="center"/>
                </w:tcPr>
                <w:p w14:paraId="3F1F6887">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原有项目</w:t>
                  </w:r>
                </w:p>
              </w:tc>
              <w:tc>
                <w:tcPr>
                  <w:tcW w:w="1736" w:type="pct"/>
                  <w:tcBorders>
                    <w:tl2br w:val="nil"/>
                    <w:tr2bl w:val="nil"/>
                  </w:tcBorders>
                  <w:noWrap w:val="0"/>
                  <w:vAlign w:val="center"/>
                </w:tcPr>
                <w:p w14:paraId="2152F86A">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迁改扩建后</w:t>
                  </w:r>
                </w:p>
              </w:tc>
              <w:tc>
                <w:tcPr>
                  <w:tcW w:w="1136" w:type="pct"/>
                  <w:tcBorders>
                    <w:tl2br w:val="nil"/>
                    <w:tr2bl w:val="nil"/>
                  </w:tcBorders>
                  <w:noWrap w:val="0"/>
                  <w:vAlign w:val="center"/>
                </w:tcPr>
                <w:p w14:paraId="48F02CCF">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变化情况</w:t>
                  </w:r>
                </w:p>
              </w:tc>
            </w:tr>
            <w:tr w14:paraId="7C7D62A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295" w:type="pct"/>
                  <w:tcBorders>
                    <w:tl2br w:val="nil"/>
                    <w:tr2bl w:val="nil"/>
                  </w:tcBorders>
                  <w:noWrap w:val="0"/>
                  <w:vAlign w:val="center"/>
                </w:tcPr>
                <w:p w14:paraId="4B25EC8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1</w:t>
                  </w:r>
                </w:p>
              </w:tc>
              <w:tc>
                <w:tcPr>
                  <w:tcW w:w="1832" w:type="pct"/>
                  <w:tcBorders>
                    <w:tl2br w:val="nil"/>
                    <w:tr2bl w:val="nil"/>
                  </w:tcBorders>
                  <w:noWrap w:val="0"/>
                  <w:vAlign w:val="center"/>
                </w:tcPr>
                <w:p w14:paraId="0B4991B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定员</w:t>
                  </w:r>
                  <w:r>
                    <w:rPr>
                      <w:rFonts w:hint="eastAsia" w:cs="Times New Roman"/>
                      <w:color w:val="auto"/>
                      <w:szCs w:val="21"/>
                      <w:highlight w:val="none"/>
                      <w:lang w:val="en-US" w:eastAsia="zh-CN"/>
                    </w:rPr>
                    <w:t>21</w:t>
                  </w:r>
                  <w:r>
                    <w:rPr>
                      <w:rFonts w:hint="default" w:ascii="Times New Roman" w:hAnsi="Times New Roman" w:eastAsia="宋体" w:cs="Times New Roman"/>
                      <w:color w:val="auto"/>
                      <w:szCs w:val="21"/>
                      <w:highlight w:val="none"/>
                      <w:lang w:val="en-US" w:eastAsia="zh-CN"/>
                    </w:rPr>
                    <w:t>人，</w:t>
                  </w:r>
                  <w:r>
                    <w:rPr>
                      <w:rFonts w:hint="eastAsia" w:cs="Times New Roman"/>
                      <w:color w:val="auto"/>
                      <w:szCs w:val="21"/>
                      <w:highlight w:val="none"/>
                      <w:lang w:val="en-US" w:eastAsia="zh-CN"/>
                    </w:rPr>
                    <w:t>在韦德电子厂内</w:t>
                  </w:r>
                  <w:r>
                    <w:rPr>
                      <w:rFonts w:hint="default" w:ascii="Times New Roman" w:hAnsi="Times New Roman" w:eastAsia="宋体" w:cs="Times New Roman"/>
                      <w:color w:val="auto"/>
                      <w:szCs w:val="21"/>
                      <w:highlight w:val="none"/>
                      <w:lang w:val="en-US" w:eastAsia="zh-CN"/>
                    </w:rPr>
                    <w:t>食宿。年工作300天，每天1班，每班8小时</w:t>
                  </w:r>
                </w:p>
              </w:tc>
              <w:tc>
                <w:tcPr>
                  <w:tcW w:w="1736" w:type="pct"/>
                  <w:tcBorders>
                    <w:tl2br w:val="nil"/>
                    <w:tr2bl w:val="nil"/>
                  </w:tcBorders>
                  <w:noWrap w:val="0"/>
                  <w:vAlign w:val="center"/>
                </w:tcPr>
                <w:p w14:paraId="331C28F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定员</w:t>
                  </w:r>
                  <w:r>
                    <w:rPr>
                      <w:rFonts w:hint="eastAsia" w:cs="Times New Roman"/>
                      <w:color w:val="auto"/>
                      <w:szCs w:val="21"/>
                      <w:highlight w:val="none"/>
                      <w:lang w:val="en-US" w:eastAsia="zh-CN"/>
                    </w:rPr>
                    <w:t>21</w:t>
                  </w:r>
                  <w:r>
                    <w:rPr>
                      <w:rFonts w:hint="default" w:ascii="Times New Roman" w:hAnsi="Times New Roman" w:eastAsia="宋体" w:cs="Times New Roman"/>
                      <w:color w:val="auto"/>
                      <w:szCs w:val="21"/>
                      <w:highlight w:val="none"/>
                      <w:lang w:val="en-US" w:eastAsia="zh-CN"/>
                    </w:rPr>
                    <w:t>人，均不在厂区食宿。年工作300天，每天1班，每班8小时</w:t>
                  </w:r>
                </w:p>
              </w:tc>
              <w:tc>
                <w:tcPr>
                  <w:tcW w:w="1136" w:type="pct"/>
                  <w:tcBorders>
                    <w:tl2br w:val="nil"/>
                    <w:tr2bl w:val="nil"/>
                  </w:tcBorders>
                  <w:noWrap w:val="0"/>
                  <w:vAlign w:val="center"/>
                </w:tcPr>
                <w:p w14:paraId="37045E3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项目员工人数不变，员工不在新厂区食宿</w:t>
                  </w:r>
                </w:p>
              </w:tc>
            </w:tr>
          </w:tbl>
          <w:p w14:paraId="55264AE3">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22" w:firstLineChars="200"/>
              <w:textAlignment w:val="auto"/>
              <w:rPr>
                <w:rFonts w:hint="default" w:ascii="Times New Roman" w:hAnsi="Times New Roman" w:eastAsia="宋体" w:cs="Times New Roman"/>
                <w:b/>
                <w:color w:val="auto"/>
                <w:sz w:val="21"/>
                <w:szCs w:val="21"/>
                <w:highlight w:val="none"/>
                <w:lang w:val="en-US" w:eastAsia="zh-CN"/>
              </w:rPr>
            </w:pPr>
            <w:r>
              <w:rPr>
                <w:rFonts w:hint="eastAsia" w:ascii="Times New Roman" w:hAnsi="Times New Roman" w:cs="Times New Roman"/>
                <w:b/>
                <w:color w:val="auto"/>
                <w:sz w:val="21"/>
                <w:szCs w:val="21"/>
                <w:highlight w:val="none"/>
                <w:lang w:val="en-US" w:eastAsia="zh-CN"/>
              </w:rPr>
              <w:t>7</w:t>
            </w:r>
            <w:r>
              <w:rPr>
                <w:rFonts w:hint="default" w:ascii="Times New Roman" w:hAnsi="Times New Roman" w:eastAsia="宋体" w:cs="Times New Roman"/>
                <w:b/>
                <w:color w:val="auto"/>
                <w:sz w:val="21"/>
                <w:szCs w:val="21"/>
                <w:highlight w:val="none"/>
                <w:lang w:val="en-US" w:eastAsia="zh-CN"/>
              </w:rPr>
              <w:t>、公用工程</w:t>
            </w:r>
          </w:p>
          <w:p w14:paraId="24E8DAA4">
            <w:pPr>
              <w:keepNext w:val="0"/>
              <w:keepLines w:val="0"/>
              <w:numPr>
                <w:ilvl w:val="0"/>
                <w:numId w:val="0"/>
              </w:numPr>
              <w:suppressLineNumbers w:val="0"/>
              <w:adjustRightInd w:val="0"/>
              <w:snapToGrid w:val="0"/>
              <w:spacing w:before="0" w:beforeAutospacing="0" w:after="0" w:afterAutospacing="0" w:line="360" w:lineRule="auto"/>
              <w:ind w:left="420" w:leftChars="200" w:right="0"/>
              <w:jc w:val="left"/>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（1）能源</w:t>
            </w:r>
          </w:p>
          <w:p w14:paraId="30495A85">
            <w:pPr>
              <w:keepNext w:val="0"/>
              <w:keepLines w:val="0"/>
              <w:numPr>
                <w:ilvl w:val="0"/>
                <w:numId w:val="0"/>
              </w:numPr>
              <w:suppressLineNumbers w:val="0"/>
              <w:adjustRightInd w:val="0"/>
              <w:snapToGrid w:val="0"/>
              <w:spacing w:before="0" w:beforeAutospacing="0" w:after="0" w:afterAutospacing="0" w:line="360" w:lineRule="auto"/>
              <w:ind w:left="420" w:leftChars="200" w:right="0"/>
              <w:jc w:val="left"/>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根据建设单位提供的资料，项目用电量为</w:t>
            </w:r>
            <w:r>
              <w:rPr>
                <w:rFonts w:hint="eastAsia" w:ascii="Times New Roman" w:hAnsi="Times New Roman" w:cs="Times New Roman"/>
                <w:bCs/>
                <w:color w:val="auto"/>
                <w:sz w:val="21"/>
                <w:szCs w:val="21"/>
                <w:highlight w:val="none"/>
                <w:lang w:val="en-US" w:eastAsia="zh-CN"/>
              </w:rPr>
              <w:t>36</w:t>
            </w:r>
            <w:r>
              <w:rPr>
                <w:rFonts w:hint="default" w:ascii="Times New Roman" w:hAnsi="Times New Roman" w:eastAsia="宋体" w:cs="Times New Roman"/>
                <w:bCs/>
                <w:color w:val="auto"/>
                <w:sz w:val="21"/>
                <w:szCs w:val="21"/>
                <w:highlight w:val="none"/>
                <w:lang w:val="en-US" w:eastAsia="zh-CN"/>
              </w:rPr>
              <w:t>万度/年，不设备用发电机。</w:t>
            </w:r>
          </w:p>
          <w:p w14:paraId="5FD82408">
            <w:pPr>
              <w:keepNext w:val="0"/>
              <w:keepLines w:val="0"/>
              <w:numPr>
                <w:ilvl w:val="0"/>
                <w:numId w:val="0"/>
              </w:numPr>
              <w:suppressLineNumbers w:val="0"/>
              <w:adjustRightInd w:val="0"/>
              <w:snapToGrid w:val="0"/>
              <w:spacing w:before="0" w:beforeAutospacing="0" w:after="0" w:afterAutospacing="0" w:line="360" w:lineRule="auto"/>
              <w:ind w:left="420" w:leftChars="200" w:right="0"/>
              <w:jc w:val="left"/>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（2）给排水工程</w:t>
            </w:r>
          </w:p>
          <w:p w14:paraId="6B3458D1">
            <w:pPr>
              <w:keepNext w:val="0"/>
              <w:keepLines w:val="0"/>
              <w:numPr>
                <w:ilvl w:val="0"/>
                <w:numId w:val="0"/>
              </w:numPr>
              <w:suppressLineNumbers w:val="0"/>
              <w:adjustRightInd w:val="0"/>
              <w:snapToGrid w:val="0"/>
              <w:spacing w:before="0" w:beforeAutospacing="0" w:after="0" w:afterAutospacing="0" w:line="360" w:lineRule="auto"/>
              <w:ind w:left="420" w:leftChars="200" w:right="0"/>
              <w:jc w:val="left"/>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cs="Times New Roman"/>
                <w:bCs/>
                <w:color w:val="auto"/>
                <w:sz w:val="21"/>
                <w:szCs w:val="21"/>
                <w:highlight w:val="none"/>
                <w:lang w:val="en-US" w:eastAsia="zh-CN"/>
              </w:rPr>
              <w:t>本</w:t>
            </w:r>
            <w:r>
              <w:rPr>
                <w:rFonts w:hint="default" w:ascii="Times New Roman" w:hAnsi="Times New Roman" w:eastAsia="宋体" w:cs="Times New Roman"/>
                <w:bCs/>
                <w:color w:val="auto"/>
                <w:sz w:val="21"/>
                <w:szCs w:val="21"/>
                <w:highlight w:val="none"/>
                <w:lang w:val="en-US" w:eastAsia="zh-CN"/>
              </w:rPr>
              <w:t>项目生产、生活用水均由市政自来水管网供应。</w:t>
            </w:r>
          </w:p>
          <w:p w14:paraId="0A9D225D">
            <w:pPr>
              <w:keepNext w:val="0"/>
              <w:keepLines w:val="0"/>
              <w:numPr>
                <w:ilvl w:val="0"/>
                <w:numId w:val="0"/>
              </w:numPr>
              <w:suppressLineNumbers w:val="0"/>
              <w:adjustRightInd w:val="0"/>
              <w:snapToGrid w:val="0"/>
              <w:spacing w:before="0" w:beforeAutospacing="0" w:after="0" w:afterAutospacing="0" w:line="360" w:lineRule="auto"/>
              <w:ind w:left="420" w:leftChars="200" w:right="0"/>
              <w:jc w:val="left"/>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①生活用</w:t>
            </w:r>
            <w:r>
              <w:rPr>
                <w:rFonts w:hint="eastAsia" w:ascii="Times New Roman" w:hAnsi="Times New Roman" w:cs="Times New Roman"/>
                <w:b/>
                <w:bCs w:val="0"/>
                <w:color w:val="auto"/>
                <w:sz w:val="21"/>
                <w:szCs w:val="21"/>
                <w:highlight w:val="none"/>
                <w:lang w:val="en-US" w:eastAsia="zh-CN"/>
              </w:rPr>
              <w:t>排</w:t>
            </w:r>
            <w:r>
              <w:rPr>
                <w:rFonts w:hint="default" w:ascii="Times New Roman" w:hAnsi="Times New Roman" w:eastAsia="宋体" w:cs="Times New Roman"/>
                <w:b/>
                <w:bCs w:val="0"/>
                <w:color w:val="auto"/>
                <w:sz w:val="21"/>
                <w:szCs w:val="21"/>
                <w:highlight w:val="none"/>
                <w:lang w:val="en-US" w:eastAsia="zh-CN"/>
              </w:rPr>
              <w:t>水</w:t>
            </w:r>
          </w:p>
          <w:p w14:paraId="6C3239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项目拟定员</w:t>
            </w:r>
            <w:r>
              <w:rPr>
                <w:rFonts w:hint="eastAsia" w:ascii="Times New Roman" w:hAnsi="Times New Roman" w:cs="Times New Roman"/>
                <w:color w:val="auto"/>
                <w:highlight w:val="none"/>
                <w:lang w:val="en-US" w:eastAsia="zh-CN"/>
              </w:rPr>
              <w:t>21</w:t>
            </w:r>
            <w:r>
              <w:rPr>
                <w:rFonts w:hint="default" w:ascii="Times New Roman" w:hAnsi="Times New Roman" w:eastAsia="宋体" w:cs="Times New Roman"/>
                <w:color w:val="auto"/>
                <w:highlight w:val="none"/>
                <w:lang w:val="en-US" w:eastAsia="zh-CN"/>
              </w:rPr>
              <w:t>人，均不在厂区内食宿，年工作300天。参照广东省《用水定额第3部分：生活》（DB44T1461.3-2021）中国家行政机构（922）—办公室—无食堂和浴室—先进值定额：10m</w:t>
            </w:r>
            <w:r>
              <w:rPr>
                <w:rFonts w:hint="default" w:ascii="Times New Roman" w:hAnsi="Times New Roman" w:eastAsia="宋体" w:cs="Times New Roman"/>
                <w:color w:val="auto"/>
                <w:highlight w:val="none"/>
                <w:vertAlign w:val="superscript"/>
                <w:lang w:val="en-US" w:eastAsia="zh-CN"/>
              </w:rPr>
              <w:t>3</w:t>
            </w:r>
            <w:r>
              <w:rPr>
                <w:rFonts w:hint="default" w:ascii="Times New Roman" w:hAnsi="Times New Roman" w:eastAsia="宋体" w:cs="Times New Roman"/>
                <w:color w:val="auto"/>
                <w:highlight w:val="none"/>
                <w:lang w:val="en-US" w:eastAsia="zh-CN"/>
              </w:rPr>
              <w:t>/（人·a），则生活用水量为0.</w:t>
            </w:r>
            <w:r>
              <w:rPr>
                <w:rFonts w:hint="eastAsia" w:ascii="Times New Roman" w:hAnsi="Times New Roman" w:cs="Times New Roman"/>
                <w:color w:val="auto"/>
                <w:highlight w:val="none"/>
                <w:lang w:val="en-US" w:eastAsia="zh-CN"/>
              </w:rPr>
              <w:t>7</w:t>
            </w:r>
            <w:r>
              <w:rPr>
                <w:rFonts w:hint="default" w:ascii="Times New Roman" w:hAnsi="Times New Roman" w:eastAsia="宋体" w:cs="Times New Roman"/>
                <w:color w:val="auto"/>
                <w:highlight w:val="none"/>
                <w:lang w:val="en-US" w:eastAsia="zh-CN"/>
              </w:rPr>
              <w:t>t/d（</w:t>
            </w:r>
            <w:r>
              <w:rPr>
                <w:rFonts w:hint="eastAsia" w:ascii="Times New Roman" w:hAnsi="Times New Roman" w:cs="Times New Roman"/>
                <w:color w:val="auto"/>
                <w:highlight w:val="none"/>
                <w:lang w:val="en-US" w:eastAsia="zh-CN"/>
              </w:rPr>
              <w:t>210</w:t>
            </w:r>
            <w:r>
              <w:rPr>
                <w:rFonts w:hint="default" w:ascii="Times New Roman" w:hAnsi="Times New Roman" w:eastAsia="宋体" w:cs="Times New Roman"/>
                <w:color w:val="auto"/>
                <w:highlight w:val="none"/>
                <w:lang w:val="en-US" w:eastAsia="zh-CN"/>
              </w:rPr>
              <w:t>t/a）。</w:t>
            </w:r>
          </w:p>
          <w:p w14:paraId="4DA2FBE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生活污水排放系数按0.8计，则生活污水排放量为0.5</w:t>
            </w:r>
            <w:r>
              <w:rPr>
                <w:rFonts w:hint="eastAsia" w:ascii="Times New Roman" w:hAnsi="Times New Roman" w:cs="Times New Roman"/>
                <w:color w:val="auto"/>
                <w:highlight w:val="none"/>
                <w:lang w:val="en-US" w:eastAsia="zh-CN"/>
              </w:rPr>
              <w:t>6</w:t>
            </w:r>
            <w:r>
              <w:rPr>
                <w:rFonts w:hint="default" w:ascii="Times New Roman" w:hAnsi="Times New Roman" w:eastAsia="宋体" w:cs="Times New Roman"/>
                <w:color w:val="auto"/>
                <w:highlight w:val="none"/>
                <w:lang w:val="en-US" w:eastAsia="zh-CN"/>
              </w:rPr>
              <w:t>t/d（16</w:t>
            </w:r>
            <w:r>
              <w:rPr>
                <w:rFonts w:hint="eastAsia" w:ascii="Times New Roman" w:hAnsi="Times New Roman" w:cs="Times New Roman"/>
                <w:color w:val="auto"/>
                <w:highlight w:val="none"/>
                <w:lang w:val="en-US" w:eastAsia="zh-CN"/>
              </w:rPr>
              <w:t>8</w:t>
            </w:r>
            <w:r>
              <w:rPr>
                <w:rFonts w:hint="default" w:ascii="Times New Roman" w:hAnsi="Times New Roman" w:eastAsia="宋体" w:cs="Times New Roman"/>
                <w:color w:val="auto"/>
                <w:highlight w:val="none"/>
                <w:lang w:val="en-US" w:eastAsia="zh-CN"/>
              </w:rPr>
              <w:t>t/a），生活污水经三级化粪池预处理后通过市政污水管网排入博罗县城生活污水处理厂进行深度处理，经处理达到《城镇污水处理厂污染物排放标准》（GB18918-2002）一级A标准以及广东省《水污染物排放限值》（DB44/26-2001）第二时段一级标准的较严值，其中氨氮、总磷执行《地表水环境质量标准》（GB3838-2002）的Ⅴ类标准值后，尾水排入新角排渠，后汇入东江。</w:t>
            </w:r>
          </w:p>
          <w:p w14:paraId="3E3F917B">
            <w:pPr>
              <w:keepNext w:val="0"/>
              <w:keepLines w:val="0"/>
              <w:numPr>
                <w:ilvl w:val="0"/>
                <w:numId w:val="0"/>
              </w:numPr>
              <w:suppressLineNumbers w:val="0"/>
              <w:adjustRightInd w:val="0"/>
              <w:snapToGrid w:val="0"/>
              <w:spacing w:before="0" w:beforeAutospacing="0" w:after="0" w:afterAutospacing="0" w:line="360" w:lineRule="auto"/>
              <w:ind w:left="420" w:leftChars="200" w:right="0"/>
              <w:jc w:val="left"/>
              <w:rPr>
                <w:rFonts w:hint="default" w:ascii="Times New Roman" w:hAnsi="Times New Roman" w:eastAsia="宋体" w:cs="Times New Roman"/>
                <w:b/>
                <w:bCs w:val="0"/>
                <w:color w:val="auto"/>
                <w:sz w:val="21"/>
                <w:szCs w:val="21"/>
                <w:highlight w:val="none"/>
                <w:lang w:val="en-US" w:eastAsia="zh-CN"/>
              </w:rPr>
            </w:pPr>
            <w:r>
              <w:rPr>
                <w:rFonts w:hint="default" w:ascii="Times New Roman" w:hAnsi="Times New Roman" w:eastAsia="宋体" w:cs="Times New Roman"/>
                <w:b/>
                <w:bCs w:val="0"/>
                <w:color w:val="auto"/>
                <w:sz w:val="21"/>
                <w:szCs w:val="21"/>
                <w:highlight w:val="none"/>
                <w:lang w:val="en-US" w:eastAsia="zh-CN"/>
              </w:rPr>
              <w:t>②吸塑机间接冷却用</w:t>
            </w:r>
            <w:r>
              <w:rPr>
                <w:rFonts w:hint="eastAsia" w:ascii="Times New Roman" w:hAnsi="Times New Roman" w:cs="Times New Roman"/>
                <w:b/>
                <w:bCs w:val="0"/>
                <w:color w:val="auto"/>
                <w:sz w:val="21"/>
                <w:szCs w:val="21"/>
                <w:highlight w:val="none"/>
                <w:lang w:val="en-US" w:eastAsia="zh-CN"/>
              </w:rPr>
              <w:t>排</w:t>
            </w:r>
            <w:r>
              <w:rPr>
                <w:rFonts w:hint="default" w:ascii="Times New Roman" w:hAnsi="Times New Roman" w:eastAsia="宋体" w:cs="Times New Roman"/>
                <w:b/>
                <w:bCs w:val="0"/>
                <w:color w:val="auto"/>
                <w:sz w:val="21"/>
                <w:szCs w:val="21"/>
                <w:highlight w:val="none"/>
                <w:lang w:val="en-US" w:eastAsia="zh-CN"/>
              </w:rPr>
              <w:t>水</w:t>
            </w:r>
          </w:p>
          <w:p w14:paraId="35D3D663">
            <w:pPr>
              <w:pStyle w:val="8"/>
              <w:keepNext w:val="0"/>
              <w:keepLines w:val="0"/>
              <w:suppressLineNumbers w:val="0"/>
              <w:spacing w:before="0" w:beforeAutospacing="0" w:after="0" w:afterAutospacing="0" w:line="360" w:lineRule="auto"/>
              <w:ind w:left="0" w:leftChars="0" w:right="0" w:firstLine="420" w:firstLineChars="20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bidi="ar"/>
              </w:rPr>
              <w:t>本项目</w:t>
            </w:r>
            <w:r>
              <w:rPr>
                <w:rFonts w:hint="eastAsia" w:ascii="Times New Roman" w:hAnsi="Times New Roman" w:cs="Times New Roman"/>
                <w:color w:val="auto"/>
                <w:sz w:val="21"/>
                <w:szCs w:val="21"/>
                <w:highlight w:val="none"/>
                <w:lang w:val="en-US" w:eastAsia="zh-CN" w:bidi="ar"/>
              </w:rPr>
              <w:t>吸塑加工</w:t>
            </w:r>
            <w:r>
              <w:rPr>
                <w:rFonts w:hint="default" w:ascii="Times New Roman" w:hAnsi="Times New Roman" w:eastAsia="宋体" w:cs="Times New Roman"/>
                <w:color w:val="auto"/>
                <w:sz w:val="21"/>
                <w:szCs w:val="21"/>
                <w:highlight w:val="none"/>
                <w:lang w:bidi="ar"/>
              </w:rPr>
              <w:t>工序冷却为间接冷却，过热冷却水泵入</w:t>
            </w:r>
            <w:r>
              <w:rPr>
                <w:rFonts w:hint="eastAsia" w:cs="Times New Roman"/>
                <w:color w:val="auto"/>
                <w:sz w:val="21"/>
                <w:szCs w:val="21"/>
                <w:highlight w:val="none"/>
                <w:lang w:val="en-US" w:eastAsia="zh-CN" w:bidi="ar"/>
              </w:rPr>
              <w:t>模温机</w:t>
            </w:r>
            <w:r>
              <w:rPr>
                <w:rFonts w:hint="default" w:ascii="Times New Roman" w:hAnsi="Times New Roman" w:eastAsia="宋体" w:cs="Times New Roman"/>
                <w:color w:val="auto"/>
                <w:sz w:val="21"/>
                <w:szCs w:val="21"/>
                <w:highlight w:val="none"/>
                <w:lang w:bidi="ar"/>
              </w:rPr>
              <w:t>换热后循环使用。根据企业提供的资料，</w:t>
            </w:r>
            <w:r>
              <w:rPr>
                <w:rFonts w:hint="default" w:ascii="Times New Roman" w:hAnsi="Times New Roman" w:eastAsia="宋体" w:cs="Times New Roman"/>
                <w:color w:val="auto"/>
                <w:kern w:val="0"/>
                <w:sz w:val="21"/>
                <w:szCs w:val="21"/>
                <w:highlight w:val="none"/>
                <w:lang w:bidi="ar"/>
              </w:rPr>
              <w:t>配套</w:t>
            </w:r>
            <w:r>
              <w:rPr>
                <w:rFonts w:hint="default" w:ascii="Times New Roman" w:hAnsi="Times New Roman" w:eastAsia="宋体" w:cs="Times New Roman"/>
                <w:color w:val="auto"/>
                <w:kern w:val="0"/>
                <w:sz w:val="21"/>
                <w:szCs w:val="21"/>
                <w:highlight w:val="none"/>
                <w:lang w:val="en-US" w:eastAsia="zh-CN" w:bidi="ar"/>
              </w:rPr>
              <w:t>1</w:t>
            </w:r>
            <w:r>
              <w:rPr>
                <w:rFonts w:hint="default" w:ascii="Times New Roman" w:hAnsi="Times New Roman" w:eastAsia="宋体" w:cs="Times New Roman"/>
                <w:color w:val="auto"/>
                <w:kern w:val="0"/>
                <w:sz w:val="21"/>
                <w:szCs w:val="21"/>
                <w:highlight w:val="none"/>
                <w:lang w:bidi="ar"/>
              </w:rPr>
              <w:t>台</w:t>
            </w:r>
            <w:r>
              <w:rPr>
                <w:rFonts w:hint="eastAsia" w:cs="Times New Roman"/>
                <w:color w:val="auto"/>
                <w:kern w:val="0"/>
                <w:sz w:val="21"/>
                <w:szCs w:val="21"/>
                <w:highlight w:val="none"/>
                <w:lang w:val="en-US" w:eastAsia="zh-CN" w:bidi="ar"/>
              </w:rPr>
              <w:t>模温机</w:t>
            </w:r>
            <w:r>
              <w:rPr>
                <w:rFonts w:hint="default" w:ascii="Times New Roman" w:hAnsi="Times New Roman" w:eastAsia="宋体" w:cs="Times New Roman"/>
                <w:color w:val="auto"/>
                <w:kern w:val="0"/>
                <w:sz w:val="21"/>
                <w:szCs w:val="21"/>
                <w:highlight w:val="none"/>
                <w:lang w:val="en-US" w:eastAsia="zh-CN" w:bidi="ar"/>
              </w:rPr>
              <w:t>用于</w:t>
            </w:r>
            <w:r>
              <w:rPr>
                <w:rFonts w:hint="eastAsia" w:ascii="Times New Roman" w:hAnsi="Times New Roman" w:cs="Times New Roman"/>
                <w:color w:val="auto"/>
                <w:kern w:val="0"/>
                <w:sz w:val="21"/>
                <w:szCs w:val="21"/>
                <w:highlight w:val="none"/>
                <w:lang w:val="en-US" w:eastAsia="zh-CN" w:bidi="ar"/>
              </w:rPr>
              <w:t>吸塑</w:t>
            </w:r>
            <w:r>
              <w:rPr>
                <w:rFonts w:hint="default" w:ascii="Times New Roman" w:hAnsi="Times New Roman" w:eastAsia="宋体" w:cs="Times New Roman"/>
                <w:color w:val="auto"/>
                <w:kern w:val="0"/>
                <w:sz w:val="21"/>
                <w:szCs w:val="21"/>
                <w:highlight w:val="none"/>
                <w:lang w:val="en-US" w:eastAsia="zh-CN" w:bidi="ar"/>
              </w:rPr>
              <w:t>机间接冷却</w:t>
            </w:r>
            <w:r>
              <w:rPr>
                <w:rFonts w:hint="default" w:ascii="Times New Roman" w:hAnsi="Times New Roman" w:eastAsia="宋体" w:cs="Times New Roman"/>
                <w:color w:val="auto"/>
                <w:kern w:val="0"/>
                <w:sz w:val="21"/>
                <w:szCs w:val="21"/>
                <w:highlight w:val="none"/>
                <w:lang w:eastAsia="zh-CN" w:bidi="ar"/>
              </w:rPr>
              <w:t>，</w:t>
            </w:r>
            <w:r>
              <w:rPr>
                <w:rFonts w:hint="default" w:ascii="Times New Roman" w:hAnsi="Times New Roman" w:eastAsia="宋体" w:cs="Times New Roman"/>
                <w:color w:val="auto"/>
                <w:kern w:val="0"/>
                <w:sz w:val="21"/>
                <w:szCs w:val="21"/>
                <w:highlight w:val="none"/>
                <w:lang w:bidi="ar"/>
              </w:rPr>
              <w:t>循环水量为</w:t>
            </w:r>
            <w:r>
              <w:rPr>
                <w:rFonts w:hint="default" w:ascii="Times New Roman" w:hAnsi="Times New Roman" w:eastAsia="宋体" w:cs="Times New Roman"/>
                <w:color w:val="auto"/>
                <w:kern w:val="0"/>
                <w:sz w:val="21"/>
                <w:szCs w:val="21"/>
                <w:highlight w:val="none"/>
                <w:lang w:val="en-US" w:eastAsia="zh-CN" w:bidi="ar"/>
              </w:rPr>
              <w:t>5</w:t>
            </w:r>
            <w:r>
              <w:rPr>
                <w:rFonts w:hint="default" w:ascii="Times New Roman" w:hAnsi="Times New Roman" w:eastAsia="宋体" w:cs="Times New Roman"/>
                <w:color w:val="auto"/>
                <w:kern w:val="0"/>
                <w:sz w:val="21"/>
                <w:szCs w:val="21"/>
                <w:highlight w:val="none"/>
                <w:lang w:bidi="ar"/>
              </w:rPr>
              <w:t>m</w:t>
            </w:r>
            <w:r>
              <w:rPr>
                <w:rFonts w:hint="default" w:ascii="Times New Roman" w:hAnsi="Times New Roman" w:eastAsia="宋体" w:cs="Times New Roman"/>
                <w:color w:val="auto"/>
                <w:kern w:val="0"/>
                <w:sz w:val="21"/>
                <w:szCs w:val="21"/>
                <w:highlight w:val="none"/>
                <w:vertAlign w:val="superscript"/>
                <w:lang w:bidi="ar"/>
              </w:rPr>
              <w:t>3</w:t>
            </w:r>
            <w:r>
              <w:rPr>
                <w:rFonts w:hint="default" w:ascii="Times New Roman" w:hAnsi="Times New Roman" w:eastAsia="宋体" w:cs="Times New Roman"/>
                <w:color w:val="auto"/>
                <w:kern w:val="0"/>
                <w:sz w:val="21"/>
                <w:szCs w:val="21"/>
                <w:highlight w:val="none"/>
                <w:lang w:bidi="ar"/>
              </w:rPr>
              <w:t>/h</w:t>
            </w:r>
            <w:r>
              <w:rPr>
                <w:rFonts w:hint="default" w:ascii="Times New Roman" w:hAnsi="Times New Roman" w:eastAsia="宋体" w:cs="Times New Roman"/>
                <w:color w:val="auto"/>
                <w:sz w:val="21"/>
                <w:szCs w:val="21"/>
                <w:highlight w:val="none"/>
                <w:lang w:bidi="ar"/>
              </w:rPr>
              <w:t>。</w:t>
            </w:r>
            <w:r>
              <w:rPr>
                <w:rFonts w:hint="default" w:ascii="Times New Roman" w:hAnsi="Times New Roman" w:eastAsia="宋体" w:cs="Times New Roman"/>
                <w:color w:val="auto"/>
                <w:sz w:val="21"/>
                <w:szCs w:val="21"/>
                <w:highlight w:val="none"/>
              </w:rPr>
              <w:t>根据《工业循环冷却水处理设计规范》（GB/T50050-2017），</w:t>
            </w:r>
            <w:r>
              <w:rPr>
                <w:rFonts w:hint="eastAsia" w:cs="Times New Roman"/>
                <w:color w:val="auto"/>
                <w:sz w:val="21"/>
                <w:szCs w:val="21"/>
                <w:highlight w:val="none"/>
                <w:lang w:val="en-US" w:eastAsia="zh-CN"/>
              </w:rPr>
              <w:t>模温机</w:t>
            </w:r>
            <w:r>
              <w:rPr>
                <w:rFonts w:hint="default" w:ascii="Times New Roman" w:hAnsi="Times New Roman" w:eastAsia="宋体" w:cs="Times New Roman"/>
                <w:color w:val="auto"/>
                <w:sz w:val="21"/>
                <w:szCs w:val="21"/>
                <w:highlight w:val="none"/>
              </w:rPr>
              <w:t>补水量计算公式如下：</w:t>
            </w:r>
          </w:p>
          <w:p w14:paraId="0E41D61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m:oMathPara>
              <m:oMath>
                <m:sSub>
                  <m:sSubPr>
                    <m:ctrlPr>
                      <w:rPr>
                        <w:rFonts w:hint="default" w:ascii="Cambria Math" w:hAnsi="Cambria Math" w:eastAsia="宋体" w:cs="Times New Roman"/>
                        <w:i/>
                        <w:color w:val="auto"/>
                        <w:szCs w:val="21"/>
                        <w:highlight w:val="none"/>
                      </w:rPr>
                    </m:ctrlPr>
                  </m:sSubPr>
                  <m:e>
                    <m:r>
                      <m:rPr/>
                      <w:rPr>
                        <w:rFonts w:hint="default" w:ascii="Cambria Math" w:hAnsi="Cambria Math" w:eastAsia="宋体" w:cs="Times New Roman"/>
                        <w:color w:val="auto"/>
                        <w:szCs w:val="21"/>
                        <w:highlight w:val="none"/>
                      </w:rPr>
                      <m:t>Q</m:t>
                    </m:r>
                    <m:ctrlPr>
                      <w:rPr>
                        <w:rFonts w:hint="default" w:ascii="Cambria Math" w:hAnsi="Cambria Math" w:eastAsia="宋体" w:cs="Times New Roman"/>
                        <w:i/>
                        <w:color w:val="auto"/>
                        <w:szCs w:val="21"/>
                        <w:highlight w:val="none"/>
                      </w:rPr>
                    </m:ctrlPr>
                  </m:e>
                  <m:sub>
                    <m:r>
                      <m:rPr/>
                      <w:rPr>
                        <w:rFonts w:hint="default" w:ascii="Cambria Math" w:hAnsi="Cambria Math" w:eastAsia="宋体" w:cs="Times New Roman"/>
                        <w:color w:val="auto"/>
                        <w:szCs w:val="21"/>
                        <w:highlight w:val="none"/>
                      </w:rPr>
                      <m:t>m</m:t>
                    </m:r>
                    <m:ctrlPr>
                      <w:rPr>
                        <w:rFonts w:hint="default" w:ascii="Cambria Math" w:hAnsi="Cambria Math" w:eastAsia="宋体" w:cs="Times New Roman"/>
                        <w:i/>
                        <w:color w:val="auto"/>
                        <w:szCs w:val="21"/>
                        <w:highlight w:val="none"/>
                      </w:rPr>
                    </m:ctrlPr>
                  </m:sub>
                </m:sSub>
                <m:r>
                  <m:rPr/>
                  <w:rPr>
                    <w:rFonts w:hint="default" w:ascii="Cambria Math" w:hAnsi="Cambria Math" w:eastAsia="宋体" w:cs="Times New Roman"/>
                    <w:color w:val="auto"/>
                    <w:szCs w:val="21"/>
                    <w:highlight w:val="none"/>
                  </w:rPr>
                  <m:t>=</m:t>
                </m:r>
                <m:f>
                  <m:fPr>
                    <m:ctrlPr>
                      <w:rPr>
                        <w:rFonts w:hint="default" w:ascii="Cambria Math" w:hAnsi="Cambria Math" w:eastAsia="宋体" w:cs="Times New Roman"/>
                        <w:i/>
                        <w:color w:val="auto"/>
                        <w:szCs w:val="21"/>
                        <w:highlight w:val="none"/>
                      </w:rPr>
                    </m:ctrlPr>
                  </m:fPr>
                  <m:num>
                    <m:sSub>
                      <m:sSubPr>
                        <m:ctrlPr>
                          <w:rPr>
                            <w:rFonts w:hint="default" w:ascii="Cambria Math" w:hAnsi="Cambria Math" w:eastAsia="宋体" w:cs="Times New Roman"/>
                            <w:i/>
                            <w:color w:val="auto"/>
                            <w:szCs w:val="21"/>
                            <w:highlight w:val="none"/>
                          </w:rPr>
                        </m:ctrlPr>
                      </m:sSubPr>
                      <m:e>
                        <m:r>
                          <m:rPr/>
                          <w:rPr>
                            <w:rFonts w:hint="default" w:ascii="Cambria Math" w:hAnsi="Cambria Math" w:eastAsia="宋体" w:cs="Times New Roman"/>
                            <w:color w:val="auto"/>
                            <w:szCs w:val="21"/>
                            <w:highlight w:val="none"/>
                          </w:rPr>
                          <m:t>Q</m:t>
                        </m:r>
                        <m:ctrlPr>
                          <w:rPr>
                            <w:rFonts w:hint="default" w:ascii="Cambria Math" w:hAnsi="Cambria Math" w:eastAsia="宋体" w:cs="Times New Roman"/>
                            <w:i/>
                            <w:color w:val="auto"/>
                            <w:szCs w:val="21"/>
                            <w:highlight w:val="none"/>
                          </w:rPr>
                        </m:ctrlPr>
                      </m:e>
                      <m:sub>
                        <m:r>
                          <m:rPr/>
                          <w:rPr>
                            <w:rFonts w:hint="default" w:ascii="Cambria Math" w:hAnsi="Cambria Math" w:eastAsia="宋体" w:cs="Times New Roman"/>
                            <w:color w:val="auto"/>
                            <w:szCs w:val="21"/>
                            <w:highlight w:val="none"/>
                          </w:rPr>
                          <m:t>e</m:t>
                        </m:r>
                        <m:ctrlPr>
                          <w:rPr>
                            <w:rFonts w:hint="default" w:ascii="Cambria Math" w:hAnsi="Cambria Math" w:eastAsia="宋体" w:cs="Times New Roman"/>
                            <w:i/>
                            <w:color w:val="auto"/>
                            <w:szCs w:val="21"/>
                            <w:highlight w:val="none"/>
                          </w:rPr>
                        </m:ctrlPr>
                      </m:sub>
                    </m:sSub>
                    <m:r>
                      <m:rPr/>
                      <w:rPr>
                        <w:rFonts w:hint="default" w:ascii="Cambria Math" w:hAnsi="Cambria Math" w:eastAsia="宋体" w:cs="Times New Roman"/>
                        <w:color w:val="auto"/>
                        <w:szCs w:val="21"/>
                        <w:highlight w:val="none"/>
                      </w:rPr>
                      <m:t>∙N</m:t>
                    </m:r>
                    <m:ctrlPr>
                      <w:rPr>
                        <w:rFonts w:hint="default" w:ascii="Cambria Math" w:hAnsi="Cambria Math" w:eastAsia="宋体" w:cs="Times New Roman"/>
                        <w:i/>
                        <w:color w:val="auto"/>
                        <w:szCs w:val="21"/>
                        <w:highlight w:val="none"/>
                      </w:rPr>
                    </m:ctrlPr>
                  </m:num>
                  <m:den>
                    <m:r>
                      <m:rPr/>
                      <w:rPr>
                        <w:rFonts w:hint="default" w:ascii="Cambria Math" w:hAnsi="Cambria Math" w:eastAsia="宋体" w:cs="Times New Roman"/>
                        <w:color w:val="auto"/>
                        <w:szCs w:val="21"/>
                        <w:highlight w:val="none"/>
                      </w:rPr>
                      <m:t>N−1</m:t>
                    </m:r>
                    <m:ctrlPr>
                      <w:rPr>
                        <w:rFonts w:hint="default" w:ascii="Cambria Math" w:hAnsi="Cambria Math" w:eastAsia="宋体" w:cs="Times New Roman"/>
                        <w:i/>
                        <w:color w:val="auto"/>
                        <w:szCs w:val="21"/>
                        <w:highlight w:val="none"/>
                      </w:rPr>
                    </m:ctrlPr>
                  </m:den>
                </m:f>
                <m:r>
                  <m:rPr/>
                  <w:rPr>
                    <w:rFonts w:hint="default" w:ascii="Cambria Math" w:hAnsi="Cambria Math" w:eastAsia="宋体" w:cs="Times New Roman"/>
                    <w:color w:val="auto"/>
                    <w:szCs w:val="21"/>
                    <w:highlight w:val="none"/>
                  </w:rPr>
                  <m:t>，</m:t>
                </m:r>
                <m:sSub>
                  <m:sSubPr>
                    <m:ctrlPr>
                      <w:rPr>
                        <w:rFonts w:hint="default" w:ascii="Cambria Math" w:hAnsi="Cambria Math" w:eastAsia="宋体" w:cs="Times New Roman"/>
                        <w:i/>
                        <w:color w:val="auto"/>
                        <w:szCs w:val="21"/>
                        <w:highlight w:val="none"/>
                      </w:rPr>
                    </m:ctrlPr>
                  </m:sSubPr>
                  <m:e>
                    <m:r>
                      <m:rPr/>
                      <w:rPr>
                        <w:rFonts w:hint="default" w:ascii="Cambria Math" w:hAnsi="Cambria Math" w:eastAsia="宋体" w:cs="Times New Roman"/>
                        <w:color w:val="auto"/>
                        <w:szCs w:val="21"/>
                        <w:highlight w:val="none"/>
                      </w:rPr>
                      <m:t>Q</m:t>
                    </m:r>
                    <m:ctrlPr>
                      <w:rPr>
                        <w:rFonts w:hint="default" w:ascii="Cambria Math" w:hAnsi="Cambria Math" w:eastAsia="宋体" w:cs="Times New Roman"/>
                        <w:i/>
                        <w:color w:val="auto"/>
                        <w:szCs w:val="21"/>
                        <w:highlight w:val="none"/>
                      </w:rPr>
                    </m:ctrlPr>
                  </m:e>
                  <m:sub>
                    <m:r>
                      <m:rPr/>
                      <w:rPr>
                        <w:rFonts w:hint="default" w:ascii="Cambria Math" w:hAnsi="Cambria Math" w:eastAsia="宋体" w:cs="Times New Roman"/>
                        <w:color w:val="auto"/>
                        <w:szCs w:val="21"/>
                        <w:highlight w:val="none"/>
                      </w:rPr>
                      <m:t>e</m:t>
                    </m:r>
                    <m:ctrlPr>
                      <w:rPr>
                        <w:rFonts w:hint="default" w:ascii="Cambria Math" w:hAnsi="Cambria Math" w:eastAsia="宋体" w:cs="Times New Roman"/>
                        <w:i/>
                        <w:color w:val="auto"/>
                        <w:szCs w:val="21"/>
                        <w:highlight w:val="none"/>
                      </w:rPr>
                    </m:ctrlPr>
                  </m:sub>
                </m:sSub>
                <m:r>
                  <m:rPr/>
                  <w:rPr>
                    <w:rFonts w:hint="default" w:ascii="Cambria Math" w:hAnsi="Cambria Math" w:eastAsia="宋体" w:cs="Times New Roman"/>
                    <w:color w:val="auto"/>
                    <w:szCs w:val="21"/>
                    <w:highlight w:val="none"/>
                  </w:rPr>
                  <m:t>=k∙∆t∙</m:t>
                </m:r>
                <m:sSub>
                  <m:sSubPr>
                    <m:ctrlPr>
                      <w:rPr>
                        <w:rFonts w:hint="default" w:ascii="Cambria Math" w:hAnsi="Cambria Math" w:eastAsia="宋体" w:cs="Times New Roman"/>
                        <w:i/>
                        <w:color w:val="auto"/>
                        <w:szCs w:val="21"/>
                        <w:highlight w:val="none"/>
                      </w:rPr>
                    </m:ctrlPr>
                  </m:sSubPr>
                  <m:e>
                    <m:r>
                      <m:rPr/>
                      <w:rPr>
                        <w:rFonts w:hint="default" w:ascii="Cambria Math" w:hAnsi="Cambria Math" w:eastAsia="宋体" w:cs="Times New Roman"/>
                        <w:color w:val="auto"/>
                        <w:szCs w:val="21"/>
                        <w:highlight w:val="none"/>
                      </w:rPr>
                      <m:t>Q</m:t>
                    </m:r>
                    <m:ctrlPr>
                      <w:rPr>
                        <w:rFonts w:hint="default" w:ascii="Cambria Math" w:hAnsi="Cambria Math" w:eastAsia="宋体" w:cs="Times New Roman"/>
                        <w:i/>
                        <w:color w:val="auto"/>
                        <w:szCs w:val="21"/>
                        <w:highlight w:val="none"/>
                      </w:rPr>
                    </m:ctrlPr>
                  </m:e>
                  <m:sub>
                    <m:r>
                      <m:rPr/>
                      <w:rPr>
                        <w:rFonts w:hint="default" w:ascii="Cambria Math" w:hAnsi="Cambria Math" w:eastAsia="宋体" w:cs="Times New Roman"/>
                        <w:color w:val="auto"/>
                        <w:szCs w:val="21"/>
                        <w:highlight w:val="none"/>
                      </w:rPr>
                      <m:t>r</m:t>
                    </m:r>
                    <m:ctrlPr>
                      <w:rPr>
                        <w:rFonts w:hint="default" w:ascii="Cambria Math" w:hAnsi="Cambria Math" w:eastAsia="宋体" w:cs="Times New Roman"/>
                        <w:i/>
                        <w:color w:val="auto"/>
                        <w:szCs w:val="21"/>
                        <w:highlight w:val="none"/>
                      </w:rPr>
                    </m:ctrlPr>
                  </m:sub>
                </m:sSub>
              </m:oMath>
            </m:oMathPara>
          </w:p>
          <w:p w14:paraId="09FAB801">
            <w:pPr>
              <w:pStyle w:val="8"/>
              <w:keepNext w:val="0"/>
              <w:keepLines w:val="0"/>
              <w:suppressLineNumbers w:val="0"/>
              <w:spacing w:before="0" w:beforeAutospacing="0" w:after="0" w:afterAutospacing="0" w:line="360" w:lineRule="auto"/>
              <w:ind w:left="0" w:leftChars="0" w:right="0" w:firstLine="420" w:firstLineChars="20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式中：Qm——补充水量（m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/h）；</w:t>
            </w:r>
          </w:p>
          <w:p w14:paraId="52282998">
            <w:pPr>
              <w:pStyle w:val="8"/>
              <w:keepNext w:val="0"/>
              <w:keepLines w:val="0"/>
              <w:suppressLineNumbers w:val="0"/>
              <w:spacing w:before="0" w:beforeAutospacing="0" w:after="0" w:afterAutospacing="0" w:line="360" w:lineRule="auto"/>
              <w:ind w:left="0" w:leftChars="0" w:right="0" w:firstLine="420" w:firstLineChars="20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Qe——蒸发损失量（m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/h）；</w:t>
            </w:r>
          </w:p>
          <w:p w14:paraId="23550775">
            <w:pPr>
              <w:pStyle w:val="8"/>
              <w:keepNext w:val="0"/>
              <w:keepLines w:val="0"/>
              <w:suppressLineNumbers w:val="0"/>
              <w:spacing w:before="0" w:beforeAutospacing="0" w:after="0" w:afterAutospacing="0" w:line="360" w:lineRule="auto"/>
              <w:ind w:left="0" w:leftChars="0" w:right="0" w:firstLine="420" w:firstLineChars="20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N——浓缩倍数，取值3；</w:t>
            </w:r>
          </w:p>
          <w:p w14:paraId="2B3B9435">
            <w:pPr>
              <w:pStyle w:val="8"/>
              <w:keepNext w:val="0"/>
              <w:keepLines w:val="0"/>
              <w:suppressLineNumbers w:val="0"/>
              <w:spacing w:before="0" w:beforeAutospacing="0" w:after="0" w:afterAutospacing="0" w:line="360" w:lineRule="auto"/>
              <w:ind w:left="0" w:leftChars="0" w:right="0" w:firstLine="420" w:firstLineChars="20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k——蒸发损失系数（1/℃），按《工业循环冷却水处理设计规范》（GB/T50050-2017）中表5.0.6取值，本项目取值0.0014；</w:t>
            </w:r>
          </w:p>
          <w:p w14:paraId="20D04354">
            <w:pPr>
              <w:pStyle w:val="8"/>
              <w:keepNext w:val="0"/>
              <w:keepLines w:val="0"/>
              <w:suppressLineNumbers w:val="0"/>
              <w:spacing w:before="0" w:beforeAutospacing="0" w:after="0" w:afterAutospacing="0" w:line="360" w:lineRule="auto"/>
              <w:ind w:left="0" w:leftChars="0" w:right="0" w:firstLine="420" w:firstLineChars="20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Δt——循环冷却水进、出</w:t>
            </w:r>
            <w:r>
              <w:rPr>
                <w:rFonts w:hint="eastAsia" w:cs="Times New Roman"/>
                <w:color w:val="auto"/>
                <w:sz w:val="21"/>
                <w:szCs w:val="21"/>
                <w:highlight w:val="none"/>
                <w:lang w:val="en-US" w:eastAsia="zh-CN"/>
              </w:rPr>
              <w:t>模温机</w:t>
            </w:r>
            <w:r>
              <w:rPr>
                <w:rFonts w:hint="default" w:ascii="Times New Roman" w:hAnsi="Times New Roman" w:eastAsia="宋体" w:cs="Times New Roman"/>
                <w:color w:val="auto"/>
                <w:sz w:val="21"/>
                <w:szCs w:val="21"/>
                <w:highlight w:val="none"/>
              </w:rPr>
              <w:t>温差</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，本项目取值8℃；</w:t>
            </w:r>
          </w:p>
          <w:p w14:paraId="79EDC599">
            <w:pPr>
              <w:pStyle w:val="8"/>
              <w:keepNext w:val="0"/>
              <w:keepLines w:val="0"/>
              <w:suppressLineNumbers w:val="0"/>
              <w:spacing w:before="0" w:beforeAutospacing="0" w:after="0" w:afterAutospacing="0" w:line="360" w:lineRule="auto"/>
              <w:ind w:left="0" w:leftChars="0" w:right="0" w:firstLine="420" w:firstLineChars="20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Qr——循环冷却水量（m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/h）；</w:t>
            </w:r>
          </w:p>
          <w:p w14:paraId="04A10230">
            <w:pPr>
              <w:keepNext w:val="0"/>
              <w:keepLines w:val="0"/>
              <w:widowControl/>
              <w:suppressLineNumbers w:val="0"/>
              <w:adjustRightInd w:val="0"/>
              <w:snapToGrid w:val="0"/>
              <w:spacing w:before="0" w:beforeAutospacing="0" w:after="0" w:afterAutospacing="0" w:line="360" w:lineRule="auto"/>
              <w:ind w:left="0" w:right="0" w:firstLine="420" w:firstLineChars="200"/>
              <w:rPr>
                <w:rFonts w:hint="eastAsia" w:ascii="Times New Roman" w:hAnsi="Times New Roman" w:cs="Times New Roman"/>
                <w:color w:val="auto"/>
                <w:sz w:val="21"/>
                <w:szCs w:val="21"/>
                <w:highlight w:val="none"/>
                <w:lang w:val="en-US" w:eastAsia="zh-CN" w:bidi="ar"/>
              </w:rPr>
            </w:pPr>
            <w:r>
              <w:rPr>
                <w:rFonts w:hint="default" w:ascii="Times New Roman" w:hAnsi="Times New Roman" w:eastAsia="宋体" w:cs="Times New Roman"/>
                <w:color w:val="auto"/>
                <w:sz w:val="21"/>
                <w:szCs w:val="21"/>
                <w:highlight w:val="none"/>
              </w:rPr>
              <w:t>经计算项目</w:t>
            </w:r>
            <w:r>
              <w:rPr>
                <w:rFonts w:hint="eastAsia" w:cs="Times New Roman"/>
                <w:color w:val="auto"/>
                <w:sz w:val="21"/>
                <w:szCs w:val="21"/>
                <w:highlight w:val="none"/>
                <w:lang w:val="en-US" w:eastAsia="zh-CN"/>
              </w:rPr>
              <w:t>模温机</w:t>
            </w:r>
            <w:r>
              <w:rPr>
                <w:rFonts w:hint="default" w:ascii="Times New Roman" w:hAnsi="Times New Roman" w:eastAsia="宋体" w:cs="Times New Roman"/>
                <w:color w:val="auto"/>
                <w:sz w:val="21"/>
                <w:szCs w:val="21"/>
                <w:highlight w:val="none"/>
              </w:rPr>
              <w:t>循环冷却系统蒸发损失量0.056m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/h，补水量为0.</w:t>
            </w:r>
            <w:r>
              <w:rPr>
                <w:rFonts w:hint="eastAsia" w:ascii="Times New Roman" w:hAnsi="Times New Roman" w:cs="Times New Roman"/>
                <w:color w:val="auto"/>
                <w:sz w:val="21"/>
                <w:szCs w:val="21"/>
                <w:highlight w:val="none"/>
                <w:lang w:val="en-US" w:eastAsia="zh-CN"/>
              </w:rPr>
              <w:t>672</w:t>
            </w:r>
            <w:r>
              <w:rPr>
                <w:rFonts w:hint="default" w:ascii="Times New Roman" w:hAnsi="Times New Roman" w:eastAsia="宋体" w:cs="Times New Roman"/>
                <w:color w:val="auto"/>
                <w:sz w:val="21"/>
                <w:szCs w:val="21"/>
                <w:highlight w:val="none"/>
                <w:lang w:val="en-US" w:eastAsia="zh-CN"/>
              </w:rPr>
              <w:t>t</w:t>
            </w:r>
            <w:r>
              <w:rPr>
                <w:rFonts w:hint="default" w:ascii="Times New Roman" w:hAnsi="Times New Roman" w:eastAsia="宋体" w:cs="Times New Roman"/>
                <w:color w:val="auto"/>
                <w:sz w:val="21"/>
                <w:szCs w:val="21"/>
                <w:highlight w:val="none"/>
              </w:rPr>
              <w:t>/d（201.6</w:t>
            </w:r>
            <w:r>
              <w:rPr>
                <w:rFonts w:hint="default" w:ascii="Times New Roman" w:hAnsi="Times New Roman" w:eastAsia="宋体" w:cs="Times New Roman"/>
                <w:color w:val="auto"/>
                <w:sz w:val="21"/>
                <w:szCs w:val="21"/>
                <w:highlight w:val="none"/>
                <w:lang w:val="en-US" w:eastAsia="zh-CN"/>
              </w:rPr>
              <w:t>t</w:t>
            </w:r>
            <w:r>
              <w:rPr>
                <w:rFonts w:hint="default" w:ascii="Times New Roman" w:hAnsi="Times New Roman" w:eastAsia="宋体" w:cs="Times New Roman"/>
                <w:color w:val="auto"/>
                <w:sz w:val="21"/>
                <w:szCs w:val="21"/>
                <w:highlight w:val="none"/>
              </w:rPr>
              <w:t>/a）。</w:t>
            </w:r>
            <w:r>
              <w:rPr>
                <w:rFonts w:hint="default" w:ascii="Times New Roman" w:hAnsi="Times New Roman" w:eastAsia="宋体" w:cs="Times New Roman"/>
                <w:color w:val="auto"/>
                <w:sz w:val="21"/>
                <w:szCs w:val="21"/>
                <w:highlight w:val="none"/>
                <w:lang w:val="en-US" w:eastAsia="zh-CN"/>
              </w:rPr>
              <w:t>间接</w:t>
            </w:r>
            <w:r>
              <w:rPr>
                <w:rFonts w:hint="default" w:ascii="Times New Roman" w:hAnsi="Times New Roman" w:eastAsia="宋体" w:cs="Times New Roman"/>
                <w:color w:val="auto"/>
                <w:sz w:val="21"/>
                <w:szCs w:val="21"/>
                <w:highlight w:val="none"/>
              </w:rPr>
              <w:t>冷却用水为自来水，无需添加矿物油、乳化液等冷却剂，</w:t>
            </w:r>
            <w:r>
              <w:rPr>
                <w:rFonts w:hint="default" w:ascii="Times New Roman" w:hAnsi="Times New Roman" w:eastAsia="宋体" w:cs="Times New Roman"/>
                <w:color w:val="auto"/>
                <w:sz w:val="21"/>
                <w:szCs w:val="21"/>
                <w:highlight w:val="none"/>
                <w:lang w:val="en-US" w:eastAsia="zh-CN"/>
              </w:rPr>
              <w:t>间接</w:t>
            </w:r>
            <w:r>
              <w:rPr>
                <w:rFonts w:hint="default" w:ascii="Times New Roman" w:hAnsi="Times New Roman" w:eastAsia="宋体" w:cs="Times New Roman"/>
                <w:color w:val="auto"/>
                <w:sz w:val="21"/>
                <w:szCs w:val="21"/>
                <w:highlight w:val="none"/>
              </w:rPr>
              <w:t>冷却水循环使用</w:t>
            </w:r>
            <w:r>
              <w:rPr>
                <w:rFonts w:hint="default" w:ascii="Times New Roman" w:hAnsi="Times New Roman" w:eastAsia="宋体" w:cs="Times New Roman"/>
                <w:color w:val="auto"/>
                <w:sz w:val="21"/>
                <w:szCs w:val="21"/>
                <w:highlight w:val="none"/>
                <w:lang w:val="en-US" w:eastAsia="zh-CN"/>
              </w:rPr>
              <w:t>后，其</w:t>
            </w:r>
            <w:r>
              <w:rPr>
                <w:rFonts w:hint="default" w:ascii="Times New Roman" w:hAnsi="Times New Roman" w:eastAsia="宋体" w:cs="Times New Roman"/>
                <w:color w:val="auto"/>
                <w:sz w:val="21"/>
                <w:szCs w:val="21"/>
                <w:highlight w:val="none"/>
                <w:lang w:val="en-US" w:eastAsia="zh-CN" w:bidi="ar"/>
              </w:rPr>
              <w:t>总硬度和溶解性总固体浓度增加，为避免多次循环后盐分积累，拟每季度对间接冷却水进行更换</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间接</w:t>
            </w:r>
            <w:r>
              <w:rPr>
                <w:rFonts w:hint="default" w:ascii="Times New Roman" w:hAnsi="Times New Roman" w:eastAsia="宋体" w:cs="Times New Roman"/>
                <w:color w:val="auto"/>
                <w:sz w:val="21"/>
                <w:szCs w:val="21"/>
                <w:highlight w:val="none"/>
              </w:rPr>
              <w:t>冷却</w:t>
            </w:r>
            <w:r>
              <w:rPr>
                <w:rFonts w:hint="default" w:ascii="Times New Roman" w:hAnsi="Times New Roman" w:eastAsia="宋体" w:cs="Times New Roman"/>
                <w:color w:val="auto"/>
                <w:sz w:val="21"/>
                <w:szCs w:val="21"/>
                <w:highlight w:val="none"/>
                <w:lang w:val="en-US" w:eastAsia="zh-CN"/>
              </w:rPr>
              <w:t>水的废水</w:t>
            </w:r>
            <w:r>
              <w:rPr>
                <w:rFonts w:hint="default" w:ascii="Times New Roman" w:hAnsi="Times New Roman" w:eastAsia="宋体" w:cs="Times New Roman"/>
                <w:color w:val="auto"/>
                <w:sz w:val="21"/>
                <w:szCs w:val="21"/>
                <w:highlight w:val="none"/>
              </w:rPr>
              <w:t>量约</w:t>
            </w:r>
            <w:r>
              <w:rPr>
                <w:rFonts w:hint="eastAsia" w:ascii="Times New Roman" w:hAnsi="Times New Roman" w:cs="Times New Roman"/>
                <w:color w:val="auto"/>
                <w:sz w:val="21"/>
                <w:szCs w:val="21"/>
                <w:highlight w:val="none"/>
                <w:lang w:val="en-US" w:eastAsia="zh-CN"/>
              </w:rPr>
              <w:t>0.5</w:t>
            </w:r>
            <w:r>
              <w:rPr>
                <w:rFonts w:hint="default" w:ascii="Times New Roman" w:hAnsi="Times New Roman" w:eastAsia="宋体" w:cs="Times New Roman"/>
                <w:color w:val="auto"/>
                <w:sz w:val="21"/>
                <w:szCs w:val="21"/>
                <w:highlight w:val="none"/>
                <w:lang w:val="en-US" w:eastAsia="zh-CN"/>
              </w:rPr>
              <w:t>t</w:t>
            </w:r>
            <w:r>
              <w:rPr>
                <w:rFonts w:hint="default" w:ascii="Times New Roman" w:hAnsi="Times New Roman" w:eastAsia="宋体" w:cs="Times New Roman"/>
                <w:color w:val="auto"/>
                <w:sz w:val="21"/>
                <w:szCs w:val="21"/>
                <w:highlight w:val="none"/>
              </w:rPr>
              <w:t>/次，则</w:t>
            </w:r>
            <w:r>
              <w:rPr>
                <w:rFonts w:hint="default" w:ascii="Times New Roman" w:hAnsi="Times New Roman" w:eastAsia="宋体" w:cs="Times New Roman"/>
                <w:color w:val="auto"/>
                <w:sz w:val="21"/>
                <w:szCs w:val="21"/>
                <w:highlight w:val="none"/>
                <w:lang w:val="en-US" w:eastAsia="zh-CN"/>
              </w:rPr>
              <w:t>间接</w:t>
            </w:r>
            <w:r>
              <w:rPr>
                <w:rFonts w:hint="default" w:ascii="Times New Roman" w:hAnsi="Times New Roman" w:eastAsia="宋体" w:cs="Times New Roman"/>
                <w:color w:val="auto"/>
                <w:sz w:val="21"/>
                <w:szCs w:val="21"/>
                <w:highlight w:val="none"/>
              </w:rPr>
              <w:t>冷却废水</w:t>
            </w:r>
            <w:r>
              <w:rPr>
                <w:rFonts w:hint="eastAsia" w:ascii="Times New Roman" w:hAnsi="Times New Roman"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lang w:val="en-US" w:eastAsia="zh-CN"/>
              </w:rPr>
              <w:t>t</w:t>
            </w:r>
            <w:r>
              <w:rPr>
                <w:rFonts w:hint="default" w:ascii="Times New Roman" w:hAnsi="Times New Roman" w:eastAsia="宋体" w:cs="Times New Roman"/>
                <w:color w:val="auto"/>
                <w:sz w:val="21"/>
                <w:szCs w:val="21"/>
                <w:highlight w:val="none"/>
              </w:rPr>
              <w:t>/a</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0.0</w:t>
            </w:r>
            <w:r>
              <w:rPr>
                <w:rFonts w:hint="eastAsia" w:ascii="Times New Roman" w:hAnsi="Times New Roman" w:cs="Times New Roman"/>
                <w:color w:val="auto"/>
                <w:sz w:val="21"/>
                <w:szCs w:val="21"/>
                <w:highlight w:val="none"/>
                <w:lang w:val="en-US" w:eastAsia="zh-CN"/>
              </w:rPr>
              <w:t>067</w:t>
            </w:r>
            <w:r>
              <w:rPr>
                <w:rFonts w:hint="default" w:ascii="Times New Roman" w:hAnsi="Times New Roman" w:eastAsia="宋体" w:cs="Times New Roman"/>
                <w:color w:val="auto"/>
                <w:sz w:val="21"/>
                <w:szCs w:val="21"/>
                <w:highlight w:val="none"/>
                <w:lang w:val="en-US" w:eastAsia="zh-CN"/>
              </w:rPr>
              <w:t>t</w:t>
            </w:r>
            <w:r>
              <w:rPr>
                <w:rFonts w:hint="default" w:ascii="Times New Roman" w:hAnsi="Times New Roman" w:eastAsia="宋体" w:cs="Times New Roman"/>
                <w:color w:val="auto"/>
                <w:sz w:val="21"/>
                <w:szCs w:val="21"/>
                <w:highlight w:val="none"/>
              </w:rPr>
              <w:t>/d</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bidi="ar"/>
              </w:rPr>
              <w:t>综上所述，间接冷却水用量</w:t>
            </w:r>
            <w:r>
              <w:rPr>
                <w:rFonts w:hint="default" w:ascii="Times New Roman" w:hAnsi="Times New Roman" w:eastAsia="宋体" w:cs="Times New Roman"/>
                <w:color w:val="auto"/>
                <w:sz w:val="21"/>
                <w:szCs w:val="21"/>
                <w:highlight w:val="none"/>
                <w:lang w:val="en-US" w:eastAsia="zh-CN"/>
              </w:rPr>
              <w:t>20</w:t>
            </w:r>
            <w:r>
              <w:rPr>
                <w:rFonts w:hint="eastAsia" w:ascii="Times New Roman" w:hAnsi="Times New Roman" w:cs="Times New Roman"/>
                <w:color w:val="auto"/>
                <w:sz w:val="21"/>
                <w:szCs w:val="21"/>
                <w:highlight w:val="none"/>
                <w:lang w:val="en-US" w:eastAsia="zh-CN"/>
              </w:rPr>
              <w:t>3.6</w:t>
            </w:r>
            <w:r>
              <w:rPr>
                <w:rFonts w:hint="default" w:ascii="Times New Roman" w:hAnsi="Times New Roman" w:eastAsia="宋体" w:cs="Times New Roman"/>
                <w:color w:val="auto"/>
                <w:sz w:val="21"/>
                <w:szCs w:val="21"/>
                <w:highlight w:val="none"/>
                <w:lang w:val="en-US" w:eastAsia="zh-CN" w:bidi="ar"/>
              </w:rPr>
              <w:t>t/a</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bidi="ar"/>
              </w:rPr>
              <w:t>0.6</w:t>
            </w:r>
            <w:r>
              <w:rPr>
                <w:rFonts w:hint="eastAsia" w:ascii="Times New Roman" w:hAnsi="Times New Roman" w:cs="Times New Roman"/>
                <w:color w:val="auto"/>
                <w:sz w:val="21"/>
                <w:szCs w:val="21"/>
                <w:highlight w:val="none"/>
                <w:lang w:val="en-US" w:eastAsia="zh-CN" w:bidi="ar"/>
              </w:rPr>
              <w:t>79</w:t>
            </w:r>
            <w:r>
              <w:rPr>
                <w:rFonts w:hint="default" w:ascii="Times New Roman" w:hAnsi="Times New Roman" w:eastAsia="宋体" w:cs="Times New Roman"/>
                <w:color w:val="auto"/>
                <w:sz w:val="21"/>
                <w:szCs w:val="21"/>
                <w:highlight w:val="none"/>
                <w:lang w:val="en-US" w:eastAsia="zh-CN"/>
              </w:rPr>
              <w:t>t</w:t>
            </w:r>
            <w:r>
              <w:rPr>
                <w:rFonts w:hint="default" w:ascii="Times New Roman" w:hAnsi="Times New Roman" w:eastAsia="宋体" w:cs="Times New Roman"/>
                <w:color w:val="auto"/>
                <w:sz w:val="21"/>
                <w:szCs w:val="21"/>
                <w:highlight w:val="none"/>
              </w:rPr>
              <w:t>/d</w:t>
            </w:r>
            <w:r>
              <w:rPr>
                <w:rFonts w:hint="default" w:ascii="Times New Roman" w:hAnsi="Times New Roman" w:eastAsia="宋体" w:cs="Times New Roman"/>
                <w:color w:val="auto"/>
                <w:sz w:val="21"/>
                <w:szCs w:val="21"/>
                <w:highlight w:val="none"/>
                <w:lang w:val="en-US" w:eastAsia="zh-CN" w:bidi="ar"/>
              </w:rPr>
              <w:t>）（补充水量+更换水量）。</w:t>
            </w:r>
            <w:r>
              <w:rPr>
                <w:rFonts w:hint="eastAsia" w:ascii="Times New Roman" w:hAnsi="Times New Roman" w:cs="Times New Roman"/>
                <w:color w:val="auto"/>
                <w:sz w:val="21"/>
                <w:szCs w:val="21"/>
                <w:highlight w:val="none"/>
                <w:lang w:val="en-US" w:eastAsia="zh-CN" w:bidi="ar"/>
              </w:rPr>
              <w:t>更换下来的冷却废水收集后交有处理资质的单位进行处理。</w:t>
            </w:r>
          </w:p>
          <w:p w14:paraId="22C806B2">
            <w:pPr>
              <w:keepNext w:val="0"/>
              <w:keepLines w:val="0"/>
              <w:widowControl/>
              <w:suppressLineNumbers w:val="0"/>
              <w:adjustRightInd w:val="0"/>
              <w:snapToGrid w:val="0"/>
              <w:spacing w:before="0" w:beforeAutospacing="0" w:after="0" w:afterAutospacing="0" w:line="360" w:lineRule="auto"/>
              <w:ind w:left="0" w:right="0" w:firstLine="422" w:firstLineChars="200"/>
              <w:rPr>
                <w:rFonts w:hint="default" w:ascii="Times New Roman" w:hAnsi="Times New Roman" w:cs="Times New Roman"/>
                <w:b/>
                <w:bCs/>
                <w:color w:val="auto"/>
                <w:sz w:val="21"/>
                <w:szCs w:val="21"/>
                <w:highlight w:val="none"/>
                <w:lang w:val="en-US" w:eastAsia="zh-CN" w:bidi="ar"/>
              </w:rPr>
            </w:pPr>
            <w:r>
              <w:rPr>
                <w:rFonts w:hint="eastAsia" w:ascii="宋体" w:hAnsi="宋体" w:eastAsia="宋体" w:cs="宋体"/>
                <w:b/>
                <w:bCs/>
                <w:color w:val="auto"/>
                <w:sz w:val="21"/>
                <w:szCs w:val="21"/>
                <w:highlight w:val="none"/>
                <w:lang w:val="en-US" w:eastAsia="zh-CN" w:bidi="ar"/>
              </w:rPr>
              <w:t>③</w:t>
            </w:r>
            <w:r>
              <w:rPr>
                <w:rFonts w:hint="eastAsia" w:ascii="Times New Roman" w:hAnsi="Times New Roman" w:cs="Times New Roman"/>
                <w:b/>
                <w:bCs/>
                <w:color w:val="auto"/>
                <w:sz w:val="21"/>
                <w:szCs w:val="21"/>
                <w:highlight w:val="none"/>
                <w:lang w:val="en-US" w:eastAsia="zh-CN" w:bidi="ar"/>
              </w:rPr>
              <w:t>清洗用排水</w:t>
            </w:r>
          </w:p>
          <w:p w14:paraId="2B8DD843">
            <w:pPr>
              <w:keepNext w:val="0"/>
              <w:keepLines w:val="0"/>
              <w:widowControl/>
              <w:suppressLineNumbers w:val="0"/>
              <w:adjustRightInd w:val="0"/>
              <w:snapToGrid w:val="0"/>
              <w:spacing w:before="0" w:beforeAutospacing="0" w:after="0" w:afterAutospacing="0" w:line="360" w:lineRule="auto"/>
              <w:ind w:left="0" w:right="0" w:firstLine="420" w:firstLineChars="200"/>
              <w:jc w:val="both"/>
              <w:rPr>
                <w:rFonts w:hint="default" w:ascii="Times New Roman" w:hAnsi="Times New Roman" w:cs="Times New Roman"/>
                <w:color w:val="auto"/>
                <w:sz w:val="21"/>
                <w:szCs w:val="21"/>
                <w:highlight w:val="none"/>
                <w:lang w:val="en-US" w:eastAsia="zh-CN" w:bidi="ar"/>
              </w:rPr>
            </w:pPr>
            <w:r>
              <w:rPr>
                <w:rFonts w:hint="default" w:ascii="Times New Roman" w:hAnsi="Times New Roman" w:cs="Times New Roman"/>
                <w:color w:val="auto"/>
                <w:sz w:val="21"/>
                <w:szCs w:val="21"/>
                <w:highlight w:val="none"/>
                <w:lang w:val="en-US" w:eastAsia="zh-CN" w:bidi="ar"/>
              </w:rPr>
              <w:t>本项目印刷机的滚筒需采用普通自来水进行清洗，项目使用水性油墨无需进行调配，可直接使用</w:t>
            </w:r>
            <w:r>
              <w:rPr>
                <w:rFonts w:hint="eastAsia" w:cs="Times New Roman"/>
                <w:color w:val="auto"/>
                <w:sz w:val="21"/>
                <w:szCs w:val="21"/>
                <w:highlight w:val="none"/>
                <w:lang w:val="en-US" w:eastAsia="zh-CN" w:bidi="ar"/>
              </w:rPr>
              <w:t>。</w:t>
            </w:r>
            <w:r>
              <w:rPr>
                <w:rFonts w:hint="eastAsia" w:ascii="Times New Roman" w:hAnsi="Times New Roman" w:cs="Times New Roman"/>
                <w:color w:val="auto"/>
                <w:sz w:val="21"/>
                <w:szCs w:val="21"/>
                <w:highlight w:val="none"/>
                <w:lang w:val="en-US" w:eastAsia="zh-CN" w:bidi="ar"/>
              </w:rPr>
              <w:t>清洗过程</w:t>
            </w:r>
            <w:r>
              <w:rPr>
                <w:rFonts w:hint="default" w:ascii="Times New Roman" w:hAnsi="Times New Roman" w:cs="Times New Roman"/>
                <w:color w:val="auto"/>
                <w:sz w:val="21"/>
                <w:szCs w:val="21"/>
                <w:highlight w:val="none"/>
                <w:lang w:val="en-US" w:eastAsia="zh-CN" w:bidi="ar"/>
              </w:rPr>
              <w:t>不需要任何添加剂。清洗频次为每天1次，年工作时间300天，</w:t>
            </w:r>
            <w:r>
              <w:rPr>
                <w:rFonts w:hint="eastAsia" w:ascii="Times New Roman" w:hAnsi="Times New Roman" w:cs="Times New Roman"/>
                <w:color w:val="auto"/>
                <w:sz w:val="21"/>
                <w:szCs w:val="21"/>
                <w:highlight w:val="none"/>
                <w:lang w:val="en-US" w:eastAsia="zh-CN" w:bidi="ar"/>
              </w:rPr>
              <w:t>每台</w:t>
            </w:r>
            <w:r>
              <w:rPr>
                <w:rFonts w:hint="default" w:ascii="Times New Roman" w:hAnsi="Times New Roman" w:cs="Times New Roman"/>
                <w:color w:val="auto"/>
                <w:sz w:val="21"/>
                <w:szCs w:val="21"/>
                <w:highlight w:val="none"/>
                <w:lang w:val="en-US" w:eastAsia="zh-CN" w:bidi="ar"/>
              </w:rPr>
              <w:t>印刷机每次</w:t>
            </w:r>
            <w:r>
              <w:rPr>
                <w:rFonts w:hint="eastAsia" w:ascii="Times New Roman" w:hAnsi="Times New Roman" w:cs="Times New Roman"/>
                <w:color w:val="auto"/>
                <w:sz w:val="21"/>
                <w:szCs w:val="21"/>
                <w:highlight w:val="none"/>
                <w:lang w:val="en-US" w:eastAsia="zh-CN" w:bidi="ar"/>
              </w:rPr>
              <w:t>清洗</w:t>
            </w:r>
            <w:r>
              <w:rPr>
                <w:rFonts w:hint="default" w:ascii="Times New Roman" w:hAnsi="Times New Roman" w:cs="Times New Roman"/>
                <w:color w:val="auto"/>
                <w:sz w:val="21"/>
                <w:szCs w:val="21"/>
                <w:highlight w:val="none"/>
                <w:lang w:val="en-US" w:eastAsia="zh-CN" w:bidi="ar"/>
              </w:rPr>
              <w:t>用水量约为0.03m</w:t>
            </w:r>
            <w:r>
              <w:rPr>
                <w:rFonts w:hint="default" w:ascii="Times New Roman" w:hAnsi="Times New Roman" w:cs="Times New Roman"/>
                <w:color w:val="auto"/>
                <w:sz w:val="21"/>
                <w:szCs w:val="21"/>
                <w:highlight w:val="none"/>
                <w:vertAlign w:val="superscript"/>
                <w:lang w:val="en-US" w:eastAsia="zh-CN" w:bidi="ar"/>
              </w:rPr>
              <w:t>3</w:t>
            </w:r>
            <w:r>
              <w:rPr>
                <w:rFonts w:hint="default" w:ascii="Times New Roman" w:hAnsi="Times New Roman" w:cs="Times New Roman"/>
                <w:color w:val="auto"/>
                <w:sz w:val="21"/>
                <w:szCs w:val="21"/>
                <w:highlight w:val="none"/>
                <w:lang w:val="en-US" w:eastAsia="zh-CN" w:bidi="ar"/>
              </w:rPr>
              <w:t>，</w:t>
            </w:r>
            <w:r>
              <w:rPr>
                <w:rFonts w:hint="eastAsia" w:ascii="Times New Roman" w:hAnsi="Times New Roman" w:cs="Times New Roman"/>
                <w:color w:val="auto"/>
                <w:sz w:val="21"/>
                <w:szCs w:val="21"/>
                <w:highlight w:val="none"/>
                <w:lang w:val="en-US" w:eastAsia="zh-CN" w:bidi="ar"/>
              </w:rPr>
              <w:t>2</w:t>
            </w:r>
            <w:r>
              <w:rPr>
                <w:rFonts w:hint="default" w:ascii="Times New Roman" w:hAnsi="Times New Roman" w:cs="Times New Roman"/>
                <w:color w:val="auto"/>
                <w:sz w:val="21"/>
                <w:szCs w:val="21"/>
                <w:highlight w:val="none"/>
                <w:lang w:val="en-US" w:eastAsia="zh-CN" w:bidi="ar"/>
              </w:rPr>
              <w:t>台印刷机，</w:t>
            </w:r>
            <w:r>
              <w:rPr>
                <w:rFonts w:hint="eastAsia" w:ascii="Times New Roman" w:hAnsi="Times New Roman" w:cs="Times New Roman"/>
                <w:color w:val="auto"/>
                <w:sz w:val="21"/>
                <w:szCs w:val="21"/>
                <w:highlight w:val="none"/>
                <w:lang w:val="en-US" w:eastAsia="zh-CN" w:bidi="ar"/>
              </w:rPr>
              <w:t>则</w:t>
            </w:r>
            <w:r>
              <w:rPr>
                <w:rFonts w:hint="default" w:ascii="Times New Roman" w:hAnsi="Times New Roman" w:cs="Times New Roman"/>
                <w:color w:val="auto"/>
                <w:sz w:val="21"/>
                <w:szCs w:val="21"/>
                <w:highlight w:val="none"/>
                <w:lang w:val="en-US" w:eastAsia="zh-CN" w:bidi="ar"/>
              </w:rPr>
              <w:t>清洗用水量为0.03m</w:t>
            </w:r>
            <w:r>
              <w:rPr>
                <w:rFonts w:hint="default" w:ascii="Times New Roman" w:hAnsi="Times New Roman" w:cs="Times New Roman"/>
                <w:color w:val="auto"/>
                <w:sz w:val="21"/>
                <w:szCs w:val="21"/>
                <w:highlight w:val="none"/>
                <w:vertAlign w:val="superscript"/>
                <w:lang w:val="en-US" w:eastAsia="zh-CN" w:bidi="ar"/>
              </w:rPr>
              <w:t>3</w:t>
            </w:r>
            <w:r>
              <w:rPr>
                <w:rFonts w:hint="default" w:ascii="Times New Roman" w:hAnsi="Times New Roman" w:cs="Times New Roman"/>
                <w:color w:val="auto"/>
                <w:sz w:val="21"/>
                <w:szCs w:val="21"/>
                <w:highlight w:val="none"/>
                <w:lang w:val="en-US" w:eastAsia="zh-CN" w:bidi="ar"/>
              </w:rPr>
              <w:t>/d×</w:t>
            </w:r>
            <w:r>
              <w:rPr>
                <w:rFonts w:hint="eastAsia" w:ascii="Times New Roman" w:hAnsi="Times New Roman" w:cs="Times New Roman"/>
                <w:color w:val="auto"/>
                <w:sz w:val="21"/>
                <w:szCs w:val="21"/>
                <w:highlight w:val="none"/>
                <w:lang w:val="en-US" w:eastAsia="zh-CN" w:bidi="ar"/>
              </w:rPr>
              <w:t>2=0.06</w:t>
            </w:r>
            <w:r>
              <w:rPr>
                <w:rFonts w:hint="default" w:ascii="Times New Roman" w:hAnsi="Times New Roman" w:cs="Times New Roman"/>
                <w:color w:val="auto"/>
                <w:sz w:val="21"/>
                <w:szCs w:val="21"/>
                <w:highlight w:val="none"/>
                <w:lang w:val="en-US" w:eastAsia="zh-CN" w:bidi="ar"/>
              </w:rPr>
              <w:t>m</w:t>
            </w:r>
            <w:r>
              <w:rPr>
                <w:rFonts w:hint="default" w:ascii="Times New Roman" w:hAnsi="Times New Roman" w:cs="Times New Roman"/>
                <w:color w:val="auto"/>
                <w:sz w:val="21"/>
                <w:szCs w:val="21"/>
                <w:highlight w:val="none"/>
                <w:vertAlign w:val="superscript"/>
                <w:lang w:val="en-US" w:eastAsia="zh-CN" w:bidi="ar"/>
              </w:rPr>
              <w:t>3</w:t>
            </w:r>
            <w:r>
              <w:rPr>
                <w:rFonts w:hint="default" w:ascii="Times New Roman" w:hAnsi="Times New Roman" w:cs="Times New Roman"/>
                <w:color w:val="auto"/>
                <w:sz w:val="21"/>
                <w:szCs w:val="21"/>
                <w:highlight w:val="none"/>
                <w:lang w:val="en-US" w:eastAsia="zh-CN" w:bidi="ar"/>
              </w:rPr>
              <w:t>/d（</w:t>
            </w:r>
            <w:r>
              <w:rPr>
                <w:rFonts w:hint="eastAsia" w:ascii="Times New Roman" w:hAnsi="Times New Roman" w:cs="Times New Roman"/>
                <w:color w:val="auto"/>
                <w:sz w:val="21"/>
                <w:szCs w:val="21"/>
                <w:highlight w:val="none"/>
                <w:lang w:val="en-US" w:eastAsia="zh-CN" w:bidi="ar"/>
              </w:rPr>
              <w:t>18</w:t>
            </w:r>
            <w:r>
              <w:rPr>
                <w:rFonts w:hint="default" w:ascii="Times New Roman" w:hAnsi="Times New Roman" w:cs="Times New Roman"/>
                <w:color w:val="auto"/>
                <w:sz w:val="21"/>
                <w:szCs w:val="21"/>
                <w:highlight w:val="none"/>
                <w:lang w:val="en-US" w:eastAsia="zh-CN" w:bidi="ar"/>
              </w:rPr>
              <w:t>m</w:t>
            </w:r>
            <w:r>
              <w:rPr>
                <w:rFonts w:hint="default" w:ascii="Times New Roman" w:hAnsi="Times New Roman" w:cs="Times New Roman"/>
                <w:color w:val="auto"/>
                <w:sz w:val="21"/>
                <w:szCs w:val="21"/>
                <w:highlight w:val="none"/>
                <w:vertAlign w:val="superscript"/>
                <w:lang w:val="en-US" w:eastAsia="zh-CN" w:bidi="ar"/>
              </w:rPr>
              <w:t>3</w:t>
            </w:r>
            <w:r>
              <w:rPr>
                <w:rFonts w:hint="default" w:ascii="Times New Roman" w:hAnsi="Times New Roman" w:cs="Times New Roman"/>
                <w:color w:val="auto"/>
                <w:sz w:val="21"/>
                <w:szCs w:val="21"/>
                <w:highlight w:val="none"/>
                <w:lang w:val="en-US" w:eastAsia="zh-CN" w:bidi="ar"/>
              </w:rPr>
              <w:t>/a），因受热或蒸发等原因，</w:t>
            </w:r>
            <w:r>
              <w:rPr>
                <w:rFonts w:hint="eastAsia" w:ascii="Times New Roman" w:hAnsi="Times New Roman" w:cs="Times New Roman"/>
                <w:color w:val="auto"/>
                <w:sz w:val="21"/>
                <w:szCs w:val="21"/>
                <w:highlight w:val="none"/>
                <w:lang w:val="en-US" w:eastAsia="zh-CN" w:bidi="ar"/>
              </w:rPr>
              <w:t>清洗</w:t>
            </w:r>
            <w:r>
              <w:rPr>
                <w:rFonts w:hint="default" w:ascii="Times New Roman" w:hAnsi="Times New Roman" w:cs="Times New Roman"/>
                <w:color w:val="auto"/>
                <w:sz w:val="21"/>
                <w:szCs w:val="21"/>
                <w:highlight w:val="none"/>
                <w:lang w:val="en-US" w:eastAsia="zh-CN" w:bidi="ar"/>
              </w:rPr>
              <w:t>废水排污系数为0.9，则清洗废水产生量约为0.0</w:t>
            </w:r>
            <w:r>
              <w:rPr>
                <w:rFonts w:hint="eastAsia" w:ascii="Times New Roman" w:hAnsi="Times New Roman" w:cs="Times New Roman"/>
                <w:color w:val="auto"/>
                <w:sz w:val="21"/>
                <w:szCs w:val="21"/>
                <w:highlight w:val="none"/>
                <w:lang w:val="en-US" w:eastAsia="zh-CN" w:bidi="ar"/>
              </w:rPr>
              <w:t>54t</w:t>
            </w:r>
            <w:r>
              <w:rPr>
                <w:rFonts w:hint="default" w:ascii="Times New Roman" w:hAnsi="Times New Roman" w:cs="Times New Roman"/>
                <w:color w:val="auto"/>
                <w:sz w:val="21"/>
                <w:szCs w:val="21"/>
                <w:highlight w:val="none"/>
                <w:lang w:val="en-US" w:eastAsia="zh-CN" w:bidi="ar"/>
              </w:rPr>
              <w:t>/d（</w:t>
            </w:r>
            <w:r>
              <w:rPr>
                <w:rFonts w:hint="eastAsia" w:ascii="Times New Roman" w:hAnsi="Times New Roman" w:cs="Times New Roman"/>
                <w:color w:val="auto"/>
                <w:sz w:val="21"/>
                <w:szCs w:val="21"/>
                <w:highlight w:val="none"/>
                <w:lang w:val="en-US" w:eastAsia="zh-CN" w:bidi="ar"/>
              </w:rPr>
              <w:t>16.2t</w:t>
            </w:r>
            <w:r>
              <w:rPr>
                <w:rFonts w:hint="default" w:ascii="Times New Roman" w:hAnsi="Times New Roman" w:cs="Times New Roman"/>
                <w:color w:val="auto"/>
                <w:sz w:val="21"/>
                <w:szCs w:val="21"/>
                <w:highlight w:val="none"/>
                <w:lang w:val="en-US" w:eastAsia="zh-CN" w:bidi="ar"/>
              </w:rPr>
              <w:t>/a），清洗废水经收集后交由有危险废物处理资质公司回收处理，不外排。</w:t>
            </w:r>
          </w:p>
          <w:p w14:paraId="64CAD16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highlight w:val="none"/>
              </w:rPr>
              <mc:AlternateContent>
                <mc:Choice Requires="wpc">
                  <w:drawing>
                    <wp:inline distT="0" distB="0" distL="0" distR="0">
                      <wp:extent cx="5547360" cy="2698115"/>
                      <wp:effectExtent l="0" t="0" r="0" b="0"/>
                      <wp:docPr id="1" name="画布 27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36" name="文本框 15"/>
                              <wps:cNvSpPr txBox="1">
                                <a:spLocks noChangeArrowheads="1"/>
                              </wps:cNvSpPr>
                              <wps:spPr bwMode="auto">
                                <a:xfrm>
                                  <a:off x="2512060" y="342265"/>
                                  <a:ext cx="899795" cy="289560"/>
                                </a:xfrm>
                                <a:prstGeom prst="rect">
                                  <a:avLst/>
                                </a:prstGeom>
                                <a:noFill/>
                                <a:ln w="9525">
                                  <a:solidFill>
                                    <a:srgbClr val="000000"/>
                                  </a:solidFill>
                                  <a:miter lim="800000"/>
                                </a:ln>
                                <a:effectLst/>
                              </wps:spPr>
                              <wps:txbx>
                                <w:txbxContent>
                                  <w:p w14:paraId="606F377A">
                                    <w:pPr>
                                      <w:jc w:val="center"/>
                                      <w:rPr>
                                        <w:szCs w:val="21"/>
                                      </w:rPr>
                                    </w:pPr>
                                    <w:r>
                                      <w:rPr>
                                        <w:rFonts w:hint="eastAsia" w:ascii="Times New Roman" w:hAnsi="Times New Roman" w:eastAsia="宋体" w:cs="宋体"/>
                                        <w:bCs/>
                                        <w:szCs w:val="21"/>
                                        <w:lang w:bidi="ar"/>
                                      </w:rPr>
                                      <w:t>三级化粪池</w:t>
                                    </w:r>
                                  </w:p>
                                </w:txbxContent>
                              </wps:txbx>
                              <wps:bodyPr rot="0" vert="horz" wrap="square" lIns="91440" tIns="45720" rIns="91440" bIns="45720" anchor="t" anchorCtr="0" upright="1">
                                <a:noAutofit/>
                              </wps:bodyPr>
                            </wps:wsp>
                            <wps:wsp>
                              <wps:cNvPr id="38" name="文本框 16"/>
                              <wps:cNvSpPr txBox="1">
                                <a:spLocks noChangeArrowheads="1"/>
                              </wps:cNvSpPr>
                              <wps:spPr bwMode="auto">
                                <a:xfrm>
                                  <a:off x="3804920" y="330835"/>
                                  <a:ext cx="1437005" cy="298450"/>
                                </a:xfrm>
                                <a:prstGeom prst="rect">
                                  <a:avLst/>
                                </a:prstGeom>
                                <a:noFill/>
                                <a:ln>
                                  <a:noFill/>
                                </a:ln>
                                <a:effectLst/>
                              </wps:spPr>
                              <wps:txbx>
                                <w:txbxContent>
                                  <w:p w14:paraId="210498B7">
                                    <w:pPr>
                                      <w:jc w:val="center"/>
                                      <w:rPr>
                                        <w:rFonts w:hint="eastAsia"/>
                                        <w:lang w:eastAsia="zh-CN"/>
                                      </w:rPr>
                                    </w:pPr>
                                    <w:r>
                                      <w:rPr>
                                        <w:rFonts w:hint="eastAsia"/>
                                        <w:color w:val="auto"/>
                                        <w:vertAlign w:val="baseline"/>
                                        <w:lang w:val="en-US" w:eastAsia="zh-CN"/>
                                      </w:rPr>
                                      <w:t>博罗县城污水处理厂</w:t>
                                    </w:r>
                                  </w:p>
                                </w:txbxContent>
                              </wps:txbx>
                              <wps:bodyPr rot="0" vert="horz" wrap="square" lIns="91440" tIns="45720" rIns="91440" bIns="45720" anchor="t" anchorCtr="0" upright="1">
                                <a:noAutofit/>
                              </wps:bodyPr>
                            </wps:wsp>
                            <wps:wsp>
                              <wps:cNvPr id="41" name="直线 19"/>
                              <wps:cNvCnPr>
                                <a:cxnSpLocks noChangeShapeType="1"/>
                              </wps:cNvCnPr>
                              <wps:spPr bwMode="auto">
                                <a:xfrm>
                                  <a:off x="3411855" y="501650"/>
                                  <a:ext cx="371475" cy="635"/>
                                </a:xfrm>
                                <a:prstGeom prst="line">
                                  <a:avLst/>
                                </a:prstGeom>
                                <a:noFill/>
                                <a:ln w="9525">
                                  <a:solidFill>
                                    <a:srgbClr val="000000"/>
                                  </a:solidFill>
                                  <a:round/>
                                  <a:tailEnd type="triangle" w="med" len="med"/>
                                </a:ln>
                                <a:effectLst/>
                              </wps:spPr>
                              <wps:bodyPr/>
                            </wps:wsp>
                            <wps:wsp>
                              <wps:cNvPr id="44" name="直线 21"/>
                              <wps:cNvCnPr>
                                <a:cxnSpLocks noChangeShapeType="1"/>
                              </wps:cNvCnPr>
                              <wps:spPr bwMode="auto">
                                <a:xfrm>
                                  <a:off x="2178685" y="463550"/>
                                  <a:ext cx="333375" cy="635"/>
                                </a:xfrm>
                                <a:prstGeom prst="line">
                                  <a:avLst/>
                                </a:prstGeom>
                                <a:noFill/>
                                <a:ln w="9525">
                                  <a:solidFill>
                                    <a:srgbClr val="000000"/>
                                  </a:solidFill>
                                  <a:round/>
                                  <a:tailEnd type="triangle" w="med" len="med"/>
                                </a:ln>
                                <a:effectLst/>
                              </wps:spPr>
                              <wps:bodyPr/>
                            </wps:wsp>
                            <wps:wsp>
                              <wps:cNvPr id="61" name="文本框 23"/>
                              <wps:cNvSpPr txBox="1">
                                <a:spLocks noChangeArrowheads="1"/>
                              </wps:cNvSpPr>
                              <wps:spPr bwMode="auto">
                                <a:xfrm>
                                  <a:off x="81280" y="641985"/>
                                  <a:ext cx="327660" cy="642620"/>
                                </a:xfrm>
                                <a:prstGeom prst="rect">
                                  <a:avLst/>
                                </a:prstGeom>
                                <a:noFill/>
                                <a:ln>
                                  <a:noFill/>
                                </a:ln>
                                <a:effectLst/>
                              </wps:spPr>
                              <wps:txbx>
                                <w:txbxContent>
                                  <w:p w14:paraId="26C56F99">
                                    <w:r>
                                      <w:rPr>
                                        <w:rFonts w:hint="eastAsia" w:ascii="Times New Roman" w:hAnsi="Times New Roman" w:eastAsia="宋体" w:cs="宋体"/>
                                        <w:szCs w:val="21"/>
                                        <w:lang w:bidi="ar"/>
                                      </w:rPr>
                                      <w:t>新鲜水</w:t>
                                    </w:r>
                                  </w:p>
                                </w:txbxContent>
                              </wps:txbx>
                              <wps:bodyPr rot="0" vert="horz" wrap="square" lIns="91440" tIns="45720" rIns="91440" bIns="45720" anchor="t" anchorCtr="0" upright="1">
                                <a:noAutofit/>
                              </wps:bodyPr>
                            </wps:wsp>
                            <wps:wsp>
                              <wps:cNvPr id="82" name="文本框 29"/>
                              <wps:cNvSpPr txBox="1">
                                <a:spLocks noChangeArrowheads="1"/>
                              </wps:cNvSpPr>
                              <wps:spPr bwMode="auto">
                                <a:xfrm>
                                  <a:off x="2146935" y="208280"/>
                                  <a:ext cx="579755" cy="292100"/>
                                </a:xfrm>
                                <a:prstGeom prst="rect">
                                  <a:avLst/>
                                </a:prstGeom>
                                <a:noFill/>
                                <a:ln>
                                  <a:noFill/>
                                </a:ln>
                                <a:effectLst/>
                              </wps:spPr>
                              <wps:txbx>
                                <w:txbxContent>
                                  <w:p w14:paraId="665ED575">
                                    <w:pPr>
                                      <w:rPr>
                                        <w:rFonts w:hint="default" w:eastAsia="宋体"/>
                                        <w:lang w:val="en-US" w:eastAsia="zh-CN"/>
                                      </w:rPr>
                                    </w:pPr>
                                    <w:r>
                                      <w:rPr>
                                        <w:rFonts w:hint="eastAsia" w:ascii="Times New Roman" w:hAnsi="Times New Roman" w:eastAsia="宋体"/>
                                        <w:szCs w:val="21"/>
                                        <w:lang w:val="en-US" w:eastAsia="zh-CN" w:bidi="ar"/>
                                      </w:rPr>
                                      <w:t>0.</w:t>
                                    </w:r>
                                    <w:r>
                                      <w:rPr>
                                        <w:rFonts w:hint="eastAsia"/>
                                        <w:szCs w:val="21"/>
                                        <w:lang w:val="en-US" w:eastAsia="zh-CN" w:bidi="ar"/>
                                      </w:rPr>
                                      <w:t>5</w:t>
                                    </w:r>
                                    <w:r>
                                      <w:rPr>
                                        <w:rFonts w:hint="eastAsia" w:ascii="Times New Roman" w:hAnsi="Times New Roman" w:eastAsia="宋体"/>
                                        <w:szCs w:val="21"/>
                                        <w:lang w:val="en-US" w:eastAsia="zh-CN" w:bidi="ar"/>
                                      </w:rPr>
                                      <w:t>6</w:t>
                                    </w:r>
                                  </w:p>
                                </w:txbxContent>
                              </wps:txbx>
                              <wps:bodyPr rot="0" vert="horz" wrap="square" lIns="91440" tIns="45720" rIns="91440" bIns="45720" anchor="t" anchorCtr="0" upright="1">
                                <a:noAutofit/>
                              </wps:bodyPr>
                            </wps:wsp>
                            <wps:wsp>
                              <wps:cNvPr id="104" name="自选图形 41"/>
                              <wps:cNvCnPr>
                                <a:cxnSpLocks noChangeShapeType="1"/>
                              </wps:cNvCnPr>
                              <wps:spPr bwMode="auto">
                                <a:xfrm flipV="1">
                                  <a:off x="1746885" y="172085"/>
                                  <a:ext cx="319405" cy="149225"/>
                                </a:xfrm>
                                <a:prstGeom prst="curvedConnector3">
                                  <a:avLst>
                                    <a:gd name="adj1" fmla="val 50074"/>
                                  </a:avLst>
                                </a:prstGeom>
                                <a:noFill/>
                                <a:ln w="9525">
                                  <a:solidFill>
                                    <a:srgbClr val="000000"/>
                                  </a:solidFill>
                                  <a:prstDash val="dash"/>
                                  <a:round/>
                                  <a:tailEnd type="triangle" w="med" len="med"/>
                                </a:ln>
                                <a:effectLst/>
                              </wps:spPr>
                              <wps:bodyPr/>
                            </wps:wsp>
                            <wps:wsp>
                              <wps:cNvPr id="105" name="文本框 81"/>
                              <wps:cNvSpPr txBox="1">
                                <a:spLocks noChangeArrowheads="1"/>
                              </wps:cNvSpPr>
                              <wps:spPr bwMode="auto">
                                <a:xfrm>
                                  <a:off x="3413125" y="254000"/>
                                  <a:ext cx="483870" cy="292100"/>
                                </a:xfrm>
                                <a:prstGeom prst="rect">
                                  <a:avLst/>
                                </a:prstGeom>
                                <a:noFill/>
                                <a:ln>
                                  <a:noFill/>
                                </a:ln>
                                <a:effectLst/>
                              </wps:spPr>
                              <wps:txbx>
                                <w:txbxContent>
                                  <w:p w14:paraId="768E13E3">
                                    <w:pPr>
                                      <w:rPr>
                                        <w:rFonts w:hint="default" w:eastAsia="宋体"/>
                                        <w:lang w:val="en-US" w:eastAsia="zh-CN"/>
                                      </w:rPr>
                                    </w:pPr>
                                    <w:r>
                                      <w:rPr>
                                        <w:rFonts w:hint="eastAsia" w:ascii="Times New Roman" w:hAnsi="Times New Roman" w:eastAsia="宋体"/>
                                        <w:szCs w:val="21"/>
                                        <w:lang w:val="en-US" w:eastAsia="zh-CN" w:bidi="ar"/>
                                      </w:rPr>
                                      <w:t>0.</w:t>
                                    </w:r>
                                    <w:r>
                                      <w:rPr>
                                        <w:rFonts w:hint="eastAsia"/>
                                        <w:szCs w:val="21"/>
                                        <w:lang w:val="en-US" w:eastAsia="zh-CN" w:bidi="ar"/>
                                      </w:rPr>
                                      <w:t>5</w:t>
                                    </w:r>
                                    <w:r>
                                      <w:rPr>
                                        <w:rFonts w:hint="eastAsia" w:ascii="Times New Roman" w:hAnsi="Times New Roman" w:eastAsia="宋体"/>
                                        <w:szCs w:val="21"/>
                                        <w:lang w:val="en-US" w:eastAsia="zh-CN" w:bidi="ar"/>
                                      </w:rPr>
                                      <w:t>6</w:t>
                                    </w:r>
                                  </w:p>
                                </w:txbxContent>
                              </wps:txbx>
                              <wps:bodyPr rot="0" vert="horz" wrap="square" lIns="91440" tIns="45720" rIns="91440" bIns="45720" anchor="t" anchorCtr="0" upright="1">
                                <a:noAutofit/>
                              </wps:bodyPr>
                            </wps:wsp>
                            <wps:wsp>
                              <wps:cNvPr id="117" name="文本框 34"/>
                              <wps:cNvSpPr txBox="1">
                                <a:spLocks noChangeArrowheads="1"/>
                              </wps:cNvSpPr>
                              <wps:spPr bwMode="auto">
                                <a:xfrm>
                                  <a:off x="1295400" y="320040"/>
                                  <a:ext cx="883285" cy="292100"/>
                                </a:xfrm>
                                <a:prstGeom prst="rect">
                                  <a:avLst/>
                                </a:prstGeom>
                                <a:noFill/>
                                <a:ln w="9525">
                                  <a:solidFill>
                                    <a:srgbClr val="000000"/>
                                  </a:solidFill>
                                  <a:miter lim="800000"/>
                                </a:ln>
                                <a:effectLst/>
                              </wps:spPr>
                              <wps:txbx>
                                <w:txbxContent>
                                  <w:p w14:paraId="5B816749">
                                    <w:pPr>
                                      <w:jc w:val="center"/>
                                    </w:pPr>
                                    <w:r>
                                      <w:rPr>
                                        <w:rFonts w:hint="eastAsia" w:ascii="Times New Roman" w:hAnsi="Times New Roman" w:eastAsia="宋体" w:cs="宋体"/>
                                        <w:szCs w:val="21"/>
                                        <w:lang w:bidi="ar"/>
                                      </w:rPr>
                                      <w:t>生活用水</w:t>
                                    </w:r>
                                  </w:p>
                                </w:txbxContent>
                              </wps:txbx>
                              <wps:bodyPr rot="0" vert="horz" wrap="square" lIns="91440" tIns="45720" rIns="91440" bIns="45720" anchor="t" anchorCtr="0" upright="1">
                                <a:noAutofit/>
                              </wps:bodyPr>
                            </wps:wsp>
                            <wps:wsp>
                              <wps:cNvPr id="118" name="文本框 32"/>
                              <wps:cNvSpPr txBox="1">
                                <a:spLocks noChangeArrowheads="1"/>
                              </wps:cNvSpPr>
                              <wps:spPr bwMode="auto">
                                <a:xfrm>
                                  <a:off x="2012315" y="0"/>
                                  <a:ext cx="873760" cy="292100"/>
                                </a:xfrm>
                                <a:prstGeom prst="rect">
                                  <a:avLst/>
                                </a:prstGeom>
                                <a:noFill/>
                                <a:ln>
                                  <a:noFill/>
                                </a:ln>
                                <a:effectLst/>
                              </wps:spPr>
                              <wps:txbx>
                                <w:txbxContent>
                                  <w:p w14:paraId="4116264F">
                                    <w:pPr>
                                      <w:rPr>
                                        <w:rFonts w:hint="default" w:eastAsia="宋体"/>
                                        <w:lang w:val="en-US" w:eastAsia="zh-CN"/>
                                      </w:rPr>
                                    </w:pPr>
                                    <w:r>
                                      <w:rPr>
                                        <w:rFonts w:hint="eastAsia" w:ascii="Times New Roman" w:hAnsi="Times New Roman" w:eastAsia="宋体" w:cs="宋体"/>
                                        <w:szCs w:val="21"/>
                                        <w:lang w:bidi="ar"/>
                                      </w:rPr>
                                      <w:t>损耗</w:t>
                                    </w:r>
                                    <w:r>
                                      <w:rPr>
                                        <w:rFonts w:hint="eastAsia" w:ascii="Times New Roman" w:hAnsi="Times New Roman" w:eastAsia="宋体" w:cs="宋体"/>
                                        <w:szCs w:val="21"/>
                                        <w:lang w:val="en-US" w:eastAsia="zh-CN" w:bidi="ar"/>
                                      </w:rPr>
                                      <w:t>0.</w:t>
                                    </w:r>
                                    <w:r>
                                      <w:rPr>
                                        <w:rFonts w:hint="eastAsia" w:cs="宋体"/>
                                        <w:szCs w:val="21"/>
                                        <w:lang w:val="en-US" w:eastAsia="zh-CN" w:bidi="ar"/>
                                      </w:rPr>
                                      <w:t>14</w:t>
                                    </w:r>
                                  </w:p>
                                </w:txbxContent>
                              </wps:txbx>
                              <wps:bodyPr rot="0" vert="horz" wrap="square" lIns="91440" tIns="45720" rIns="91440" bIns="45720" anchor="t" anchorCtr="0" upright="1">
                                <a:noAutofit/>
                              </wps:bodyPr>
                            </wps:wsp>
                            <wps:wsp>
                              <wps:cNvPr id="125" name="肘形连接符 39"/>
                              <wps:cNvCnPr>
                                <a:cxnSpLocks noChangeShapeType="1"/>
                              </wps:cNvCnPr>
                              <wps:spPr bwMode="auto">
                                <a:xfrm rot="10800000" flipV="1">
                                  <a:off x="1773555" y="1485900"/>
                                  <a:ext cx="476885" cy="121920"/>
                                </a:xfrm>
                                <a:prstGeom prst="bentConnector4">
                                  <a:avLst>
                                    <a:gd name="adj1" fmla="val -65513"/>
                                    <a:gd name="adj2" fmla="val 287500"/>
                                  </a:avLst>
                                </a:prstGeom>
                                <a:noFill/>
                                <a:ln w="9525">
                                  <a:solidFill>
                                    <a:srgbClr val="000000"/>
                                  </a:solidFill>
                                  <a:miter lim="800000"/>
                                  <a:tailEnd type="triangle" w="med" len="med"/>
                                </a:ln>
                                <a:effectLst/>
                              </wps:spPr>
                              <wps:bodyPr/>
                            </wps:wsp>
                            <wps:wsp>
                              <wps:cNvPr id="126" name="文本框 81_SpCnt_1"/>
                              <wps:cNvSpPr txBox="1">
                                <a:spLocks noChangeArrowheads="1"/>
                              </wps:cNvSpPr>
                              <wps:spPr bwMode="auto">
                                <a:xfrm>
                                  <a:off x="2551430" y="1553210"/>
                                  <a:ext cx="654050" cy="291465"/>
                                </a:xfrm>
                                <a:prstGeom prst="rect">
                                  <a:avLst/>
                                </a:prstGeom>
                                <a:noFill/>
                                <a:ln>
                                  <a:noFill/>
                                </a:ln>
                                <a:effectLst/>
                              </wps:spPr>
                              <wps:txbx>
                                <w:txbxContent>
                                  <w:p w14:paraId="439CC287">
                                    <w:pPr>
                                      <w:pStyle w:val="37"/>
                                      <w:spacing w:before="0" w:beforeAutospacing="0" w:after="0" w:afterAutospacing="0"/>
                                      <w:jc w:val="both"/>
                                      <w:rPr>
                                        <w:szCs w:val="24"/>
                                      </w:rPr>
                                    </w:pPr>
                                    <w:r>
                                      <w:rPr>
                                        <w:rFonts w:hint="eastAsia" w:ascii="Times New Roman" w:hAnsi="Times New Roman"/>
                                        <w:sz w:val="21"/>
                                        <w:szCs w:val="21"/>
                                        <w:lang w:val="en-US" w:eastAsia="zh-CN"/>
                                      </w:rPr>
                                      <w:t>5</w:t>
                                    </w:r>
                                    <w:r>
                                      <w:rPr>
                                        <w:rFonts w:ascii="Times New Roman" w:hAnsi="Times New Roman"/>
                                        <w:sz w:val="21"/>
                                        <w:szCs w:val="21"/>
                                      </w:rPr>
                                      <w:t>m</w:t>
                                    </w:r>
                                    <w:r>
                                      <w:rPr>
                                        <w:rFonts w:ascii="Times New Roman" w:hAnsi="Times New Roman"/>
                                        <w:sz w:val="21"/>
                                        <w:szCs w:val="21"/>
                                        <w:vertAlign w:val="superscript"/>
                                      </w:rPr>
                                      <w:t>3</w:t>
                                    </w:r>
                                    <w:r>
                                      <w:rPr>
                                        <w:rFonts w:ascii="Times New Roman" w:hAnsi="Times New Roman"/>
                                        <w:sz w:val="21"/>
                                        <w:szCs w:val="21"/>
                                      </w:rPr>
                                      <w:t>/h</w:t>
                                    </w:r>
                                  </w:p>
                                </w:txbxContent>
                              </wps:txbx>
                              <wps:bodyPr rot="0" vert="horz" wrap="square" lIns="91440" tIns="45720" rIns="91440" bIns="45720" anchor="t" anchorCtr="0" upright="1">
                                <a:noAutofit/>
                              </wps:bodyPr>
                            </wps:wsp>
                            <wps:wsp>
                              <wps:cNvPr id="273" name="文本框 34_SpCnt_1"/>
                              <wps:cNvSpPr txBox="1">
                                <a:spLocks noChangeArrowheads="1"/>
                              </wps:cNvSpPr>
                              <wps:spPr bwMode="auto">
                                <a:xfrm>
                                  <a:off x="1296035" y="1304290"/>
                                  <a:ext cx="953770" cy="290830"/>
                                </a:xfrm>
                                <a:prstGeom prst="rect">
                                  <a:avLst/>
                                </a:prstGeom>
                                <a:noFill/>
                                <a:ln w="9525">
                                  <a:solidFill>
                                    <a:srgbClr val="000000"/>
                                  </a:solidFill>
                                  <a:miter lim="800000"/>
                                </a:ln>
                                <a:effectLst/>
                              </wps:spPr>
                              <wps:txbx>
                                <w:txbxContent>
                                  <w:p w14:paraId="45735081">
                                    <w:pPr>
                                      <w:pStyle w:val="37"/>
                                      <w:spacing w:before="0" w:beforeAutospacing="0" w:after="0" w:afterAutospacing="0"/>
                                      <w:jc w:val="center"/>
                                      <w:rPr>
                                        <w:rFonts w:eastAsia="宋体" w:cs="宋体"/>
                                        <w:szCs w:val="24"/>
                                      </w:rPr>
                                    </w:pPr>
                                    <w:r>
                                      <w:rPr>
                                        <w:rFonts w:hint="eastAsia" w:eastAsia="宋体" w:cs="宋体"/>
                                        <w:sz w:val="21"/>
                                        <w:szCs w:val="21"/>
                                      </w:rPr>
                                      <w:t>冷水用水</w:t>
                                    </w:r>
                                  </w:p>
                                </w:txbxContent>
                              </wps:txbx>
                              <wps:bodyPr rot="0" vert="horz" wrap="square" lIns="91440" tIns="45720" rIns="91440" bIns="45720" anchor="t" anchorCtr="0" upright="1">
                                <a:noAutofit/>
                              </wps:bodyPr>
                            </wps:wsp>
                            <wps:wsp>
                              <wps:cNvPr id="137" name="自选图形 41_SpCnt_1"/>
                              <wps:cNvCnPr>
                                <a:cxnSpLocks noChangeShapeType="1"/>
                              </wps:cNvCnPr>
                              <wps:spPr bwMode="auto">
                                <a:xfrm flipV="1">
                                  <a:off x="1636393" y="1163955"/>
                                  <a:ext cx="319405" cy="145415"/>
                                </a:xfrm>
                                <a:prstGeom prst="curvedConnector3">
                                  <a:avLst>
                                    <a:gd name="adj1" fmla="val 50000"/>
                                  </a:avLst>
                                </a:prstGeom>
                                <a:noFill/>
                                <a:ln w="9525">
                                  <a:solidFill>
                                    <a:srgbClr val="000000"/>
                                  </a:solidFill>
                                  <a:prstDash val="dash"/>
                                  <a:round/>
                                  <a:tailEnd type="triangle" w="med" len="med"/>
                                </a:ln>
                                <a:effectLst/>
                              </wps:spPr>
                              <wps:bodyPr/>
                            </wps:wsp>
                            <wps:wsp>
                              <wps:cNvPr id="138" name="文本框 32_SpCnt_2"/>
                              <wps:cNvSpPr txBox="1">
                                <a:spLocks noChangeArrowheads="1"/>
                              </wps:cNvSpPr>
                              <wps:spPr bwMode="auto">
                                <a:xfrm>
                                  <a:off x="1897380" y="972820"/>
                                  <a:ext cx="873760" cy="291465"/>
                                </a:xfrm>
                                <a:prstGeom prst="rect">
                                  <a:avLst/>
                                </a:prstGeom>
                                <a:noFill/>
                                <a:ln>
                                  <a:noFill/>
                                </a:ln>
                                <a:effectLst/>
                              </wps:spPr>
                              <wps:txbx>
                                <w:txbxContent>
                                  <w:p w14:paraId="6CC333FC">
                                    <w:pPr>
                                      <w:pStyle w:val="37"/>
                                      <w:spacing w:before="0" w:beforeAutospacing="0" w:after="0" w:afterAutospacing="0"/>
                                      <w:jc w:val="both"/>
                                      <w:rPr>
                                        <w:rFonts w:hint="default" w:eastAsia="宋体"/>
                                        <w:szCs w:val="24"/>
                                        <w:lang w:val="en-US" w:eastAsia="zh-CN"/>
                                      </w:rPr>
                                    </w:pPr>
                                    <w:r>
                                      <w:rPr>
                                        <w:rFonts w:eastAsia="宋体"/>
                                        <w:sz w:val="21"/>
                                        <w:szCs w:val="21"/>
                                      </w:rPr>
                                      <w:t>损耗</w:t>
                                    </w:r>
                                    <w:r>
                                      <w:rPr>
                                        <w:rFonts w:ascii="Times New Roman" w:hAnsi="Times New Roman"/>
                                        <w:sz w:val="21"/>
                                        <w:szCs w:val="21"/>
                                      </w:rPr>
                                      <w:t>0.</w:t>
                                    </w:r>
                                    <w:r>
                                      <w:rPr>
                                        <w:rFonts w:hint="eastAsia" w:ascii="Times New Roman" w:hAnsi="Times New Roman"/>
                                        <w:sz w:val="21"/>
                                        <w:szCs w:val="21"/>
                                        <w:lang w:val="en-US" w:eastAsia="zh-CN"/>
                                      </w:rPr>
                                      <w:t>672</w:t>
                                    </w:r>
                                  </w:p>
                                </w:txbxContent>
                              </wps:txbx>
                              <wps:bodyPr rot="0" vert="horz" wrap="square" lIns="91440" tIns="45720" rIns="91440" bIns="45720" anchor="t" anchorCtr="0" upright="1">
                                <a:noAutofit/>
                              </wps:bodyPr>
                            </wps:wsp>
                            <wps:wsp>
                              <wps:cNvPr id="140" name="文本框 25_SpCnt_1"/>
                              <wps:cNvSpPr txBox="1">
                                <a:spLocks noChangeArrowheads="1"/>
                              </wps:cNvSpPr>
                              <wps:spPr bwMode="auto">
                                <a:xfrm>
                                  <a:off x="805180" y="167640"/>
                                  <a:ext cx="444500" cy="292100"/>
                                </a:xfrm>
                                <a:prstGeom prst="rect">
                                  <a:avLst/>
                                </a:prstGeom>
                                <a:noFill/>
                                <a:ln>
                                  <a:noFill/>
                                </a:ln>
                                <a:effectLst/>
                              </wps:spPr>
                              <wps:txbx>
                                <w:txbxContent>
                                  <w:p w14:paraId="637D0CDA">
                                    <w:pPr>
                                      <w:rPr>
                                        <w:rFonts w:hint="default" w:eastAsia="宋体"/>
                                        <w:lang w:val="en-US" w:eastAsia="zh-CN"/>
                                      </w:rPr>
                                    </w:pPr>
                                    <w:r>
                                      <w:rPr>
                                        <w:rFonts w:hint="eastAsia" w:ascii="Times New Roman" w:hAnsi="Times New Roman" w:eastAsia="宋体"/>
                                        <w:szCs w:val="21"/>
                                        <w:lang w:val="en-US" w:eastAsia="zh-CN" w:bidi="ar"/>
                                      </w:rPr>
                                      <w:t>0.7</w:t>
                                    </w:r>
                                  </w:p>
                                </w:txbxContent>
                              </wps:txbx>
                              <wps:bodyPr rot="0" vert="horz" wrap="square" lIns="91440" tIns="45720" rIns="91440" bIns="45720" anchor="t" anchorCtr="0" upright="1">
                                <a:noAutofit/>
                              </wps:bodyPr>
                            </wps:wsp>
                            <wps:wsp>
                              <wps:cNvPr id="141" name="文本框 25_SpCnt_1"/>
                              <wps:cNvSpPr txBox="1">
                                <a:spLocks noChangeArrowheads="1"/>
                              </wps:cNvSpPr>
                              <wps:spPr bwMode="auto">
                                <a:xfrm>
                                  <a:off x="337820" y="675640"/>
                                  <a:ext cx="560070" cy="292100"/>
                                </a:xfrm>
                                <a:prstGeom prst="rect">
                                  <a:avLst/>
                                </a:prstGeom>
                                <a:noFill/>
                                <a:ln>
                                  <a:noFill/>
                                </a:ln>
                                <a:effectLst/>
                              </wps:spPr>
                              <wps:txbx>
                                <w:txbxContent>
                                  <w:p w14:paraId="1AEDD48B">
                                    <w:pP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1.</w:t>
                                    </w:r>
                                    <w:r>
                                      <w:rPr>
                                        <w:rFonts w:hint="eastAsia" w:cs="Times New Roman"/>
                                        <w:lang w:val="en-US" w:eastAsia="zh-CN"/>
                                      </w:rPr>
                                      <w:t>439</w:t>
                                    </w:r>
                                  </w:p>
                                </w:txbxContent>
                              </wps:txbx>
                              <wps:bodyPr rot="0" vert="horz" wrap="square" lIns="91440" tIns="45720" rIns="91440" bIns="45720" anchor="t" anchorCtr="0" upright="1">
                                <a:noAutofit/>
                              </wps:bodyPr>
                            </wps:wsp>
                            <wps:wsp>
                              <wps:cNvPr id="13" name="肘形连接符 13"/>
                              <wps:cNvCnPr/>
                              <wps:spPr>
                                <a:xfrm rot="10800000" flipH="1" flipV="1">
                                  <a:off x="1294765" y="465455"/>
                                  <a:ext cx="3175" cy="983615"/>
                                </a:xfrm>
                                <a:prstGeom prst="bentConnector3">
                                  <a:avLst>
                                    <a:gd name="adj1" fmla="val -15900000"/>
                                  </a:avLst>
                                </a:prstGeom>
                                <a:noFill/>
                                <a:ln w="9525" cap="flat" cmpd="sng" algn="ctr">
                                  <a:solidFill>
                                    <a:srgbClr val="000000"/>
                                  </a:solidFill>
                                  <a:prstDash val="solid"/>
                                  <a:headEnd type="triangle"/>
                                  <a:tailEnd type="triangle"/>
                                </a:ln>
                                <a:effectLst/>
                              </wps:spPr>
                              <wps:bodyPr/>
                            </wps:wsp>
                            <wps:wsp>
                              <wps:cNvPr id="15" name="直接连接符 15"/>
                              <wps:cNvCnPr/>
                              <wps:spPr>
                                <a:xfrm flipV="1">
                                  <a:off x="408940" y="960120"/>
                                  <a:ext cx="373380" cy="3175"/>
                                </a:xfrm>
                                <a:prstGeom prst="line">
                                  <a:avLst/>
                                </a:prstGeom>
                                <a:noFill/>
                                <a:ln w="9525" cap="flat" cmpd="sng" algn="ctr">
                                  <a:solidFill>
                                    <a:srgbClr val="000000"/>
                                  </a:solidFill>
                                  <a:prstDash val="solid"/>
                                </a:ln>
                                <a:effectLst/>
                              </wps:spPr>
                              <wps:bodyPr/>
                            </wps:wsp>
                            <wps:wsp>
                              <wps:cNvPr id="16" name="文本框 25_SpCnt_1"/>
                              <wps:cNvSpPr txBox="1">
                                <a:spLocks noChangeArrowheads="1"/>
                              </wps:cNvSpPr>
                              <wps:spPr bwMode="auto">
                                <a:xfrm>
                                  <a:off x="767715" y="1181100"/>
                                  <a:ext cx="563880" cy="292100"/>
                                </a:xfrm>
                                <a:prstGeom prst="rect">
                                  <a:avLst/>
                                </a:prstGeom>
                                <a:noFill/>
                                <a:ln>
                                  <a:noFill/>
                                </a:ln>
                                <a:effectLst/>
                              </wps:spPr>
                              <wps:txbx>
                                <w:txbxContent>
                                  <w:p w14:paraId="5B8401B5">
                                    <w:pPr>
                                      <w:rPr>
                                        <w:rFonts w:hint="default" w:eastAsia="宋体"/>
                                        <w:lang w:val="en-US" w:eastAsia="zh-CN"/>
                                      </w:rPr>
                                    </w:pPr>
                                    <w:r>
                                      <w:rPr>
                                        <w:rFonts w:hint="eastAsia" w:ascii="Times New Roman" w:hAnsi="Times New Roman" w:eastAsia="宋体"/>
                                        <w:szCs w:val="21"/>
                                        <w:lang w:val="en-US" w:eastAsia="zh-CN" w:bidi="ar"/>
                                      </w:rPr>
                                      <w:t>0.</w:t>
                                    </w:r>
                                    <w:r>
                                      <w:rPr>
                                        <w:rFonts w:hint="eastAsia"/>
                                        <w:szCs w:val="21"/>
                                        <w:lang w:val="en-US" w:eastAsia="zh-CN" w:bidi="ar"/>
                                      </w:rPr>
                                      <w:t>679</w:t>
                                    </w:r>
                                  </w:p>
                                </w:txbxContent>
                              </wps:txbx>
                              <wps:bodyPr rot="0" vert="horz" wrap="square" lIns="91440" tIns="45720" rIns="91440" bIns="45720" anchor="t" anchorCtr="0" upright="1">
                                <a:noAutofit/>
                              </wps:bodyPr>
                            </wps:wsp>
                            <wps:wsp>
                              <wps:cNvPr id="240" name="文本框 16"/>
                              <wps:cNvSpPr txBox="1">
                                <a:spLocks noChangeArrowheads="1"/>
                              </wps:cNvSpPr>
                              <wps:spPr bwMode="auto">
                                <a:xfrm>
                                  <a:off x="3874770" y="1738630"/>
                                  <a:ext cx="1264920" cy="456565"/>
                                </a:xfrm>
                                <a:prstGeom prst="rect">
                                  <a:avLst/>
                                </a:prstGeom>
                                <a:noFill/>
                                <a:ln>
                                  <a:noFill/>
                                </a:ln>
                                <a:effectLst/>
                              </wps:spPr>
                              <wps:txbx>
                                <w:txbxContent>
                                  <w:p w14:paraId="7A7B845A">
                                    <w:pPr>
                                      <w:jc w:val="center"/>
                                      <w:rPr>
                                        <w:rFonts w:hint="default"/>
                                        <w:lang w:val="en-US" w:eastAsia="zh-CN"/>
                                      </w:rPr>
                                    </w:pPr>
                                    <w:r>
                                      <w:rPr>
                                        <w:rFonts w:hint="eastAsia"/>
                                        <w:lang w:val="en-US" w:eastAsia="zh-CN"/>
                                      </w:rPr>
                                      <w:t>交有危险废物处理资质的单位处理</w:t>
                                    </w:r>
                                  </w:p>
                                </w:txbxContent>
                              </wps:txbx>
                              <wps:bodyPr rot="0" vert="horz" wrap="square" lIns="91440" tIns="45720" rIns="91440" bIns="45720" anchor="t" anchorCtr="0" upright="1">
                                <a:noAutofit/>
                              </wps:bodyPr>
                            </wps:wsp>
                            <wps:wsp>
                              <wps:cNvPr id="241" name="文本框 81"/>
                              <wps:cNvSpPr txBox="1">
                                <a:spLocks noChangeArrowheads="1"/>
                              </wps:cNvSpPr>
                              <wps:spPr bwMode="auto">
                                <a:xfrm>
                                  <a:off x="2785745" y="1156335"/>
                                  <a:ext cx="644525" cy="292100"/>
                                </a:xfrm>
                                <a:prstGeom prst="rect">
                                  <a:avLst/>
                                </a:prstGeom>
                                <a:noFill/>
                                <a:ln>
                                  <a:noFill/>
                                </a:ln>
                                <a:effectLst/>
                              </wps:spPr>
                              <wps:txbx>
                                <w:txbxContent>
                                  <w:p w14:paraId="4A6AD4CA">
                                    <w:pPr>
                                      <w:rPr>
                                        <w:rFonts w:hint="default" w:eastAsia="宋体"/>
                                        <w:lang w:val="en-US" w:eastAsia="zh-CN"/>
                                      </w:rPr>
                                    </w:pPr>
                                    <w:r>
                                      <w:rPr>
                                        <w:rFonts w:hint="eastAsia" w:ascii="Times New Roman" w:hAnsi="Times New Roman" w:eastAsia="宋体"/>
                                        <w:szCs w:val="21"/>
                                        <w:lang w:val="en-US" w:eastAsia="zh-CN" w:bidi="ar"/>
                                      </w:rPr>
                                      <w:t>0.</w:t>
                                    </w:r>
                                    <w:r>
                                      <w:rPr>
                                        <w:rFonts w:hint="eastAsia"/>
                                        <w:szCs w:val="21"/>
                                        <w:lang w:val="en-US" w:eastAsia="zh-CN" w:bidi="ar"/>
                                      </w:rPr>
                                      <w:t>0067</w:t>
                                    </w:r>
                                  </w:p>
                                </w:txbxContent>
                              </wps:txbx>
                              <wps:bodyPr rot="0" vert="horz" wrap="square" lIns="91440" tIns="45720" rIns="91440" bIns="45720" anchor="t" anchorCtr="0" upright="1">
                                <a:noAutofit/>
                              </wps:bodyPr>
                            </wps:wsp>
                            <wps:wsp>
                              <wps:cNvPr id="242" name="文本框 34"/>
                              <wps:cNvSpPr txBox="1">
                                <a:spLocks noChangeArrowheads="1"/>
                              </wps:cNvSpPr>
                              <wps:spPr bwMode="auto">
                                <a:xfrm>
                                  <a:off x="1316990" y="2219325"/>
                                  <a:ext cx="883285" cy="292100"/>
                                </a:xfrm>
                                <a:prstGeom prst="rect">
                                  <a:avLst/>
                                </a:prstGeom>
                                <a:noFill/>
                                <a:ln w="9525">
                                  <a:solidFill>
                                    <a:srgbClr val="000000"/>
                                  </a:solidFill>
                                  <a:miter lim="800000"/>
                                </a:ln>
                                <a:effectLst/>
                              </wps:spPr>
                              <wps:txbx>
                                <w:txbxContent>
                                  <w:p w14:paraId="26C2DC9F">
                                    <w:pPr>
                                      <w:jc w:val="center"/>
                                    </w:pPr>
                                    <w:r>
                                      <w:rPr>
                                        <w:rFonts w:hint="eastAsia" w:cs="宋体"/>
                                        <w:szCs w:val="21"/>
                                        <w:lang w:val="en-US" w:eastAsia="zh-CN" w:bidi="ar"/>
                                      </w:rPr>
                                      <w:t>清洗</w:t>
                                    </w:r>
                                    <w:r>
                                      <w:rPr>
                                        <w:rFonts w:hint="eastAsia" w:ascii="Times New Roman" w:hAnsi="Times New Roman" w:eastAsia="宋体" w:cs="宋体"/>
                                        <w:szCs w:val="21"/>
                                        <w:lang w:bidi="ar"/>
                                      </w:rPr>
                                      <w:t>用水</w:t>
                                    </w:r>
                                  </w:p>
                                </w:txbxContent>
                              </wps:txbx>
                              <wps:bodyPr rot="0" vert="horz" wrap="square" lIns="91440" tIns="45720" rIns="91440" bIns="45720" anchor="t" anchorCtr="0" upright="1">
                                <a:noAutofit/>
                              </wps:bodyPr>
                            </wps:wsp>
                            <wps:wsp>
                              <wps:cNvPr id="243" name="肘形连接符 243"/>
                              <wps:cNvCnPr>
                                <a:stCxn id="273" idx="3"/>
                                <a:endCxn id="240" idx="1"/>
                              </wps:cNvCnPr>
                              <wps:spPr>
                                <a:xfrm>
                                  <a:off x="2249805" y="1449705"/>
                                  <a:ext cx="1624965" cy="517525"/>
                                </a:xfrm>
                                <a:prstGeom prst="bentConnector3">
                                  <a:avLst>
                                    <a:gd name="adj1" fmla="val 75263"/>
                                  </a:avLst>
                                </a:prstGeom>
                                <a:ln w="9525">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244" name="肘形连接符 244"/>
                              <wps:cNvCnPr>
                                <a:stCxn id="242" idx="3"/>
                                <a:endCxn id="240" idx="1"/>
                              </wps:cNvCnPr>
                              <wps:spPr>
                                <a:xfrm flipV="1">
                                  <a:off x="2200275" y="1967230"/>
                                  <a:ext cx="1674495" cy="398145"/>
                                </a:xfrm>
                                <a:prstGeom prst="bentConnector3">
                                  <a:avLst>
                                    <a:gd name="adj1" fmla="val 75919"/>
                                  </a:avLst>
                                </a:prstGeom>
                                <a:ln w="9525">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245" name="肘形连接符 245"/>
                              <wps:cNvCnPr>
                                <a:stCxn id="61" idx="3"/>
                                <a:endCxn id="242" idx="1"/>
                              </wps:cNvCnPr>
                              <wps:spPr>
                                <a:xfrm>
                                  <a:off x="408940" y="963295"/>
                                  <a:ext cx="908050" cy="1402080"/>
                                </a:xfrm>
                                <a:prstGeom prst="bentConnector3">
                                  <a:avLst>
                                    <a:gd name="adj1" fmla="val 42237"/>
                                  </a:avLst>
                                </a:prstGeom>
                                <a:ln w="9525">
                                  <a:solidFill>
                                    <a:schemeClr val="tx1"/>
                                  </a:solidFill>
                                  <a:tailEnd type="triangle"/>
                                </a:ln>
                              </wps:spPr>
                              <wps:style>
                                <a:lnRef idx="2">
                                  <a:schemeClr val="accent1"/>
                                </a:lnRef>
                                <a:fillRef idx="0">
                                  <a:srgbClr val="FFFFFF"/>
                                </a:fillRef>
                                <a:effectRef idx="0">
                                  <a:srgbClr val="FFFFFF"/>
                                </a:effectRef>
                                <a:fontRef idx="minor">
                                  <a:schemeClr val="tx1"/>
                                </a:fontRef>
                              </wps:style>
                              <wps:bodyPr/>
                            </wps:wsp>
                            <wps:wsp>
                              <wps:cNvPr id="246" name="自选图形 41_SpCnt_1"/>
                              <wps:cNvCnPr>
                                <a:cxnSpLocks noChangeShapeType="1"/>
                              </wps:cNvCnPr>
                              <wps:spPr bwMode="auto">
                                <a:xfrm flipV="1">
                                  <a:off x="1574800" y="2066925"/>
                                  <a:ext cx="319405" cy="145415"/>
                                </a:xfrm>
                                <a:prstGeom prst="curvedConnector3">
                                  <a:avLst>
                                    <a:gd name="adj1" fmla="val 50000"/>
                                  </a:avLst>
                                </a:prstGeom>
                                <a:noFill/>
                                <a:ln w="9525">
                                  <a:solidFill>
                                    <a:srgbClr val="000000"/>
                                  </a:solidFill>
                                  <a:prstDash val="dash"/>
                                  <a:round/>
                                  <a:tailEnd type="triangle" w="med" len="med"/>
                                </a:ln>
                                <a:effectLst/>
                              </wps:spPr>
                              <wps:bodyPr/>
                            </wps:wsp>
                            <wps:wsp>
                              <wps:cNvPr id="247" name="文本框 32_SpCnt_2"/>
                              <wps:cNvSpPr txBox="1">
                                <a:spLocks noChangeArrowheads="1"/>
                              </wps:cNvSpPr>
                              <wps:spPr bwMode="auto">
                                <a:xfrm>
                                  <a:off x="1873885" y="1926590"/>
                                  <a:ext cx="873760" cy="291465"/>
                                </a:xfrm>
                                <a:prstGeom prst="rect">
                                  <a:avLst/>
                                </a:prstGeom>
                                <a:noFill/>
                                <a:ln>
                                  <a:noFill/>
                                </a:ln>
                                <a:effectLst/>
                              </wps:spPr>
                              <wps:txbx>
                                <w:txbxContent>
                                  <w:p w14:paraId="7254A2AD">
                                    <w:pPr>
                                      <w:pStyle w:val="37"/>
                                      <w:spacing w:before="0" w:beforeAutospacing="0" w:after="0" w:afterAutospacing="0"/>
                                      <w:jc w:val="both"/>
                                      <w:rPr>
                                        <w:rFonts w:hint="default" w:eastAsia="宋体"/>
                                        <w:szCs w:val="24"/>
                                        <w:lang w:val="en-US" w:eastAsia="zh-CN"/>
                                      </w:rPr>
                                    </w:pPr>
                                    <w:r>
                                      <w:rPr>
                                        <w:rFonts w:eastAsia="宋体"/>
                                        <w:sz w:val="21"/>
                                        <w:szCs w:val="21"/>
                                      </w:rPr>
                                      <w:t>损耗</w:t>
                                    </w:r>
                                    <w:r>
                                      <w:rPr>
                                        <w:rFonts w:ascii="Times New Roman" w:hAnsi="Times New Roman"/>
                                        <w:sz w:val="21"/>
                                        <w:szCs w:val="21"/>
                                      </w:rPr>
                                      <w:t>0.</w:t>
                                    </w:r>
                                    <w:r>
                                      <w:rPr>
                                        <w:rFonts w:hint="eastAsia" w:ascii="Times New Roman" w:hAnsi="Times New Roman"/>
                                        <w:sz w:val="21"/>
                                        <w:szCs w:val="21"/>
                                        <w:lang w:val="en-US" w:eastAsia="zh-CN"/>
                                      </w:rPr>
                                      <w:t>006</w:t>
                                    </w:r>
                                  </w:p>
                                </w:txbxContent>
                              </wps:txbx>
                              <wps:bodyPr rot="0" vert="horz" wrap="square" lIns="91440" tIns="45720" rIns="91440" bIns="45720" anchor="t" anchorCtr="0" upright="1">
                                <a:noAutofit/>
                              </wps:bodyPr>
                            </wps:wsp>
                            <wps:wsp>
                              <wps:cNvPr id="248" name="文本框 81"/>
                              <wps:cNvSpPr txBox="1">
                                <a:spLocks noChangeArrowheads="1"/>
                              </wps:cNvSpPr>
                              <wps:spPr bwMode="auto">
                                <a:xfrm>
                                  <a:off x="2787650" y="2072640"/>
                                  <a:ext cx="644525" cy="292100"/>
                                </a:xfrm>
                                <a:prstGeom prst="rect">
                                  <a:avLst/>
                                </a:prstGeom>
                                <a:noFill/>
                                <a:ln>
                                  <a:noFill/>
                                </a:ln>
                                <a:effectLst/>
                              </wps:spPr>
                              <wps:txbx>
                                <w:txbxContent>
                                  <w:p w14:paraId="0FBDC00B">
                                    <w:pPr>
                                      <w:rPr>
                                        <w:rFonts w:hint="default" w:eastAsia="宋体"/>
                                        <w:lang w:val="en-US" w:eastAsia="zh-CN"/>
                                      </w:rPr>
                                    </w:pPr>
                                    <w:r>
                                      <w:rPr>
                                        <w:rFonts w:hint="eastAsia" w:ascii="Times New Roman" w:hAnsi="Times New Roman" w:eastAsia="宋体"/>
                                        <w:szCs w:val="21"/>
                                        <w:lang w:val="en-US" w:eastAsia="zh-CN" w:bidi="ar"/>
                                      </w:rPr>
                                      <w:t>0.</w:t>
                                    </w:r>
                                    <w:r>
                                      <w:rPr>
                                        <w:rFonts w:hint="eastAsia"/>
                                        <w:szCs w:val="21"/>
                                        <w:lang w:val="en-US" w:eastAsia="zh-CN" w:bidi="ar"/>
                                      </w:rPr>
                                      <w:t>054</w:t>
                                    </w:r>
                                  </w:p>
                                </w:txbxContent>
                              </wps:txbx>
                              <wps:bodyPr rot="0" vert="horz" wrap="square" lIns="91440" tIns="45720" rIns="91440" bIns="45720" anchor="t" anchorCtr="0" upright="1">
                                <a:noAutofit/>
                              </wps:bodyPr>
                            </wps:wsp>
                            <wps:wsp>
                              <wps:cNvPr id="249" name="文本框 25_SpCnt_1"/>
                              <wps:cNvSpPr txBox="1">
                                <a:spLocks noChangeArrowheads="1"/>
                              </wps:cNvSpPr>
                              <wps:spPr bwMode="auto">
                                <a:xfrm>
                                  <a:off x="783590" y="2078990"/>
                                  <a:ext cx="563880" cy="292100"/>
                                </a:xfrm>
                                <a:prstGeom prst="rect">
                                  <a:avLst/>
                                </a:prstGeom>
                                <a:noFill/>
                                <a:ln>
                                  <a:noFill/>
                                </a:ln>
                                <a:effectLst/>
                              </wps:spPr>
                              <wps:txbx>
                                <w:txbxContent>
                                  <w:p w14:paraId="75BAFACE">
                                    <w:pPr>
                                      <w:rPr>
                                        <w:rFonts w:hint="default" w:eastAsia="宋体"/>
                                        <w:lang w:val="en-US" w:eastAsia="zh-CN"/>
                                      </w:rPr>
                                    </w:pPr>
                                    <w:r>
                                      <w:rPr>
                                        <w:rFonts w:hint="eastAsia" w:ascii="Times New Roman" w:hAnsi="Times New Roman" w:eastAsia="宋体"/>
                                        <w:szCs w:val="21"/>
                                        <w:lang w:val="en-US" w:eastAsia="zh-CN" w:bidi="ar"/>
                                      </w:rPr>
                                      <w:t>0.</w:t>
                                    </w:r>
                                    <w:r>
                                      <w:rPr>
                                        <w:rFonts w:hint="eastAsia"/>
                                        <w:szCs w:val="21"/>
                                        <w:lang w:val="en-US" w:eastAsia="zh-CN" w:bidi="ar"/>
                                      </w:rPr>
                                      <w:t>06</w:t>
                                    </w:r>
                                  </w:p>
                                </w:txbxContent>
                              </wps:txbx>
                              <wps:bodyPr rot="0" vert="horz" wrap="square" lIns="91440" tIns="45720" rIns="91440" bIns="45720" anchor="t" anchorCtr="0" upright="1">
                                <a:noAutofit/>
                              </wps:bodyPr>
                            </wps:wsp>
                          </wpc:wpc>
                        </a:graphicData>
                      </a:graphic>
                    </wp:inline>
                  </w:drawing>
                </mc:Choice>
                <mc:Fallback>
                  <w:pict>
                    <v:group id="画布 271" o:spid="_x0000_s1026" o:spt="203" style="height:212.45pt;width:436.8pt;" coordsize="5547360,2698115" editas="canvas" o:gfxdata="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">
                      <o:lock v:ext="edit" aspectratio="f"/>
                      <v:shape id="画布 271" o:spid="_x0000_s1026" style="position:absolute;left:0;top:0;height:2698115;width:5547360;" filled="f" stroked="f" coordsize="21600,21600" o:gfxdata="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">
                        <v:fill on="f" focussize="0,0"/>
                        <v:stroke on="f"/>
                        <v:imagedata o:title=""/>
                        <o:lock v:ext="edit" aspectratio="t"/>
                      </v:shape>
                      <v:shape id="文本框 15" o:spid="_x0000_s1026" o:spt="202" type="#_x0000_t202" style="position:absolute;left:2512060;top:342265;height:289560;width:899795;" filled="f" stroked="t" coordsize="21600,21600" o:gfxdata="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fCVzi1AAAAAUBAAAPAAAAAAAA&#10;AAEAIAAAACIAAABkcnMvZG93bnJldi54bWxQSwECFAAUAAAACACHTuJAVCFUak8CAAB4BAAADgAA&#10;AAAAAAABACAAAAAjAQAAZHJzL2Uyb0RvYy54bWxQSwUGAAAAAAYABgBZAQAA5AUAAAAA&#10;">
                        <v:fill on="f" focussize="0,0"/>
                        <v:stroke color="#000000" miterlimit="8" joinstyle="miter"/>
                        <v:imagedata o:title=""/>
                        <o:lock v:ext="edit" aspectratio="f"/>
                        <v:textbox>
                          <w:txbxContent>
                            <w:p w14:paraId="606F377A">
                              <w:pPr>
                                <w:jc w:val="center"/>
                                <w:rPr>
                                  <w:szCs w:val="21"/>
                                </w:rPr>
                              </w:pPr>
                              <w:r>
                                <w:rPr>
                                  <w:rFonts w:hint="eastAsia" w:ascii="Times New Roman" w:hAnsi="Times New Roman" w:eastAsia="宋体" w:cs="宋体"/>
                                  <w:bCs/>
                                  <w:szCs w:val="21"/>
                                  <w:lang w:bidi="ar"/>
                                </w:rPr>
                                <w:t>三级化粪池</w:t>
                              </w:r>
                            </w:p>
                          </w:txbxContent>
                        </v:textbox>
                      </v:shape>
                      <v:shape id="文本框 16" o:spid="_x0000_s1026" o:spt="202" type="#_x0000_t202" style="position:absolute;left:3804920;top:330835;height:298450;width:1437005;" filled="f" stroked="f" coordsize="21600,21600" o:gfxdata="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a&#10;a8iR1AAAAAUBAAAPAAAAAAAAAAEAIAAAACIAAABkcnMvZG93bnJldi54bWxQSwECFAAUAAAACACH&#10;TuJA9fPFtigCAAAwBAAADgAAAAAAAAABACAAAAAjAQAAZHJzL2Uyb0RvYy54bWxQSwUGAAAAAAYA&#10;BgBZAQAAvQUAAAAA&#10;">
                        <v:fill on="f" focussize="0,0"/>
                        <v:stroke on="f"/>
                        <v:imagedata o:title=""/>
                        <o:lock v:ext="edit" aspectratio="f"/>
                        <v:textbox>
                          <w:txbxContent>
                            <w:p w14:paraId="210498B7">
                              <w:pPr>
                                <w:jc w:val="center"/>
                                <w:rPr>
                                  <w:rFonts w:hint="eastAsia"/>
                                  <w:lang w:eastAsia="zh-CN"/>
                                </w:rPr>
                              </w:pPr>
                              <w:r>
                                <w:rPr>
                                  <w:rFonts w:hint="eastAsia"/>
                                  <w:color w:val="auto"/>
                                  <w:vertAlign w:val="baseline"/>
                                  <w:lang w:val="en-US" w:eastAsia="zh-CN"/>
                                </w:rPr>
                                <w:t>博罗县城污水处理厂</w:t>
                              </w:r>
                            </w:p>
                          </w:txbxContent>
                        </v:textbox>
                      </v:shape>
                      <v:line id="直线 19" o:spid="_x0000_s1026" o:spt="20" style="position:absolute;left:3411855;top:501650;height:635;width:371475;" filled="f" stroked="t" coordsize="21600,21600" o:gfxdata="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&#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vELEzYAAAABQEAAA8AAAAAAAAAAQAgAAAAIgAAAGRy&#10;cy9kb3ducmV2LnhtbFBLAQIUABQAAAAIAIdO4kDqFGpfBQIAAOsDAAAOAAAAAAAAAAEAIAAAACcB&#10;AABkcnMvZTJvRG9jLnhtbFBLBQYAAAAABgAGAFkBAACeBQAAAAA=&#10;">
                        <v:fill on="f" focussize="0,0"/>
                        <v:stroke color="#000000" joinstyle="round" endarrow="block"/>
                        <v:imagedata o:title=""/>
                        <o:lock v:ext="edit" aspectratio="f"/>
                      </v:line>
                      <v:line id="直线 21" o:spid="_x0000_s1026" o:spt="20" style="position:absolute;left:2178685;top:463550;height:635;width:333375;" filled="f" stroked="t" coordsize="21600,21600" o:gfxdata="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e8QsTNgAAAAFAQAADwAAAAAAAAABACAAAAAiAAAAZHJzL2Rv&#10;d25yZXYueG1sUEsBAhQAFAAAAAgAh07iQECARtEBAgAA6wMAAA4AAAAAAAAAAQAgAAAAJwEAAGRy&#10;cy9lMm9Eb2MueG1sUEsFBgAAAAAGAAYAWQEAAJoFAAAAAA==&#10;">
                        <v:fill on="f" focussize="0,0"/>
                        <v:stroke color="#000000" joinstyle="round" endarrow="block"/>
                        <v:imagedata o:title=""/>
                        <o:lock v:ext="edit" aspectratio="f"/>
                      </v:line>
                      <v:shape id="文本框 23" o:spid="_x0000_s1026" o:spt="202" type="#_x0000_t202" style="position:absolute;left:81280;top:641985;height:642620;width:327660;" filled="f" stroked="f" coordsize="21600,21600" o:gfxdata="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aa8iR&#10;1AAAAAUBAAAPAAAAAAAAAAEAIAAAACIAAABkcnMvZG93bnJldi54bWxQSwECFAAUAAAACACHTuJA&#10;wyPAoCUCAAAtBAAADgAAAAAAAAABACAAAAAjAQAAZHJzL2Uyb0RvYy54bWxQSwUGAAAAAAYABgBZ&#10;AQAAugUAAAAA&#10;">
                        <v:fill on="f" focussize="0,0"/>
                        <v:stroke on="f"/>
                        <v:imagedata o:title=""/>
                        <o:lock v:ext="edit" aspectratio="f"/>
                        <v:textbox>
                          <w:txbxContent>
                            <w:p w14:paraId="26C56F99">
                              <w:r>
                                <w:rPr>
                                  <w:rFonts w:hint="eastAsia" w:ascii="Times New Roman" w:hAnsi="Times New Roman" w:eastAsia="宋体" w:cs="宋体"/>
                                  <w:szCs w:val="21"/>
                                  <w:lang w:bidi="ar"/>
                                </w:rPr>
                                <w:t>新鲜水</w:t>
                              </w:r>
                            </w:p>
                          </w:txbxContent>
                        </v:textbox>
                      </v:shape>
                      <v:shape id="文本框 29" o:spid="_x0000_s1026" o:spt="202" type="#_x0000_t202" style="position:absolute;left:2146935;top:208280;height:292100;width:579755;" filled="f" stroked="f" coordsize="21600,21600" o:gfxdata="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GmvI&#10;kdQAAAAFAQAADwAAAAAAAAABACAAAAAiAAAAZHJzL2Rvd25yZXYueG1sUEsBAhQAFAAAAAgAh07i&#10;QPd/RXcmAgAALwQAAA4AAAAAAAAAAQAgAAAAIwEAAGRycy9lMm9Eb2MueG1sUEsFBgAAAAAGAAYA&#10;WQEAALsFAAAAAA==&#10;">
                        <v:fill on="f" focussize="0,0"/>
                        <v:stroke on="f"/>
                        <v:imagedata o:title=""/>
                        <o:lock v:ext="edit" aspectratio="f"/>
                        <v:textbox>
                          <w:txbxContent>
                            <w:p w14:paraId="665ED575">
                              <w:pPr>
                                <w:rPr>
                                  <w:rFonts w:hint="default" w:eastAsia="宋体"/>
                                  <w:lang w:val="en-US" w:eastAsia="zh-CN"/>
                                </w:rPr>
                              </w:pPr>
                              <w:r>
                                <w:rPr>
                                  <w:rFonts w:hint="eastAsia" w:ascii="Times New Roman" w:hAnsi="Times New Roman" w:eastAsia="宋体"/>
                                  <w:szCs w:val="21"/>
                                  <w:lang w:val="en-US" w:eastAsia="zh-CN" w:bidi="ar"/>
                                </w:rPr>
                                <w:t>0.</w:t>
                              </w:r>
                              <w:r>
                                <w:rPr>
                                  <w:rFonts w:hint="eastAsia"/>
                                  <w:szCs w:val="21"/>
                                  <w:lang w:val="en-US" w:eastAsia="zh-CN" w:bidi="ar"/>
                                </w:rPr>
                                <w:t>5</w:t>
                              </w:r>
                              <w:r>
                                <w:rPr>
                                  <w:rFonts w:hint="eastAsia" w:ascii="Times New Roman" w:hAnsi="Times New Roman" w:eastAsia="宋体"/>
                                  <w:szCs w:val="21"/>
                                  <w:lang w:val="en-US" w:eastAsia="zh-CN" w:bidi="ar"/>
                                </w:rPr>
                                <w:t>6</w:t>
                              </w:r>
                            </w:p>
                          </w:txbxContent>
                        </v:textbox>
                      </v:shape>
                      <v:shape id="自选图形 41" o:spid="_x0000_s1026" o:spt="38" type="#_x0000_t38" style="position:absolute;left:1746885;top:172085;flip:y;height:149225;width:319405;" filled="f" stroked="t" coordsize="21600,21600" o:gfxdata="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UmGAa1gAAAAUBAAAPAAAAAAAAAAEAIAAAACIAAABk&#10;cnMvZG93bnJldi54bWxQSwECFAAUAAAACACHTuJAZmMIbUECAABQBAAADgAAAAAAAAABACAAAAAl&#10;AQAAZHJzL2Uyb0RvYy54bWxQSwUGAAAAAAYABgBZAQAA2AUAAAAA&#10;" adj="10816">
                        <v:fill on="f" focussize="0,0"/>
                        <v:stroke color="#000000" joinstyle="round" dashstyle="dash" endarrow="block"/>
                        <v:imagedata o:title=""/>
                        <o:lock v:ext="edit" aspectratio="f"/>
                      </v:shape>
                      <v:shape id="文本框 81" o:spid="_x0000_s1026" o:spt="202" type="#_x0000_t202" style="position:absolute;left:3413125;top:254000;height:292100;width:483870;" filled="f" stroked="f" coordsize="21600,21600" o:gfxdata="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GmvI&#10;kdQAAAAFAQAADwAAAAAAAAABACAAAAAiAAAAZHJzL2Rvd25yZXYueG1sUEsBAhQAFAAAAAgAh07i&#10;QN+hxZImAgAAMAQAAA4AAAAAAAAAAQAgAAAAIwEAAGRycy9lMm9Eb2MueG1sUEsFBgAAAAAGAAYA&#10;WQEAALsFAAAAAA==&#10;">
                        <v:fill on="f" focussize="0,0"/>
                        <v:stroke on="f"/>
                        <v:imagedata o:title=""/>
                        <o:lock v:ext="edit" aspectratio="f"/>
                        <v:textbox>
                          <w:txbxContent>
                            <w:p w14:paraId="768E13E3">
                              <w:pPr>
                                <w:rPr>
                                  <w:rFonts w:hint="default" w:eastAsia="宋体"/>
                                  <w:lang w:val="en-US" w:eastAsia="zh-CN"/>
                                </w:rPr>
                              </w:pPr>
                              <w:r>
                                <w:rPr>
                                  <w:rFonts w:hint="eastAsia" w:ascii="Times New Roman" w:hAnsi="Times New Roman" w:eastAsia="宋体"/>
                                  <w:szCs w:val="21"/>
                                  <w:lang w:val="en-US" w:eastAsia="zh-CN" w:bidi="ar"/>
                                </w:rPr>
                                <w:t>0.</w:t>
                              </w:r>
                              <w:r>
                                <w:rPr>
                                  <w:rFonts w:hint="eastAsia"/>
                                  <w:szCs w:val="21"/>
                                  <w:lang w:val="en-US" w:eastAsia="zh-CN" w:bidi="ar"/>
                                </w:rPr>
                                <w:t>5</w:t>
                              </w:r>
                              <w:r>
                                <w:rPr>
                                  <w:rFonts w:hint="eastAsia" w:ascii="Times New Roman" w:hAnsi="Times New Roman" w:eastAsia="宋体"/>
                                  <w:szCs w:val="21"/>
                                  <w:lang w:val="en-US" w:eastAsia="zh-CN" w:bidi="ar"/>
                                </w:rPr>
                                <w:t>6</w:t>
                              </w:r>
                            </w:p>
                          </w:txbxContent>
                        </v:textbox>
                      </v:shape>
                      <v:shape id="文本框 34" o:spid="_x0000_s1026" o:spt="202" type="#_x0000_t202" style="position:absolute;left:1295400;top:320040;height:292100;width:883285;" filled="f" stroked="t" coordsize="21600,21600" o:gfxdata="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3wlc4tQAAAAFAQAADwAAAAAAAAAB&#10;ACAAAAAiAAAAZHJzL2Rvd25yZXYueG1sUEsBAhQAFAAAAAgAh07iQJZnJ9tNAgAAeQQAAA4AAAAA&#10;AAAAAQAgAAAAIwEAAGRycy9lMm9Eb2MueG1sUEsFBgAAAAAGAAYAWQEAAOIFAAAAAA==&#10;">
                        <v:fill on="f" focussize="0,0"/>
                        <v:stroke color="#000000" miterlimit="8" joinstyle="miter"/>
                        <v:imagedata o:title=""/>
                        <o:lock v:ext="edit" aspectratio="f"/>
                        <v:textbox>
                          <w:txbxContent>
                            <w:p w14:paraId="5B816749">
                              <w:pPr>
                                <w:jc w:val="center"/>
                              </w:pPr>
                              <w:r>
                                <w:rPr>
                                  <w:rFonts w:hint="eastAsia" w:ascii="Times New Roman" w:hAnsi="Times New Roman" w:eastAsia="宋体" w:cs="宋体"/>
                                  <w:szCs w:val="21"/>
                                  <w:lang w:bidi="ar"/>
                                </w:rPr>
                                <w:t>生活用水</w:t>
                              </w:r>
                            </w:p>
                          </w:txbxContent>
                        </v:textbox>
                      </v:shape>
                      <v:shape id="文本框 32" o:spid="_x0000_s1026" o:spt="202" type="#_x0000_t202" style="position:absolute;left:2012315;top:0;height:292100;width:873760;" filled="f" stroked="f" coordsize="21600,21600" o:gfxdata="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aa8iR1AAA&#10;AAUBAAAPAAAAAAAAAAEAIAAAACIAAABkcnMvZG93bnJldi54bWxQSwECFAAUAAAACACHTuJAqp6w&#10;bCICAAArBAAADgAAAAAAAAABACAAAAAjAQAAZHJzL2Uyb0RvYy54bWxQSwUGAAAAAAYABgBZAQAA&#10;twUAAAAA&#10;">
                        <v:fill on="f" focussize="0,0"/>
                        <v:stroke on="f"/>
                        <v:imagedata o:title=""/>
                        <o:lock v:ext="edit" aspectratio="f"/>
                        <v:textbox>
                          <w:txbxContent>
                            <w:p w14:paraId="4116264F">
                              <w:pPr>
                                <w:rPr>
                                  <w:rFonts w:hint="default" w:eastAsia="宋体"/>
                                  <w:lang w:val="en-US" w:eastAsia="zh-CN"/>
                                </w:rPr>
                              </w:pPr>
                              <w:r>
                                <w:rPr>
                                  <w:rFonts w:hint="eastAsia" w:ascii="Times New Roman" w:hAnsi="Times New Roman" w:eastAsia="宋体" w:cs="宋体"/>
                                  <w:szCs w:val="21"/>
                                  <w:lang w:bidi="ar"/>
                                </w:rPr>
                                <w:t>损耗</w:t>
                              </w:r>
                              <w:r>
                                <w:rPr>
                                  <w:rFonts w:hint="eastAsia" w:ascii="Times New Roman" w:hAnsi="Times New Roman" w:eastAsia="宋体" w:cs="宋体"/>
                                  <w:szCs w:val="21"/>
                                  <w:lang w:val="en-US" w:eastAsia="zh-CN" w:bidi="ar"/>
                                </w:rPr>
                                <w:t>0.</w:t>
                              </w:r>
                              <w:r>
                                <w:rPr>
                                  <w:rFonts w:hint="eastAsia" w:cs="宋体"/>
                                  <w:szCs w:val="21"/>
                                  <w:lang w:val="en-US" w:eastAsia="zh-CN" w:bidi="ar"/>
                                </w:rPr>
                                <w:t>14</w:t>
                              </w:r>
                            </w:p>
                          </w:txbxContent>
                        </v:textbox>
                      </v:shape>
                      <v:shape id="肘形连接符 39" o:spid="_x0000_s1026" o:spt="35" type="#_x0000_t35" style="position:absolute;left:1773555;top:1485900;flip:y;height:121920;width:476885;rotation:11796480f;" filled="f" stroked="t" coordsize="21600,21600" o:gfxdata="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Lu3+sHW&#10;AAAABQEAAA8AAAAAAAAAAQAgAAAAIgAAAGRycy9kb3ducmV2LnhtbFBLAQIUABQAAAAIAIdO4kCL&#10;E4DnWwIAAHwEAAAOAAAAAAAAAAEAIAAAACUBAABkcnMvZTJvRG9jLnhtbFBLBQYAAAAABgAGAFkB&#10;AADyBQAAAAA=&#10;" adj="-14151,62100">
                        <v:fill on="f" focussize="0,0"/>
                        <v:stroke color="#000000" miterlimit="8" joinstyle="miter" endarrow="block"/>
                        <v:imagedata o:title=""/>
                        <o:lock v:ext="edit" aspectratio="f"/>
                      </v:shape>
                      <v:shape id="文本框 81_SpCnt_1" o:spid="_x0000_s1026" o:spt="202" type="#_x0000_t202" style="position:absolute;left:2551430;top:1553210;height:291465;width:654050;" filled="f" stroked="f" coordsize="21600,21600" o:gfxdata="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aa8iR1AAAAAUBAAAPAAAAAAAAAAEAIAAAACIAAABkcnMvZG93bnJldi54bWxQSwECFAAU&#10;AAAACACHTuJAcLvrWC4CAAA5BAAADgAAAAAAAAABACAAAAAjAQAAZHJzL2Uyb0RvYy54bWxQSwUG&#10;AAAAAAYABgBZAQAAwwUAAAAA&#10;">
                        <v:fill on="f" focussize="0,0"/>
                        <v:stroke on="f"/>
                        <v:imagedata o:title=""/>
                        <o:lock v:ext="edit" aspectratio="f"/>
                        <v:textbox>
                          <w:txbxContent>
                            <w:p w14:paraId="439CC287">
                              <w:pPr>
                                <w:pStyle w:val="37"/>
                                <w:spacing w:before="0" w:beforeAutospacing="0" w:after="0" w:afterAutospacing="0"/>
                                <w:jc w:val="both"/>
                                <w:rPr>
                                  <w:szCs w:val="24"/>
                                </w:rPr>
                              </w:pPr>
                              <w:r>
                                <w:rPr>
                                  <w:rFonts w:hint="eastAsia" w:ascii="Times New Roman" w:hAnsi="Times New Roman"/>
                                  <w:sz w:val="21"/>
                                  <w:szCs w:val="21"/>
                                  <w:lang w:val="en-US" w:eastAsia="zh-CN"/>
                                </w:rPr>
                                <w:t>5</w:t>
                              </w:r>
                              <w:r>
                                <w:rPr>
                                  <w:rFonts w:ascii="Times New Roman" w:hAnsi="Times New Roman"/>
                                  <w:sz w:val="21"/>
                                  <w:szCs w:val="21"/>
                                </w:rPr>
                                <w:t>m</w:t>
                              </w:r>
                              <w:r>
                                <w:rPr>
                                  <w:rFonts w:ascii="Times New Roman" w:hAnsi="Times New Roman"/>
                                  <w:sz w:val="21"/>
                                  <w:szCs w:val="21"/>
                                  <w:vertAlign w:val="superscript"/>
                                </w:rPr>
                                <w:t>3</w:t>
                              </w:r>
                              <w:r>
                                <w:rPr>
                                  <w:rFonts w:ascii="Times New Roman" w:hAnsi="Times New Roman"/>
                                  <w:sz w:val="21"/>
                                  <w:szCs w:val="21"/>
                                </w:rPr>
                                <w:t>/h</w:t>
                              </w:r>
                            </w:p>
                          </w:txbxContent>
                        </v:textbox>
                      </v:shape>
                      <v:shape id="文本框 34_SpCnt_1" o:spid="_x0000_s1026" o:spt="202" type="#_x0000_t202" style="position:absolute;left:1296035;top:1304290;height:290830;width:953770;" filled="f" stroked="t" coordsize="21600,21600" o:gfxdata="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N8JXOLUAAAABQEA&#10;AA8AAAAAAAAAAQAgAAAAIgAAAGRycy9kb3ducmV2LnhtbFBLAQIUABQAAAAIAIdO4kChJA9SVwIA&#10;AIIEAAAOAAAAAAAAAAEAIAAAACMBAABkcnMvZTJvRG9jLnhtbFBLBQYAAAAABgAGAFkBAADsBQAA&#10;AAA=&#10;">
                        <v:fill on="f" focussize="0,0"/>
                        <v:stroke color="#000000" miterlimit="8" joinstyle="miter"/>
                        <v:imagedata o:title=""/>
                        <o:lock v:ext="edit" aspectratio="f"/>
                        <v:textbox>
                          <w:txbxContent>
                            <w:p w14:paraId="45735081">
                              <w:pPr>
                                <w:pStyle w:val="37"/>
                                <w:spacing w:before="0" w:beforeAutospacing="0" w:after="0" w:afterAutospacing="0"/>
                                <w:jc w:val="center"/>
                                <w:rPr>
                                  <w:rFonts w:eastAsia="宋体" w:cs="宋体"/>
                                  <w:szCs w:val="24"/>
                                </w:rPr>
                              </w:pPr>
                              <w:r>
                                <w:rPr>
                                  <w:rFonts w:hint="eastAsia" w:eastAsia="宋体" w:cs="宋体"/>
                                  <w:sz w:val="21"/>
                                  <w:szCs w:val="21"/>
                                </w:rPr>
                                <w:t>冷水用水</w:t>
                              </w:r>
                            </w:p>
                          </w:txbxContent>
                        </v:textbox>
                      </v:shape>
                      <v:shape id="自选图形 41_SpCnt_1" o:spid="_x0000_s1026" o:spt="38" type="#_x0000_t38" style="position:absolute;left:1636393;top:1163955;flip:y;height:145415;width:319405;" filled="f" stroked="t" coordsize="21600,21600" o:gfxdata="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LYTKyXXAAAABQEAAA8AAAAAAAAA&#10;AQAgAAAAIgAAAGRycy9kb3ducmV2LnhtbFBLAQIUABQAAAAIAIdO4kBIFd0ESwIAAFkEAAAOAAAA&#10;AAAAAAEAIAAAACYBAABkcnMvZTJvRG9jLnhtbFBLBQYAAAAABgAGAFkBAADjBQAAAAA=&#10;" adj="10800">
                        <v:fill on="f" focussize="0,0"/>
                        <v:stroke color="#000000" joinstyle="round" dashstyle="dash" endarrow="block"/>
                        <v:imagedata o:title=""/>
                        <o:lock v:ext="edit" aspectratio="f"/>
                      </v:shape>
                      <v:shape id="文本框 32_SpCnt_2" o:spid="_x0000_s1026" o:spt="202" type="#_x0000_t202" style="position:absolute;left:1897380;top:972820;height:291465;width:873760;" filled="f" stroked="f" coordsize="21600,21600" o:gfxdata="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aa8iR1AAAAAUBAAAPAAAAAAAAAAEAIAAAACIAAABkcnMvZG93bnJldi54bWxQSwECFAAU&#10;AAAACACHTuJAupgdCS4CAAA4BAAADgAAAAAAAAABACAAAAAjAQAAZHJzL2Uyb0RvYy54bWxQSwUG&#10;AAAAAAYABgBZAQAAwwUAAAAA&#10;">
                        <v:fill on="f" focussize="0,0"/>
                        <v:stroke on="f"/>
                        <v:imagedata o:title=""/>
                        <o:lock v:ext="edit" aspectratio="f"/>
                        <v:textbox>
                          <w:txbxContent>
                            <w:p w14:paraId="6CC333FC">
                              <w:pPr>
                                <w:pStyle w:val="37"/>
                                <w:spacing w:before="0" w:beforeAutospacing="0" w:after="0" w:afterAutospacing="0"/>
                                <w:jc w:val="both"/>
                                <w:rPr>
                                  <w:rFonts w:hint="default" w:eastAsia="宋体"/>
                                  <w:szCs w:val="24"/>
                                  <w:lang w:val="en-US" w:eastAsia="zh-CN"/>
                                </w:rPr>
                              </w:pPr>
                              <w:r>
                                <w:rPr>
                                  <w:rFonts w:eastAsia="宋体"/>
                                  <w:sz w:val="21"/>
                                  <w:szCs w:val="21"/>
                                </w:rPr>
                                <w:t>损耗</w:t>
                              </w:r>
                              <w:r>
                                <w:rPr>
                                  <w:rFonts w:ascii="Times New Roman" w:hAnsi="Times New Roman"/>
                                  <w:sz w:val="21"/>
                                  <w:szCs w:val="21"/>
                                </w:rPr>
                                <w:t>0.</w:t>
                              </w:r>
                              <w:r>
                                <w:rPr>
                                  <w:rFonts w:hint="eastAsia" w:ascii="Times New Roman" w:hAnsi="Times New Roman"/>
                                  <w:sz w:val="21"/>
                                  <w:szCs w:val="21"/>
                                  <w:lang w:val="en-US" w:eastAsia="zh-CN"/>
                                </w:rPr>
                                <w:t>672</w:t>
                              </w:r>
                            </w:p>
                          </w:txbxContent>
                        </v:textbox>
                      </v:shape>
                      <v:shape id="文本框 25_SpCnt_1" o:spid="_x0000_s1026" o:spt="202" type="#_x0000_t202" style="position:absolute;left:805180;top:167640;height:292100;width:444500;" filled="f" stroked="f" coordsize="21600,21600" o:gfxdata="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aa8iR1AAAAAUBAAAPAAAAAAAAAAEAIAAAACIAAABkcnMvZG93bnJldi54bWxQSwECFAAUAAAA&#10;CACHTuJADaA6fSsCAAA3BAAADgAAAAAAAAABACAAAAAjAQAAZHJzL2Uyb0RvYy54bWxQSwUGAAAA&#10;AAYABgBZAQAAwAUAAAAA&#10;">
                        <v:fill on="f" focussize="0,0"/>
                        <v:stroke on="f"/>
                        <v:imagedata o:title=""/>
                        <o:lock v:ext="edit" aspectratio="f"/>
                        <v:textbox>
                          <w:txbxContent>
                            <w:p w14:paraId="637D0CDA">
                              <w:pPr>
                                <w:rPr>
                                  <w:rFonts w:hint="default" w:eastAsia="宋体"/>
                                  <w:lang w:val="en-US" w:eastAsia="zh-CN"/>
                                </w:rPr>
                              </w:pPr>
                              <w:r>
                                <w:rPr>
                                  <w:rFonts w:hint="eastAsia" w:ascii="Times New Roman" w:hAnsi="Times New Roman" w:eastAsia="宋体"/>
                                  <w:szCs w:val="21"/>
                                  <w:lang w:val="en-US" w:eastAsia="zh-CN" w:bidi="ar"/>
                                </w:rPr>
                                <w:t>0.7</w:t>
                              </w:r>
                            </w:p>
                          </w:txbxContent>
                        </v:textbox>
                      </v:shape>
                      <v:shape id="文本框 25_SpCnt_1" o:spid="_x0000_s1026" o:spt="202" type="#_x0000_t202" style="position:absolute;left:337820;top:675640;height:292100;width:560070;" filled="f" stroked="f" coordsize="21600,21600" o:gfxdata="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BpryJHUAAAABQEAAA8AAAAAAAAAAQAgAAAAIgAAAGRycy9kb3ducmV2LnhtbFBLAQIUABQA&#10;AAAIAIdO4kD9YVc2LQIAADcEAAAOAAAAAAAAAAEAIAAAACMBAABkcnMvZTJvRG9jLnhtbFBLBQYA&#10;AAAABgAGAFkBAADCBQAAAAA=&#10;">
                        <v:fill on="f" focussize="0,0"/>
                        <v:stroke on="f"/>
                        <v:imagedata o:title=""/>
                        <o:lock v:ext="edit" aspectratio="f"/>
                        <v:textbox>
                          <w:txbxContent>
                            <w:p w14:paraId="1AEDD48B">
                              <w:pP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1.</w:t>
                              </w:r>
                              <w:r>
                                <w:rPr>
                                  <w:rFonts w:hint="eastAsia" w:cs="Times New Roman"/>
                                  <w:lang w:val="en-US" w:eastAsia="zh-CN"/>
                                </w:rPr>
                                <w:t>439</w:t>
                              </w:r>
                            </w:p>
                          </w:txbxContent>
                        </v:textbox>
                      </v:shape>
                      <v:shape id="_x0000_s1026" o:spid="_x0000_s1026" o:spt="34" type="#_x0000_t34" style="position:absolute;left:1294765;top:465455;flip:x y;height:983615;width:3175;rotation:11796480f;" filled="f" stroked="t" coordsize="21600,21600" o:gfxdata="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1nM/q1gAAAAUBAAAPAAAAAAAAAAEAIAAAACIAAABkcnMv&#10;ZG93bnJldi54bWxQSwECFAAUAAAACACHTuJADhzvhT4CAABNBAAADgAAAAAAAAABACAAAAAlAQAA&#10;ZHJzL2Uyb0RvYy54bWxQSwUGAAAAAAYABgBZAQAA1QUAAAAA&#10;" adj="-3434400">
                        <v:fill on="f" focussize="0,0"/>
                        <v:stroke color="#000000" joinstyle="round" startarrow="block" endarrow="block"/>
                        <v:imagedata o:title=""/>
                        <o:lock v:ext="edit" aspectratio="f"/>
                      </v:shape>
                      <v:line id="_x0000_s1026" o:spid="_x0000_s1026" o:spt="20" style="position:absolute;left:408940;top:960120;flip:y;height:3175;width:373380;" filled="f" stroked="t" coordsize="21600,21600" o:gfxdata="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ESGgILVAAAABQEAAA8AAAAAAAAAAQAgAAAAIgAAAGRycy9kb3ducmV2LnhtbFBLAQIUABQA&#10;AAAIAIdO4kDROVVZ8wEAAMADAAAOAAAAAAAAAAEAIAAAACQBAABkcnMvZTJvRG9jLnhtbFBLBQYA&#10;AAAABgAGAFkBAACJBQAAAAA=&#10;">
                        <v:fill on="f" focussize="0,0"/>
                        <v:stroke color="#000000" joinstyle="round"/>
                        <v:imagedata o:title=""/>
                        <o:lock v:ext="edit" aspectratio="f"/>
                      </v:line>
                      <v:shape id="文本框 25_SpCnt_1" o:spid="_x0000_s1026" o:spt="202" type="#_x0000_t202" style="position:absolute;left:767715;top:1181100;height:292100;width:563880;" filled="f" stroked="f" coordsize="21600,21600" o:gfxdata="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GmvIkdQAAAAFAQAADwAAAAAAAAABACAAAAAiAAAAZHJzL2Rvd25yZXYueG1sUEsBAhQAFAAA&#10;AAgAh07iQEOA7SEsAgAANwQAAA4AAAAAAAAAAQAgAAAAIwEAAGRycy9lMm9Eb2MueG1sUEsFBgAA&#10;AAAGAAYAWQEAAMEFAAAAAA==&#10;">
                        <v:fill on="f" focussize="0,0"/>
                        <v:stroke on="f"/>
                        <v:imagedata o:title=""/>
                        <o:lock v:ext="edit" aspectratio="f"/>
                        <v:textbox>
                          <w:txbxContent>
                            <w:p w14:paraId="5B8401B5">
                              <w:pPr>
                                <w:rPr>
                                  <w:rFonts w:hint="default" w:eastAsia="宋体"/>
                                  <w:lang w:val="en-US" w:eastAsia="zh-CN"/>
                                </w:rPr>
                              </w:pPr>
                              <w:r>
                                <w:rPr>
                                  <w:rFonts w:hint="eastAsia" w:ascii="Times New Roman" w:hAnsi="Times New Roman" w:eastAsia="宋体"/>
                                  <w:szCs w:val="21"/>
                                  <w:lang w:val="en-US" w:eastAsia="zh-CN" w:bidi="ar"/>
                                </w:rPr>
                                <w:t>0.</w:t>
                              </w:r>
                              <w:r>
                                <w:rPr>
                                  <w:rFonts w:hint="eastAsia"/>
                                  <w:szCs w:val="21"/>
                                  <w:lang w:val="en-US" w:eastAsia="zh-CN" w:bidi="ar"/>
                                </w:rPr>
                                <w:t>679</w:t>
                              </w:r>
                            </w:p>
                          </w:txbxContent>
                        </v:textbox>
                      </v:shape>
                      <v:shape id="文本框 16" o:spid="_x0000_s1026" o:spt="202" type="#_x0000_t202" style="position:absolute;left:3874770;top:1738630;height:456565;width:1264920;" filled="f" stroked="f" coordsize="21600,21600" o:gfxdata="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a&#10;a8iR1AAAAAUBAAAPAAAAAAAAAAEAIAAAACIAAABkcnMvZG93bnJldi54bWxQSwECFAAUAAAACACH&#10;TuJAxn+WjCgCAAAyBAAADgAAAAAAAAABACAAAAAjAQAAZHJzL2Uyb0RvYy54bWxQSwUGAAAAAAYA&#10;BgBZAQAAvQUAAAAA&#10;">
                        <v:fill on="f" focussize="0,0"/>
                        <v:stroke on="f"/>
                        <v:imagedata o:title=""/>
                        <o:lock v:ext="edit" aspectratio="f"/>
                        <v:textbox>
                          <w:txbxContent>
                            <w:p w14:paraId="7A7B845A">
                              <w:pPr>
                                <w:jc w:val="center"/>
                                <w:rPr>
                                  <w:rFonts w:hint="default"/>
                                  <w:lang w:val="en-US" w:eastAsia="zh-CN"/>
                                </w:rPr>
                              </w:pPr>
                              <w:r>
                                <w:rPr>
                                  <w:rFonts w:hint="eastAsia"/>
                                  <w:lang w:val="en-US" w:eastAsia="zh-CN"/>
                                </w:rPr>
                                <w:t>交有危险废物处理资质的单位处理</w:t>
                              </w:r>
                            </w:p>
                          </w:txbxContent>
                        </v:textbox>
                      </v:shape>
                      <v:shape id="文本框 81" o:spid="_x0000_s1026" o:spt="202" type="#_x0000_t202" style="position:absolute;left:2785745;top:1156335;height:292100;width:644525;" filled="f" stroked="f" coordsize="21600,21600" o:gfxdata="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BpryJHUAAAABQEAAA8AAAAAAAAAAQAgAAAAIgAAAGRycy9kb3ducmV2LnhtbFBLAQIUABQAAAAI&#10;AIdO4kC7IwdqKgIAADEEAAAOAAAAAAAAAAEAIAAAACMBAABkcnMvZTJvRG9jLnhtbFBLBQYAAAAA&#10;BgAGAFkBAAC/BQAAAAA=&#10;">
                        <v:fill on="f" focussize="0,0"/>
                        <v:stroke on="f"/>
                        <v:imagedata o:title=""/>
                        <o:lock v:ext="edit" aspectratio="f"/>
                        <v:textbox>
                          <w:txbxContent>
                            <w:p w14:paraId="4A6AD4CA">
                              <w:pPr>
                                <w:rPr>
                                  <w:rFonts w:hint="default" w:eastAsia="宋体"/>
                                  <w:lang w:val="en-US" w:eastAsia="zh-CN"/>
                                </w:rPr>
                              </w:pPr>
                              <w:r>
                                <w:rPr>
                                  <w:rFonts w:hint="eastAsia" w:ascii="Times New Roman" w:hAnsi="Times New Roman" w:eastAsia="宋体"/>
                                  <w:szCs w:val="21"/>
                                  <w:lang w:val="en-US" w:eastAsia="zh-CN" w:bidi="ar"/>
                                </w:rPr>
                                <w:t>0.</w:t>
                              </w:r>
                              <w:r>
                                <w:rPr>
                                  <w:rFonts w:hint="eastAsia"/>
                                  <w:szCs w:val="21"/>
                                  <w:lang w:val="en-US" w:eastAsia="zh-CN" w:bidi="ar"/>
                                </w:rPr>
                                <w:t>0067</w:t>
                              </w:r>
                            </w:p>
                          </w:txbxContent>
                        </v:textbox>
                      </v:shape>
                      <v:shape id="文本框 34" o:spid="_x0000_s1026" o:spt="202" type="#_x0000_t202" style="position:absolute;left:1316990;top:2219325;height:292100;width:883285;" filled="f" stroked="t" coordsize="21600,21600" o:gfxdata="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fCVzi1AAAAAUBAAAPAAAAAAAA&#10;AAEAIAAAACIAAABkcnMvZG93bnJldi54bWxQSwECFAAUAAAACACHTuJA+gWDZk8CAAB6BAAADgAA&#10;AAAAAAABACAAAAAjAQAAZHJzL2Uyb0RvYy54bWxQSwUGAAAAAAYABgBZAQAA5AUAAAAA&#10;">
                        <v:fill on="f" focussize="0,0"/>
                        <v:stroke color="#000000" miterlimit="8" joinstyle="miter"/>
                        <v:imagedata o:title=""/>
                        <o:lock v:ext="edit" aspectratio="f"/>
                        <v:textbox>
                          <w:txbxContent>
                            <w:p w14:paraId="26C2DC9F">
                              <w:pPr>
                                <w:jc w:val="center"/>
                              </w:pPr>
                              <w:r>
                                <w:rPr>
                                  <w:rFonts w:hint="eastAsia" w:cs="宋体"/>
                                  <w:szCs w:val="21"/>
                                  <w:lang w:val="en-US" w:eastAsia="zh-CN" w:bidi="ar"/>
                                </w:rPr>
                                <w:t>清洗</w:t>
                              </w:r>
                              <w:r>
                                <w:rPr>
                                  <w:rFonts w:hint="eastAsia" w:ascii="Times New Roman" w:hAnsi="Times New Roman" w:eastAsia="宋体" w:cs="宋体"/>
                                  <w:szCs w:val="21"/>
                                  <w:lang w:bidi="ar"/>
                                </w:rPr>
                                <w:t>用水</w:t>
                              </w:r>
                            </w:p>
                          </w:txbxContent>
                        </v:textbox>
                      </v:shape>
                      <v:shape id="_x0000_s1026" o:spid="_x0000_s1026" o:spt="34" type="#_x0000_t34" style="position:absolute;left:2249805;top:1449705;height:517525;width:1624965;" filled="f" stroked="t" coordsize="21600,21600" o:gfxdata="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Oh+bA1gAAAAUBAAAPAAAAAAAAAAEAIAAAACIAAABkcnMvZG93bnJl&#10;di54bWxQSwECFAAUAAAACACHTuJAJMjopTgCAABGBAAADgAAAAAAAAABACAAAAAlAQAAZHJzL2Uy&#10;b0RvYy54bWxQSwUGAAAAAAYABgBZAQAAzwUAAAAA&#10;" adj="16257">
                        <v:fill on="f" focussize="0,0"/>
                        <v:stroke color="#000000 [3213]" joinstyle="round" endarrow="block"/>
                        <v:imagedata o:title=""/>
                        <o:lock v:ext="edit" aspectratio="f"/>
                      </v:shape>
                      <v:shape id="_x0000_s1026" o:spid="_x0000_s1026" o:spt="34" type="#_x0000_t34" style="position:absolute;left:2200275;top:1967230;flip:y;height:398145;width:1674495;" filled="f" stroked="t" coordsize="21600,21600" o:gfxdata="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t4w1K9QAAAAFAQAADwAAAAAAAAABACAAAAAiAAAAZHJzL2Rv&#10;d25yZXYueG1sUEsBAhQAFAAAAAgAh07iQP/2iSI+AgAAUAQAAA4AAAAAAAAAAQAgAAAAIwEAAGRy&#10;cy9lMm9Eb2MueG1sUEsFBgAAAAAGAAYAWQEAANMFAAAAAA==&#10;" adj="16399">
                        <v:fill on="f" focussize="0,0"/>
                        <v:stroke color="#000000 [3213]" joinstyle="round" endarrow="block"/>
                        <v:imagedata o:title=""/>
                        <o:lock v:ext="edit" aspectratio="f"/>
                      </v:shape>
                      <v:shape id="_x0000_s1026" o:spid="_x0000_s1026" o:spt="34" type="#_x0000_t34" style="position:absolute;left:408940;top:963295;height:1402080;width:908050;" filled="f" stroked="t" coordsize="21600,21600" o:gfxdata="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S8cIX9YAAAAFAQAADwAAAAAAAAABACAAAAAiAAAAZHJzL2Rvd25yZXYu&#10;eG1sUEsBAhQAFAAAAAgAh07iQJlIJ0Y2AgAAQwQAAA4AAAAAAAAAAQAgAAAAJQEAAGRycy9lMm9E&#10;b2MueG1sUEsFBgAAAAAGAAYAWQEAAM0FAAAAAA==&#10;" adj="9123">
                        <v:fill on="f" focussize="0,0"/>
                        <v:stroke color="#000000 [3213]" joinstyle="round" endarrow="block"/>
                        <v:imagedata o:title=""/>
                        <o:lock v:ext="edit" aspectratio="f"/>
                      </v:shape>
                      <v:shape id="自选图形 41_SpCnt_1" o:spid="_x0000_s1026" o:spt="38" type="#_x0000_t38" style="position:absolute;left:1574800;top:2066925;flip:y;height:145415;width:319405;" filled="f" stroked="t" coordsize="21600,21600" o:gfxdata="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2Eysl1wAAAAUBAAAPAAAAAAAA&#10;AAEAIAAAACIAAABkcnMvZG93bnJldi54bWxQSwECFAAUAAAACACHTuJAdrsTVUwCAABZBAAADgAA&#10;AAAAAAABACAAAAAmAQAAZHJzL2Uyb0RvYy54bWxQSwUGAAAAAAYABgBZAQAA5AUAAAAA&#10;" adj="10800">
                        <v:fill on="f" focussize="0,0"/>
                        <v:stroke color="#000000" joinstyle="round" dashstyle="dash" endarrow="block"/>
                        <v:imagedata o:title=""/>
                        <o:lock v:ext="edit" aspectratio="f"/>
                      </v:shape>
                      <v:shape id="文本框 32_SpCnt_2" o:spid="_x0000_s1026" o:spt="202" type="#_x0000_t202" style="position:absolute;left:1873885;top:1926590;height:291465;width:873760;" filled="f" stroked="f" coordsize="21600,21600" o:gfxdata="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aa8iR1AAAAAUBAAAPAAAAAAAAAAEAIAAAACIAAABkcnMvZG93bnJldi54bWxQSwECFAAU&#10;AAAACACHTuJAZmkiyC4CAAA5BAAADgAAAAAAAAABACAAAAAjAQAAZHJzL2Uyb0RvYy54bWxQSwUG&#10;AAAAAAYABgBZAQAAwwUAAAAA&#10;">
                        <v:fill on="f" focussize="0,0"/>
                        <v:stroke on="f"/>
                        <v:imagedata o:title=""/>
                        <o:lock v:ext="edit" aspectratio="f"/>
                        <v:textbox>
                          <w:txbxContent>
                            <w:p w14:paraId="7254A2AD">
                              <w:pPr>
                                <w:pStyle w:val="37"/>
                                <w:spacing w:before="0" w:beforeAutospacing="0" w:after="0" w:afterAutospacing="0"/>
                                <w:jc w:val="both"/>
                                <w:rPr>
                                  <w:rFonts w:hint="default" w:eastAsia="宋体"/>
                                  <w:szCs w:val="24"/>
                                  <w:lang w:val="en-US" w:eastAsia="zh-CN"/>
                                </w:rPr>
                              </w:pPr>
                              <w:r>
                                <w:rPr>
                                  <w:rFonts w:eastAsia="宋体"/>
                                  <w:sz w:val="21"/>
                                  <w:szCs w:val="21"/>
                                </w:rPr>
                                <w:t>损耗</w:t>
                              </w:r>
                              <w:r>
                                <w:rPr>
                                  <w:rFonts w:ascii="Times New Roman" w:hAnsi="Times New Roman"/>
                                  <w:sz w:val="21"/>
                                  <w:szCs w:val="21"/>
                                </w:rPr>
                                <w:t>0.</w:t>
                              </w:r>
                              <w:r>
                                <w:rPr>
                                  <w:rFonts w:hint="eastAsia" w:ascii="Times New Roman" w:hAnsi="Times New Roman"/>
                                  <w:sz w:val="21"/>
                                  <w:szCs w:val="21"/>
                                  <w:lang w:val="en-US" w:eastAsia="zh-CN"/>
                                </w:rPr>
                                <w:t>006</w:t>
                              </w:r>
                            </w:p>
                          </w:txbxContent>
                        </v:textbox>
                      </v:shape>
                      <v:shape id="文本框 81" o:spid="_x0000_s1026" o:spt="202" type="#_x0000_t202" style="position:absolute;left:2787650;top:2072640;height:292100;width:644525;" filled="f" stroked="f" coordsize="21600,21600" o:gfxdata="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a&#10;a8iR1AAAAAUBAAAPAAAAAAAAAAEAIAAAACIAAABkcnMvZG93bnJldi54bWxQSwECFAAUAAAACACH&#10;TuJAfgWlbSgCAAAxBAAADgAAAAAAAAABACAAAAAjAQAAZHJzL2Uyb0RvYy54bWxQSwUGAAAAAAYA&#10;BgBZAQAAvQUAAAAA&#10;">
                        <v:fill on="f" focussize="0,0"/>
                        <v:stroke on="f"/>
                        <v:imagedata o:title=""/>
                        <o:lock v:ext="edit" aspectratio="f"/>
                        <v:textbox>
                          <w:txbxContent>
                            <w:p w14:paraId="0FBDC00B">
                              <w:pPr>
                                <w:rPr>
                                  <w:rFonts w:hint="default" w:eastAsia="宋体"/>
                                  <w:lang w:val="en-US" w:eastAsia="zh-CN"/>
                                </w:rPr>
                              </w:pPr>
                              <w:r>
                                <w:rPr>
                                  <w:rFonts w:hint="eastAsia" w:ascii="Times New Roman" w:hAnsi="Times New Roman" w:eastAsia="宋体"/>
                                  <w:szCs w:val="21"/>
                                  <w:lang w:val="en-US" w:eastAsia="zh-CN" w:bidi="ar"/>
                                </w:rPr>
                                <w:t>0.</w:t>
                              </w:r>
                              <w:r>
                                <w:rPr>
                                  <w:rFonts w:hint="eastAsia"/>
                                  <w:szCs w:val="21"/>
                                  <w:lang w:val="en-US" w:eastAsia="zh-CN" w:bidi="ar"/>
                                </w:rPr>
                                <w:t>054</w:t>
                              </w:r>
                            </w:p>
                          </w:txbxContent>
                        </v:textbox>
                      </v:shape>
                      <v:shape id="文本框 25_SpCnt_1" o:spid="_x0000_s1026" o:spt="202" type="#_x0000_t202" style="position:absolute;left:783590;top:2078990;height:292100;width:563880;" filled="f" stroked="f" coordsize="21600,21600" o:gfxdata="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GmvIkdQAAAAFAQAADwAAAAAAAAABACAAAAAiAAAAZHJzL2Rvd25yZXYueG1sUEsBAhQA&#10;FAAAAAgAh07iQPCi6dgvAgAAOAQAAA4AAAAAAAAAAQAgAAAAIwEAAGRycy9lMm9Eb2MueG1sUEsF&#10;BgAAAAAGAAYAWQEAAMQFAAAAAA==&#10;">
                        <v:fill on="f" focussize="0,0"/>
                        <v:stroke on="f"/>
                        <v:imagedata o:title=""/>
                        <o:lock v:ext="edit" aspectratio="f"/>
                        <v:textbox>
                          <w:txbxContent>
                            <w:p w14:paraId="75BAFACE">
                              <w:pPr>
                                <w:rPr>
                                  <w:rFonts w:hint="default" w:eastAsia="宋体"/>
                                  <w:lang w:val="en-US" w:eastAsia="zh-CN"/>
                                </w:rPr>
                              </w:pPr>
                              <w:r>
                                <w:rPr>
                                  <w:rFonts w:hint="eastAsia" w:ascii="Times New Roman" w:hAnsi="Times New Roman" w:eastAsia="宋体"/>
                                  <w:szCs w:val="21"/>
                                  <w:lang w:val="en-US" w:eastAsia="zh-CN" w:bidi="ar"/>
                                </w:rPr>
                                <w:t>0.</w:t>
                              </w:r>
                              <w:r>
                                <w:rPr>
                                  <w:rFonts w:hint="eastAsia"/>
                                  <w:szCs w:val="21"/>
                                  <w:lang w:val="en-US" w:eastAsia="zh-CN" w:bidi="ar"/>
                                </w:rPr>
                                <w:t>06</w:t>
                              </w:r>
                            </w:p>
                          </w:txbxContent>
                        </v:textbox>
                      </v:shape>
                      <w10:wrap type="none"/>
                      <w10:anchorlock/>
                    </v:group>
                  </w:pict>
                </mc:Fallback>
              </mc:AlternateContent>
            </w:r>
          </w:p>
          <w:p w14:paraId="682713EE">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
                <w:color w:val="auto"/>
                <w:szCs w:val="21"/>
                <w:highlight w:val="none"/>
                <w:lang w:bidi="ar"/>
              </w:rPr>
              <w:t>图2-</w:t>
            </w:r>
            <w:r>
              <w:rPr>
                <w:rFonts w:hint="default" w:ascii="Times New Roman" w:hAnsi="Times New Roman" w:eastAsia="宋体" w:cs="Times New Roman"/>
                <w:b/>
                <w:color w:val="auto"/>
                <w:szCs w:val="21"/>
                <w:highlight w:val="none"/>
                <w:lang w:val="en-US" w:eastAsia="zh-CN" w:bidi="ar"/>
              </w:rPr>
              <w:t>1</w:t>
            </w:r>
            <w:r>
              <w:rPr>
                <w:rFonts w:hint="default" w:ascii="Times New Roman" w:hAnsi="Times New Roman" w:eastAsia="宋体" w:cs="Times New Roman"/>
                <w:b/>
                <w:color w:val="auto"/>
                <w:szCs w:val="21"/>
                <w:highlight w:val="none"/>
                <w:lang w:bidi="ar"/>
              </w:rPr>
              <w:t xml:space="preserve"> 项目水平衡图（</w:t>
            </w:r>
            <w:r>
              <w:rPr>
                <w:rFonts w:hint="default" w:ascii="Times New Roman" w:hAnsi="Times New Roman" w:eastAsia="宋体" w:cs="Times New Roman"/>
                <w:b/>
                <w:color w:val="auto"/>
                <w:szCs w:val="21"/>
                <w:highlight w:val="none"/>
                <w:lang w:val="en-US" w:eastAsia="zh-CN" w:bidi="ar"/>
              </w:rPr>
              <w:t>t</w:t>
            </w:r>
            <w:r>
              <w:rPr>
                <w:rFonts w:hint="default" w:ascii="Times New Roman" w:hAnsi="Times New Roman" w:eastAsia="宋体" w:cs="Times New Roman"/>
                <w:b/>
                <w:color w:val="auto"/>
                <w:szCs w:val="21"/>
                <w:highlight w:val="none"/>
                <w:lang w:bidi="ar"/>
              </w:rPr>
              <w:t>/d）</w:t>
            </w:r>
          </w:p>
          <w:p w14:paraId="337FAC28">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22" w:firstLineChars="200"/>
              <w:jc w:val="left"/>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8</w:t>
            </w:r>
            <w:r>
              <w:rPr>
                <w:rFonts w:hint="default" w:ascii="Times New Roman" w:hAnsi="Times New Roman" w:eastAsia="宋体" w:cs="Times New Roman"/>
                <w:b/>
                <w:bCs/>
                <w:color w:val="auto"/>
                <w:sz w:val="21"/>
                <w:szCs w:val="21"/>
                <w:highlight w:val="none"/>
              </w:rPr>
              <w:t>、</w:t>
            </w:r>
            <w:r>
              <w:rPr>
                <w:rFonts w:hint="default" w:ascii="Times New Roman" w:hAnsi="Times New Roman" w:eastAsia="宋体" w:cs="Times New Roman"/>
                <w:b/>
                <w:bCs/>
                <w:color w:val="auto"/>
                <w:sz w:val="21"/>
                <w:szCs w:val="21"/>
                <w:highlight w:val="none"/>
                <w:lang w:val="en-US" w:eastAsia="zh-CN"/>
              </w:rPr>
              <w:t>四至关系</w:t>
            </w:r>
          </w:p>
          <w:p w14:paraId="51A6A1AB">
            <w:pPr>
              <w:pStyle w:val="13"/>
              <w:keepNext w:val="0"/>
              <w:keepLines w:val="0"/>
              <w:suppressLineNumbers w:val="0"/>
              <w:spacing w:before="0" w:beforeAutospacing="0" w:after="0" w:afterAutospacing="0" w:line="360" w:lineRule="auto"/>
              <w:ind w:left="0" w:right="0"/>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lang w:val="en-US" w:eastAsia="zh-CN"/>
              </w:rPr>
              <w:t>1）项目四至情况</w:t>
            </w:r>
          </w:p>
          <w:p w14:paraId="385755AD">
            <w:pPr>
              <w:pStyle w:val="13"/>
              <w:keepNext w:val="0"/>
              <w:keepLines w:val="0"/>
              <w:suppressLineNumbers w:val="0"/>
              <w:spacing w:before="0" w:beforeAutospacing="0" w:after="0" w:afterAutospacing="0" w:line="360" w:lineRule="auto"/>
              <w:ind w:left="0" w:right="0"/>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项目位于惠州市博罗县梅花村鸿达九路198号6号厂房605室、7号厂房705室，根据现场勘查，项目</w:t>
            </w:r>
            <w:r>
              <w:rPr>
                <w:rFonts w:hint="eastAsia" w:cs="Times New Roman"/>
                <w:color w:val="auto"/>
                <w:sz w:val="21"/>
                <w:szCs w:val="21"/>
                <w:highlight w:val="none"/>
                <w:lang w:val="en-US" w:eastAsia="zh-CN"/>
              </w:rPr>
              <w:t>东</w:t>
            </w:r>
            <w:r>
              <w:rPr>
                <w:rFonts w:hint="default" w:ascii="Times New Roman" w:hAnsi="Times New Roman" w:eastAsia="宋体" w:cs="Times New Roman"/>
                <w:color w:val="auto"/>
                <w:sz w:val="21"/>
                <w:szCs w:val="21"/>
                <w:highlight w:val="none"/>
                <w:lang w:eastAsia="zh-CN"/>
              </w:rPr>
              <w:t>北面为烯谷创新园区9号厂房，东南面为园区</w:t>
            </w:r>
            <w:r>
              <w:rPr>
                <w:rFonts w:hint="eastAsia" w:ascii="Times New Roman" w:hAnsi="Times New Roman" w:eastAsia="宋体"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lang w:eastAsia="zh-CN"/>
              </w:rPr>
              <w:t>号厂房，西南面为园区2号厂房，项目西面为惠州市技冠五金制品有限公司。最近敏感点为项目东</w:t>
            </w:r>
            <w:r>
              <w:rPr>
                <w:rFonts w:hint="eastAsia"/>
                <w:color w:val="auto"/>
                <w:highlight w:val="none"/>
                <w:lang w:val="en-US" w:eastAsia="zh-CN"/>
              </w:rPr>
              <w:t>南</w:t>
            </w:r>
            <w:r>
              <w:rPr>
                <w:rFonts w:hint="default" w:ascii="Times New Roman" w:hAnsi="Times New Roman" w:eastAsia="宋体" w:cs="Times New Roman"/>
                <w:color w:val="auto"/>
                <w:sz w:val="21"/>
                <w:szCs w:val="21"/>
                <w:highlight w:val="none"/>
                <w:lang w:eastAsia="zh-CN"/>
              </w:rPr>
              <w:t>面60m处的荔枝园村居民区。项目四邻关系图见附图2，现场勘查图见附图</w:t>
            </w:r>
            <w:r>
              <w:rPr>
                <w:rFonts w:hint="eastAsia"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eastAsia="zh-CN"/>
              </w:rPr>
              <w:t>。</w:t>
            </w:r>
          </w:p>
          <w:p w14:paraId="374F2E5F">
            <w:pPr>
              <w:pStyle w:val="13"/>
              <w:keepNext w:val="0"/>
              <w:keepLines w:val="0"/>
              <w:suppressLineNumbers w:val="0"/>
              <w:spacing w:before="0" w:beforeAutospacing="0" w:after="0" w:afterAutospacing="0" w:line="360" w:lineRule="auto"/>
              <w:ind w:left="0" w:right="0"/>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eastAsia="zh-CN"/>
              </w:rPr>
              <w:t>（</w:t>
            </w:r>
            <w:r>
              <w:rPr>
                <w:rFonts w:hint="default" w:ascii="Times New Roman" w:hAnsi="Times New Roman" w:eastAsia="宋体" w:cs="Times New Roman"/>
                <w:b/>
                <w:bCs/>
                <w:color w:val="auto"/>
                <w:sz w:val="21"/>
                <w:szCs w:val="21"/>
                <w:highlight w:val="none"/>
                <w:lang w:val="en-US" w:eastAsia="zh-CN"/>
              </w:rPr>
              <w:t>2）平面布局</w:t>
            </w:r>
          </w:p>
          <w:p w14:paraId="7CC16B00">
            <w:pPr>
              <w:pStyle w:val="13"/>
              <w:keepNext w:val="0"/>
              <w:keepLines w:val="0"/>
              <w:suppressLineNumbers w:val="0"/>
              <w:spacing w:before="0" w:beforeAutospacing="0" w:after="0" w:afterAutospacing="0" w:line="360" w:lineRule="auto"/>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厂房内分区布置，</w:t>
            </w:r>
            <w:r>
              <w:rPr>
                <w:rFonts w:hint="eastAsia" w:cs="Times New Roman"/>
                <w:color w:val="auto"/>
                <w:sz w:val="21"/>
                <w:szCs w:val="21"/>
                <w:highlight w:val="none"/>
                <w:lang w:val="en-US" w:eastAsia="zh-CN"/>
              </w:rPr>
              <w:t>分</w:t>
            </w:r>
            <w:r>
              <w:rPr>
                <w:rFonts w:hint="eastAsia" w:ascii="Times New Roman" w:hAnsi="Times New Roman" w:cs="Times New Roman"/>
                <w:color w:val="auto"/>
                <w:sz w:val="21"/>
                <w:szCs w:val="21"/>
                <w:highlight w:val="none"/>
                <w:lang w:val="en-US" w:eastAsia="zh-CN"/>
              </w:rPr>
              <w:t>为吸塑车间</w:t>
            </w:r>
            <w:r>
              <w:rPr>
                <w:rFonts w:hint="eastAsia" w:cs="Times New Roman"/>
                <w:color w:val="auto"/>
                <w:sz w:val="21"/>
                <w:szCs w:val="21"/>
                <w:highlight w:val="none"/>
                <w:lang w:val="en-US" w:eastAsia="zh-CN"/>
              </w:rPr>
              <w:t>和</w:t>
            </w:r>
            <w:r>
              <w:rPr>
                <w:rFonts w:hint="eastAsia" w:ascii="Times New Roman" w:hAnsi="Times New Roman" w:cs="Times New Roman"/>
                <w:color w:val="auto"/>
                <w:sz w:val="21"/>
                <w:szCs w:val="21"/>
                <w:highlight w:val="none"/>
                <w:lang w:val="en-US" w:eastAsia="zh-CN"/>
              </w:rPr>
              <w:t>纸箱车间。其中吸塑车间设吸塑区、冲压区、折边区、包装区和仓库，纸箱车间设分切区、印刷区、开槽/啤模区域、钉合/包装区域。办公室位于吸塑车间西北面，</w:t>
            </w:r>
            <w:r>
              <w:rPr>
                <w:rFonts w:hint="default" w:ascii="Times New Roman" w:hAnsi="Times New Roman" w:eastAsia="宋体" w:cs="Times New Roman"/>
                <w:color w:val="auto"/>
                <w:sz w:val="21"/>
                <w:szCs w:val="21"/>
                <w:highlight w:val="none"/>
              </w:rPr>
              <w:t>危废</w:t>
            </w:r>
            <w:r>
              <w:rPr>
                <w:rFonts w:hint="eastAsia" w:ascii="Times New Roman" w:hAnsi="Times New Roman" w:cs="Times New Roman"/>
                <w:color w:val="auto"/>
                <w:sz w:val="21"/>
                <w:szCs w:val="21"/>
                <w:highlight w:val="none"/>
                <w:lang w:val="en-US" w:eastAsia="zh-CN"/>
              </w:rPr>
              <w:t>间</w:t>
            </w:r>
            <w:r>
              <w:rPr>
                <w:rFonts w:hint="default" w:ascii="Times New Roman" w:hAnsi="Times New Roman" w:eastAsia="宋体" w:cs="Times New Roman"/>
                <w:color w:val="auto"/>
                <w:sz w:val="21"/>
                <w:szCs w:val="21"/>
                <w:highlight w:val="none"/>
              </w:rPr>
              <w:t>及一般固废</w:t>
            </w:r>
            <w:r>
              <w:rPr>
                <w:rFonts w:hint="eastAsia" w:ascii="Times New Roman" w:hAnsi="Times New Roman" w:cs="Times New Roman"/>
                <w:color w:val="auto"/>
                <w:sz w:val="21"/>
                <w:szCs w:val="21"/>
                <w:highlight w:val="none"/>
                <w:lang w:val="en-US" w:eastAsia="zh-CN"/>
              </w:rPr>
              <w:t>间</w:t>
            </w:r>
            <w:r>
              <w:rPr>
                <w:rFonts w:hint="default" w:ascii="Times New Roman" w:hAnsi="Times New Roman" w:eastAsia="宋体" w:cs="Times New Roman"/>
                <w:color w:val="auto"/>
                <w:sz w:val="21"/>
                <w:szCs w:val="21"/>
                <w:highlight w:val="none"/>
              </w:rPr>
              <w:t>位于</w:t>
            </w:r>
            <w:r>
              <w:rPr>
                <w:rFonts w:hint="eastAsia" w:ascii="Times New Roman" w:hAnsi="Times New Roman" w:cs="Times New Roman"/>
                <w:color w:val="auto"/>
                <w:sz w:val="21"/>
                <w:szCs w:val="21"/>
                <w:highlight w:val="none"/>
                <w:lang w:val="en-US" w:eastAsia="zh-CN"/>
              </w:rPr>
              <w:t>吸塑车间东</w:t>
            </w:r>
            <w:r>
              <w:rPr>
                <w:rFonts w:hint="default" w:ascii="Times New Roman" w:hAnsi="Times New Roman" w:eastAsia="宋体" w:cs="Times New Roman"/>
                <w:color w:val="auto"/>
                <w:sz w:val="21"/>
                <w:szCs w:val="21"/>
                <w:highlight w:val="none"/>
              </w:rPr>
              <w:t>侧，项目各车间功能区分区明确，布局合理，总平面布置做到了人流、物流分流、方便生产和办公，同时生产对外环境造成的影响也降至最低，平面布置合理，项目车间平面布置见附图</w:t>
            </w:r>
            <w:r>
              <w:rPr>
                <w:rFonts w:hint="eastAsia"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rPr>
              <w:t>。</w:t>
            </w:r>
          </w:p>
        </w:tc>
      </w:tr>
      <w:tr w14:paraId="7C8C9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6" w:type="pct"/>
            <w:noWrap w:val="0"/>
            <w:vAlign w:val="center"/>
          </w:tcPr>
          <w:p w14:paraId="4F14D81C">
            <w:pPr>
              <w:pStyle w:val="37"/>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工艺流程和产排污环节</w:t>
            </w:r>
          </w:p>
        </w:tc>
        <w:tc>
          <w:tcPr>
            <w:tcW w:w="4773" w:type="pct"/>
            <w:noWrap w:val="0"/>
            <w:vAlign w:val="top"/>
          </w:tcPr>
          <w:p w14:paraId="3BB9B9B5">
            <w:pPr>
              <w:pStyle w:val="82"/>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一、生产工艺流程</w:t>
            </w:r>
          </w:p>
          <w:p w14:paraId="31ABC235">
            <w:pPr>
              <w:pStyle w:val="82"/>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1、吸塑制品生产工艺流程</w:t>
            </w:r>
          </w:p>
          <w:p w14:paraId="66048EE2">
            <w:pPr>
              <w:pStyle w:val="18"/>
              <w:keepNext w:val="0"/>
              <w:keepLines w:val="0"/>
              <w:suppressLineNumbers w:val="0"/>
              <w:spacing w:beforeAutospacing="0" w:afterAutospacing="0"/>
              <w:ind w:lef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highlight w:val="none"/>
              </w:rPr>
              <mc:AlternateContent>
                <mc:Choice Requires="wpc">
                  <w:drawing>
                    <wp:inline distT="0" distB="0" distL="114300" distR="114300">
                      <wp:extent cx="5547360" cy="4169410"/>
                      <wp:effectExtent l="0" t="0" r="0" b="0"/>
                      <wp:docPr id="166" name="画布 27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43" name="文本框 16"/>
                              <wps:cNvSpPr txBox="1">
                                <a:spLocks noChangeArrowheads="1"/>
                              </wps:cNvSpPr>
                              <wps:spPr bwMode="auto">
                                <a:xfrm>
                                  <a:off x="1581150" y="164465"/>
                                  <a:ext cx="2423795" cy="464820"/>
                                </a:xfrm>
                                <a:prstGeom prst="rect">
                                  <a:avLst/>
                                </a:prstGeom>
                                <a:noFill/>
                                <a:ln>
                                  <a:noFill/>
                                </a:ln>
                                <a:effectLst/>
                              </wps:spPr>
                              <wps:txbx>
                                <w:txbxContent>
                                  <w:p w14:paraId="4A6D4661">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PVC塑料膜、APET塑料膜、PP塑料膜、ABS塑料膜和HTPS塑料膜</w:t>
                                    </w:r>
                                  </w:p>
                                </w:txbxContent>
                              </wps:txbx>
                              <wps:bodyPr rot="0" vert="horz" wrap="square" lIns="91440" tIns="45720" rIns="91440" bIns="45720" anchor="t" anchorCtr="0" upright="1">
                                <a:noAutofit/>
                              </wps:bodyPr>
                            </wps:wsp>
                            <wps:wsp>
                              <wps:cNvPr id="144" name="文本框 34"/>
                              <wps:cNvSpPr txBox="1">
                                <a:spLocks noChangeArrowheads="1"/>
                              </wps:cNvSpPr>
                              <wps:spPr bwMode="auto">
                                <a:xfrm>
                                  <a:off x="2277745" y="920750"/>
                                  <a:ext cx="883285" cy="292100"/>
                                </a:xfrm>
                                <a:prstGeom prst="rect">
                                  <a:avLst/>
                                </a:prstGeom>
                                <a:noFill/>
                                <a:ln w="9525">
                                  <a:solidFill>
                                    <a:srgbClr val="000000"/>
                                  </a:solidFill>
                                  <a:miter lim="800000"/>
                                </a:ln>
                                <a:effectLst/>
                              </wps:spPr>
                              <wps:txbx>
                                <w:txbxContent>
                                  <w:p w14:paraId="5FA848B6">
                                    <w:pPr>
                                      <w:jc w:val="center"/>
                                      <w:rPr>
                                        <w:rFonts w:hint="eastAsia" w:eastAsia="宋体"/>
                                        <w:lang w:val="en-US" w:eastAsia="zh-CN"/>
                                      </w:rPr>
                                    </w:pPr>
                                    <w:r>
                                      <w:rPr>
                                        <w:rFonts w:hint="eastAsia"/>
                                        <w:lang w:val="en-US" w:eastAsia="zh-CN"/>
                                      </w:rPr>
                                      <w:t>吸塑</w:t>
                                    </w:r>
                                  </w:p>
                                </w:txbxContent>
                              </wps:txbx>
                              <wps:bodyPr rot="0" vert="horz" wrap="square" lIns="91440" tIns="45720" rIns="91440" bIns="45720" anchor="t" anchorCtr="0" upright="1">
                                <a:noAutofit/>
                              </wps:bodyPr>
                            </wps:wsp>
                            <wps:wsp>
                              <wps:cNvPr id="145" name="直线 661"/>
                              <wps:cNvCnPr/>
                              <wps:spPr>
                                <a:xfrm>
                                  <a:off x="2741930" y="615315"/>
                                  <a:ext cx="635" cy="299720"/>
                                </a:xfrm>
                                <a:prstGeom prst="line">
                                  <a:avLst/>
                                </a:prstGeom>
                                <a:ln w="9525" cap="flat" cmpd="sng">
                                  <a:solidFill>
                                    <a:srgbClr val="000000"/>
                                  </a:solidFill>
                                  <a:prstDash val="solid"/>
                                  <a:headEnd type="none" w="med" len="med"/>
                                  <a:tailEnd type="triangle" w="med" len="med"/>
                                </a:ln>
                              </wps:spPr>
                              <wps:bodyPr upright="1"/>
                            </wps:wsp>
                            <wps:wsp>
                              <wps:cNvPr id="146" name="文本框 34"/>
                              <wps:cNvSpPr txBox="1">
                                <a:spLocks noChangeArrowheads="1"/>
                              </wps:cNvSpPr>
                              <wps:spPr bwMode="auto">
                                <a:xfrm>
                                  <a:off x="2286000" y="1515745"/>
                                  <a:ext cx="883285" cy="292100"/>
                                </a:xfrm>
                                <a:prstGeom prst="rect">
                                  <a:avLst/>
                                </a:prstGeom>
                                <a:noFill/>
                                <a:ln w="9525">
                                  <a:solidFill>
                                    <a:srgbClr val="000000"/>
                                  </a:solidFill>
                                  <a:miter lim="800000"/>
                                </a:ln>
                                <a:effectLst/>
                              </wps:spPr>
                              <wps:txbx>
                                <w:txbxContent>
                                  <w:p w14:paraId="61C4146D">
                                    <w:pPr>
                                      <w:jc w:val="center"/>
                                      <w:rPr>
                                        <w:rFonts w:hint="default" w:eastAsia="宋体"/>
                                        <w:lang w:val="en-US" w:eastAsia="zh-CN"/>
                                      </w:rPr>
                                    </w:pPr>
                                    <w:r>
                                      <w:rPr>
                                        <w:rFonts w:hint="eastAsia" w:eastAsia="宋体"/>
                                        <w:lang w:val="en-US" w:eastAsia="zh-CN"/>
                                      </w:rPr>
                                      <w:t>冲压</w:t>
                                    </w:r>
                                  </w:p>
                                </w:txbxContent>
                              </wps:txbx>
                              <wps:bodyPr rot="0" vert="horz" wrap="square" lIns="91440" tIns="45720" rIns="91440" bIns="45720" anchor="t" anchorCtr="0" upright="1">
                                <a:noAutofit/>
                              </wps:bodyPr>
                            </wps:wsp>
                            <wps:wsp>
                              <wps:cNvPr id="147" name="直线 663"/>
                              <wps:cNvCnPr/>
                              <wps:spPr>
                                <a:xfrm>
                                  <a:off x="2744470" y="1215390"/>
                                  <a:ext cx="0" cy="292100"/>
                                </a:xfrm>
                                <a:prstGeom prst="line">
                                  <a:avLst/>
                                </a:prstGeom>
                                <a:ln w="9525" cap="flat" cmpd="sng">
                                  <a:solidFill>
                                    <a:srgbClr val="000000"/>
                                  </a:solidFill>
                                  <a:prstDash val="solid"/>
                                  <a:headEnd type="none" w="med" len="med"/>
                                  <a:tailEnd type="triangle" w="med" len="med"/>
                                </a:ln>
                              </wps:spPr>
                              <wps:bodyPr upright="1"/>
                            </wps:wsp>
                            <wps:wsp>
                              <wps:cNvPr id="148" name="直线 664"/>
                              <wps:cNvCnPr/>
                              <wps:spPr>
                                <a:xfrm>
                                  <a:off x="2746375" y="1804670"/>
                                  <a:ext cx="0" cy="292100"/>
                                </a:xfrm>
                                <a:prstGeom prst="line">
                                  <a:avLst/>
                                </a:prstGeom>
                                <a:ln w="9525" cap="flat" cmpd="sng">
                                  <a:solidFill>
                                    <a:srgbClr val="000000"/>
                                  </a:solidFill>
                                  <a:prstDash val="solid"/>
                                  <a:headEnd type="none" w="med" len="med"/>
                                  <a:tailEnd type="triangle" w="med" len="med"/>
                                </a:ln>
                              </wps:spPr>
                              <wps:bodyPr upright="1"/>
                            </wps:wsp>
                            <wps:wsp>
                              <wps:cNvPr id="149" name="文本框 34"/>
                              <wps:cNvSpPr txBox="1">
                                <a:spLocks noChangeArrowheads="1"/>
                              </wps:cNvSpPr>
                              <wps:spPr bwMode="auto">
                                <a:xfrm>
                                  <a:off x="2293620" y="2098040"/>
                                  <a:ext cx="883285" cy="292100"/>
                                </a:xfrm>
                                <a:prstGeom prst="rect">
                                  <a:avLst/>
                                </a:prstGeom>
                                <a:noFill/>
                                <a:ln w="9525">
                                  <a:solidFill>
                                    <a:srgbClr val="000000"/>
                                  </a:solidFill>
                                  <a:miter lim="800000"/>
                                </a:ln>
                                <a:effectLst/>
                              </wps:spPr>
                              <wps:txbx>
                                <w:txbxContent>
                                  <w:p w14:paraId="4FE72678">
                                    <w:pPr>
                                      <w:jc w:val="center"/>
                                      <w:rPr>
                                        <w:rFonts w:hint="default" w:eastAsia="宋体"/>
                                        <w:lang w:val="en-US" w:eastAsia="zh-CN"/>
                                      </w:rPr>
                                    </w:pPr>
                                    <w:r>
                                      <w:rPr>
                                        <w:rFonts w:hint="eastAsia" w:eastAsia="宋体"/>
                                        <w:lang w:val="en-US" w:eastAsia="zh-CN"/>
                                      </w:rPr>
                                      <w:t>折边</w:t>
                                    </w:r>
                                  </w:p>
                                </w:txbxContent>
                              </wps:txbx>
                              <wps:bodyPr rot="0" vert="horz" wrap="square" lIns="91440" tIns="45720" rIns="91440" bIns="45720" anchor="t" anchorCtr="0" upright="1">
                                <a:noAutofit/>
                              </wps:bodyPr>
                            </wps:wsp>
                            <wps:wsp>
                              <wps:cNvPr id="150" name="直线 666"/>
                              <wps:cNvCnPr/>
                              <wps:spPr>
                                <a:xfrm>
                                  <a:off x="2746375" y="2395856"/>
                                  <a:ext cx="0" cy="292100"/>
                                </a:xfrm>
                                <a:prstGeom prst="line">
                                  <a:avLst/>
                                </a:prstGeom>
                                <a:ln w="9525" cap="flat" cmpd="sng">
                                  <a:solidFill>
                                    <a:srgbClr val="000000"/>
                                  </a:solidFill>
                                  <a:prstDash val="solid"/>
                                  <a:headEnd type="none" w="med" len="med"/>
                                  <a:tailEnd type="triangle" w="med" len="med"/>
                                </a:ln>
                              </wps:spPr>
                              <wps:bodyPr upright="1"/>
                            </wps:wsp>
                            <wps:wsp>
                              <wps:cNvPr id="151" name="文本框 34"/>
                              <wps:cNvSpPr txBox="1">
                                <a:spLocks noChangeArrowheads="1"/>
                              </wps:cNvSpPr>
                              <wps:spPr bwMode="auto">
                                <a:xfrm>
                                  <a:off x="2302510" y="2673985"/>
                                  <a:ext cx="883285" cy="292100"/>
                                </a:xfrm>
                                <a:prstGeom prst="rect">
                                  <a:avLst/>
                                </a:prstGeom>
                                <a:noFill/>
                                <a:ln w="9525">
                                  <a:solidFill>
                                    <a:srgbClr val="000000"/>
                                  </a:solidFill>
                                  <a:miter lim="800000"/>
                                </a:ln>
                                <a:effectLst/>
                              </wps:spPr>
                              <wps:txbx>
                                <w:txbxContent>
                                  <w:p w14:paraId="469C2869">
                                    <w:pPr>
                                      <w:jc w:val="center"/>
                                      <w:rPr>
                                        <w:rFonts w:hint="default" w:eastAsia="宋体"/>
                                        <w:lang w:val="en-US" w:eastAsia="zh-CN"/>
                                      </w:rPr>
                                    </w:pPr>
                                    <w:r>
                                      <w:rPr>
                                        <w:rFonts w:hint="eastAsia" w:eastAsia="宋体"/>
                                        <w:lang w:val="en-US" w:eastAsia="zh-CN"/>
                                      </w:rPr>
                                      <w:t>质检</w:t>
                                    </w:r>
                                  </w:p>
                                </w:txbxContent>
                              </wps:txbx>
                              <wps:bodyPr rot="0" vert="horz" wrap="square" lIns="91440" tIns="45720" rIns="91440" bIns="45720" anchor="t" anchorCtr="0" upright="1">
                                <a:noAutofit/>
                              </wps:bodyPr>
                            </wps:wsp>
                            <wps:wsp>
                              <wps:cNvPr id="152" name="文本框 34"/>
                              <wps:cNvSpPr txBox="1">
                                <a:spLocks noChangeArrowheads="1"/>
                              </wps:cNvSpPr>
                              <wps:spPr bwMode="auto">
                                <a:xfrm>
                                  <a:off x="2311400" y="3266440"/>
                                  <a:ext cx="883285" cy="292100"/>
                                </a:xfrm>
                                <a:prstGeom prst="rect">
                                  <a:avLst/>
                                </a:prstGeom>
                                <a:noFill/>
                                <a:ln w="9525">
                                  <a:solidFill>
                                    <a:srgbClr val="000000"/>
                                  </a:solidFill>
                                  <a:miter lim="800000"/>
                                </a:ln>
                                <a:effectLst/>
                              </wps:spPr>
                              <wps:txbx>
                                <w:txbxContent>
                                  <w:p w14:paraId="17E8EA64">
                                    <w:pPr>
                                      <w:jc w:val="center"/>
                                      <w:rPr>
                                        <w:rFonts w:hint="default" w:eastAsia="宋体"/>
                                        <w:lang w:val="en-US" w:eastAsia="zh-CN"/>
                                      </w:rPr>
                                    </w:pPr>
                                    <w:r>
                                      <w:rPr>
                                        <w:rFonts w:hint="eastAsia" w:eastAsia="宋体"/>
                                        <w:lang w:val="en-US" w:eastAsia="zh-CN"/>
                                      </w:rPr>
                                      <w:t>包装出货</w:t>
                                    </w:r>
                                  </w:p>
                                </w:txbxContent>
                              </wps:txbx>
                              <wps:bodyPr rot="0" vert="horz" wrap="square" lIns="91440" tIns="45720" rIns="91440" bIns="45720" anchor="t" anchorCtr="0" upright="1">
                                <a:noAutofit/>
                              </wps:bodyPr>
                            </wps:wsp>
                            <wps:wsp>
                              <wps:cNvPr id="153" name="直线 669"/>
                              <wps:cNvCnPr/>
                              <wps:spPr>
                                <a:xfrm>
                                  <a:off x="2755900" y="2985771"/>
                                  <a:ext cx="0" cy="292100"/>
                                </a:xfrm>
                                <a:prstGeom prst="line">
                                  <a:avLst/>
                                </a:prstGeom>
                                <a:ln w="9525" cap="flat" cmpd="sng">
                                  <a:solidFill>
                                    <a:srgbClr val="000000"/>
                                  </a:solidFill>
                                  <a:prstDash val="solid"/>
                                  <a:headEnd type="none" w="med" len="med"/>
                                  <a:tailEnd type="triangle" w="med" len="med"/>
                                </a:ln>
                              </wps:spPr>
                              <wps:bodyPr upright="1"/>
                            </wps:wsp>
                            <wps:wsp>
                              <wps:cNvPr id="154" name="直线 670"/>
                              <wps:cNvCnPr/>
                              <wps:spPr>
                                <a:xfrm>
                                  <a:off x="2760980" y="3564256"/>
                                  <a:ext cx="0" cy="292100"/>
                                </a:xfrm>
                                <a:prstGeom prst="line">
                                  <a:avLst/>
                                </a:prstGeom>
                                <a:ln w="9525" cap="flat" cmpd="sng">
                                  <a:solidFill>
                                    <a:srgbClr val="000000"/>
                                  </a:solidFill>
                                  <a:prstDash val="solid"/>
                                  <a:headEnd type="none" w="med" len="med"/>
                                  <a:tailEnd type="triangle" w="med" len="med"/>
                                </a:ln>
                              </wps:spPr>
                              <wps:bodyPr upright="1"/>
                            </wps:wsp>
                            <wps:wsp>
                              <wps:cNvPr id="155" name="文本框 16"/>
                              <wps:cNvSpPr txBox="1">
                                <a:spLocks noChangeArrowheads="1"/>
                              </wps:cNvSpPr>
                              <wps:spPr bwMode="auto">
                                <a:xfrm>
                                  <a:off x="2318385" y="3847465"/>
                                  <a:ext cx="910590" cy="295275"/>
                                </a:xfrm>
                                <a:prstGeom prst="rect">
                                  <a:avLst/>
                                </a:prstGeom>
                                <a:noFill/>
                                <a:ln>
                                  <a:noFill/>
                                </a:ln>
                                <a:effectLst/>
                              </wps:spPr>
                              <wps:txbx>
                                <w:txbxContent>
                                  <w:p w14:paraId="38CC36F3">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吸塑制品</w:t>
                                    </w:r>
                                  </w:p>
                                </w:txbxContent>
                              </wps:txbx>
                              <wps:bodyPr rot="0" vert="horz" wrap="square" lIns="91440" tIns="45720" rIns="91440" bIns="45720" anchor="t" anchorCtr="0" upright="1">
                                <a:noAutofit/>
                              </wps:bodyPr>
                            </wps:wsp>
                            <wps:wsp>
                              <wps:cNvPr id="156" name="直线 672"/>
                              <wps:cNvCnPr/>
                              <wps:spPr>
                                <a:xfrm>
                                  <a:off x="3182620" y="1049020"/>
                                  <a:ext cx="497840" cy="635"/>
                                </a:xfrm>
                                <a:prstGeom prst="line">
                                  <a:avLst/>
                                </a:prstGeom>
                                <a:ln w="9525" cap="flat" cmpd="sng">
                                  <a:solidFill>
                                    <a:srgbClr val="000000"/>
                                  </a:solidFill>
                                  <a:prstDash val="dash"/>
                                  <a:headEnd type="none" w="med" len="med"/>
                                  <a:tailEnd type="triangle" w="med" len="med"/>
                                </a:ln>
                              </wps:spPr>
                              <wps:bodyPr upright="1"/>
                            </wps:wsp>
                            <wps:wsp>
                              <wps:cNvPr id="157" name="文本框 34"/>
                              <wps:cNvSpPr txBox="1"/>
                              <wps:spPr>
                                <a:xfrm>
                                  <a:off x="3684270" y="695325"/>
                                  <a:ext cx="1442720" cy="646430"/>
                                </a:xfrm>
                                <a:prstGeom prst="rect">
                                  <a:avLst/>
                                </a:prstGeom>
                                <a:noFill/>
                                <a:ln w="9525" cap="flat" cmpd="sng">
                                  <a:solidFill>
                                    <a:srgbClr val="000000"/>
                                  </a:solidFill>
                                  <a:prstDash val="dash"/>
                                  <a:miter/>
                                  <a:headEnd type="none" w="med" len="med"/>
                                  <a:tailEnd type="none" w="med" len="med"/>
                                </a:ln>
                              </wps:spPr>
                              <wps:txbx>
                                <w:txbxContent>
                                  <w:p w14:paraId="6E25F2F7">
                                    <w:pPr>
                                      <w:jc w:val="center"/>
                                      <w:rPr>
                                        <w:rFonts w:hint="default" w:eastAsia="宋体"/>
                                        <w:lang w:val="en-US" w:eastAsia="zh-CN"/>
                                      </w:rPr>
                                    </w:pPr>
                                    <w:r>
                                      <w:rPr>
                                        <w:rFonts w:hint="eastAsia" w:eastAsia="宋体"/>
                                        <w:lang w:val="en-US" w:eastAsia="zh-CN"/>
                                      </w:rPr>
                                      <w:t>有机废气、</w:t>
                                    </w:r>
                                    <w:r>
                                      <w:rPr>
                                        <w:rFonts w:hint="eastAsia"/>
                                        <w:lang w:val="en-US" w:eastAsia="zh-CN"/>
                                      </w:rPr>
                                      <w:t>臭气浓度、冷却废水、塑料边角料、废模具、</w:t>
                                    </w:r>
                                    <w:r>
                                      <w:rPr>
                                        <w:rFonts w:hint="eastAsia" w:eastAsia="宋体"/>
                                        <w:lang w:val="en-US" w:eastAsia="zh-CN"/>
                                      </w:rPr>
                                      <w:t>噪声</w:t>
                                    </w:r>
                                  </w:p>
                                </w:txbxContent>
                              </wps:txbx>
                              <wps:bodyPr vert="horz" anchor="t" anchorCtr="0" upright="1"/>
                            </wps:wsp>
                            <wps:wsp>
                              <wps:cNvPr id="158" name="直线 674"/>
                              <wps:cNvCnPr/>
                              <wps:spPr>
                                <a:xfrm>
                                  <a:off x="3175000" y="1645285"/>
                                  <a:ext cx="495300" cy="0"/>
                                </a:xfrm>
                                <a:prstGeom prst="line">
                                  <a:avLst/>
                                </a:prstGeom>
                                <a:ln w="9525" cap="flat" cmpd="sng">
                                  <a:solidFill>
                                    <a:srgbClr val="000000"/>
                                  </a:solidFill>
                                  <a:prstDash val="dash"/>
                                  <a:headEnd type="none" w="med" len="med"/>
                                  <a:tailEnd type="triangle" w="med" len="med"/>
                                </a:ln>
                              </wps:spPr>
                              <wps:bodyPr upright="1"/>
                            </wps:wsp>
                            <wps:wsp>
                              <wps:cNvPr id="159" name="文本框 34"/>
                              <wps:cNvSpPr txBox="1"/>
                              <wps:spPr>
                                <a:xfrm>
                                  <a:off x="3681095" y="1491615"/>
                                  <a:ext cx="1329055" cy="292100"/>
                                </a:xfrm>
                                <a:prstGeom prst="rect">
                                  <a:avLst/>
                                </a:prstGeom>
                                <a:noFill/>
                                <a:ln w="9525" cap="flat" cmpd="sng">
                                  <a:solidFill>
                                    <a:srgbClr val="000000"/>
                                  </a:solidFill>
                                  <a:prstDash val="dash"/>
                                  <a:miter/>
                                  <a:headEnd type="none" w="med" len="med"/>
                                  <a:tailEnd type="none" w="med" len="med"/>
                                </a:ln>
                              </wps:spPr>
                              <wps:txbx>
                                <w:txbxContent>
                                  <w:p w14:paraId="29DE14E2">
                                    <w:pPr>
                                      <w:jc w:val="center"/>
                                      <w:rPr>
                                        <w:rFonts w:hint="default" w:eastAsia="宋体"/>
                                        <w:lang w:val="en-US" w:eastAsia="zh-CN"/>
                                      </w:rPr>
                                    </w:pPr>
                                    <w:r>
                                      <w:rPr>
                                        <w:rFonts w:hint="eastAsia" w:eastAsia="宋体"/>
                                        <w:lang w:val="en-US" w:eastAsia="zh-CN"/>
                                      </w:rPr>
                                      <w:t>塑料边角料、噪声</w:t>
                                    </w:r>
                                  </w:p>
                                </w:txbxContent>
                              </wps:txbx>
                              <wps:bodyPr vert="horz" anchor="t" anchorCtr="0" upright="1"/>
                            </wps:wsp>
                            <wps:wsp>
                              <wps:cNvPr id="160" name="直线 676"/>
                              <wps:cNvCnPr/>
                              <wps:spPr>
                                <a:xfrm>
                                  <a:off x="3187065" y="2811146"/>
                                  <a:ext cx="495300" cy="0"/>
                                </a:xfrm>
                                <a:prstGeom prst="line">
                                  <a:avLst/>
                                </a:prstGeom>
                                <a:ln w="9525" cap="flat" cmpd="sng">
                                  <a:solidFill>
                                    <a:srgbClr val="000000"/>
                                  </a:solidFill>
                                  <a:prstDash val="dash"/>
                                  <a:headEnd type="none" w="med" len="med"/>
                                  <a:tailEnd type="triangle" w="med" len="med"/>
                                </a:ln>
                              </wps:spPr>
                              <wps:bodyPr upright="1"/>
                            </wps:wsp>
                            <wps:wsp>
                              <wps:cNvPr id="161" name="文本框 34"/>
                              <wps:cNvSpPr txBox="1"/>
                              <wps:spPr>
                                <a:xfrm>
                                  <a:off x="3686810" y="2661920"/>
                                  <a:ext cx="1162685" cy="292100"/>
                                </a:xfrm>
                                <a:prstGeom prst="rect">
                                  <a:avLst/>
                                </a:prstGeom>
                                <a:noFill/>
                                <a:ln w="9525" cap="flat" cmpd="sng">
                                  <a:solidFill>
                                    <a:srgbClr val="000000"/>
                                  </a:solidFill>
                                  <a:prstDash val="dash"/>
                                  <a:miter/>
                                  <a:headEnd type="none" w="med" len="med"/>
                                  <a:tailEnd type="none" w="med" len="med"/>
                                </a:ln>
                              </wps:spPr>
                              <wps:txbx>
                                <w:txbxContent>
                                  <w:p w14:paraId="68945D0D">
                                    <w:pPr>
                                      <w:jc w:val="center"/>
                                      <w:rPr>
                                        <w:rFonts w:hint="default" w:eastAsia="宋体"/>
                                        <w:lang w:val="en-US" w:eastAsia="zh-CN"/>
                                      </w:rPr>
                                    </w:pPr>
                                    <w:r>
                                      <w:rPr>
                                        <w:rFonts w:hint="eastAsia"/>
                                        <w:lang w:val="en-US" w:eastAsia="zh-CN"/>
                                      </w:rPr>
                                      <w:t>废塑料制品</w:t>
                                    </w:r>
                                  </w:p>
                                </w:txbxContent>
                              </wps:txbx>
                              <wps:bodyPr vert="horz" anchor="t" anchorCtr="0" upright="1"/>
                            </wps:wsp>
                            <wps:wsp>
                              <wps:cNvPr id="162" name="直线 678"/>
                              <wps:cNvCnPr/>
                              <wps:spPr>
                                <a:xfrm>
                                  <a:off x="3194050" y="3397885"/>
                                  <a:ext cx="514350" cy="3810"/>
                                </a:xfrm>
                                <a:prstGeom prst="line">
                                  <a:avLst/>
                                </a:prstGeom>
                                <a:ln w="9525" cap="flat" cmpd="sng">
                                  <a:solidFill>
                                    <a:srgbClr val="000000"/>
                                  </a:solidFill>
                                  <a:prstDash val="dash"/>
                                  <a:headEnd type="none" w="med" len="med"/>
                                  <a:tailEnd type="triangle" w="med" len="med"/>
                                </a:ln>
                              </wps:spPr>
                              <wps:bodyPr upright="1"/>
                            </wps:wsp>
                            <wps:wsp>
                              <wps:cNvPr id="163" name="文本框 34"/>
                              <wps:cNvSpPr txBox="1"/>
                              <wps:spPr>
                                <a:xfrm>
                                  <a:off x="3705225" y="3256915"/>
                                  <a:ext cx="1143000" cy="292100"/>
                                </a:xfrm>
                                <a:prstGeom prst="rect">
                                  <a:avLst/>
                                </a:prstGeom>
                                <a:noFill/>
                                <a:ln w="9525" cap="flat" cmpd="sng">
                                  <a:solidFill>
                                    <a:srgbClr val="000000"/>
                                  </a:solidFill>
                                  <a:prstDash val="dash"/>
                                  <a:miter/>
                                  <a:headEnd type="none" w="med" len="med"/>
                                  <a:tailEnd type="none" w="med" len="med"/>
                                </a:ln>
                              </wps:spPr>
                              <wps:txbx>
                                <w:txbxContent>
                                  <w:p w14:paraId="7342410F">
                                    <w:pPr>
                                      <w:jc w:val="center"/>
                                      <w:rPr>
                                        <w:rFonts w:hint="default" w:eastAsia="宋体"/>
                                        <w:lang w:val="en-US" w:eastAsia="zh-CN"/>
                                      </w:rPr>
                                    </w:pPr>
                                    <w:r>
                                      <w:rPr>
                                        <w:rFonts w:hint="eastAsia" w:eastAsia="宋体"/>
                                        <w:lang w:val="en-US" w:eastAsia="zh-CN"/>
                                      </w:rPr>
                                      <w:t>废包装材料</w:t>
                                    </w:r>
                                  </w:p>
                                </w:txbxContent>
                              </wps:txbx>
                              <wps:bodyPr vert="horz" anchor="t" anchorCtr="0" upright="1"/>
                            </wps:wsp>
                            <wps:wsp>
                              <wps:cNvPr id="164" name="直线 717"/>
                              <wps:cNvCnPr/>
                              <wps:spPr>
                                <a:xfrm>
                                  <a:off x="1822450" y="3405505"/>
                                  <a:ext cx="495300" cy="0"/>
                                </a:xfrm>
                                <a:prstGeom prst="line">
                                  <a:avLst/>
                                </a:prstGeom>
                                <a:ln w="9525" cap="flat" cmpd="sng">
                                  <a:solidFill>
                                    <a:srgbClr val="000000"/>
                                  </a:solidFill>
                                  <a:prstDash val="solid"/>
                                  <a:headEnd type="none" w="med" len="med"/>
                                  <a:tailEnd type="triangle" w="med" len="med"/>
                                </a:ln>
                              </wps:spPr>
                              <wps:bodyPr upright="1"/>
                            </wps:wsp>
                            <wps:wsp>
                              <wps:cNvPr id="165" name="文本框 16"/>
                              <wps:cNvSpPr txBox="1">
                                <a:spLocks noChangeArrowheads="1"/>
                              </wps:cNvSpPr>
                              <wps:spPr bwMode="auto">
                                <a:xfrm>
                                  <a:off x="921385" y="3254375"/>
                                  <a:ext cx="910590" cy="304800"/>
                                </a:xfrm>
                                <a:prstGeom prst="rect">
                                  <a:avLst/>
                                </a:prstGeom>
                                <a:noFill/>
                                <a:ln>
                                  <a:noFill/>
                                </a:ln>
                                <a:effectLst/>
                              </wps:spPr>
                              <wps:txbx>
                                <w:txbxContent>
                                  <w:p w14:paraId="531D1D72">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包装材料</w:t>
                                    </w:r>
                                  </w:p>
                                </w:txbxContent>
                              </wps:txbx>
                              <wps:bodyPr rot="0" vert="horz" wrap="square" lIns="91440" tIns="45720" rIns="91440" bIns="45720" anchor="t" anchorCtr="0" upright="1">
                                <a:noAutofit/>
                              </wps:bodyPr>
                            </wps:wsp>
                          </wpc:wpc>
                        </a:graphicData>
                      </a:graphic>
                    </wp:inline>
                  </w:drawing>
                </mc:Choice>
                <mc:Fallback>
                  <w:pict>
                    <v:group id="画布 271" o:spid="_x0000_s1026" o:spt="203" style="height:328.3pt;width:436.8pt;" coordsize="5547360,4169410" editas="canvas" o:gfxdata="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">
                      <o:lock v:ext="edit" aspectratio="f"/>
                      <v:shape id="画布 271" o:spid="_x0000_s1026" style="position:absolute;left:0;top:0;height:4169410;width:5547360;" filled="f" stroked="f" coordsize="21600,21600" o:gfxdata="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">
                        <v:fill on="f" focussize="0,0"/>
                        <v:stroke on="f"/>
                        <v:imagedata o:title=""/>
                        <o:lock v:ext="edit" aspectratio="t"/>
                      </v:shape>
                      <v:shape id="文本框 16" o:spid="_x0000_s1026" o:spt="202" type="#_x0000_t202" style="position:absolute;left:1581150;top:164465;height:464820;width:2423795;" filled="f" stroked="f" coordsize="21600,21600" o:gfxdata="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gMQuX9QAAAAFAQAADwAAAAAAAAABACAAAAAiAAAAZHJzL2Rvd25yZXYueG1sUEsBAhQAFAAAAAgA&#10;h07iQErqs9spAgAAMQQAAA4AAAAAAAAAAQAgAAAAIwEAAGRycy9lMm9Eb2MueG1sUEsFBgAAAAAG&#10;AAYAWQEAAL4FAAAAAA==&#10;">
                        <v:fill on="f" focussize="0,0"/>
                        <v:stroke on="f"/>
                        <v:imagedata o:title=""/>
                        <o:lock v:ext="edit" aspectratio="f"/>
                        <v:textbox>
                          <w:txbxContent>
                            <w:p w14:paraId="4A6D4661">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PVC塑料膜、APET塑料膜、PP塑料膜、ABS塑料膜和HTPS塑料膜</w:t>
                              </w:r>
                            </w:p>
                          </w:txbxContent>
                        </v:textbox>
                      </v:shape>
                      <v:shape id="文本框 34" o:spid="_x0000_s1026" o:spt="202" type="#_x0000_t202" style="position:absolute;left:2277745;top:920750;height:292100;width:883285;" filled="f" stroked="t" coordsize="21600,21600" o:gfxdata="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EWmuizUAAAABQEAAA8AAAAAAAAA&#10;AQAgAAAAIgAAAGRycy9kb3ducmV2LnhtbFBLAQIUABQAAAAIAIdO4kDeuguBTgIAAHkEAAAOAAAA&#10;AAAAAAEAIAAAACMBAABkcnMvZTJvRG9jLnhtbFBLBQYAAAAABgAGAFkBAADjBQAAAAA=&#10;">
                        <v:fill on="f" focussize="0,0"/>
                        <v:stroke color="#000000" miterlimit="8" joinstyle="miter"/>
                        <v:imagedata o:title=""/>
                        <o:lock v:ext="edit" aspectratio="f"/>
                        <v:textbox>
                          <w:txbxContent>
                            <w:p w14:paraId="5FA848B6">
                              <w:pPr>
                                <w:jc w:val="center"/>
                                <w:rPr>
                                  <w:rFonts w:hint="eastAsia" w:eastAsia="宋体"/>
                                  <w:lang w:val="en-US" w:eastAsia="zh-CN"/>
                                </w:rPr>
                              </w:pPr>
                              <w:r>
                                <w:rPr>
                                  <w:rFonts w:hint="eastAsia"/>
                                  <w:lang w:val="en-US" w:eastAsia="zh-CN"/>
                                </w:rPr>
                                <w:t>吸塑</w:t>
                              </w:r>
                            </w:p>
                          </w:txbxContent>
                        </v:textbox>
                      </v:shape>
                      <v:line id="直线 661" o:spid="_x0000_s1026" o:spt="20" style="position:absolute;left:2741930;top:615315;height:299720;width:635;" filled="f" stroked="t" coordsize="21600,21600" o:gfxdata="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4WvKgtgAAAAFAQAADwAAAAAAAAABACAAAAAiAAAAZHJzL2Rv&#10;d25yZXYueG1sUEsBAhQAFAAAAAgAh07iQDw3/ZEBAgAA7wMAAA4AAAAAAAAAAQAgAAAAJwEAAGRy&#10;cy9lMm9Eb2MueG1sUEsFBgAAAAAGAAYAWQEAAJoFAAAAAA==&#10;">
                        <v:fill on="f" focussize="0,0"/>
                        <v:stroke color="#000000" joinstyle="round" endarrow="block"/>
                        <v:imagedata o:title=""/>
                        <o:lock v:ext="edit" aspectratio="f"/>
                      </v:line>
                      <v:shape id="文本框 34" o:spid="_x0000_s1026" o:spt="202" type="#_x0000_t202" style="position:absolute;left:2286000;top:1515745;height:292100;width:883285;" filled="f" stroked="t" coordsize="21600,21600" o:gfxdata="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Fpros1AAAAAUBAAAPAAAAAAAA&#10;AAEAIAAAACIAAABkcnMvZG93bnJldi54bWxQSwECFAAUAAAACACHTuJAUrBfdU8CAAB6BAAADgAA&#10;AAAAAAABACAAAAAjAQAAZHJzL2Uyb0RvYy54bWxQSwUGAAAAAAYABgBZAQAA5AUAAAAA&#10;">
                        <v:fill on="f" focussize="0,0"/>
                        <v:stroke color="#000000" miterlimit="8" joinstyle="miter"/>
                        <v:imagedata o:title=""/>
                        <o:lock v:ext="edit" aspectratio="f"/>
                        <v:textbox>
                          <w:txbxContent>
                            <w:p w14:paraId="61C4146D">
                              <w:pPr>
                                <w:jc w:val="center"/>
                                <w:rPr>
                                  <w:rFonts w:hint="default" w:eastAsia="宋体"/>
                                  <w:lang w:val="en-US" w:eastAsia="zh-CN"/>
                                </w:rPr>
                              </w:pPr>
                              <w:r>
                                <w:rPr>
                                  <w:rFonts w:hint="eastAsia" w:eastAsia="宋体"/>
                                  <w:lang w:val="en-US" w:eastAsia="zh-CN"/>
                                </w:rPr>
                                <w:t>冲压</w:t>
                              </w:r>
                            </w:p>
                          </w:txbxContent>
                        </v:textbox>
                      </v:shape>
                      <v:line id="直线 663" o:spid="_x0000_s1026" o:spt="20" style="position:absolute;left:2744470;top:1215390;height:292100;width:0;" filled="f" stroked="t" coordsize="21600,21600" o:gfxdata="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ha8qC2AAAAAUBAAAPAAAAAAAAAAEAIAAAACIAAABkcnMvZG93&#10;bnJldi54bWxQSwECFAAUAAAACACHTuJAOoU7VAACAADuAwAADgAAAAAAAAABACAAAAAnAQAAZHJz&#10;L2Uyb0RvYy54bWxQSwUGAAAAAAYABgBZAQAAmQUAAAAA&#10;">
                        <v:fill on="f" focussize="0,0"/>
                        <v:stroke color="#000000" joinstyle="round" endarrow="block"/>
                        <v:imagedata o:title=""/>
                        <o:lock v:ext="edit" aspectratio="f"/>
                      </v:line>
                      <v:line id="直线 664" o:spid="_x0000_s1026" o:spt="20" style="position:absolute;left:2746375;top:1804670;height:292100;width:0;" filled="f" stroked="t" coordsize="21600,21600" o:gfxdata="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ha8qC2AAAAAUBAAAPAAAAAAAAAAEAIAAAACIAAABkcnMvZG93&#10;bnJldi54bWxQSwECFAAUAAAACACHTuJAS+aWiQACAADuAwAADgAAAAAAAAABACAAAAAnAQAAZHJz&#10;L2Uyb0RvYy54bWxQSwUGAAAAAAYABgBZAQAAmQUAAAAA&#10;">
                        <v:fill on="f" focussize="0,0"/>
                        <v:stroke color="#000000" joinstyle="round" endarrow="block"/>
                        <v:imagedata o:title=""/>
                        <o:lock v:ext="edit" aspectratio="f"/>
                      </v:line>
                      <v:shape id="文本框 34" o:spid="_x0000_s1026" o:spt="202" type="#_x0000_t202" style="position:absolute;left:2293620;top:2098040;height:292100;width:883285;" filled="f" stroked="t" coordsize="21600,21600" o:gfxdata="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Fpros1AAAAAUBAAAPAAAAAAAA&#10;AAEAIAAAACIAAABkcnMvZG93bnJldi54bWxQSwECFAAUAAAACACHTuJAylhUQE8CAAB6BAAADgAA&#10;AAAAAAABACAAAAAjAQAAZHJzL2Uyb0RvYy54bWxQSwUGAAAAAAYABgBZAQAA5AUAAAAA&#10;">
                        <v:fill on="f" focussize="0,0"/>
                        <v:stroke color="#000000" miterlimit="8" joinstyle="miter"/>
                        <v:imagedata o:title=""/>
                        <o:lock v:ext="edit" aspectratio="f"/>
                        <v:textbox>
                          <w:txbxContent>
                            <w:p w14:paraId="4FE72678">
                              <w:pPr>
                                <w:jc w:val="center"/>
                                <w:rPr>
                                  <w:rFonts w:hint="default" w:eastAsia="宋体"/>
                                  <w:lang w:val="en-US" w:eastAsia="zh-CN"/>
                                </w:rPr>
                              </w:pPr>
                              <w:r>
                                <w:rPr>
                                  <w:rFonts w:hint="eastAsia" w:eastAsia="宋体"/>
                                  <w:lang w:val="en-US" w:eastAsia="zh-CN"/>
                                </w:rPr>
                                <w:t>折边</w:t>
                              </w:r>
                            </w:p>
                          </w:txbxContent>
                        </v:textbox>
                      </v:shape>
                      <v:line id="直线 666" o:spid="_x0000_s1026" o:spt="20" style="position:absolute;left:2746375;top:2395856;height:292100;width:0;" filled="f" stroked="t" coordsize="21600,21600" o:gfxdata="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ha8qC2AAAAAUBAAAPAAAAAAAAAAEAIAAAACIAAABkcnMvZG93&#10;bnJldi54bWxQSwECFAAUAAAACACHTuJAEq1npgACAADuAwAADgAAAAAAAAABACAAAAAnAQAAZHJz&#10;L2Uyb0RvYy54bWxQSwUGAAAAAAYABgBZAQAAmQUAAAAA&#10;">
                        <v:fill on="f" focussize="0,0"/>
                        <v:stroke color="#000000" joinstyle="round" endarrow="block"/>
                        <v:imagedata o:title=""/>
                        <o:lock v:ext="edit" aspectratio="f"/>
                      </v:line>
                      <v:shape id="文本框 34" o:spid="_x0000_s1026" o:spt="202" type="#_x0000_t202" style="position:absolute;left:2302510;top:2673985;height:292100;width:883285;" filled="f" stroked="t" coordsize="21600,21600" o:gfxdata="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Raa6LNQAAAAFAQAADwAAAAAA&#10;AAABACAAAAAiAAAAZHJzL2Rvd25yZXYueG1sUEsBAhQAFAAAAAgAh07iQDZRowdQAgAAegQAAA4A&#10;AAAAAAAAAQAgAAAAIwEAAGRycy9lMm9Eb2MueG1sUEsFBgAAAAAGAAYAWQEAAOUFAAAAAA==&#10;">
                        <v:fill on="f" focussize="0,0"/>
                        <v:stroke color="#000000" miterlimit="8" joinstyle="miter"/>
                        <v:imagedata o:title=""/>
                        <o:lock v:ext="edit" aspectratio="f"/>
                        <v:textbox>
                          <w:txbxContent>
                            <w:p w14:paraId="469C2869">
                              <w:pPr>
                                <w:jc w:val="center"/>
                                <w:rPr>
                                  <w:rFonts w:hint="default" w:eastAsia="宋体"/>
                                  <w:lang w:val="en-US" w:eastAsia="zh-CN"/>
                                </w:rPr>
                              </w:pPr>
                              <w:r>
                                <w:rPr>
                                  <w:rFonts w:hint="eastAsia" w:eastAsia="宋体"/>
                                  <w:lang w:val="en-US" w:eastAsia="zh-CN"/>
                                </w:rPr>
                                <w:t>质检</w:t>
                              </w:r>
                            </w:p>
                          </w:txbxContent>
                        </v:textbox>
                      </v:shape>
                      <v:shape id="文本框 34" o:spid="_x0000_s1026" o:spt="202" type="#_x0000_t202" style="position:absolute;left:2311400;top:3266440;height:292100;width:883285;" filled="f" stroked="t" coordsize="21600,21600" o:gfxdata="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Fpros1AAAAAUBAAAPAAAAAAAA&#10;AAEAIAAAACIAAABkcnMvZG93bnJldi54bWxQSwECFAAUAAAACACHTuJAcAy3mU8CAAB6BAAADgAA&#10;AAAAAAABACAAAAAjAQAAZHJzL2Uyb0RvYy54bWxQSwUGAAAAAAYABgBZAQAA5AUAAAAA&#10;">
                        <v:fill on="f" focussize="0,0"/>
                        <v:stroke color="#000000" miterlimit="8" joinstyle="miter"/>
                        <v:imagedata o:title=""/>
                        <o:lock v:ext="edit" aspectratio="f"/>
                        <v:textbox>
                          <w:txbxContent>
                            <w:p w14:paraId="17E8EA64">
                              <w:pPr>
                                <w:jc w:val="center"/>
                                <w:rPr>
                                  <w:rFonts w:hint="default" w:eastAsia="宋体"/>
                                  <w:lang w:val="en-US" w:eastAsia="zh-CN"/>
                                </w:rPr>
                              </w:pPr>
                              <w:r>
                                <w:rPr>
                                  <w:rFonts w:hint="eastAsia" w:eastAsia="宋体"/>
                                  <w:lang w:val="en-US" w:eastAsia="zh-CN"/>
                                </w:rPr>
                                <w:t>包装出货</w:t>
                              </w:r>
                            </w:p>
                          </w:txbxContent>
                        </v:textbox>
                      </v:shape>
                      <v:line id="直线 669" o:spid="_x0000_s1026" o:spt="20" style="position:absolute;left:2755900;top:2985771;height:292100;width:0;" filled="f" stroked="t" coordsize="21600,21600" o:gfxdata="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4WvKgtgAAAAFAQAADwAAAAAAAAABACAAAAAiAAAAZHJzL2Rvd25yZXYu&#10;eG1sUEsBAhQAFAAAAAgAh07iQIu2XHL7AQAA7gMAAA4AAAAAAAAAAQAgAAAAJwEAAGRycy9lMm9E&#10;b2MueG1sUEsFBgAAAAAGAAYAWQEAAJQFAAAAAA==&#10;">
                        <v:fill on="f" focussize="0,0"/>
                        <v:stroke color="#000000" joinstyle="round" endarrow="block"/>
                        <v:imagedata o:title=""/>
                        <o:lock v:ext="edit" aspectratio="f"/>
                      </v:line>
                      <v:line id="直线 670" o:spid="_x0000_s1026" o:spt="20" style="position:absolute;left:2760980;top:3564256;height:292100;width:0;" filled="f" stroked="t" coordsize="21600,21600" o:gfxdata="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FryoLYAAAABQEAAA8AAAAAAAAAAQAgAAAAIgAAAGRycy9kb3du&#10;cmV2LnhtbFBLAQIUABQAAAAIAIdO4kBryFcl/wEAAO4DAAAOAAAAAAAAAAEAIAAAACcBAABkcnMv&#10;ZTJvRG9jLnhtbFBLBQYAAAAABgAGAFkBAACYBQAAAAA=&#10;">
                        <v:fill on="f" focussize="0,0"/>
                        <v:stroke color="#000000" joinstyle="round" endarrow="block"/>
                        <v:imagedata o:title=""/>
                        <o:lock v:ext="edit" aspectratio="f"/>
                      </v:line>
                      <v:shape id="文本框 16" o:spid="_x0000_s1026" o:spt="202" type="#_x0000_t202" style="position:absolute;left:2318385;top:3847465;height:295275;width:910590;" filled="f" stroked="f" coordsize="21600,21600" o:gfxdata="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IDELl/UAAAABQEAAA8AAAAAAAAAAQAgAAAAIgAAAGRycy9kb3ducmV2LnhtbFBLAQIUABQAAAAI&#10;AIdO4kCdmeXVKgIAADEEAAAOAAAAAAAAAAEAIAAAACMBAABkcnMvZTJvRG9jLnhtbFBLBQYAAAAA&#10;BgAGAFkBAAC/BQAAAAA=&#10;">
                        <v:fill on="f" focussize="0,0"/>
                        <v:stroke on="f"/>
                        <v:imagedata o:title=""/>
                        <o:lock v:ext="edit" aspectratio="f"/>
                        <v:textbox>
                          <w:txbxContent>
                            <w:p w14:paraId="38CC36F3">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吸塑制品</w:t>
                              </w:r>
                            </w:p>
                          </w:txbxContent>
                        </v:textbox>
                      </v:shape>
                      <v:line id="直线 672" o:spid="_x0000_s1026" o:spt="20" style="position:absolute;left:3182620;top:1049020;height:635;width:497840;" filled="f" stroked="t" coordsize="21600,21600" o:gfxdata="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nz4ptcAAAAFAQAADwAAAAAAAAABACAAAAAiAAAAZHJzL2Rvd25y&#10;ZXYueG1sUEsBAhQAFAAAAAgAh07iQNNFz5X/AQAA7wMAAA4AAAAAAAAAAQAgAAAAJgEAAGRycy9l&#10;Mm9Eb2MueG1sUEsFBgAAAAAGAAYAWQEAAJcFAAAAAA==&#10;">
                        <v:fill on="f" focussize="0,0"/>
                        <v:stroke color="#000000" joinstyle="round" dashstyle="dash" endarrow="block"/>
                        <v:imagedata o:title=""/>
                        <o:lock v:ext="edit" aspectratio="f"/>
                      </v:line>
                      <v:shape id="文本框 34" o:spid="_x0000_s1026" o:spt="202" type="#_x0000_t202" style="position:absolute;left:3684270;top:695325;height:646430;width:1442720;" filled="f" stroked="t" coordsize="21600,21600" o:gfxdata="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FImUBdcAAAAFAQAADwAAAAAAAAABACAAAAAiAAAAZHJzL2Rvd25yZXYueG1sUEsBAhQAFAAAAAgA&#10;h07iQAknjg0mAgAAPwQAAA4AAAAAAAAAAQAgAAAAJgEAAGRycy9lMm9Eb2MueG1sUEsFBgAAAAAG&#10;AAYAWQEAAL4FAAAAAA==&#10;">
                        <v:fill on="f" focussize="0,0"/>
                        <v:stroke color="#000000" joinstyle="miter" dashstyle="dash"/>
                        <v:imagedata o:title=""/>
                        <o:lock v:ext="edit" aspectratio="f"/>
                        <v:textbox>
                          <w:txbxContent>
                            <w:p w14:paraId="6E25F2F7">
                              <w:pPr>
                                <w:jc w:val="center"/>
                                <w:rPr>
                                  <w:rFonts w:hint="default" w:eastAsia="宋体"/>
                                  <w:lang w:val="en-US" w:eastAsia="zh-CN"/>
                                </w:rPr>
                              </w:pPr>
                              <w:r>
                                <w:rPr>
                                  <w:rFonts w:hint="eastAsia" w:eastAsia="宋体"/>
                                  <w:lang w:val="en-US" w:eastAsia="zh-CN"/>
                                </w:rPr>
                                <w:t>有机废气、</w:t>
                              </w:r>
                              <w:r>
                                <w:rPr>
                                  <w:rFonts w:hint="eastAsia"/>
                                  <w:lang w:val="en-US" w:eastAsia="zh-CN"/>
                                </w:rPr>
                                <w:t>臭气浓度、冷却废水、塑料边角料、废模具、</w:t>
                              </w:r>
                              <w:r>
                                <w:rPr>
                                  <w:rFonts w:hint="eastAsia" w:eastAsia="宋体"/>
                                  <w:lang w:val="en-US" w:eastAsia="zh-CN"/>
                                </w:rPr>
                                <w:t>噪声</w:t>
                              </w:r>
                            </w:p>
                          </w:txbxContent>
                        </v:textbox>
                      </v:shape>
                      <v:line id="直线 674" o:spid="_x0000_s1026" o:spt="20" style="position:absolute;left:3175000;top:1645285;height:0;width:495300;" filled="f" stroked="t" coordsize="21600,21600" o:gfxdata="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nz4ptcAAAAFAQAADwAAAAAAAAABACAAAAAiAAAAZHJzL2Rvd25y&#10;ZXYueG1sUEsBAhQAFAAAAAgAh07iQADNbT3/AQAA7QMAAA4AAAAAAAAAAQAgAAAAJgEAAGRycy9l&#10;Mm9Eb2MueG1sUEsFBgAAAAAGAAYAWQEAAJcFAAAAAA==&#10;">
                        <v:fill on="f" focussize="0,0"/>
                        <v:stroke color="#000000" joinstyle="round" dashstyle="dash" endarrow="block"/>
                        <v:imagedata o:title=""/>
                        <o:lock v:ext="edit" aspectratio="f"/>
                      </v:line>
                      <v:shape id="文本框 34" o:spid="_x0000_s1026" o:spt="202" type="#_x0000_t202" style="position:absolute;left:3681095;top:1491615;height:292100;width:1329055;" filled="f" stroked="t" coordsize="21600,21600" o:gfxdata="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UiZQF1wAAAAUBAAAPAAAAAAAAAAEAIAAAACIAAABkcnMvZG93bnJldi54bWxQSwECFAAUAAAA&#10;CACHTuJAAkP5cCgCAABABAAADgAAAAAAAAABACAAAAAmAQAAZHJzL2Uyb0RvYy54bWxQSwUGAAAA&#10;AAYABgBZAQAAwAUAAAAA&#10;">
                        <v:fill on="f" focussize="0,0"/>
                        <v:stroke color="#000000" joinstyle="miter" dashstyle="dash"/>
                        <v:imagedata o:title=""/>
                        <o:lock v:ext="edit" aspectratio="f"/>
                        <v:textbox>
                          <w:txbxContent>
                            <w:p w14:paraId="29DE14E2">
                              <w:pPr>
                                <w:jc w:val="center"/>
                                <w:rPr>
                                  <w:rFonts w:hint="default" w:eastAsia="宋体"/>
                                  <w:lang w:val="en-US" w:eastAsia="zh-CN"/>
                                </w:rPr>
                              </w:pPr>
                              <w:r>
                                <w:rPr>
                                  <w:rFonts w:hint="eastAsia" w:eastAsia="宋体"/>
                                  <w:lang w:val="en-US" w:eastAsia="zh-CN"/>
                                </w:rPr>
                                <w:t>塑料边角料、噪声</w:t>
                              </w:r>
                            </w:p>
                          </w:txbxContent>
                        </v:textbox>
                      </v:shape>
                      <v:line id="直线 676" o:spid="_x0000_s1026" o:spt="20" style="position:absolute;left:3187065;top:2811146;height:0;width:495300;" filled="f" stroked="t" coordsize="21600,21600" o:gfxdata="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nz4ptcAAAAFAQAADwAAAAAAAAABACAAAAAiAAAAZHJzL2Rv&#10;d25yZXYueG1sUEsBAhQAFAAAAAgAh07iQF0QSWsCAgAA7QMAAA4AAAAAAAAAAQAgAAAAJgEAAGRy&#10;cy9lMm9Eb2MueG1sUEsFBgAAAAAGAAYAWQEAAJoFAAAAAA==&#10;">
                        <v:fill on="f" focussize="0,0"/>
                        <v:stroke color="#000000" joinstyle="round" dashstyle="dash" endarrow="block"/>
                        <v:imagedata o:title=""/>
                        <o:lock v:ext="edit" aspectratio="f"/>
                      </v:line>
                      <v:shape id="文本框 34" o:spid="_x0000_s1026" o:spt="202" type="#_x0000_t202" style="position:absolute;left:3686810;top:2661920;height:292100;width:1162685;" filled="f" stroked="t" coordsize="21600,21600" o:gfxdata="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BSJlAXXAAAABQEAAA8AAAAAAAAAAQAgAAAAIgAAAGRycy9kb3ducmV2LnhtbFBLAQIUABQAAAAI&#10;AIdO4kDuf3QxJwIAAEAEAAAOAAAAAAAAAAEAIAAAACYBAABkcnMvZTJvRG9jLnhtbFBLBQYAAAAA&#10;BgAGAFkBAAC/BQAAAAA=&#10;">
                        <v:fill on="f" focussize="0,0"/>
                        <v:stroke color="#000000" joinstyle="miter" dashstyle="dash"/>
                        <v:imagedata o:title=""/>
                        <o:lock v:ext="edit" aspectratio="f"/>
                        <v:textbox>
                          <w:txbxContent>
                            <w:p w14:paraId="68945D0D">
                              <w:pPr>
                                <w:jc w:val="center"/>
                                <w:rPr>
                                  <w:rFonts w:hint="default" w:eastAsia="宋体"/>
                                  <w:lang w:val="en-US" w:eastAsia="zh-CN"/>
                                </w:rPr>
                              </w:pPr>
                              <w:r>
                                <w:rPr>
                                  <w:rFonts w:hint="eastAsia"/>
                                  <w:lang w:val="en-US" w:eastAsia="zh-CN"/>
                                </w:rPr>
                                <w:t>废塑料制品</w:t>
                              </w:r>
                            </w:p>
                          </w:txbxContent>
                        </v:textbox>
                      </v:shape>
                      <v:line id="直线 678" o:spid="_x0000_s1026" o:spt="20" style="position:absolute;left:3194050;top:3397885;height:3810;width:514350;" filled="f" stroked="t" coordsize="21600,21600" o:gfxdata="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nz4ptcAAAAFAQAADwAAAAAAAAABACAAAAAiAAAAZHJzL2Rv&#10;d25yZXYueG1sUEsBAhQAFAAAAAgAh07iQHxYqxsCAgAA8AMAAA4AAAAAAAAAAQAgAAAAJgEAAGRy&#10;cy9lMm9Eb2MueG1sUEsFBgAAAAAGAAYAWQEAAJoFAAAAAA==&#10;">
                        <v:fill on="f" focussize="0,0"/>
                        <v:stroke color="#000000" joinstyle="round" dashstyle="dash" endarrow="block"/>
                        <v:imagedata o:title=""/>
                        <o:lock v:ext="edit" aspectratio="f"/>
                      </v:line>
                      <v:shape id="文本框 34" o:spid="_x0000_s1026" o:spt="202" type="#_x0000_t202" style="position:absolute;left:3705225;top:3256915;height:292100;width:1143000;" filled="f" stroked="t" coordsize="21600,21600" o:gfxdata="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U&#10;iZQF1wAAAAUBAAAPAAAAAAAAAAEAIAAAACIAAABkcnMvZG93bnJldi54bWxQSwECFAAUAAAACACH&#10;TuJA/QAFXCUCAABABAAADgAAAAAAAAABACAAAAAmAQAAZHJzL2Uyb0RvYy54bWxQSwUGAAAAAAYA&#10;BgBZAQAAvQUAAAAA&#10;">
                        <v:fill on="f" focussize="0,0"/>
                        <v:stroke color="#000000" joinstyle="miter" dashstyle="dash"/>
                        <v:imagedata o:title=""/>
                        <o:lock v:ext="edit" aspectratio="f"/>
                        <v:textbox>
                          <w:txbxContent>
                            <w:p w14:paraId="7342410F">
                              <w:pPr>
                                <w:jc w:val="center"/>
                                <w:rPr>
                                  <w:rFonts w:hint="default" w:eastAsia="宋体"/>
                                  <w:lang w:val="en-US" w:eastAsia="zh-CN"/>
                                </w:rPr>
                              </w:pPr>
                              <w:r>
                                <w:rPr>
                                  <w:rFonts w:hint="eastAsia" w:eastAsia="宋体"/>
                                  <w:lang w:val="en-US" w:eastAsia="zh-CN"/>
                                </w:rPr>
                                <w:t>废包装材料</w:t>
                              </w:r>
                            </w:p>
                          </w:txbxContent>
                        </v:textbox>
                      </v:shape>
                      <v:line id="直线 717" o:spid="_x0000_s1026" o:spt="20" style="position:absolute;left:1822450;top:3405505;height:0;width:495300;" filled="f" stroked="t" coordsize="21600,21600" o:gfxdata="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ha8qC2AAAAAUBAAAPAAAAAAAAAAEAIAAAACIAAABkcnMvZG93&#10;bnJldi54bWxQSwECFAAUAAAACACHTuJAYnqruAACAADuAwAADgAAAAAAAAABACAAAAAnAQAAZHJz&#10;L2Uyb0RvYy54bWxQSwUGAAAAAAYABgBZAQAAmQUAAAAA&#10;">
                        <v:fill on="f" focussize="0,0"/>
                        <v:stroke color="#000000" joinstyle="round" endarrow="block"/>
                        <v:imagedata o:title=""/>
                        <o:lock v:ext="edit" aspectratio="f"/>
                      </v:line>
                      <v:shape id="文本框 16" o:spid="_x0000_s1026" o:spt="202" type="#_x0000_t202" style="position:absolute;left:921385;top:3254375;height:304800;width:910590;" filled="f" stroked="f" coordsize="21600,21600" o:gfxdata="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A&#10;xC5f1AAAAAUBAAAPAAAAAAAAAAEAIAAAACIAAABkcnMvZG93bnJldi54bWxQSwECFAAUAAAACACH&#10;TuJA7PnvGSgCAAAwBAAADgAAAAAAAAABACAAAAAjAQAAZHJzL2Uyb0RvYy54bWxQSwUGAAAAAAYA&#10;BgBZAQAAvQUAAAAA&#10;">
                        <v:fill on="f" focussize="0,0"/>
                        <v:stroke on="f"/>
                        <v:imagedata o:title=""/>
                        <o:lock v:ext="edit" aspectratio="f"/>
                        <v:textbox>
                          <w:txbxContent>
                            <w:p w14:paraId="531D1D72">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包装材料</w:t>
                              </w:r>
                            </w:p>
                          </w:txbxContent>
                        </v:textbox>
                      </v:shape>
                      <w10:wrap type="none"/>
                      <w10:anchorlock/>
                    </v:group>
                  </w:pict>
                </mc:Fallback>
              </mc:AlternateContent>
            </w:r>
          </w:p>
          <w:p w14:paraId="257EB76B">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图2-</w:t>
            </w:r>
            <w:r>
              <w:rPr>
                <w:rFonts w:hint="default" w:ascii="Times New Roman" w:hAnsi="Times New Roman" w:eastAsia="宋体" w:cs="Times New Roman"/>
                <w:b/>
                <w:bCs/>
                <w:color w:val="auto"/>
                <w:kern w:val="0"/>
                <w:sz w:val="21"/>
                <w:szCs w:val="21"/>
                <w:highlight w:val="none"/>
                <w:lang w:val="en-US" w:eastAsia="zh-CN"/>
              </w:rPr>
              <w:t>2 吸塑制品生产</w:t>
            </w:r>
            <w:r>
              <w:rPr>
                <w:rFonts w:hint="default" w:ascii="Times New Roman" w:hAnsi="Times New Roman" w:eastAsia="宋体" w:cs="Times New Roman"/>
                <w:b/>
                <w:bCs/>
                <w:color w:val="auto"/>
                <w:kern w:val="0"/>
                <w:sz w:val="21"/>
                <w:szCs w:val="21"/>
                <w:highlight w:val="none"/>
              </w:rPr>
              <w:t>工艺流程及产污环节示意图</w:t>
            </w:r>
          </w:p>
          <w:p w14:paraId="566485E3">
            <w:pPr>
              <w:keepNext w:val="0"/>
              <w:keepLines w:val="0"/>
              <w:suppressLineNumbers w:val="0"/>
              <w:adjustRightInd w:val="0"/>
              <w:snapToGrid w:val="0"/>
              <w:spacing w:before="0" w:beforeAutospacing="0" w:after="0" w:afterAutospacing="0" w:line="336" w:lineRule="auto"/>
              <w:ind w:left="0" w:right="0" w:firstLine="422" w:firstLineChars="200"/>
              <w:jc w:val="left"/>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工艺流程</w:t>
            </w:r>
            <w:r>
              <w:rPr>
                <w:rFonts w:hint="default" w:ascii="Times New Roman" w:hAnsi="Times New Roman" w:eastAsia="宋体" w:cs="Times New Roman"/>
                <w:b/>
                <w:bCs/>
                <w:color w:val="auto"/>
                <w:sz w:val="21"/>
                <w:szCs w:val="21"/>
                <w:highlight w:val="none"/>
                <w:lang w:val="en-US" w:eastAsia="zh-CN"/>
              </w:rPr>
              <w:t>说明</w:t>
            </w:r>
          </w:p>
          <w:p w14:paraId="717AC035">
            <w:pPr>
              <w:pStyle w:val="82"/>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吸塑：</w:t>
            </w:r>
            <w:r>
              <w:rPr>
                <w:rFonts w:hint="default" w:ascii="Times New Roman" w:hAnsi="Times New Roman" w:eastAsia="宋体" w:cs="Times New Roman"/>
                <w:b w:val="0"/>
                <w:bCs w:val="0"/>
                <w:color w:val="auto"/>
                <w:sz w:val="21"/>
                <w:szCs w:val="21"/>
                <w:highlight w:val="none"/>
                <w:lang w:val="en-US" w:eastAsia="zh-CN"/>
              </w:rPr>
              <w:t>项目吸塑机使用电加热，经加热达到软化状态的</w:t>
            </w:r>
            <w:r>
              <w:rPr>
                <w:rFonts w:hint="eastAsia" w:ascii="Times New Roman" w:hAnsi="Times New Roman" w:cs="Times New Roman"/>
                <w:b w:val="0"/>
                <w:bCs w:val="0"/>
                <w:color w:val="auto"/>
                <w:sz w:val="21"/>
                <w:szCs w:val="21"/>
                <w:highlight w:val="none"/>
                <w:lang w:val="en-US" w:eastAsia="zh-CN"/>
              </w:rPr>
              <w:t>塑料膜</w:t>
            </w:r>
            <w:r>
              <w:rPr>
                <w:rFonts w:hint="default" w:ascii="Times New Roman" w:hAnsi="Times New Roman" w:eastAsia="宋体" w:cs="Times New Roman"/>
                <w:b w:val="0"/>
                <w:bCs w:val="0"/>
                <w:color w:val="auto"/>
                <w:sz w:val="21"/>
                <w:szCs w:val="21"/>
                <w:highlight w:val="none"/>
                <w:lang w:val="en-US" w:eastAsia="zh-CN"/>
              </w:rPr>
              <w:t>在吸塑机内成型后，经冷却模具使其温度随冷却系统的冷却开始下降（间接冷却，且使用自来水冷却，无需添加矿物油、乳化液等冷却剂，冷却水循环使用，</w:t>
            </w:r>
            <w:r>
              <w:rPr>
                <w:rFonts w:hint="eastAsia" w:ascii="Times New Roman" w:hAnsi="Times New Roman" w:cs="Times New Roman"/>
                <w:b w:val="0"/>
                <w:bCs w:val="0"/>
                <w:color w:val="auto"/>
                <w:sz w:val="21"/>
                <w:szCs w:val="21"/>
                <w:highlight w:val="none"/>
                <w:lang w:val="en-US" w:eastAsia="zh-CN"/>
              </w:rPr>
              <w:t>定期补充和更换，会产生冷却废水</w:t>
            </w:r>
            <w:r>
              <w:rPr>
                <w:rFonts w:hint="default" w:ascii="Times New Roman" w:hAnsi="Times New Roman" w:eastAsia="宋体" w:cs="Times New Roman"/>
                <w:b w:val="0"/>
                <w:bCs w:val="0"/>
                <w:color w:val="auto"/>
                <w:sz w:val="21"/>
                <w:szCs w:val="21"/>
                <w:highlight w:val="none"/>
                <w:lang w:val="en-US" w:eastAsia="zh-CN"/>
              </w:rPr>
              <w:t>），使物料温度相对下降并收缩，开模取出成品，项目不使用脱模剂。</w:t>
            </w:r>
          </w:p>
          <w:p w14:paraId="2774FB88">
            <w:pPr>
              <w:pStyle w:val="82"/>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项目使用的PVC塑料膜分解温度在200℃以上、APET塑料膜分解温度高于270℃、PP塑料膜分解温度高于300℃、ABS塑料膜分解温度约270℃、HTPS塑料膜分解温度约300~350℃，项目</w:t>
            </w:r>
            <w:r>
              <w:rPr>
                <w:rFonts w:hint="eastAsia" w:ascii="Times New Roman" w:hAnsi="Times New Roman" w:cs="Times New Roman"/>
                <w:b w:val="0"/>
                <w:bCs w:val="0"/>
                <w:color w:val="auto"/>
                <w:sz w:val="21"/>
                <w:szCs w:val="21"/>
                <w:highlight w:val="none"/>
                <w:lang w:val="en-US" w:eastAsia="zh-CN"/>
              </w:rPr>
              <w:t>吸塑加工</w:t>
            </w:r>
            <w:r>
              <w:rPr>
                <w:rFonts w:hint="default" w:ascii="Times New Roman" w:hAnsi="Times New Roman" w:eastAsia="宋体" w:cs="Times New Roman"/>
                <w:b w:val="0"/>
                <w:bCs w:val="0"/>
                <w:color w:val="auto"/>
                <w:sz w:val="21"/>
                <w:szCs w:val="21"/>
                <w:highlight w:val="none"/>
                <w:lang w:val="en-US" w:eastAsia="zh-CN"/>
              </w:rPr>
              <w:t>的温度未达到PVC塑料膜</w:t>
            </w:r>
            <w:r>
              <w:rPr>
                <w:rFonts w:hint="eastAsia" w:ascii="Times New Roman" w:hAnsi="Times New Roman" w:eastAsia="宋体" w:cs="Times New Roman"/>
                <w:b w:val="0"/>
                <w:bCs w:val="0"/>
                <w:color w:val="auto"/>
                <w:sz w:val="21"/>
                <w:szCs w:val="21"/>
                <w:highlight w:val="none"/>
                <w:lang w:val="en-US" w:eastAsia="zh-CN"/>
              </w:rPr>
              <w:t>、</w:t>
            </w:r>
            <w:r>
              <w:rPr>
                <w:rFonts w:hint="default" w:ascii="Times New Roman" w:hAnsi="Times New Roman" w:eastAsia="宋体" w:cs="Times New Roman"/>
                <w:b w:val="0"/>
                <w:bCs w:val="0"/>
                <w:color w:val="auto"/>
                <w:sz w:val="21"/>
                <w:szCs w:val="21"/>
                <w:highlight w:val="none"/>
                <w:lang w:val="en-US" w:eastAsia="zh-CN"/>
              </w:rPr>
              <w:t>APET塑料膜</w:t>
            </w:r>
            <w:r>
              <w:rPr>
                <w:rFonts w:hint="eastAsia" w:ascii="Times New Roman" w:hAnsi="Times New Roman" w:eastAsia="宋体" w:cs="Times New Roman"/>
                <w:b w:val="0"/>
                <w:bCs w:val="0"/>
                <w:color w:val="auto"/>
                <w:sz w:val="21"/>
                <w:szCs w:val="21"/>
                <w:highlight w:val="none"/>
                <w:lang w:val="en-US" w:eastAsia="zh-CN"/>
              </w:rPr>
              <w:t>、</w:t>
            </w:r>
            <w:r>
              <w:rPr>
                <w:rFonts w:hint="default" w:ascii="Times New Roman" w:hAnsi="Times New Roman" w:eastAsia="宋体" w:cs="Times New Roman"/>
                <w:b w:val="0"/>
                <w:bCs w:val="0"/>
                <w:color w:val="auto"/>
                <w:sz w:val="21"/>
                <w:szCs w:val="21"/>
                <w:highlight w:val="none"/>
                <w:lang w:val="en-US" w:eastAsia="zh-CN"/>
              </w:rPr>
              <w:t>PP塑料膜</w:t>
            </w:r>
            <w:r>
              <w:rPr>
                <w:rFonts w:hint="eastAsia" w:ascii="Times New Roman" w:hAnsi="Times New Roman" w:eastAsia="宋体" w:cs="Times New Roman"/>
                <w:b w:val="0"/>
                <w:bCs w:val="0"/>
                <w:color w:val="auto"/>
                <w:sz w:val="21"/>
                <w:szCs w:val="21"/>
                <w:highlight w:val="none"/>
                <w:lang w:val="en-US" w:eastAsia="zh-CN"/>
              </w:rPr>
              <w:t>、</w:t>
            </w:r>
            <w:r>
              <w:rPr>
                <w:rFonts w:hint="default" w:ascii="Times New Roman" w:hAnsi="Times New Roman" w:eastAsia="宋体" w:cs="Times New Roman"/>
                <w:b w:val="0"/>
                <w:bCs w:val="0"/>
                <w:color w:val="auto"/>
                <w:sz w:val="21"/>
                <w:szCs w:val="21"/>
                <w:highlight w:val="none"/>
                <w:lang w:val="en-US" w:eastAsia="zh-CN"/>
              </w:rPr>
              <w:t>ABS塑料膜或HTPS塑料膜的分解温度，同时项目使用的PVC塑胶</w:t>
            </w:r>
            <w:r>
              <w:rPr>
                <w:rFonts w:hint="eastAsia" w:ascii="Times New Roman" w:hAnsi="Times New Roman" w:cs="Times New Roman"/>
                <w:b w:val="0"/>
                <w:bCs w:val="0"/>
                <w:color w:val="auto"/>
                <w:sz w:val="21"/>
                <w:szCs w:val="21"/>
                <w:highlight w:val="none"/>
                <w:lang w:val="en-US" w:eastAsia="zh-CN"/>
              </w:rPr>
              <w:t>膜</w:t>
            </w:r>
            <w:r>
              <w:rPr>
                <w:rFonts w:hint="default" w:ascii="Times New Roman" w:hAnsi="Times New Roman" w:eastAsia="宋体" w:cs="Times New Roman"/>
                <w:b w:val="0"/>
                <w:bCs w:val="0"/>
                <w:color w:val="auto"/>
                <w:sz w:val="21"/>
                <w:szCs w:val="21"/>
                <w:highlight w:val="none"/>
                <w:lang w:val="en-US" w:eastAsia="zh-CN"/>
              </w:rPr>
              <w:t>含有一定量的稳定剂，故不产生分解废气。</w:t>
            </w:r>
          </w:p>
          <w:p w14:paraId="7225287E">
            <w:pPr>
              <w:pStyle w:val="82"/>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但PVC</w:t>
            </w:r>
            <w:r>
              <w:rPr>
                <w:rFonts w:hint="eastAsia" w:ascii="Times New Roman" w:hAnsi="Times New Roman" w:cs="Times New Roman"/>
                <w:b w:val="0"/>
                <w:bCs w:val="0"/>
                <w:color w:val="auto"/>
                <w:sz w:val="21"/>
                <w:szCs w:val="21"/>
                <w:highlight w:val="none"/>
                <w:lang w:val="en-US" w:eastAsia="zh-CN"/>
              </w:rPr>
              <w:t>塑料膜</w:t>
            </w:r>
            <w:r>
              <w:rPr>
                <w:rFonts w:hint="default" w:ascii="Times New Roman" w:hAnsi="Times New Roman" w:eastAsia="宋体" w:cs="Times New Roman"/>
                <w:b w:val="0"/>
                <w:bCs w:val="0"/>
                <w:color w:val="auto"/>
                <w:sz w:val="21"/>
                <w:szCs w:val="21"/>
                <w:highlight w:val="none"/>
                <w:lang w:val="en-US" w:eastAsia="zh-CN"/>
              </w:rPr>
              <w:t>、ABS</w:t>
            </w:r>
            <w:r>
              <w:rPr>
                <w:rFonts w:hint="eastAsia" w:ascii="Times New Roman" w:hAnsi="Times New Roman" w:cs="Times New Roman"/>
                <w:b w:val="0"/>
                <w:bCs w:val="0"/>
                <w:color w:val="auto"/>
                <w:sz w:val="21"/>
                <w:szCs w:val="21"/>
                <w:highlight w:val="none"/>
                <w:lang w:val="en-US" w:eastAsia="zh-CN"/>
              </w:rPr>
              <w:t>塑料膜、</w:t>
            </w:r>
            <w:r>
              <w:rPr>
                <w:rFonts w:hint="default" w:ascii="Times New Roman" w:hAnsi="Times New Roman" w:eastAsia="宋体" w:cs="Times New Roman"/>
                <w:color w:val="auto"/>
                <w:highlight w:val="none"/>
                <w:lang w:val="en-US" w:eastAsia="zh-CN"/>
              </w:rPr>
              <w:t>HTPS</w:t>
            </w:r>
            <w:r>
              <w:rPr>
                <w:rFonts w:hint="eastAsia" w:ascii="Times New Roman" w:hAnsi="Times New Roman" w:cs="Times New Roman"/>
                <w:b w:val="0"/>
                <w:bCs w:val="0"/>
                <w:color w:val="auto"/>
                <w:sz w:val="21"/>
                <w:szCs w:val="21"/>
                <w:highlight w:val="none"/>
                <w:lang w:val="en-US" w:eastAsia="zh-CN"/>
              </w:rPr>
              <w:t>塑料膜</w:t>
            </w:r>
            <w:r>
              <w:rPr>
                <w:rFonts w:hint="default" w:ascii="Times New Roman" w:hAnsi="Times New Roman" w:eastAsia="宋体" w:cs="Times New Roman"/>
                <w:b w:val="0"/>
                <w:bCs w:val="0"/>
                <w:color w:val="auto"/>
                <w:sz w:val="21"/>
                <w:szCs w:val="21"/>
                <w:highlight w:val="none"/>
                <w:lang w:val="en-US" w:eastAsia="zh-CN"/>
              </w:rPr>
              <w:t>在</w:t>
            </w:r>
            <w:r>
              <w:rPr>
                <w:rFonts w:hint="eastAsia" w:ascii="Times New Roman" w:hAnsi="Times New Roman" w:cs="Times New Roman"/>
                <w:b w:val="0"/>
                <w:bCs w:val="0"/>
                <w:color w:val="auto"/>
                <w:sz w:val="21"/>
                <w:szCs w:val="21"/>
                <w:highlight w:val="none"/>
                <w:lang w:val="en-US" w:eastAsia="zh-CN"/>
              </w:rPr>
              <w:t>吸塑</w:t>
            </w:r>
            <w:r>
              <w:rPr>
                <w:rFonts w:hint="default" w:ascii="Times New Roman" w:hAnsi="Times New Roman" w:eastAsia="宋体" w:cs="Times New Roman"/>
                <w:b w:val="0"/>
                <w:bCs w:val="0"/>
                <w:color w:val="auto"/>
                <w:sz w:val="21"/>
                <w:szCs w:val="21"/>
                <w:highlight w:val="none"/>
                <w:lang w:val="en-US" w:eastAsia="zh-CN"/>
              </w:rPr>
              <w:t>过程中处于高弹态，PVC原料会析出少量单体气体如氯化氢、氯乙烯，ABS原料会析出少量单体苯乙烯、1，3-丁二烯、丙烯腈、甲苯、乙苯</w:t>
            </w:r>
            <w:r>
              <w:rPr>
                <w:rFonts w:hint="eastAsia" w:ascii="Times New Roman" w:hAnsi="Times New Roman" w:cs="Times New Roman"/>
                <w:b w:val="0"/>
                <w:bCs w:val="0"/>
                <w:color w:val="auto"/>
                <w:sz w:val="21"/>
                <w:szCs w:val="21"/>
                <w:highlight w:val="none"/>
                <w:lang w:val="en-US" w:eastAsia="zh-CN"/>
              </w:rPr>
              <w:t>，</w:t>
            </w:r>
            <w:r>
              <w:rPr>
                <w:rFonts w:hint="default" w:ascii="Times New Roman" w:hAnsi="Times New Roman" w:eastAsia="宋体" w:cs="Times New Roman"/>
                <w:color w:val="auto"/>
                <w:highlight w:val="none"/>
                <w:lang w:val="en-US" w:eastAsia="zh-CN"/>
              </w:rPr>
              <w:t>HTPS</w:t>
            </w:r>
            <w:r>
              <w:rPr>
                <w:rFonts w:hint="default" w:ascii="Times New Roman" w:hAnsi="Times New Roman" w:eastAsia="宋体" w:cs="Times New Roman"/>
                <w:b w:val="0"/>
                <w:bCs w:val="0"/>
                <w:color w:val="auto"/>
                <w:sz w:val="21"/>
                <w:szCs w:val="21"/>
                <w:highlight w:val="none"/>
                <w:lang w:val="en-US" w:eastAsia="zh-CN"/>
              </w:rPr>
              <w:t>原料会析出少量单体苯乙烯</w:t>
            </w:r>
            <w:r>
              <w:rPr>
                <w:rFonts w:hint="eastAsia" w:ascii="Times New Roman" w:hAnsi="Times New Roman" w:eastAsia="宋体" w:cs="Times New Roman"/>
                <w:b w:val="0"/>
                <w:bCs w:val="0"/>
                <w:color w:val="auto"/>
                <w:sz w:val="21"/>
                <w:szCs w:val="21"/>
                <w:highlight w:val="none"/>
                <w:lang w:val="en-US" w:eastAsia="zh-CN"/>
              </w:rPr>
              <w:t>、</w:t>
            </w:r>
            <w:r>
              <w:rPr>
                <w:rFonts w:hint="default" w:ascii="Times New Roman" w:hAnsi="Times New Roman" w:eastAsia="宋体" w:cs="Times New Roman"/>
                <w:b w:val="0"/>
                <w:bCs w:val="0"/>
                <w:color w:val="auto"/>
                <w:sz w:val="21"/>
                <w:szCs w:val="21"/>
                <w:highlight w:val="none"/>
                <w:lang w:val="en-US" w:eastAsia="zh-CN"/>
              </w:rPr>
              <w:t>甲苯、乙苯。由于采购的</w:t>
            </w:r>
            <w:r>
              <w:rPr>
                <w:rFonts w:hint="eastAsia" w:ascii="Times New Roman" w:hAnsi="Times New Roman" w:cs="Times New Roman"/>
                <w:b w:val="0"/>
                <w:bCs w:val="0"/>
                <w:color w:val="auto"/>
                <w:sz w:val="21"/>
                <w:szCs w:val="21"/>
                <w:highlight w:val="none"/>
                <w:lang w:val="en-US" w:eastAsia="zh-CN"/>
              </w:rPr>
              <w:t>塑料膜</w:t>
            </w:r>
            <w:r>
              <w:rPr>
                <w:rFonts w:hint="default" w:ascii="Times New Roman" w:hAnsi="Times New Roman" w:eastAsia="宋体" w:cs="Times New Roman"/>
                <w:b w:val="0"/>
                <w:bCs w:val="0"/>
                <w:color w:val="auto"/>
                <w:sz w:val="21"/>
                <w:szCs w:val="21"/>
                <w:highlight w:val="none"/>
                <w:lang w:val="en-US" w:eastAsia="zh-CN"/>
              </w:rPr>
              <w:t>经过厂商质检属于合格产品，因此</w:t>
            </w:r>
            <w:r>
              <w:rPr>
                <w:rFonts w:hint="eastAsia" w:ascii="Times New Roman" w:hAnsi="Times New Roman" w:cs="Times New Roman"/>
                <w:b w:val="0"/>
                <w:bCs w:val="0"/>
                <w:color w:val="auto"/>
                <w:sz w:val="21"/>
                <w:szCs w:val="21"/>
                <w:highlight w:val="none"/>
                <w:lang w:val="en-US" w:eastAsia="zh-CN"/>
              </w:rPr>
              <w:t>塑料膜</w:t>
            </w:r>
            <w:r>
              <w:rPr>
                <w:rFonts w:hint="default" w:ascii="Times New Roman" w:hAnsi="Times New Roman" w:eastAsia="宋体" w:cs="Times New Roman"/>
                <w:b w:val="0"/>
                <w:bCs w:val="0"/>
                <w:color w:val="auto"/>
                <w:sz w:val="21"/>
                <w:szCs w:val="21"/>
                <w:highlight w:val="none"/>
                <w:lang w:val="en-US" w:eastAsia="zh-CN"/>
              </w:rPr>
              <w:t>中残留的单体类物质较少，加工过程中挥发量极少，本环评不对特征污染物进行定量核算，仅进行定性分析。建议企业后续通过自行监测进行管控。本环评以非甲烷总烃作为</w:t>
            </w:r>
            <w:r>
              <w:rPr>
                <w:rFonts w:hint="eastAsia" w:ascii="Times New Roman" w:hAnsi="Times New Roman" w:cs="Times New Roman"/>
                <w:b w:val="0"/>
                <w:bCs w:val="0"/>
                <w:color w:val="auto"/>
                <w:sz w:val="21"/>
                <w:szCs w:val="21"/>
                <w:highlight w:val="none"/>
                <w:lang w:val="en-US" w:eastAsia="zh-CN"/>
              </w:rPr>
              <w:t>吸塑</w:t>
            </w:r>
            <w:r>
              <w:rPr>
                <w:rFonts w:hint="default" w:ascii="Times New Roman" w:hAnsi="Times New Roman" w:eastAsia="宋体" w:cs="Times New Roman"/>
                <w:b w:val="0"/>
                <w:bCs w:val="0"/>
                <w:color w:val="auto"/>
                <w:sz w:val="21"/>
                <w:szCs w:val="21"/>
                <w:highlight w:val="none"/>
                <w:lang w:val="en-US" w:eastAsia="zh-CN"/>
              </w:rPr>
              <w:t>工序排放的挥发性有机物的综合管控指标核算排放总量。该过程会产生有机废气、臭气浓度、间接冷却水、废边角料、废模具和噪声。</w:t>
            </w:r>
          </w:p>
          <w:p w14:paraId="34DED5B7">
            <w:pPr>
              <w:pStyle w:val="82"/>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冲压：</w:t>
            </w:r>
            <w:r>
              <w:rPr>
                <w:rFonts w:hint="default" w:ascii="Times New Roman" w:hAnsi="Times New Roman" w:eastAsia="宋体" w:cs="Times New Roman"/>
                <w:color w:val="auto"/>
                <w:sz w:val="21"/>
                <w:szCs w:val="21"/>
                <w:highlight w:val="none"/>
                <w:lang w:val="en-US" w:eastAsia="zh-CN"/>
              </w:rPr>
              <w:t>通过冲床驱动高精度模具对吸塑半成品加压切割，快速分离多余边料与成品部件。此工序会产生塑料边角料和噪声。</w:t>
            </w:r>
          </w:p>
          <w:p w14:paraId="715E9A79">
            <w:pPr>
              <w:pStyle w:val="82"/>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折边：</w:t>
            </w:r>
            <w:r>
              <w:rPr>
                <w:rFonts w:hint="default" w:ascii="Times New Roman" w:hAnsi="Times New Roman" w:eastAsia="宋体" w:cs="Times New Roman"/>
                <w:color w:val="auto"/>
                <w:sz w:val="21"/>
                <w:szCs w:val="21"/>
                <w:highlight w:val="none"/>
                <w:lang w:val="en-US" w:eastAsia="zh-CN"/>
              </w:rPr>
              <w:t>采用折边机对裁切后的产品边缘进行翻折、卷边等塑性变形，增强结构强度或适配组装需求。</w:t>
            </w:r>
          </w:p>
          <w:p w14:paraId="5E46A338">
            <w:pPr>
              <w:pStyle w:val="82"/>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质检：</w:t>
            </w:r>
            <w:r>
              <w:rPr>
                <w:rFonts w:hint="default" w:ascii="Times New Roman" w:hAnsi="Times New Roman" w:eastAsia="宋体" w:cs="Times New Roman"/>
                <w:color w:val="auto"/>
                <w:sz w:val="21"/>
                <w:szCs w:val="21"/>
                <w:highlight w:val="none"/>
                <w:lang w:val="en-US" w:eastAsia="zh-CN"/>
              </w:rPr>
              <w:t>通过人工目检与仪器测量剔除瑕疵品。此工序会产生</w:t>
            </w:r>
            <w:r>
              <w:rPr>
                <w:rFonts w:hint="eastAsia" w:ascii="Times New Roman" w:hAnsi="Times New Roman" w:cs="Times New Roman"/>
                <w:color w:val="auto"/>
                <w:sz w:val="21"/>
                <w:szCs w:val="21"/>
                <w:highlight w:val="none"/>
                <w:lang w:val="en-US" w:eastAsia="zh-CN"/>
              </w:rPr>
              <w:t>废塑料制品</w:t>
            </w:r>
            <w:r>
              <w:rPr>
                <w:rFonts w:hint="default" w:ascii="Times New Roman" w:hAnsi="Times New Roman" w:eastAsia="宋体" w:cs="Times New Roman"/>
                <w:color w:val="auto"/>
                <w:sz w:val="21"/>
                <w:szCs w:val="21"/>
                <w:highlight w:val="none"/>
                <w:lang w:val="en-US" w:eastAsia="zh-CN"/>
              </w:rPr>
              <w:t>。</w:t>
            </w:r>
          </w:p>
          <w:p w14:paraId="4D8ADAD7">
            <w:pPr>
              <w:pStyle w:val="82"/>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包装出货：</w:t>
            </w:r>
            <w:r>
              <w:rPr>
                <w:rFonts w:hint="default" w:ascii="Times New Roman" w:hAnsi="Times New Roman" w:eastAsia="宋体" w:cs="Times New Roman"/>
                <w:color w:val="auto"/>
                <w:sz w:val="21"/>
                <w:szCs w:val="21"/>
                <w:highlight w:val="none"/>
                <w:lang w:val="en-US" w:eastAsia="zh-CN"/>
              </w:rPr>
              <w:t>合格品防刮花包裹后装箱贴标，完成出货流程。此工序会产生废包装材料。</w:t>
            </w:r>
          </w:p>
          <w:p w14:paraId="70E5FF6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firstLine="422" w:firstLineChars="200"/>
              <w:jc w:val="left"/>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b/>
                <w:bCs/>
                <w:color w:val="auto"/>
                <w:sz w:val="21"/>
                <w:szCs w:val="21"/>
                <w:highlight w:val="none"/>
                <w:lang w:val="en-US" w:eastAsia="zh-CN"/>
              </w:rPr>
              <w:t>2、包装纸箱生产工艺流程图及产污环节</w:t>
            </w:r>
          </w:p>
          <w:p w14:paraId="112AA03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jc w:val="center"/>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mc:AlternateContent>
                <mc:Choice Requires="wpc">
                  <w:drawing>
                    <wp:inline distT="0" distB="0" distL="114300" distR="114300">
                      <wp:extent cx="5547360" cy="3912235"/>
                      <wp:effectExtent l="0" t="0" r="0" b="0"/>
                      <wp:docPr id="142" name="画布 27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07" name="文本框 16"/>
                              <wps:cNvSpPr txBox="1">
                                <a:spLocks noChangeArrowheads="1"/>
                              </wps:cNvSpPr>
                              <wps:spPr bwMode="auto">
                                <a:xfrm>
                                  <a:off x="2433320" y="60960"/>
                                  <a:ext cx="641350" cy="270510"/>
                                </a:xfrm>
                                <a:prstGeom prst="rect">
                                  <a:avLst/>
                                </a:prstGeom>
                                <a:noFill/>
                                <a:ln>
                                  <a:noFill/>
                                </a:ln>
                                <a:effectLst/>
                              </wps:spPr>
                              <wps:txbx>
                                <w:txbxContent>
                                  <w:p w14:paraId="1D3EB593">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纸板</w:t>
                                    </w:r>
                                  </w:p>
                                </w:txbxContent>
                              </wps:txbx>
                              <wps:bodyPr rot="0" vert="horz" wrap="square" lIns="91440" tIns="45720" rIns="91440" bIns="45720" anchor="t" anchorCtr="0" upright="1">
                                <a:noAutofit/>
                              </wps:bodyPr>
                            </wps:wsp>
                            <wps:wsp>
                              <wps:cNvPr id="108" name="文本框 34"/>
                              <wps:cNvSpPr txBox="1">
                                <a:spLocks noChangeArrowheads="1"/>
                              </wps:cNvSpPr>
                              <wps:spPr bwMode="auto">
                                <a:xfrm>
                                  <a:off x="2286000" y="645795"/>
                                  <a:ext cx="883285" cy="292100"/>
                                </a:xfrm>
                                <a:prstGeom prst="rect">
                                  <a:avLst/>
                                </a:prstGeom>
                                <a:noFill/>
                                <a:ln w="9525">
                                  <a:solidFill>
                                    <a:srgbClr val="000000"/>
                                  </a:solidFill>
                                  <a:miter lim="800000"/>
                                </a:ln>
                                <a:effectLst/>
                              </wps:spPr>
                              <wps:txbx>
                                <w:txbxContent>
                                  <w:p w14:paraId="5BBA6817">
                                    <w:pPr>
                                      <w:jc w:val="center"/>
                                      <w:rPr>
                                        <w:rFonts w:hint="default" w:eastAsia="宋体"/>
                                        <w:lang w:val="en-US" w:eastAsia="zh-CN"/>
                                      </w:rPr>
                                    </w:pPr>
                                    <w:r>
                                      <w:rPr>
                                        <w:rFonts w:hint="eastAsia" w:eastAsia="宋体"/>
                                        <w:lang w:val="en-US" w:eastAsia="zh-CN"/>
                                      </w:rPr>
                                      <w:t>分切</w:t>
                                    </w:r>
                                  </w:p>
                                </w:txbxContent>
                              </wps:txbx>
                              <wps:bodyPr rot="0" vert="horz" wrap="square" lIns="91440" tIns="45720" rIns="91440" bIns="45720" anchor="t" anchorCtr="0" upright="1">
                                <a:noAutofit/>
                              </wps:bodyPr>
                            </wps:wsp>
                            <wps:wsp>
                              <wps:cNvPr id="109" name="直线 634"/>
                              <wps:cNvCnPr/>
                              <wps:spPr>
                                <a:xfrm>
                                  <a:off x="2741930" y="335915"/>
                                  <a:ext cx="635" cy="299720"/>
                                </a:xfrm>
                                <a:prstGeom prst="line">
                                  <a:avLst/>
                                </a:prstGeom>
                                <a:ln w="9525" cap="flat" cmpd="sng">
                                  <a:solidFill>
                                    <a:srgbClr val="000000"/>
                                  </a:solidFill>
                                  <a:prstDash val="solid"/>
                                  <a:headEnd type="none" w="med" len="med"/>
                                  <a:tailEnd type="triangle" w="med" len="med"/>
                                </a:ln>
                              </wps:spPr>
                              <wps:bodyPr upright="1"/>
                            </wps:wsp>
                            <wps:wsp>
                              <wps:cNvPr id="110" name="文本框 34"/>
                              <wps:cNvSpPr txBox="1">
                                <a:spLocks noChangeArrowheads="1"/>
                              </wps:cNvSpPr>
                              <wps:spPr bwMode="auto">
                                <a:xfrm>
                                  <a:off x="2286000" y="1227455"/>
                                  <a:ext cx="883285" cy="292100"/>
                                </a:xfrm>
                                <a:prstGeom prst="rect">
                                  <a:avLst/>
                                </a:prstGeom>
                                <a:noFill/>
                                <a:ln w="9525">
                                  <a:solidFill>
                                    <a:srgbClr val="000000"/>
                                  </a:solidFill>
                                  <a:miter lim="800000"/>
                                </a:ln>
                                <a:effectLst/>
                              </wps:spPr>
                              <wps:txbx>
                                <w:txbxContent>
                                  <w:p w14:paraId="21376DE4">
                                    <w:pPr>
                                      <w:jc w:val="center"/>
                                      <w:rPr>
                                        <w:rFonts w:hint="default" w:eastAsia="宋体"/>
                                        <w:lang w:val="en-US" w:eastAsia="zh-CN"/>
                                      </w:rPr>
                                    </w:pPr>
                                    <w:r>
                                      <w:rPr>
                                        <w:rFonts w:hint="eastAsia" w:eastAsia="宋体"/>
                                        <w:lang w:val="en-US" w:eastAsia="zh-CN"/>
                                      </w:rPr>
                                      <w:t>印刷</w:t>
                                    </w:r>
                                  </w:p>
                                </w:txbxContent>
                              </wps:txbx>
                              <wps:bodyPr rot="0" vert="horz" wrap="square" lIns="91440" tIns="45720" rIns="91440" bIns="45720" anchor="t" anchorCtr="0" upright="1">
                                <a:noAutofit/>
                              </wps:bodyPr>
                            </wps:wsp>
                            <wps:wsp>
                              <wps:cNvPr id="111" name="直线 636"/>
                              <wps:cNvCnPr/>
                              <wps:spPr>
                                <a:xfrm>
                                  <a:off x="2752725" y="935990"/>
                                  <a:ext cx="0" cy="292100"/>
                                </a:xfrm>
                                <a:prstGeom prst="line">
                                  <a:avLst/>
                                </a:prstGeom>
                                <a:ln w="9525" cap="flat" cmpd="sng">
                                  <a:solidFill>
                                    <a:srgbClr val="000000"/>
                                  </a:solidFill>
                                  <a:prstDash val="solid"/>
                                  <a:headEnd type="none" w="med" len="med"/>
                                  <a:tailEnd type="triangle" w="med" len="med"/>
                                </a:ln>
                              </wps:spPr>
                              <wps:bodyPr upright="1"/>
                            </wps:wsp>
                            <wps:wsp>
                              <wps:cNvPr id="112" name="直线 637"/>
                              <wps:cNvCnPr/>
                              <wps:spPr>
                                <a:xfrm>
                                  <a:off x="2754630" y="1517015"/>
                                  <a:ext cx="0" cy="292100"/>
                                </a:xfrm>
                                <a:prstGeom prst="line">
                                  <a:avLst/>
                                </a:prstGeom>
                                <a:ln w="9525" cap="flat" cmpd="sng">
                                  <a:solidFill>
                                    <a:srgbClr val="000000"/>
                                  </a:solidFill>
                                  <a:prstDash val="solid"/>
                                  <a:headEnd type="none" w="med" len="med"/>
                                  <a:tailEnd type="triangle" w="med" len="med"/>
                                </a:ln>
                              </wps:spPr>
                              <wps:bodyPr upright="1"/>
                            </wps:wsp>
                            <wps:wsp>
                              <wps:cNvPr id="113" name="文本框 34"/>
                              <wps:cNvSpPr txBox="1">
                                <a:spLocks noChangeArrowheads="1"/>
                              </wps:cNvSpPr>
                              <wps:spPr bwMode="auto">
                                <a:xfrm>
                                  <a:off x="2313940" y="1802765"/>
                                  <a:ext cx="883285" cy="292100"/>
                                </a:xfrm>
                                <a:prstGeom prst="rect">
                                  <a:avLst/>
                                </a:prstGeom>
                                <a:noFill/>
                                <a:ln w="9525">
                                  <a:solidFill>
                                    <a:srgbClr val="000000"/>
                                  </a:solidFill>
                                  <a:miter lim="800000"/>
                                </a:ln>
                                <a:effectLst/>
                              </wps:spPr>
                              <wps:txbx>
                                <w:txbxContent>
                                  <w:p w14:paraId="5CAE2C81">
                                    <w:pPr>
                                      <w:jc w:val="center"/>
                                      <w:rPr>
                                        <w:rFonts w:hint="default" w:eastAsia="宋体"/>
                                        <w:lang w:val="en-US" w:eastAsia="zh-CN"/>
                                      </w:rPr>
                                    </w:pPr>
                                    <w:r>
                                      <w:rPr>
                                        <w:rFonts w:hint="eastAsia" w:eastAsia="宋体"/>
                                        <w:lang w:val="en-US" w:eastAsia="zh-CN"/>
                                      </w:rPr>
                                      <w:t>开槽/啤模</w:t>
                                    </w:r>
                                  </w:p>
                                </w:txbxContent>
                              </wps:txbx>
                              <wps:bodyPr rot="0" vert="horz" wrap="square" lIns="91440" tIns="45720" rIns="91440" bIns="45720" anchor="t" anchorCtr="0" upright="1">
                                <a:noAutofit/>
                              </wps:bodyPr>
                            </wps:wsp>
                            <wps:wsp>
                              <wps:cNvPr id="114" name="直线 639"/>
                              <wps:cNvCnPr/>
                              <wps:spPr>
                                <a:xfrm>
                                  <a:off x="2771775" y="2110105"/>
                                  <a:ext cx="0" cy="292100"/>
                                </a:xfrm>
                                <a:prstGeom prst="line">
                                  <a:avLst/>
                                </a:prstGeom>
                                <a:ln w="9525" cap="flat" cmpd="sng">
                                  <a:solidFill>
                                    <a:srgbClr val="000000"/>
                                  </a:solidFill>
                                  <a:prstDash val="solid"/>
                                  <a:headEnd type="none" w="med" len="med"/>
                                  <a:tailEnd type="triangle" w="med" len="med"/>
                                </a:ln>
                              </wps:spPr>
                              <wps:bodyPr upright="1"/>
                            </wps:wsp>
                            <wps:wsp>
                              <wps:cNvPr id="115" name="文本框 34"/>
                              <wps:cNvSpPr txBox="1">
                                <a:spLocks noChangeArrowheads="1"/>
                              </wps:cNvSpPr>
                              <wps:spPr bwMode="auto">
                                <a:xfrm>
                                  <a:off x="2299335" y="2404745"/>
                                  <a:ext cx="883285" cy="292100"/>
                                </a:xfrm>
                                <a:prstGeom prst="rect">
                                  <a:avLst/>
                                </a:prstGeom>
                                <a:noFill/>
                                <a:ln w="9525">
                                  <a:solidFill>
                                    <a:srgbClr val="000000"/>
                                  </a:solidFill>
                                  <a:miter lim="800000"/>
                                </a:ln>
                                <a:effectLst/>
                              </wps:spPr>
                              <wps:txbx>
                                <w:txbxContent>
                                  <w:p w14:paraId="709512DF">
                                    <w:pPr>
                                      <w:jc w:val="center"/>
                                      <w:rPr>
                                        <w:rFonts w:hint="default" w:eastAsia="宋体"/>
                                        <w:lang w:val="en-US" w:eastAsia="zh-CN"/>
                                      </w:rPr>
                                    </w:pPr>
                                    <w:r>
                                      <w:rPr>
                                        <w:rFonts w:hint="eastAsia" w:eastAsia="宋体"/>
                                        <w:lang w:val="en-US" w:eastAsia="zh-CN"/>
                                      </w:rPr>
                                      <w:t>钉合</w:t>
                                    </w:r>
                                  </w:p>
                                </w:txbxContent>
                              </wps:txbx>
                              <wps:bodyPr rot="0" vert="horz" wrap="square" lIns="91440" tIns="45720" rIns="91440" bIns="45720" anchor="t" anchorCtr="0" upright="1">
                                <a:noAutofit/>
                              </wps:bodyPr>
                            </wps:wsp>
                            <wps:wsp>
                              <wps:cNvPr id="116" name="文本框 34"/>
                              <wps:cNvSpPr txBox="1">
                                <a:spLocks noChangeArrowheads="1"/>
                              </wps:cNvSpPr>
                              <wps:spPr bwMode="auto">
                                <a:xfrm>
                                  <a:off x="2306955" y="2980055"/>
                                  <a:ext cx="883285" cy="292100"/>
                                </a:xfrm>
                                <a:prstGeom prst="rect">
                                  <a:avLst/>
                                </a:prstGeom>
                                <a:noFill/>
                                <a:ln w="9525">
                                  <a:solidFill>
                                    <a:srgbClr val="000000"/>
                                  </a:solidFill>
                                  <a:miter lim="800000"/>
                                </a:ln>
                                <a:effectLst/>
                              </wps:spPr>
                              <wps:txbx>
                                <w:txbxContent>
                                  <w:p w14:paraId="416057A4">
                                    <w:pPr>
                                      <w:jc w:val="center"/>
                                      <w:rPr>
                                        <w:rFonts w:hint="default" w:eastAsia="宋体"/>
                                        <w:lang w:val="en-US" w:eastAsia="zh-CN"/>
                                      </w:rPr>
                                    </w:pPr>
                                    <w:r>
                                      <w:rPr>
                                        <w:rFonts w:hint="eastAsia" w:eastAsia="宋体"/>
                                        <w:lang w:val="en-US" w:eastAsia="zh-CN"/>
                                      </w:rPr>
                                      <w:t>包装出货</w:t>
                                    </w:r>
                                  </w:p>
                                </w:txbxContent>
                              </wps:txbx>
                              <wps:bodyPr rot="0" vert="horz" wrap="square" lIns="91440" tIns="45720" rIns="91440" bIns="45720" anchor="t" anchorCtr="0" upright="1">
                                <a:noAutofit/>
                              </wps:bodyPr>
                            </wps:wsp>
                            <wps:wsp>
                              <wps:cNvPr id="119" name="直线 642"/>
                              <wps:cNvCnPr/>
                              <wps:spPr>
                                <a:xfrm>
                                  <a:off x="2776220" y="2694940"/>
                                  <a:ext cx="0" cy="292100"/>
                                </a:xfrm>
                                <a:prstGeom prst="line">
                                  <a:avLst/>
                                </a:prstGeom>
                                <a:ln w="9525" cap="flat" cmpd="sng">
                                  <a:solidFill>
                                    <a:srgbClr val="000000"/>
                                  </a:solidFill>
                                  <a:prstDash val="solid"/>
                                  <a:headEnd type="none" w="med" len="med"/>
                                  <a:tailEnd type="triangle" w="med" len="med"/>
                                </a:ln>
                              </wps:spPr>
                              <wps:bodyPr upright="1"/>
                            </wps:wsp>
                            <wps:wsp>
                              <wps:cNvPr id="120" name="直线 643"/>
                              <wps:cNvCnPr/>
                              <wps:spPr>
                                <a:xfrm>
                                  <a:off x="2774950" y="3280410"/>
                                  <a:ext cx="0" cy="292100"/>
                                </a:xfrm>
                                <a:prstGeom prst="line">
                                  <a:avLst/>
                                </a:prstGeom>
                                <a:ln w="9525" cap="flat" cmpd="sng">
                                  <a:solidFill>
                                    <a:srgbClr val="000000"/>
                                  </a:solidFill>
                                  <a:prstDash val="solid"/>
                                  <a:headEnd type="none" w="med" len="med"/>
                                  <a:tailEnd type="triangle" w="med" len="med"/>
                                </a:ln>
                              </wps:spPr>
                              <wps:bodyPr upright="1"/>
                            </wps:wsp>
                            <wps:wsp>
                              <wps:cNvPr id="121" name="文本框 16"/>
                              <wps:cNvSpPr txBox="1">
                                <a:spLocks noChangeArrowheads="1"/>
                              </wps:cNvSpPr>
                              <wps:spPr bwMode="auto">
                                <a:xfrm>
                                  <a:off x="2385060" y="3580130"/>
                                  <a:ext cx="828040" cy="299720"/>
                                </a:xfrm>
                                <a:prstGeom prst="rect">
                                  <a:avLst/>
                                </a:prstGeom>
                                <a:noFill/>
                                <a:ln>
                                  <a:noFill/>
                                </a:ln>
                                <a:effectLst/>
                              </wps:spPr>
                              <wps:txbx>
                                <w:txbxContent>
                                  <w:p w14:paraId="40FD7560">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包装纸箱</w:t>
                                    </w:r>
                                  </w:p>
                                </w:txbxContent>
                              </wps:txbx>
                              <wps:bodyPr rot="0" vert="horz" wrap="square" lIns="91440" tIns="45720" rIns="91440" bIns="45720" anchor="t" anchorCtr="0" upright="1">
                                <a:noAutofit/>
                              </wps:bodyPr>
                            </wps:wsp>
                            <wps:wsp>
                              <wps:cNvPr id="122" name="直线 645"/>
                              <wps:cNvCnPr/>
                              <wps:spPr>
                                <a:xfrm>
                                  <a:off x="3174365" y="786765"/>
                                  <a:ext cx="497840" cy="635"/>
                                </a:xfrm>
                                <a:prstGeom prst="line">
                                  <a:avLst/>
                                </a:prstGeom>
                                <a:ln w="9525" cap="flat" cmpd="sng">
                                  <a:solidFill>
                                    <a:srgbClr val="000000"/>
                                  </a:solidFill>
                                  <a:prstDash val="dash"/>
                                  <a:headEnd type="none" w="med" len="med"/>
                                  <a:tailEnd type="triangle" w="med" len="med"/>
                                </a:ln>
                              </wps:spPr>
                              <wps:bodyPr upright="1"/>
                            </wps:wsp>
                            <wps:wsp>
                              <wps:cNvPr id="123" name="文本框 34"/>
                              <wps:cNvSpPr txBox="1"/>
                              <wps:spPr>
                                <a:xfrm>
                                  <a:off x="3670935" y="633095"/>
                                  <a:ext cx="1230630" cy="291465"/>
                                </a:xfrm>
                                <a:prstGeom prst="rect">
                                  <a:avLst/>
                                </a:prstGeom>
                                <a:noFill/>
                                <a:ln w="9525" cap="flat" cmpd="sng">
                                  <a:solidFill>
                                    <a:srgbClr val="000000"/>
                                  </a:solidFill>
                                  <a:prstDash val="dash"/>
                                  <a:miter/>
                                  <a:headEnd type="none" w="med" len="med"/>
                                  <a:tailEnd type="none" w="med" len="med"/>
                                </a:ln>
                              </wps:spPr>
                              <wps:txbx>
                                <w:txbxContent>
                                  <w:p w14:paraId="2DACBF14">
                                    <w:pPr>
                                      <w:jc w:val="center"/>
                                      <w:rPr>
                                        <w:rFonts w:hint="default" w:eastAsia="宋体"/>
                                        <w:lang w:val="en-US" w:eastAsia="zh-CN"/>
                                      </w:rPr>
                                    </w:pPr>
                                    <w:r>
                                      <w:rPr>
                                        <w:rFonts w:hint="eastAsia" w:eastAsia="宋体"/>
                                        <w:lang w:val="en-US" w:eastAsia="zh-CN"/>
                                      </w:rPr>
                                      <w:t>纸板边角料、噪声</w:t>
                                    </w:r>
                                  </w:p>
                                </w:txbxContent>
                              </wps:txbx>
                              <wps:bodyPr vert="horz" anchor="t" anchorCtr="0" upright="1"/>
                            </wps:wsp>
                            <wps:wsp>
                              <wps:cNvPr id="124" name="直线 647"/>
                              <wps:cNvCnPr/>
                              <wps:spPr>
                                <a:xfrm>
                                  <a:off x="3168650" y="1384935"/>
                                  <a:ext cx="495300" cy="0"/>
                                </a:xfrm>
                                <a:prstGeom prst="line">
                                  <a:avLst/>
                                </a:prstGeom>
                                <a:ln w="9525" cap="flat" cmpd="sng">
                                  <a:solidFill>
                                    <a:srgbClr val="000000"/>
                                  </a:solidFill>
                                  <a:prstDash val="dash"/>
                                  <a:headEnd type="none" w="med" len="med"/>
                                  <a:tailEnd type="triangle" w="med" len="med"/>
                                </a:ln>
                              </wps:spPr>
                              <wps:bodyPr upright="1"/>
                            </wps:wsp>
                            <wps:wsp>
                              <wps:cNvPr id="127" name="文本框 34"/>
                              <wps:cNvSpPr txBox="1"/>
                              <wps:spPr>
                                <a:xfrm>
                                  <a:off x="3672840" y="1116330"/>
                                  <a:ext cx="1313180" cy="495300"/>
                                </a:xfrm>
                                <a:prstGeom prst="rect">
                                  <a:avLst/>
                                </a:prstGeom>
                                <a:noFill/>
                                <a:ln w="9525" cap="flat" cmpd="sng">
                                  <a:solidFill>
                                    <a:srgbClr val="000000"/>
                                  </a:solidFill>
                                  <a:prstDash val="dash"/>
                                  <a:miter/>
                                  <a:headEnd type="none" w="med" len="med"/>
                                  <a:tailEnd type="none" w="med" len="med"/>
                                </a:ln>
                              </wps:spPr>
                              <wps:txbx>
                                <w:txbxContent>
                                  <w:p w14:paraId="276632EF">
                                    <w:pPr>
                                      <w:jc w:val="center"/>
                                      <w:rPr>
                                        <w:rFonts w:hint="default" w:eastAsia="宋体"/>
                                        <w:lang w:val="en-US" w:eastAsia="zh-CN"/>
                                      </w:rPr>
                                    </w:pPr>
                                    <w:r>
                                      <w:rPr>
                                        <w:rFonts w:hint="eastAsia" w:eastAsia="宋体"/>
                                        <w:lang w:val="en-US" w:eastAsia="zh-CN"/>
                                      </w:rPr>
                                      <w:t>有机废气、废空桶、清洗废水、噪声</w:t>
                                    </w:r>
                                  </w:p>
                                </w:txbxContent>
                              </wps:txbx>
                              <wps:bodyPr vert="horz" anchor="t" anchorCtr="0" upright="1"/>
                            </wps:wsp>
                            <wps:wsp>
                              <wps:cNvPr id="128" name="直线 649"/>
                              <wps:cNvCnPr/>
                              <wps:spPr>
                                <a:xfrm>
                                  <a:off x="3187065" y="2544445"/>
                                  <a:ext cx="495300" cy="0"/>
                                </a:xfrm>
                                <a:prstGeom prst="line">
                                  <a:avLst/>
                                </a:prstGeom>
                                <a:ln w="9525" cap="flat" cmpd="sng">
                                  <a:solidFill>
                                    <a:srgbClr val="000000"/>
                                  </a:solidFill>
                                  <a:prstDash val="dash"/>
                                  <a:headEnd type="none" w="med" len="med"/>
                                  <a:tailEnd type="triangle" w="med" len="med"/>
                                </a:ln>
                              </wps:spPr>
                              <wps:bodyPr upright="1"/>
                            </wps:wsp>
                            <wps:wsp>
                              <wps:cNvPr id="129" name="文本框 34"/>
                              <wps:cNvSpPr txBox="1"/>
                              <wps:spPr>
                                <a:xfrm>
                                  <a:off x="3696335" y="2400300"/>
                                  <a:ext cx="631825" cy="292100"/>
                                </a:xfrm>
                                <a:prstGeom prst="rect">
                                  <a:avLst/>
                                </a:prstGeom>
                                <a:noFill/>
                                <a:ln w="9525" cap="flat" cmpd="sng">
                                  <a:solidFill>
                                    <a:srgbClr val="000000"/>
                                  </a:solidFill>
                                  <a:prstDash val="dash"/>
                                  <a:miter/>
                                  <a:headEnd type="none" w="med" len="med"/>
                                  <a:tailEnd type="none" w="med" len="med"/>
                                </a:ln>
                              </wps:spPr>
                              <wps:txbx>
                                <w:txbxContent>
                                  <w:p w14:paraId="4003390A">
                                    <w:pPr>
                                      <w:jc w:val="center"/>
                                      <w:rPr>
                                        <w:rFonts w:hint="default" w:eastAsia="宋体"/>
                                        <w:lang w:val="en-US" w:eastAsia="zh-CN"/>
                                      </w:rPr>
                                    </w:pPr>
                                    <w:r>
                                      <w:rPr>
                                        <w:rFonts w:hint="eastAsia" w:eastAsia="宋体"/>
                                        <w:lang w:val="en-US" w:eastAsia="zh-CN"/>
                                      </w:rPr>
                                      <w:t>噪声</w:t>
                                    </w:r>
                                  </w:p>
                                </w:txbxContent>
                              </wps:txbx>
                              <wps:bodyPr vert="horz" anchor="t" anchorCtr="0" upright="1"/>
                            </wps:wsp>
                            <wps:wsp>
                              <wps:cNvPr id="130" name="直线 651"/>
                              <wps:cNvCnPr/>
                              <wps:spPr>
                                <a:xfrm>
                                  <a:off x="3193415" y="3103245"/>
                                  <a:ext cx="495300" cy="0"/>
                                </a:xfrm>
                                <a:prstGeom prst="line">
                                  <a:avLst/>
                                </a:prstGeom>
                                <a:ln w="9525" cap="flat" cmpd="sng">
                                  <a:solidFill>
                                    <a:srgbClr val="000000"/>
                                  </a:solidFill>
                                  <a:prstDash val="dash"/>
                                  <a:headEnd type="none" w="med" len="med"/>
                                  <a:tailEnd type="triangle" w="med" len="med"/>
                                </a:ln>
                              </wps:spPr>
                              <wps:bodyPr upright="1"/>
                            </wps:wsp>
                            <wps:wsp>
                              <wps:cNvPr id="131" name="文本框 34"/>
                              <wps:cNvSpPr txBox="1"/>
                              <wps:spPr>
                                <a:xfrm>
                                  <a:off x="3705860" y="2971800"/>
                                  <a:ext cx="1143000" cy="292100"/>
                                </a:xfrm>
                                <a:prstGeom prst="rect">
                                  <a:avLst/>
                                </a:prstGeom>
                                <a:noFill/>
                                <a:ln w="9525" cap="flat" cmpd="sng">
                                  <a:solidFill>
                                    <a:srgbClr val="000000"/>
                                  </a:solidFill>
                                  <a:prstDash val="dash"/>
                                  <a:miter/>
                                  <a:headEnd type="none" w="med" len="med"/>
                                  <a:tailEnd type="none" w="med" len="med"/>
                                </a:ln>
                              </wps:spPr>
                              <wps:txbx>
                                <w:txbxContent>
                                  <w:p w14:paraId="6D037CD9">
                                    <w:pPr>
                                      <w:jc w:val="center"/>
                                      <w:rPr>
                                        <w:rFonts w:hint="default" w:eastAsia="宋体"/>
                                        <w:lang w:val="en-US" w:eastAsia="zh-CN"/>
                                      </w:rPr>
                                    </w:pPr>
                                    <w:r>
                                      <w:rPr>
                                        <w:rFonts w:hint="eastAsia" w:eastAsia="宋体"/>
                                        <w:lang w:val="en-US" w:eastAsia="zh-CN"/>
                                      </w:rPr>
                                      <w:t>废包装材料</w:t>
                                    </w:r>
                                  </w:p>
                                </w:txbxContent>
                              </wps:txbx>
                              <wps:bodyPr vert="horz" anchor="t" anchorCtr="0" upright="1"/>
                            </wps:wsp>
                            <wps:wsp>
                              <wps:cNvPr id="132" name="直线 653"/>
                              <wps:cNvCnPr/>
                              <wps:spPr>
                                <a:xfrm>
                                  <a:off x="1794510" y="1397000"/>
                                  <a:ext cx="495300" cy="0"/>
                                </a:xfrm>
                                <a:prstGeom prst="line">
                                  <a:avLst/>
                                </a:prstGeom>
                                <a:ln w="9525" cap="flat" cmpd="sng">
                                  <a:solidFill>
                                    <a:srgbClr val="000000"/>
                                  </a:solidFill>
                                  <a:prstDash val="solid"/>
                                  <a:headEnd type="none" w="med" len="med"/>
                                  <a:tailEnd type="triangle" w="med" len="med"/>
                                </a:ln>
                              </wps:spPr>
                              <wps:bodyPr upright="1"/>
                            </wps:wsp>
                            <wps:wsp>
                              <wps:cNvPr id="133" name="文本框 16"/>
                              <wps:cNvSpPr txBox="1">
                                <a:spLocks noChangeArrowheads="1"/>
                              </wps:cNvSpPr>
                              <wps:spPr bwMode="auto">
                                <a:xfrm>
                                  <a:off x="871220" y="1224915"/>
                                  <a:ext cx="920750" cy="313055"/>
                                </a:xfrm>
                                <a:prstGeom prst="rect">
                                  <a:avLst/>
                                </a:prstGeom>
                                <a:noFill/>
                                <a:ln>
                                  <a:noFill/>
                                </a:ln>
                                <a:effectLst/>
                              </wps:spPr>
                              <wps:txbx>
                                <w:txbxContent>
                                  <w:p w14:paraId="15587BF6">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水性油墨</w:t>
                                    </w:r>
                                  </w:p>
                                </w:txbxContent>
                              </wps:txbx>
                              <wps:bodyPr rot="0" vert="horz" wrap="square" lIns="91440" tIns="45720" rIns="91440" bIns="45720" anchor="t" anchorCtr="0" upright="1">
                                <a:noAutofit/>
                              </wps:bodyPr>
                            </wps:wsp>
                            <wps:wsp>
                              <wps:cNvPr id="134" name="直线 655"/>
                              <wps:cNvCnPr/>
                              <wps:spPr>
                                <a:xfrm>
                                  <a:off x="3189605" y="1957705"/>
                                  <a:ext cx="495300" cy="0"/>
                                </a:xfrm>
                                <a:prstGeom prst="line">
                                  <a:avLst/>
                                </a:prstGeom>
                                <a:ln w="9525" cap="flat" cmpd="sng">
                                  <a:solidFill>
                                    <a:srgbClr val="000000"/>
                                  </a:solidFill>
                                  <a:prstDash val="dash"/>
                                  <a:headEnd type="none" w="med" len="med"/>
                                  <a:tailEnd type="triangle" w="med" len="med"/>
                                </a:ln>
                              </wps:spPr>
                              <wps:bodyPr upright="1"/>
                            </wps:wsp>
                            <wps:wsp>
                              <wps:cNvPr id="135" name="文本框 34"/>
                              <wps:cNvSpPr txBox="1"/>
                              <wps:spPr>
                                <a:xfrm>
                                  <a:off x="3684905" y="1830705"/>
                                  <a:ext cx="1219200" cy="279399"/>
                                </a:xfrm>
                                <a:prstGeom prst="rect">
                                  <a:avLst/>
                                </a:prstGeom>
                                <a:noFill/>
                                <a:ln w="9525" cap="flat" cmpd="sng">
                                  <a:solidFill>
                                    <a:srgbClr val="000000"/>
                                  </a:solidFill>
                                  <a:prstDash val="dash"/>
                                  <a:miter/>
                                  <a:headEnd type="none" w="med" len="med"/>
                                  <a:tailEnd type="none" w="med" len="med"/>
                                </a:ln>
                              </wps:spPr>
                              <wps:txbx>
                                <w:txbxContent>
                                  <w:p w14:paraId="3438F896">
                                    <w:pPr>
                                      <w:jc w:val="center"/>
                                      <w:rPr>
                                        <w:rFonts w:hint="default" w:eastAsia="宋体"/>
                                        <w:lang w:val="en-US" w:eastAsia="zh-CN"/>
                                      </w:rPr>
                                    </w:pPr>
                                    <w:r>
                                      <w:rPr>
                                        <w:rFonts w:hint="eastAsia" w:eastAsia="宋体"/>
                                        <w:lang w:val="en-US" w:eastAsia="zh-CN"/>
                                      </w:rPr>
                                      <w:t>纸板边角料、噪声</w:t>
                                    </w:r>
                                  </w:p>
                                </w:txbxContent>
                              </wps:txbx>
                              <wps:bodyPr vert="horz" anchor="t" anchorCtr="0" upright="1"/>
                            </wps:wsp>
                            <wps:wsp>
                              <wps:cNvPr id="136" name="直线 680"/>
                              <wps:cNvCnPr/>
                              <wps:spPr>
                                <a:xfrm>
                                  <a:off x="1800860" y="3102610"/>
                                  <a:ext cx="495300" cy="0"/>
                                </a:xfrm>
                                <a:prstGeom prst="line">
                                  <a:avLst/>
                                </a:prstGeom>
                                <a:ln w="9525" cap="flat" cmpd="sng">
                                  <a:solidFill>
                                    <a:srgbClr val="000000"/>
                                  </a:solidFill>
                                  <a:prstDash val="solid"/>
                                  <a:headEnd type="none" w="med" len="med"/>
                                  <a:tailEnd type="triangle" w="med" len="med"/>
                                </a:ln>
                              </wps:spPr>
                              <wps:bodyPr upright="1"/>
                            </wps:wsp>
                            <wps:wsp>
                              <wps:cNvPr id="139" name="文本框 16"/>
                              <wps:cNvSpPr txBox="1">
                                <a:spLocks noChangeArrowheads="1"/>
                              </wps:cNvSpPr>
                              <wps:spPr bwMode="auto">
                                <a:xfrm>
                                  <a:off x="964565" y="2963545"/>
                                  <a:ext cx="828040" cy="306070"/>
                                </a:xfrm>
                                <a:prstGeom prst="rect">
                                  <a:avLst/>
                                </a:prstGeom>
                                <a:noFill/>
                                <a:ln>
                                  <a:noFill/>
                                </a:ln>
                                <a:effectLst/>
                              </wps:spPr>
                              <wps:txbx>
                                <w:txbxContent>
                                  <w:p w14:paraId="20FA2993">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包装材料</w:t>
                                    </w:r>
                                  </w:p>
                                </w:txbxContent>
                              </wps:txbx>
                              <wps:bodyPr rot="0" vert="horz" wrap="square" lIns="91440" tIns="45720" rIns="91440" bIns="45720" anchor="t" anchorCtr="0" upright="1">
                                <a:noAutofit/>
                              </wps:bodyPr>
                            </wps:wsp>
                          </wpc:wpc>
                        </a:graphicData>
                      </a:graphic>
                    </wp:inline>
                  </w:drawing>
                </mc:Choice>
                <mc:Fallback>
                  <w:pict>
                    <v:group id="画布 271" o:spid="_x0000_s1026" o:spt="203" style="height:308.05pt;width:436.8pt;" coordsize="5547360,3912235" editas="canvas" o:gfxdata="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">
                      <o:lock v:ext="edit" aspectratio="f"/>
                      <v:shape id="画布 271" o:spid="_x0000_s1026" style="position:absolute;left:0;top:0;height:3912235;width:5547360;" filled="f" stroked="f" coordsize="21600,21600" o:gfxdata="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">
                        <v:fill on="f" focussize="0,0"/>
                        <v:stroke on="f"/>
                        <v:imagedata o:title=""/>
                        <o:lock v:ext="edit" aspectratio="t"/>
                      </v:shape>
                      <v:shape id="文本框 16" o:spid="_x0000_s1026" o:spt="202" type="#_x0000_t202" style="position:absolute;left:2433320;top:60960;height:270510;width:641350;" filled="f" stroked="f" coordsize="21600,21600" o:gfxdata="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cEvp&#10;B9QAAAAFAQAADwAAAAAAAAABACAAAAAiAAAAZHJzL2Rvd25yZXYueG1sUEsBAhQAFAAAAAgAh07i&#10;QIVvliwmAgAALwQAAA4AAAAAAAAAAQAgAAAAIwEAAGRycy9lMm9Eb2MueG1sUEsFBgAAAAAGAAYA&#10;WQEAALsFAAAAAA==&#10;">
                        <v:fill on="f" focussize="0,0"/>
                        <v:stroke on="f"/>
                        <v:imagedata o:title=""/>
                        <o:lock v:ext="edit" aspectratio="f"/>
                        <v:textbox>
                          <w:txbxContent>
                            <w:p w14:paraId="1D3EB593">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纸板</w:t>
                              </w:r>
                            </w:p>
                          </w:txbxContent>
                        </v:textbox>
                      </v:shape>
                      <v:shape id="文本框 34" o:spid="_x0000_s1026" o:spt="202" type="#_x0000_t202" style="position:absolute;left:2286000;top:645795;height:292100;width:883285;" filled="f" stroked="t" coordsize="21600,21600" o:gfxdata="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LUpfXTUAAAABQEAAA8AAAAAAAAA&#10;AQAgAAAAIgAAAGRycy9kb3ducmV2LnhtbFBLAQIUABQAAAAIAIdO4kBCYNHtTgIAAHkEAAAOAAAA&#10;AAAAAAEAIAAAACMBAABkcnMvZTJvRG9jLnhtbFBLBQYAAAAABgAGAFkBAADjBQAAAAA=&#10;">
                        <v:fill on="f" focussize="0,0"/>
                        <v:stroke color="#000000" miterlimit="8" joinstyle="miter"/>
                        <v:imagedata o:title=""/>
                        <o:lock v:ext="edit" aspectratio="f"/>
                        <v:textbox>
                          <w:txbxContent>
                            <w:p w14:paraId="5BBA6817">
                              <w:pPr>
                                <w:jc w:val="center"/>
                                <w:rPr>
                                  <w:rFonts w:hint="default" w:eastAsia="宋体"/>
                                  <w:lang w:val="en-US" w:eastAsia="zh-CN"/>
                                </w:rPr>
                              </w:pPr>
                              <w:r>
                                <w:rPr>
                                  <w:rFonts w:hint="eastAsia" w:eastAsia="宋体"/>
                                  <w:lang w:val="en-US" w:eastAsia="zh-CN"/>
                                </w:rPr>
                                <w:t>分切</w:t>
                              </w:r>
                            </w:p>
                          </w:txbxContent>
                        </v:textbox>
                      </v:shape>
                      <v:line id="直线 634" o:spid="_x0000_s1026" o:spt="20" style="position:absolute;left:2741930;top:335915;height:299720;width:635;" filled="f" stroked="t" coordsize="21600,21600" o:gfxdata="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R5A3a1gAAAAUBAAAPAAAAAAAAAAEAIAAAACIAAABkcnMvZG93&#10;bnJldi54bWxQSwECFAAUAAAACACHTuJAj98TEAICAADvAwAADgAAAAAAAAABACAAAAAlAQAAZHJz&#10;L2Uyb0RvYy54bWxQSwUGAAAAAAYABgBZAQAAmQUAAAAA&#10;">
                        <v:fill on="f" focussize="0,0"/>
                        <v:stroke color="#000000" joinstyle="round" endarrow="block"/>
                        <v:imagedata o:title=""/>
                        <o:lock v:ext="edit" aspectratio="f"/>
                      </v:line>
                      <v:shape id="文本框 34" o:spid="_x0000_s1026" o:spt="202" type="#_x0000_t202" style="position:absolute;left:2286000;top:1227455;height:292100;width:883285;" filled="f" stroked="t" coordsize="21600,21600" o:gfxdata="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1KX101AAAAAUBAAAPAAAAAAAA&#10;AAEAIAAAACIAAABkcnMvZG93bnJldi54bWxQSwECFAAUAAAACACHTuJAZuB+5U8CAAB6BAAADgAA&#10;AAAAAAABACAAAAAjAQAAZHJzL2Uyb0RvYy54bWxQSwUGAAAAAAYABgBZAQAA5AUAAAAA&#10;">
                        <v:fill on="f" focussize="0,0"/>
                        <v:stroke color="#000000" miterlimit="8" joinstyle="miter"/>
                        <v:imagedata o:title=""/>
                        <o:lock v:ext="edit" aspectratio="f"/>
                        <v:textbox>
                          <w:txbxContent>
                            <w:p w14:paraId="21376DE4">
                              <w:pPr>
                                <w:jc w:val="center"/>
                                <w:rPr>
                                  <w:rFonts w:hint="default" w:eastAsia="宋体"/>
                                  <w:lang w:val="en-US" w:eastAsia="zh-CN"/>
                                </w:rPr>
                              </w:pPr>
                              <w:r>
                                <w:rPr>
                                  <w:rFonts w:hint="eastAsia" w:eastAsia="宋体"/>
                                  <w:lang w:val="en-US" w:eastAsia="zh-CN"/>
                                </w:rPr>
                                <w:t>印刷</w:t>
                              </w:r>
                            </w:p>
                          </w:txbxContent>
                        </v:textbox>
                      </v:shape>
                      <v:line id="直线 636" o:spid="_x0000_s1026" o:spt="20" style="position:absolute;left:2752725;top:935990;height:292100;width:0;" filled="f" stroked="t" coordsize="21600,21600" o:gfxdata="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HkDdrWAAAABQEAAA8AAAAAAAAAAQAgAAAAIgAAAGRycy9kb3ducmV2&#10;LnhtbFBLAQIUABQAAAAIAIdO4kBwCaCI/gEAAO0DAAAOAAAAAAAAAAEAIAAAACUBAABkcnMvZTJv&#10;RG9jLnhtbFBLBQYAAAAABgAGAFkBAACVBQAAAAA=&#10;">
                        <v:fill on="f" focussize="0,0"/>
                        <v:stroke color="#000000" joinstyle="round" endarrow="block"/>
                        <v:imagedata o:title=""/>
                        <o:lock v:ext="edit" aspectratio="f"/>
                      </v:line>
                      <v:line id="直线 637" o:spid="_x0000_s1026" o:spt="20" style="position:absolute;left:2754630;top:1517015;height:292100;width:0;" filled="f" stroked="t" coordsize="21600,21600" o:gfxdata="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eQN2tYAAAAFAQAADwAAAAAAAAABACAAAAAiAAAAZHJzL2Rvd25y&#10;ZXYueG1sUEsBAhQAFAAAAAgAh07iQE0WW1AAAgAA7gMAAA4AAAAAAAAAAQAgAAAAJQEAAGRycy9l&#10;Mm9Eb2MueG1sUEsFBgAAAAAGAAYAWQEAAJcFAAAAAA==&#10;">
                        <v:fill on="f" focussize="0,0"/>
                        <v:stroke color="#000000" joinstyle="round" endarrow="block"/>
                        <v:imagedata o:title=""/>
                        <o:lock v:ext="edit" aspectratio="f"/>
                      </v:line>
                      <v:shape id="文本框 34" o:spid="_x0000_s1026" o:spt="202" type="#_x0000_t202" style="position:absolute;left:2313940;top:1802765;height:292100;width:883285;" filled="f" stroked="t" coordsize="21600,21600" o:gfxdata="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LUpfXTUAAAABQEAAA8AAAAA&#10;AAAAAQAgAAAAIgAAAGRycy9kb3ducmV2LnhtbFBLAQIUABQAAAAIAIdO4kDgMIeUUQIAAHoEAAAO&#10;AAAAAAAAAAEAIAAAACMBAABkcnMvZTJvRG9jLnhtbFBLBQYAAAAABgAGAFkBAADmBQAAAAA=&#10;">
                        <v:fill on="f" focussize="0,0"/>
                        <v:stroke color="#000000" miterlimit="8" joinstyle="miter"/>
                        <v:imagedata o:title=""/>
                        <o:lock v:ext="edit" aspectratio="f"/>
                        <v:textbox>
                          <w:txbxContent>
                            <w:p w14:paraId="5CAE2C81">
                              <w:pPr>
                                <w:jc w:val="center"/>
                                <w:rPr>
                                  <w:rFonts w:hint="default" w:eastAsia="宋体"/>
                                  <w:lang w:val="en-US" w:eastAsia="zh-CN"/>
                                </w:rPr>
                              </w:pPr>
                              <w:r>
                                <w:rPr>
                                  <w:rFonts w:hint="eastAsia" w:eastAsia="宋体"/>
                                  <w:lang w:val="en-US" w:eastAsia="zh-CN"/>
                                </w:rPr>
                                <w:t>开槽/啤模</w:t>
                              </w:r>
                            </w:p>
                          </w:txbxContent>
                        </v:textbox>
                      </v:shape>
                      <v:line id="直线 639" o:spid="_x0000_s1026" o:spt="20" style="position:absolute;left:2771775;top:2110105;height:292100;width:0;" filled="f" stroked="t" coordsize="21600,21600" o:gfxdata="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R5A3a1gAAAAUBAAAPAAAAAAAAAAEAIAAAACIAAABkcnMvZG93bnJl&#10;di54bWxQSwECFAAUAAAACACHTuJAE1Ii4f8BAADuAwAADgAAAAAAAAABACAAAAAlAQAAZHJzL2Uy&#10;b0RvYy54bWxQSwUGAAAAAAYABgBZAQAAlgUAAAAA&#10;">
                        <v:fill on="f" focussize="0,0"/>
                        <v:stroke color="#000000" joinstyle="round" endarrow="block"/>
                        <v:imagedata o:title=""/>
                        <o:lock v:ext="edit" aspectratio="f"/>
                      </v:line>
                      <v:shape id="文本框 34" o:spid="_x0000_s1026" o:spt="202" type="#_x0000_t202" style="position:absolute;left:2299335;top:2404745;height:292100;width:883285;" filled="f" stroked="t" coordsize="21600,21600" o:gfxdata="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tSl9dNQAAAAFAQAADwAAAAAA&#10;AAABACAAAAAiAAAAZHJzL2Rvd25yZXYueG1sUEsBAhQAFAAAAAgAh07iQOEdrX5QAgAAegQAAA4A&#10;AAAAAAAAAQAgAAAAIwEAAGRycy9lMm9Eb2MueG1sUEsFBgAAAAAGAAYAWQEAAOUFAAAAAA==&#10;">
                        <v:fill on="f" focussize="0,0"/>
                        <v:stroke color="#000000" miterlimit="8" joinstyle="miter"/>
                        <v:imagedata o:title=""/>
                        <o:lock v:ext="edit" aspectratio="f"/>
                        <v:textbox>
                          <w:txbxContent>
                            <w:p w14:paraId="709512DF">
                              <w:pPr>
                                <w:jc w:val="center"/>
                                <w:rPr>
                                  <w:rFonts w:hint="default" w:eastAsia="宋体"/>
                                  <w:lang w:val="en-US" w:eastAsia="zh-CN"/>
                                </w:rPr>
                              </w:pPr>
                              <w:r>
                                <w:rPr>
                                  <w:rFonts w:hint="eastAsia" w:eastAsia="宋体"/>
                                  <w:lang w:val="en-US" w:eastAsia="zh-CN"/>
                                </w:rPr>
                                <w:t>钉合</w:t>
                              </w:r>
                            </w:p>
                          </w:txbxContent>
                        </v:textbox>
                      </v:shape>
                      <v:shape id="文本框 34" o:spid="_x0000_s1026" o:spt="202" type="#_x0000_t202" style="position:absolute;left:2306955;top:2980055;height:292100;width:883285;" filled="f" stroked="t" coordsize="21600,21600" o:gfxdata="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LUpfXTUAAAABQEAAA8AAAAAAAAA&#10;AQAgAAAAIgAAAGRycy9kb3ducmV2LnhtbFBLAQIUABQAAAAIAIdO4kBSf4sJTgIAAHoEAAAOAAAA&#10;AAAAAAEAIAAAACMBAABkcnMvZTJvRG9jLnhtbFBLBQYAAAAABgAGAFkBAADjBQAAAAA=&#10;">
                        <v:fill on="f" focussize="0,0"/>
                        <v:stroke color="#000000" miterlimit="8" joinstyle="miter"/>
                        <v:imagedata o:title=""/>
                        <o:lock v:ext="edit" aspectratio="f"/>
                        <v:textbox>
                          <w:txbxContent>
                            <w:p w14:paraId="416057A4">
                              <w:pPr>
                                <w:jc w:val="center"/>
                                <w:rPr>
                                  <w:rFonts w:hint="default" w:eastAsia="宋体"/>
                                  <w:lang w:val="en-US" w:eastAsia="zh-CN"/>
                                </w:rPr>
                              </w:pPr>
                              <w:r>
                                <w:rPr>
                                  <w:rFonts w:hint="eastAsia" w:eastAsia="宋体"/>
                                  <w:lang w:val="en-US" w:eastAsia="zh-CN"/>
                                </w:rPr>
                                <w:t>包装出货</w:t>
                              </w:r>
                            </w:p>
                          </w:txbxContent>
                        </v:textbox>
                      </v:shape>
                      <v:line id="直线 642" o:spid="_x0000_s1026" o:spt="20" style="position:absolute;left:2776220;top:2694940;height:292100;width:0;" filled="f" stroked="t" coordsize="21600,21600" o:gfxdata="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HkDdrWAAAABQEAAA8AAAAAAAAAAQAgAAAAIgAAAGRycy9kb3ducmV2&#10;LnhtbFBLAQIUABQAAAAIAIdO4kDuerBL/gEAAO4DAAAOAAAAAAAAAAEAIAAAACUBAABkcnMvZTJv&#10;RG9jLnhtbFBLBQYAAAAABgAGAFkBAACVBQAAAAA=&#10;">
                        <v:fill on="f" focussize="0,0"/>
                        <v:stroke color="#000000" joinstyle="round" endarrow="block"/>
                        <v:imagedata o:title=""/>
                        <o:lock v:ext="edit" aspectratio="f"/>
                      </v:line>
                      <v:line id="直线 643" o:spid="_x0000_s1026" o:spt="20" style="position:absolute;left:2774950;top:3280410;height:292100;width:0;" filled="f" stroked="t" coordsize="21600,21600" o:gfxdata="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eQN2tYAAAAFAQAADwAAAAAAAAABACAAAAAiAAAAZHJzL2Rvd25y&#10;ZXYueG1sUEsBAhQAFAAAAAgAh07iQPvbvCUAAgAA7gMAAA4AAAAAAAAAAQAgAAAAJQEAAGRycy9l&#10;Mm9Eb2MueG1sUEsFBgAAAAAGAAYAWQEAAJcFAAAAAA==&#10;">
                        <v:fill on="f" focussize="0,0"/>
                        <v:stroke color="#000000" joinstyle="round" endarrow="block"/>
                        <v:imagedata o:title=""/>
                        <o:lock v:ext="edit" aspectratio="f"/>
                      </v:line>
                      <v:shape id="文本框 16" o:spid="_x0000_s1026" o:spt="202" type="#_x0000_t202" style="position:absolute;left:2385060;top:3580130;height:299720;width:828040;" filled="f" stroked="f" coordsize="21600,21600" o:gfxdata="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HBL&#10;6QfUAAAABQEAAA8AAAAAAAAAAQAgAAAAIgAAAGRycy9kb3ducmV2LnhtbFBLAQIUABQAAAAIAIdO&#10;4kCoTUyHJwIAADEEAAAOAAAAAAAAAAEAIAAAACMBAABkcnMvZTJvRG9jLnhtbFBLBQYAAAAABgAG&#10;AFkBAAC8BQAAAAA=&#10;">
                        <v:fill on="f" focussize="0,0"/>
                        <v:stroke on="f"/>
                        <v:imagedata o:title=""/>
                        <o:lock v:ext="edit" aspectratio="f"/>
                        <v:textbox>
                          <w:txbxContent>
                            <w:p w14:paraId="40FD7560">
                              <w:pPr>
                                <w:jc w:val="center"/>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包装纸箱</w:t>
                              </w:r>
                            </w:p>
                          </w:txbxContent>
                        </v:textbox>
                      </v:shape>
                      <v:line id="直线 645" o:spid="_x0000_s1026" o:spt="20" style="position:absolute;left:3174365;top:786765;height:635;width:497840;" filled="f" stroked="t" coordsize="21600,21600" o:gfxdata="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W8z/+1wAAAAUBAAAPAAAAAAAAAAEAIAAAACIAAABkcnMvZG93&#10;bnJldi54bWxQSwECFAAUAAAACACHTuJAmFWreAECAADuAwAADgAAAAAAAAABACAAAAAmAQAAZHJz&#10;L2Uyb0RvYy54bWxQSwUGAAAAAAYABgBZAQAAmQUAAAAA&#10;">
                        <v:fill on="f" focussize="0,0"/>
                        <v:stroke color="#000000" joinstyle="round" dashstyle="dash" endarrow="block"/>
                        <v:imagedata o:title=""/>
                        <o:lock v:ext="edit" aspectratio="f"/>
                      </v:line>
                      <v:shape id="文本框 34" o:spid="_x0000_s1026" o:spt="202" type="#_x0000_t202" style="position:absolute;left:3670935;top:633095;height:291465;width:1230630;" filled="f" stroked="t" coordsize="21600,21600" o:gfxdata="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kBlNd1wAAAAUBAAAPAAAAAAAAAAEAIAAAACIAAABkcnMvZG93bnJldi54bWxQSwECFAAUAAAA&#10;CACHTuJAv2QRISgCAAA/BAAADgAAAAAAAAABACAAAAAmAQAAZHJzL2Uyb0RvYy54bWxQSwUGAAAA&#10;AAYABgBZAQAAwAUAAAAA&#10;">
                        <v:fill on="f" focussize="0,0"/>
                        <v:stroke color="#000000" joinstyle="miter" dashstyle="dash"/>
                        <v:imagedata o:title=""/>
                        <o:lock v:ext="edit" aspectratio="f"/>
                        <v:textbox>
                          <w:txbxContent>
                            <w:p w14:paraId="2DACBF14">
                              <w:pPr>
                                <w:jc w:val="center"/>
                                <w:rPr>
                                  <w:rFonts w:hint="default" w:eastAsia="宋体"/>
                                  <w:lang w:val="en-US" w:eastAsia="zh-CN"/>
                                </w:rPr>
                              </w:pPr>
                              <w:r>
                                <w:rPr>
                                  <w:rFonts w:hint="eastAsia" w:eastAsia="宋体"/>
                                  <w:lang w:val="en-US" w:eastAsia="zh-CN"/>
                                </w:rPr>
                                <w:t>纸板边角料、噪声</w:t>
                              </w:r>
                            </w:p>
                          </w:txbxContent>
                        </v:textbox>
                      </v:shape>
                      <v:line id="直线 647" o:spid="_x0000_s1026" o:spt="20" style="position:absolute;left:3168650;top:1384935;height:0;width:495300;" filled="f" stroked="t" coordsize="21600,21600" o:gfxdata="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bzP/7XAAAABQEAAA8AAAAAAAAAAQAgAAAAIgAAAGRycy9kb3du&#10;cmV2LnhtbFBLAQIUABQAAAAIAIdO4kBmkuMkAAIAAO0DAAAOAAAAAAAAAAEAIAAAACYBAABkcnMv&#10;ZTJvRG9jLnhtbFBLBQYAAAAABgAGAFkBAACYBQAAAAA=&#10;">
                        <v:fill on="f" focussize="0,0"/>
                        <v:stroke color="#000000" joinstyle="round" dashstyle="dash" endarrow="block"/>
                        <v:imagedata o:title=""/>
                        <o:lock v:ext="edit" aspectratio="f"/>
                      </v:line>
                      <v:shape id="文本框 34" o:spid="_x0000_s1026" o:spt="202" type="#_x0000_t202" style="position:absolute;left:3672840;top:1116330;height:495300;width:1313180;" filled="f" stroked="t" coordsize="21600,21600" o:gfxdata="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5AZTXdcAAAAFAQAADwAAAAAAAAABACAAAAAiAAAAZHJzL2Rvd25yZXYueG1sUEsBAhQAFAAAAAgA&#10;h07iQK64IVEmAgAAQAQAAA4AAAAAAAAAAQAgAAAAJgEAAGRycy9lMm9Eb2MueG1sUEsFBgAAAAAG&#10;AAYAWQEAAL4FAAAAAA==&#10;">
                        <v:fill on="f" focussize="0,0"/>
                        <v:stroke color="#000000" joinstyle="miter" dashstyle="dash"/>
                        <v:imagedata o:title=""/>
                        <o:lock v:ext="edit" aspectratio="f"/>
                        <v:textbox>
                          <w:txbxContent>
                            <w:p w14:paraId="276632EF">
                              <w:pPr>
                                <w:jc w:val="center"/>
                                <w:rPr>
                                  <w:rFonts w:hint="default" w:eastAsia="宋体"/>
                                  <w:lang w:val="en-US" w:eastAsia="zh-CN"/>
                                </w:rPr>
                              </w:pPr>
                              <w:r>
                                <w:rPr>
                                  <w:rFonts w:hint="eastAsia" w:eastAsia="宋体"/>
                                  <w:lang w:val="en-US" w:eastAsia="zh-CN"/>
                                </w:rPr>
                                <w:t>有机废气、废空桶、清洗废水、噪声</w:t>
                              </w:r>
                            </w:p>
                          </w:txbxContent>
                        </v:textbox>
                      </v:shape>
                      <v:line id="直线 649" o:spid="_x0000_s1026" o:spt="20" style="position:absolute;left:3187065;top:2544445;height:0;width:495300;" filled="f" stroked="t" coordsize="21600,21600" o:gfxdata="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W8z/+1wAAAAUBAAAPAAAAAAAAAAEAIAAAACIAAABkcnMvZG93&#10;bnJldi54bWxQSwECFAAUAAAACACHTuJA+m5YZwECAADtAwAADgAAAAAAAAABACAAAAAmAQAAZHJz&#10;L2Uyb0RvYy54bWxQSwUGAAAAAAYABgBZAQAAmQUAAAAA&#10;">
                        <v:fill on="f" focussize="0,0"/>
                        <v:stroke color="#000000" joinstyle="round" dashstyle="dash" endarrow="block"/>
                        <v:imagedata o:title=""/>
                        <o:lock v:ext="edit" aspectratio="f"/>
                      </v:line>
                      <v:shape id="文本框 34" o:spid="_x0000_s1026" o:spt="202" type="#_x0000_t202" style="position:absolute;left:3696335;top:2400300;height:292100;width:631825;" filled="f" stroked="t" coordsize="21600,21600" o:gfxdata="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5AZTXdcAAAAFAQAADwAAAAAAAAABACAAAAAiAAAAZHJzL2Rvd25yZXYueG1sUEsBAhQAFAAAAAgA&#10;h07iQDLAONsmAgAAPwQAAA4AAAAAAAAAAQAgAAAAJgEAAGRycy9lMm9Eb2MueG1sUEsFBgAAAAAG&#10;AAYAWQEAAL4FAAAAAA==&#10;">
                        <v:fill on="f" focussize="0,0"/>
                        <v:stroke color="#000000" joinstyle="miter" dashstyle="dash"/>
                        <v:imagedata o:title=""/>
                        <o:lock v:ext="edit" aspectratio="f"/>
                        <v:textbox>
                          <w:txbxContent>
                            <w:p w14:paraId="4003390A">
                              <w:pPr>
                                <w:jc w:val="center"/>
                                <w:rPr>
                                  <w:rFonts w:hint="default" w:eastAsia="宋体"/>
                                  <w:lang w:val="en-US" w:eastAsia="zh-CN"/>
                                </w:rPr>
                              </w:pPr>
                              <w:r>
                                <w:rPr>
                                  <w:rFonts w:hint="eastAsia" w:eastAsia="宋体"/>
                                  <w:lang w:val="en-US" w:eastAsia="zh-CN"/>
                                </w:rPr>
                                <w:t>噪声</w:t>
                              </w:r>
                            </w:p>
                          </w:txbxContent>
                        </v:textbox>
                      </v:shape>
                      <v:line id="直线 651" o:spid="_x0000_s1026" o:spt="20" style="position:absolute;left:3193415;top:3103245;height:0;width:495300;" filled="f" stroked="t" coordsize="21600,21600" o:gfxdata="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W8z/+1wAAAAUBAAAPAAAAAAAAAAEAIAAAACIAAABkcnMvZG93bnJl&#10;di54bWxQSwECFAAUAAAACACHTuJAB3UScv4BAADtAwAADgAAAAAAAAABACAAAAAmAQAAZHJzL2Uy&#10;b0RvYy54bWxQSwUGAAAAAAYABgBZAQAAlgUAAAAA&#10;">
                        <v:fill on="f" focussize="0,0"/>
                        <v:stroke color="#000000" joinstyle="round" dashstyle="dash" endarrow="block"/>
                        <v:imagedata o:title=""/>
                        <o:lock v:ext="edit" aspectratio="f"/>
                      </v:line>
                      <v:shape id="文本框 34" o:spid="_x0000_s1026" o:spt="202" type="#_x0000_t202" style="position:absolute;left:3705860;top:2971800;height:292100;width:1143000;" filled="f" stroked="t" coordsize="21600,21600" o:gfxdata="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5AZTXdcAAAAFAQAADwAAAAAAAAABACAAAAAiAAAAZHJzL2Rvd25yZXYueG1sUEsBAhQAFAAAAAgA&#10;h07iQGj6Dd4mAgAAQAQAAA4AAAAAAAAAAQAgAAAAJgEAAGRycy9lMm9Eb2MueG1sUEsFBgAAAAAG&#10;AAYAWQEAAL4FAAAAAA==&#10;">
                        <v:fill on="f" focussize="0,0"/>
                        <v:stroke color="#000000" joinstyle="miter" dashstyle="dash"/>
                        <v:imagedata o:title=""/>
                        <o:lock v:ext="edit" aspectratio="f"/>
                        <v:textbox>
                          <w:txbxContent>
                            <w:p w14:paraId="6D037CD9">
                              <w:pPr>
                                <w:jc w:val="center"/>
                                <w:rPr>
                                  <w:rFonts w:hint="default" w:eastAsia="宋体"/>
                                  <w:lang w:val="en-US" w:eastAsia="zh-CN"/>
                                </w:rPr>
                              </w:pPr>
                              <w:r>
                                <w:rPr>
                                  <w:rFonts w:hint="eastAsia" w:eastAsia="宋体"/>
                                  <w:lang w:val="en-US" w:eastAsia="zh-CN"/>
                                </w:rPr>
                                <w:t>废包装材料</w:t>
                              </w:r>
                            </w:p>
                          </w:txbxContent>
                        </v:textbox>
                      </v:shape>
                      <v:line id="直线 653" o:spid="_x0000_s1026" o:spt="20" style="position:absolute;left:1794510;top:1397000;height:0;width:495300;" filled="f" stroked="t" coordsize="21600,21600" o:gfxdata="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HkDdrWAAAABQEAAA8AAAAAAAAAAQAgAAAAIgAAAGRycy9kb3ducmV2&#10;LnhtbFBLAQIUABQAAAAIAIdO4kDnplh9/gEAAO4DAAAOAAAAAAAAAAEAIAAAACUBAABkcnMvZTJv&#10;RG9jLnhtbFBLBQYAAAAABgAGAFkBAACVBQAAAAA=&#10;">
                        <v:fill on="f" focussize="0,0"/>
                        <v:stroke color="#000000" joinstyle="round" endarrow="block"/>
                        <v:imagedata o:title=""/>
                        <o:lock v:ext="edit" aspectratio="f"/>
                      </v:line>
                      <v:shape id="文本框 16" o:spid="_x0000_s1026" o:spt="202" type="#_x0000_t202" style="position:absolute;left:871220;top:1224915;height:313055;width:920750;" filled="f" stroked="f" coordsize="21600,21600" o:gfxdata="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HBL&#10;6QfUAAAABQEAAA8AAAAAAAAAAQAgAAAAIgAAAGRycy9kb3ducmV2LnhtbFBLAQIUABQAAAAIAIdO&#10;4kA3AGTDJwIAADAEAAAOAAAAAAAAAAEAIAAAACMBAABkcnMvZTJvRG9jLnhtbFBLBQYAAAAABgAG&#10;AFkBAAC8BQAAAAA=&#10;">
                        <v:fill on="f" focussize="0,0"/>
                        <v:stroke on="f"/>
                        <v:imagedata o:title=""/>
                        <o:lock v:ext="edit" aspectratio="f"/>
                        <v:textbox>
                          <w:txbxContent>
                            <w:p w14:paraId="15587BF6">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水性油墨</w:t>
                              </w:r>
                            </w:p>
                          </w:txbxContent>
                        </v:textbox>
                      </v:shape>
                      <v:line id="直线 655" o:spid="_x0000_s1026" o:spt="20" style="position:absolute;left:3189605;top:1957705;height:0;width:495300;" filled="f" stroked="t" coordsize="21600,21600" o:gfxdata="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bzP/7XAAAABQEAAA8AAAAAAAAAAQAgAAAAIgAAAGRycy9kb3du&#10;cmV2LnhtbFBLAQIUABQAAAAIAIdO4kC/UheEAAIAAO0DAAAOAAAAAAAAAAEAIAAAACYBAABkcnMv&#10;ZTJvRG9jLnhtbFBLBQYAAAAABgAGAFkBAACYBQAAAAA=&#10;">
                        <v:fill on="f" focussize="0,0"/>
                        <v:stroke color="#000000" joinstyle="round" dashstyle="dash" endarrow="block"/>
                        <v:imagedata o:title=""/>
                        <o:lock v:ext="edit" aspectratio="f"/>
                      </v:line>
                      <v:shape id="文本框 34" o:spid="_x0000_s1026" o:spt="202" type="#_x0000_t202" style="position:absolute;left:3684905;top:1830705;height:279399;width:1219200;" filled="f" stroked="t" coordsize="21600,21600" o:gfxdata="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k&#10;BlNd1wAAAAUBAAAPAAAAAAAAAAEAIAAAACIAAABkcnMvZG93bnJldi54bWxQSwECFAAUAAAACACH&#10;TuJA4WxCHiUCAABABAAADgAAAAAAAAABACAAAAAmAQAAZHJzL2Uyb0RvYy54bWxQSwUGAAAAAAYA&#10;BgBZAQAAvQUAAAAA&#10;">
                        <v:fill on="f" focussize="0,0"/>
                        <v:stroke color="#000000" joinstyle="miter" dashstyle="dash"/>
                        <v:imagedata o:title=""/>
                        <o:lock v:ext="edit" aspectratio="f"/>
                        <v:textbox>
                          <w:txbxContent>
                            <w:p w14:paraId="3438F896">
                              <w:pPr>
                                <w:jc w:val="center"/>
                                <w:rPr>
                                  <w:rFonts w:hint="default" w:eastAsia="宋体"/>
                                  <w:lang w:val="en-US" w:eastAsia="zh-CN"/>
                                </w:rPr>
                              </w:pPr>
                              <w:r>
                                <w:rPr>
                                  <w:rFonts w:hint="eastAsia" w:eastAsia="宋体"/>
                                  <w:lang w:val="en-US" w:eastAsia="zh-CN"/>
                                </w:rPr>
                                <w:t>纸板边角料、噪声</w:t>
                              </w:r>
                            </w:p>
                          </w:txbxContent>
                        </v:textbox>
                      </v:shape>
                      <v:line id="直线 680" o:spid="_x0000_s1026" o:spt="20" style="position:absolute;left:1800860;top:3102610;height:0;width:495300;" filled="f" stroked="t" coordsize="21600,21600" o:gfxdata="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HkDdrWAAAABQEAAA8AAAAAAAAAAQAgAAAAIgAAAGRycy9kb3ducmV2&#10;LnhtbFBLAQIUABQAAAAIAIdO4kCkIQWL/gEAAO4DAAAOAAAAAAAAAAEAIAAAACUBAABkcnMvZTJv&#10;RG9jLnhtbFBLBQYAAAAABgAGAFkBAACVBQAAAAA=&#10;">
                        <v:fill on="f" focussize="0,0"/>
                        <v:stroke color="#000000" joinstyle="round" endarrow="block"/>
                        <v:imagedata o:title=""/>
                        <o:lock v:ext="edit" aspectratio="f"/>
                      </v:line>
                      <v:shape id="文本框 16" o:spid="_x0000_s1026" o:spt="202" type="#_x0000_t202" style="position:absolute;left:964565;top:2963545;height:306070;width:828040;" filled="f" stroked="f" coordsize="21600,21600" o:gfxdata="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cEvpB9QAAAAFAQAADwAAAAAAAAABACAAAAAiAAAAZHJzL2Rvd25yZXYueG1sUEsBAhQAFAAAAAgA&#10;h07iQOHFkPspAgAAMAQAAA4AAAAAAAAAAQAgAAAAIwEAAGRycy9lMm9Eb2MueG1sUEsFBgAAAAAG&#10;AAYAWQEAAL4FAAAAAA==&#10;">
                        <v:fill on="f" focussize="0,0"/>
                        <v:stroke on="f"/>
                        <v:imagedata o:title=""/>
                        <o:lock v:ext="edit" aspectratio="f"/>
                        <v:textbox>
                          <w:txbxContent>
                            <w:p w14:paraId="20FA2993">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包装材料</w:t>
                              </w:r>
                            </w:p>
                          </w:txbxContent>
                        </v:textbox>
                      </v:shape>
                      <w10:wrap type="none"/>
                      <w10:anchorlock/>
                    </v:group>
                  </w:pict>
                </mc:Fallback>
              </mc:AlternateContent>
            </w:r>
          </w:p>
          <w:p w14:paraId="741DDC77">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kern w:val="0"/>
                <w:sz w:val="21"/>
                <w:szCs w:val="21"/>
                <w:highlight w:val="none"/>
              </w:rPr>
              <w:t>图2-</w:t>
            </w:r>
            <w:r>
              <w:rPr>
                <w:rFonts w:hint="default" w:ascii="Times New Roman" w:hAnsi="Times New Roman" w:eastAsia="宋体" w:cs="Times New Roman"/>
                <w:b/>
                <w:bCs/>
                <w:color w:val="auto"/>
                <w:kern w:val="0"/>
                <w:sz w:val="21"/>
                <w:szCs w:val="21"/>
                <w:highlight w:val="none"/>
                <w:lang w:val="en-US" w:eastAsia="zh-CN"/>
              </w:rPr>
              <w:t>3 包装纸箱生产</w:t>
            </w:r>
            <w:r>
              <w:rPr>
                <w:rFonts w:hint="default" w:ascii="Times New Roman" w:hAnsi="Times New Roman" w:eastAsia="宋体" w:cs="Times New Roman"/>
                <w:b/>
                <w:bCs/>
                <w:color w:val="auto"/>
                <w:kern w:val="0"/>
                <w:sz w:val="21"/>
                <w:szCs w:val="21"/>
                <w:highlight w:val="none"/>
              </w:rPr>
              <w:t>工艺流程及产污环节示意图</w:t>
            </w:r>
          </w:p>
          <w:p w14:paraId="463DF40F">
            <w:pPr>
              <w:keepNext w:val="0"/>
              <w:keepLines w:val="0"/>
              <w:suppressLineNumbers w:val="0"/>
              <w:adjustRightInd w:val="0"/>
              <w:snapToGrid w:val="0"/>
              <w:spacing w:before="0" w:beforeAutospacing="0" w:after="0" w:afterAutospacing="0" w:line="360" w:lineRule="auto"/>
              <w:ind w:left="0" w:right="0" w:firstLine="422" w:firstLineChars="200"/>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rPr>
              <w:t>工艺流程</w:t>
            </w:r>
            <w:r>
              <w:rPr>
                <w:rFonts w:hint="default" w:ascii="Times New Roman" w:hAnsi="Times New Roman" w:eastAsia="宋体" w:cs="Times New Roman"/>
                <w:b/>
                <w:bCs/>
                <w:color w:val="auto"/>
                <w:sz w:val="21"/>
                <w:szCs w:val="21"/>
                <w:highlight w:val="none"/>
                <w:lang w:val="en-US" w:eastAsia="zh-CN"/>
              </w:rPr>
              <w:t>说明</w:t>
            </w:r>
          </w:p>
          <w:p w14:paraId="54F49ED9">
            <w:pPr>
              <w:pStyle w:val="155"/>
              <w:keepNext w:val="0"/>
              <w:keepLines w:val="0"/>
              <w:numPr>
                <w:ilvl w:val="0"/>
                <w:numId w:val="0"/>
              </w:numPr>
              <w:suppressLineNumbers w:val="0"/>
              <w:spacing w:before="0" w:beforeLines="0" w:beforeAutospacing="0" w:after="0" w:afterLines="0" w:afterAutospacing="0"/>
              <w:ind w:left="0" w:right="0" w:firstLine="422" w:firstLineChars="20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分切：</w:t>
            </w:r>
            <w:r>
              <w:rPr>
                <w:rFonts w:hint="default" w:ascii="Times New Roman" w:hAnsi="Times New Roman" w:eastAsia="宋体" w:cs="Times New Roman"/>
                <w:color w:val="auto"/>
                <w:sz w:val="21"/>
                <w:szCs w:val="21"/>
                <w:highlight w:val="none"/>
                <w:lang w:val="en-US" w:eastAsia="zh-CN"/>
              </w:rPr>
              <w:t>外购纸板（原纸）根据产品尺寸的要求，使用分纸机进行分切，该过程会产生纸板边角料和噪声。</w:t>
            </w:r>
          </w:p>
          <w:p w14:paraId="4AAB2C79">
            <w:pPr>
              <w:pStyle w:val="155"/>
              <w:keepNext w:val="0"/>
              <w:keepLines w:val="0"/>
              <w:numPr>
                <w:ilvl w:val="0"/>
                <w:numId w:val="0"/>
              </w:numPr>
              <w:suppressLineNumbers w:val="0"/>
              <w:spacing w:before="0" w:beforeLines="0" w:beforeAutospacing="0" w:after="0" w:afterLines="0" w:afterAutospacing="0"/>
              <w:ind w:left="0" w:right="0" w:firstLine="422" w:firstLineChars="20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印刷：</w:t>
            </w:r>
            <w:r>
              <w:rPr>
                <w:rFonts w:hint="default" w:ascii="Times New Roman" w:hAnsi="Times New Roman" w:eastAsia="宋体" w:cs="Times New Roman"/>
                <w:color w:val="auto"/>
                <w:sz w:val="21"/>
                <w:szCs w:val="21"/>
                <w:highlight w:val="none"/>
                <w:lang w:val="en-US" w:eastAsia="zh-CN"/>
              </w:rPr>
              <w:t>把产品所需的图案通过印刷机印在产品上。项目使用的印刷机</w:t>
            </w:r>
            <w:r>
              <w:rPr>
                <w:rFonts w:hint="eastAsia" w:ascii="Times New Roman" w:hAnsi="Times New Roman" w:cs="Times New Roman"/>
                <w:color w:val="auto"/>
                <w:sz w:val="21"/>
                <w:szCs w:val="21"/>
                <w:highlight w:val="none"/>
                <w:lang w:val="en-US" w:eastAsia="zh-CN"/>
              </w:rPr>
              <w:t>滚筒</w:t>
            </w:r>
            <w:r>
              <w:rPr>
                <w:rFonts w:hint="default" w:ascii="Times New Roman" w:hAnsi="Times New Roman" w:eastAsia="宋体" w:cs="Times New Roman"/>
                <w:color w:val="auto"/>
                <w:sz w:val="21"/>
                <w:szCs w:val="21"/>
                <w:highlight w:val="none"/>
                <w:lang w:val="en-US" w:eastAsia="zh-CN"/>
              </w:rPr>
              <w:t>把水性油墨印在产品上，该工序会产生非甲烷总烃、废空桶（水性油墨）和噪声。印刷设备需使用普通自来水定期进行清洗，会产生少量的清洗废水，产生的清洗废水经收集后交由有危险废物处理资质公司回收处理，不外排。</w:t>
            </w:r>
          </w:p>
          <w:p w14:paraId="72F49306">
            <w:pPr>
              <w:pStyle w:val="155"/>
              <w:keepNext w:val="0"/>
              <w:keepLines w:val="0"/>
              <w:numPr>
                <w:ilvl w:val="0"/>
                <w:numId w:val="0"/>
              </w:numPr>
              <w:suppressLineNumbers w:val="0"/>
              <w:spacing w:before="0" w:beforeLines="0" w:beforeAutospacing="0" w:after="0" w:afterLines="0" w:afterAutospacing="0"/>
              <w:ind w:left="0" w:right="0" w:firstLine="422" w:firstLineChars="20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开槽/啤模：</w:t>
            </w:r>
            <w:r>
              <w:rPr>
                <w:rFonts w:hint="default" w:ascii="Times New Roman" w:hAnsi="Times New Roman" w:eastAsia="宋体" w:cs="Times New Roman"/>
                <w:color w:val="auto"/>
                <w:sz w:val="21"/>
                <w:szCs w:val="21"/>
                <w:highlight w:val="none"/>
                <w:lang w:val="en-US" w:eastAsia="zh-CN"/>
              </w:rPr>
              <w:t>根据产品要求把印刷好的纸板使用切角机切出凹槽或者使用啤机压出凹槽，该工序会产生纸板边角料和噪声。</w:t>
            </w:r>
          </w:p>
          <w:p w14:paraId="65820B98">
            <w:pPr>
              <w:pStyle w:val="155"/>
              <w:keepNext w:val="0"/>
              <w:keepLines w:val="0"/>
              <w:numPr>
                <w:ilvl w:val="0"/>
                <w:numId w:val="0"/>
              </w:numPr>
              <w:suppressLineNumbers w:val="0"/>
              <w:spacing w:before="0" w:beforeLines="0" w:beforeAutospacing="0" w:after="0" w:afterLines="0" w:afterAutospacing="0"/>
              <w:ind w:left="0" w:right="0" w:firstLine="422" w:firstLineChars="20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钉合：</w:t>
            </w:r>
            <w:r>
              <w:rPr>
                <w:rFonts w:hint="default" w:ascii="Times New Roman" w:hAnsi="Times New Roman" w:eastAsia="宋体" w:cs="Times New Roman"/>
                <w:color w:val="auto"/>
                <w:sz w:val="21"/>
                <w:szCs w:val="21"/>
                <w:highlight w:val="none"/>
                <w:lang w:val="en-US" w:eastAsia="zh-CN"/>
              </w:rPr>
              <w:t>根据客户要求将有凹槽的纸板通过钉箱机使用钉线进行钉合处理，该工序会产生噪声。</w:t>
            </w:r>
          </w:p>
          <w:p w14:paraId="29CA96B0">
            <w:pPr>
              <w:pStyle w:val="155"/>
              <w:keepNext w:val="0"/>
              <w:keepLines w:val="0"/>
              <w:numPr>
                <w:ilvl w:val="0"/>
                <w:numId w:val="0"/>
              </w:numPr>
              <w:suppressLineNumbers w:val="0"/>
              <w:spacing w:before="0" w:beforeLines="0" w:beforeAutospacing="0" w:after="0" w:afterLines="0" w:afterAutospacing="0"/>
              <w:ind w:left="0" w:right="0" w:firstLine="422" w:firstLineChars="20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包装出货：</w:t>
            </w:r>
            <w:r>
              <w:rPr>
                <w:rFonts w:hint="default" w:ascii="Times New Roman" w:hAnsi="Times New Roman" w:eastAsia="宋体" w:cs="Times New Roman"/>
                <w:color w:val="auto"/>
                <w:sz w:val="21"/>
                <w:szCs w:val="21"/>
                <w:highlight w:val="none"/>
                <w:lang w:val="en-US" w:eastAsia="zh-CN"/>
              </w:rPr>
              <w:t>加工后的成品由人工使用包装材料进行包装后出货，此工序会产生废包装材料。</w:t>
            </w:r>
          </w:p>
          <w:p w14:paraId="23917953">
            <w:pPr>
              <w:pStyle w:val="155"/>
              <w:keepNext w:val="0"/>
              <w:keepLines w:val="0"/>
              <w:numPr>
                <w:ilvl w:val="0"/>
                <w:numId w:val="0"/>
              </w:numPr>
              <w:suppressLineNumbers w:val="0"/>
              <w:spacing w:before="0" w:beforeLines="0" w:beforeAutospacing="0" w:after="0" w:afterLines="0" w:afterAutospacing="0" w:line="240" w:lineRule="auto"/>
              <w:ind w:left="0" w:right="0" w:firstLine="420" w:firstLineChars="20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说明：1、项目使用的水性油墨为水性材料，印刷生产设备需使用自来水进行清洗，会产生少量清洗废水；项目生产设备清洁和维修的过程中会产生少量含水性油墨和机油的废抹布和手套，产生的清洗废水和含水性油墨和机油的废抹布和手套经收集后交由有危险废物处理资质公司回收处理，不外排。</w:t>
            </w:r>
          </w:p>
          <w:p w14:paraId="774AD5F3">
            <w:pPr>
              <w:pStyle w:val="7"/>
              <w:keepNext/>
              <w:keepLines/>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22" w:firstLineChars="20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二、项目主要污染物</w:t>
            </w:r>
            <w:r>
              <w:rPr>
                <w:rFonts w:hint="default" w:ascii="Times New Roman" w:hAnsi="Times New Roman" w:eastAsia="宋体" w:cs="Times New Roman"/>
                <w:color w:val="auto"/>
                <w:sz w:val="21"/>
                <w:szCs w:val="21"/>
                <w:highlight w:val="none"/>
              </w:rPr>
              <w:t>产污环节</w:t>
            </w:r>
            <w:r>
              <w:rPr>
                <w:rFonts w:hint="default" w:ascii="Times New Roman" w:hAnsi="Times New Roman" w:eastAsia="宋体" w:cs="Times New Roman"/>
                <w:color w:val="auto"/>
                <w:sz w:val="21"/>
                <w:szCs w:val="21"/>
                <w:highlight w:val="none"/>
                <w:lang w:val="en-US" w:eastAsia="zh-CN"/>
              </w:rPr>
              <w:t>及污染因子</w:t>
            </w:r>
          </w:p>
          <w:p w14:paraId="3DB7A5D4">
            <w:pPr>
              <w:keepNext w:val="0"/>
              <w:keepLines w:val="0"/>
              <w:widowControl/>
              <w:numPr>
                <w:ilvl w:val="0"/>
                <w:numId w:val="4"/>
              </w:numPr>
              <w:suppressLineNumbers w:val="0"/>
              <w:spacing w:before="0" w:beforeAutospacing="0" w:after="0" w:afterAutospacing="0" w:line="360" w:lineRule="auto"/>
              <w:ind w:left="842" w:right="0" w:hanging="42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项目产污环节汇总表</w:t>
            </w:r>
          </w:p>
          <w:tbl>
            <w:tblPr>
              <w:tblStyle w:val="41"/>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7"/>
              <w:gridCol w:w="738"/>
              <w:gridCol w:w="1119"/>
              <w:gridCol w:w="1646"/>
              <w:gridCol w:w="1425"/>
              <w:gridCol w:w="1115"/>
              <w:gridCol w:w="2132"/>
            </w:tblGrid>
            <w:tr w14:paraId="6876F55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97" w:type="pct"/>
                  <w:gridSpan w:val="2"/>
                  <w:tcBorders>
                    <w:tl2br w:val="nil"/>
                    <w:tr2bl w:val="nil"/>
                  </w:tcBorders>
                  <w:noWrap w:val="0"/>
                  <w:vAlign w:val="center"/>
                </w:tcPr>
                <w:p w14:paraId="3559C6E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类别</w:t>
                  </w:r>
                </w:p>
              </w:tc>
              <w:tc>
                <w:tcPr>
                  <w:tcW w:w="647" w:type="pct"/>
                  <w:tcBorders>
                    <w:tl2br w:val="nil"/>
                    <w:tr2bl w:val="nil"/>
                  </w:tcBorders>
                  <w:noWrap w:val="0"/>
                  <w:vAlign w:val="center"/>
                </w:tcPr>
                <w:p w14:paraId="32C4F59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eastAsia" w:cs="Times New Roman"/>
                      <w:b/>
                      <w:bCs/>
                      <w:color w:val="auto"/>
                      <w:sz w:val="21"/>
                      <w:szCs w:val="21"/>
                      <w:highlight w:val="none"/>
                      <w:lang w:val="en-US" w:eastAsia="zh-CN"/>
                    </w:rPr>
                    <w:t>产污</w:t>
                  </w:r>
                  <w:r>
                    <w:rPr>
                      <w:rFonts w:hint="default" w:ascii="Times New Roman" w:hAnsi="Times New Roman" w:eastAsia="宋体" w:cs="Times New Roman"/>
                      <w:b/>
                      <w:bCs/>
                      <w:color w:val="auto"/>
                      <w:sz w:val="21"/>
                      <w:szCs w:val="21"/>
                      <w:highlight w:val="none"/>
                    </w:rPr>
                    <w:t>工序</w:t>
                  </w:r>
                </w:p>
              </w:tc>
              <w:tc>
                <w:tcPr>
                  <w:tcW w:w="952" w:type="pct"/>
                  <w:tcBorders>
                    <w:tl2br w:val="nil"/>
                    <w:tr2bl w:val="nil"/>
                  </w:tcBorders>
                  <w:noWrap w:val="0"/>
                  <w:vAlign w:val="center"/>
                </w:tcPr>
                <w:p w14:paraId="078CF64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污染物类型</w:t>
                  </w:r>
                </w:p>
              </w:tc>
              <w:tc>
                <w:tcPr>
                  <w:tcW w:w="824" w:type="pct"/>
                  <w:tcBorders>
                    <w:tl2br w:val="nil"/>
                    <w:tr2bl w:val="nil"/>
                  </w:tcBorders>
                  <w:noWrap w:val="0"/>
                  <w:vAlign w:val="center"/>
                </w:tcPr>
                <w:p w14:paraId="2C82C29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污染因子</w:t>
                  </w:r>
                </w:p>
              </w:tc>
              <w:tc>
                <w:tcPr>
                  <w:tcW w:w="645" w:type="pct"/>
                  <w:tcBorders>
                    <w:tl2br w:val="nil"/>
                    <w:tr2bl w:val="nil"/>
                  </w:tcBorders>
                  <w:noWrap w:val="0"/>
                  <w:vAlign w:val="center"/>
                </w:tcPr>
                <w:p w14:paraId="1CFE65B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产污位置</w:t>
                  </w:r>
                </w:p>
              </w:tc>
              <w:tc>
                <w:tcPr>
                  <w:tcW w:w="1232" w:type="pct"/>
                  <w:tcBorders>
                    <w:tl2br w:val="nil"/>
                    <w:tr2bl w:val="nil"/>
                  </w:tcBorders>
                  <w:noWrap w:val="0"/>
                  <w:vAlign w:val="center"/>
                </w:tcPr>
                <w:p w14:paraId="2FC20D7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排放去向</w:t>
                  </w:r>
                </w:p>
              </w:tc>
            </w:tr>
            <w:tr w14:paraId="4C109A1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70" w:type="pct"/>
                  <w:vMerge w:val="restart"/>
                  <w:tcBorders>
                    <w:tl2br w:val="nil"/>
                    <w:tr2bl w:val="nil"/>
                  </w:tcBorders>
                  <w:noWrap w:val="0"/>
                  <w:vAlign w:val="center"/>
                </w:tcPr>
                <w:p w14:paraId="70EC5CC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废气</w:t>
                  </w:r>
                </w:p>
              </w:tc>
              <w:tc>
                <w:tcPr>
                  <w:tcW w:w="426" w:type="pct"/>
                  <w:vMerge w:val="restart"/>
                  <w:tcBorders>
                    <w:tl2br w:val="nil"/>
                    <w:tr2bl w:val="nil"/>
                  </w:tcBorders>
                  <w:noWrap w:val="0"/>
                  <w:vAlign w:val="center"/>
                </w:tcPr>
                <w:p w14:paraId="3334E91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生产废气</w:t>
                  </w:r>
                </w:p>
              </w:tc>
              <w:tc>
                <w:tcPr>
                  <w:tcW w:w="647" w:type="pct"/>
                  <w:tcBorders>
                    <w:tl2br w:val="nil"/>
                    <w:tr2bl w:val="nil"/>
                  </w:tcBorders>
                  <w:noWrap w:val="0"/>
                  <w:vAlign w:val="center"/>
                </w:tcPr>
                <w:p w14:paraId="4082909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吸塑工序</w:t>
                  </w:r>
                </w:p>
              </w:tc>
              <w:tc>
                <w:tcPr>
                  <w:tcW w:w="952" w:type="pct"/>
                  <w:tcBorders>
                    <w:tl2br w:val="nil"/>
                    <w:tr2bl w:val="nil"/>
                  </w:tcBorders>
                  <w:noWrap w:val="0"/>
                  <w:vAlign w:val="center"/>
                </w:tcPr>
                <w:p w14:paraId="4D96B36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有机</w:t>
                  </w:r>
                  <w:r>
                    <w:rPr>
                      <w:rFonts w:hint="default" w:ascii="Times New Roman" w:hAnsi="Times New Roman" w:eastAsia="宋体" w:cs="Times New Roman"/>
                      <w:color w:val="auto"/>
                      <w:sz w:val="21"/>
                      <w:szCs w:val="21"/>
                      <w:highlight w:val="none"/>
                    </w:rPr>
                    <w:t>废气</w:t>
                  </w:r>
                </w:p>
              </w:tc>
              <w:tc>
                <w:tcPr>
                  <w:tcW w:w="824" w:type="pct"/>
                  <w:tcBorders>
                    <w:tl2br w:val="nil"/>
                    <w:tr2bl w:val="nil"/>
                  </w:tcBorders>
                  <w:noWrap w:val="0"/>
                  <w:vAlign w:val="center"/>
                </w:tcPr>
                <w:p w14:paraId="47AE2DE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非甲烷总烃</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臭气浓度</w:t>
                  </w:r>
                </w:p>
              </w:tc>
              <w:tc>
                <w:tcPr>
                  <w:tcW w:w="645" w:type="pct"/>
                  <w:vMerge w:val="restart"/>
                  <w:tcBorders>
                    <w:tl2br w:val="nil"/>
                    <w:tr2bl w:val="nil"/>
                  </w:tcBorders>
                  <w:noWrap w:val="0"/>
                  <w:vAlign w:val="center"/>
                </w:tcPr>
                <w:p w14:paraId="57D1404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5F</w:t>
                  </w:r>
                </w:p>
              </w:tc>
              <w:tc>
                <w:tcPr>
                  <w:tcW w:w="1232" w:type="pct"/>
                  <w:vMerge w:val="restart"/>
                  <w:tcBorders>
                    <w:tl2br w:val="nil"/>
                    <w:tr2bl w:val="nil"/>
                  </w:tcBorders>
                  <w:noWrap w:val="0"/>
                  <w:vAlign w:val="center"/>
                </w:tcPr>
                <w:p w14:paraId="28BC550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经收集后引</w:t>
                  </w:r>
                  <w:r>
                    <w:rPr>
                      <w:rFonts w:hint="eastAsia" w:ascii="宋体" w:hAnsi="宋体" w:eastAsia="宋体" w:cs="宋体"/>
                      <w:color w:val="auto"/>
                      <w:sz w:val="21"/>
                      <w:szCs w:val="21"/>
                      <w:highlight w:val="none"/>
                    </w:rPr>
                    <w:t>至“</w:t>
                  </w:r>
                  <w:r>
                    <w:rPr>
                      <w:rFonts w:hint="eastAsia" w:ascii="宋体" w:hAnsi="宋体" w:cs="宋体"/>
                      <w:color w:val="auto"/>
                      <w:sz w:val="21"/>
                      <w:szCs w:val="21"/>
                      <w:highlight w:val="none"/>
                      <w:lang w:val="en-US" w:eastAsia="zh-CN"/>
                    </w:rPr>
                    <w:t>空气冷却器+</w:t>
                  </w:r>
                  <w:r>
                    <w:rPr>
                      <w:rFonts w:hint="eastAsia" w:ascii="宋体" w:hAnsi="宋体" w:eastAsia="宋体" w:cs="宋体"/>
                      <w:color w:val="auto"/>
                      <w:sz w:val="21"/>
                      <w:szCs w:val="21"/>
                      <w:highlight w:val="none"/>
                      <w:lang w:val="en-US" w:eastAsia="zh-CN"/>
                    </w:rPr>
                    <w:t>两级活性炭吸附</w:t>
                  </w:r>
                  <w:r>
                    <w:rPr>
                      <w:rFonts w:hint="eastAsia" w:ascii="宋体" w:hAnsi="宋体" w:eastAsia="宋体" w:cs="宋体"/>
                      <w:color w:val="auto"/>
                      <w:sz w:val="21"/>
                      <w:szCs w:val="21"/>
                      <w:highlight w:val="none"/>
                    </w:rPr>
                    <w:t>”装置</w:t>
                  </w:r>
                  <w:r>
                    <w:rPr>
                      <w:rFonts w:hint="default" w:ascii="Times New Roman" w:hAnsi="Times New Roman" w:eastAsia="宋体" w:cs="Times New Roman"/>
                      <w:color w:val="auto"/>
                      <w:sz w:val="21"/>
                      <w:szCs w:val="21"/>
                      <w:highlight w:val="none"/>
                    </w:rPr>
                    <w:t>处理后经</w:t>
                  </w:r>
                  <w:r>
                    <w:rPr>
                      <w:rFonts w:hint="eastAsia" w:ascii="Times New Roman" w:hAnsi="Times New Roman" w:cs="Times New Roman"/>
                      <w:color w:val="auto"/>
                      <w:sz w:val="21"/>
                      <w:szCs w:val="21"/>
                      <w:highlight w:val="none"/>
                      <w:lang w:val="en-US" w:eastAsia="zh-CN"/>
                    </w:rPr>
                    <w:t>46</w:t>
                  </w:r>
                  <w:r>
                    <w:rPr>
                      <w:rFonts w:hint="default" w:ascii="Times New Roman" w:hAnsi="Times New Roman" w:eastAsia="宋体" w:cs="Times New Roman"/>
                      <w:color w:val="auto"/>
                      <w:sz w:val="21"/>
                      <w:szCs w:val="21"/>
                      <w:highlight w:val="none"/>
                    </w:rPr>
                    <w:t>m排气筒DA0</w:t>
                  </w:r>
                  <w:r>
                    <w:rPr>
                      <w:rFonts w:hint="default" w:ascii="Times New Roman" w:hAnsi="Times New Roman" w:eastAsia="宋体" w:cs="Times New Roman"/>
                      <w:color w:val="auto"/>
                      <w:sz w:val="21"/>
                      <w:szCs w:val="21"/>
                      <w:highlight w:val="none"/>
                      <w:lang w:val="en-US" w:eastAsia="zh-CN"/>
                    </w:rPr>
                    <w:t>0</w:t>
                  </w:r>
                  <w:r>
                    <w:rPr>
                      <w:rFonts w:hint="eastAsia" w:ascii="Times New Roman" w:hAnsi="Times New Roman"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排放</w:t>
                  </w:r>
                </w:p>
              </w:tc>
            </w:tr>
            <w:tr w14:paraId="4467CDB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70" w:type="pct"/>
                  <w:vMerge w:val="continue"/>
                  <w:tcBorders>
                    <w:tl2br w:val="nil"/>
                    <w:tr2bl w:val="nil"/>
                  </w:tcBorders>
                  <w:noWrap w:val="0"/>
                  <w:vAlign w:val="center"/>
                </w:tcPr>
                <w:p w14:paraId="3A934CC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26" w:type="pct"/>
                  <w:vMerge w:val="continue"/>
                  <w:tcBorders>
                    <w:tl2br w:val="nil"/>
                    <w:tr2bl w:val="nil"/>
                  </w:tcBorders>
                  <w:noWrap w:val="0"/>
                  <w:vAlign w:val="center"/>
                </w:tcPr>
                <w:p w14:paraId="3091344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647" w:type="pct"/>
                  <w:tcBorders>
                    <w:tl2br w:val="nil"/>
                    <w:tr2bl w:val="nil"/>
                  </w:tcBorders>
                  <w:noWrap w:val="0"/>
                  <w:vAlign w:val="center"/>
                </w:tcPr>
                <w:p w14:paraId="5419BEE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印刷工序</w:t>
                  </w:r>
                </w:p>
              </w:tc>
              <w:tc>
                <w:tcPr>
                  <w:tcW w:w="952" w:type="pct"/>
                  <w:tcBorders>
                    <w:tl2br w:val="nil"/>
                    <w:tr2bl w:val="nil"/>
                  </w:tcBorders>
                  <w:noWrap w:val="0"/>
                  <w:vAlign w:val="center"/>
                </w:tcPr>
                <w:p w14:paraId="365E611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有机</w:t>
                  </w:r>
                  <w:r>
                    <w:rPr>
                      <w:rFonts w:hint="default" w:ascii="Times New Roman" w:hAnsi="Times New Roman" w:eastAsia="宋体" w:cs="Times New Roman"/>
                      <w:color w:val="auto"/>
                      <w:sz w:val="21"/>
                      <w:szCs w:val="21"/>
                      <w:highlight w:val="none"/>
                    </w:rPr>
                    <w:t>废气</w:t>
                  </w:r>
                </w:p>
              </w:tc>
              <w:tc>
                <w:tcPr>
                  <w:tcW w:w="824" w:type="pct"/>
                  <w:tcBorders>
                    <w:tl2br w:val="nil"/>
                    <w:tr2bl w:val="nil"/>
                  </w:tcBorders>
                  <w:noWrap w:val="0"/>
                  <w:vAlign w:val="center"/>
                </w:tcPr>
                <w:p w14:paraId="677F16E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非甲烷总烃、</w:t>
                  </w:r>
                  <w:r>
                    <w:rPr>
                      <w:rFonts w:hint="eastAsia" w:cs="Times New Roman"/>
                      <w:color w:val="auto"/>
                      <w:sz w:val="21"/>
                      <w:szCs w:val="21"/>
                      <w:highlight w:val="none"/>
                      <w:lang w:val="en-US" w:eastAsia="zh-CN"/>
                    </w:rPr>
                    <w:t>总VOCs</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TVOC</w:t>
                  </w:r>
                </w:p>
              </w:tc>
              <w:tc>
                <w:tcPr>
                  <w:tcW w:w="645" w:type="pct"/>
                  <w:vMerge w:val="continue"/>
                  <w:tcBorders>
                    <w:tl2br w:val="nil"/>
                    <w:tr2bl w:val="nil"/>
                  </w:tcBorders>
                  <w:noWrap w:val="0"/>
                  <w:vAlign w:val="center"/>
                </w:tcPr>
                <w:p w14:paraId="5F47098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232" w:type="pct"/>
                  <w:vMerge w:val="continue"/>
                  <w:tcBorders>
                    <w:tl2br w:val="nil"/>
                    <w:tr2bl w:val="nil"/>
                  </w:tcBorders>
                  <w:noWrap w:val="0"/>
                  <w:vAlign w:val="center"/>
                </w:tcPr>
                <w:p w14:paraId="3B704AE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r>
            <w:tr w14:paraId="2FE2E46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70" w:type="pct"/>
                  <w:tcBorders>
                    <w:tl2br w:val="nil"/>
                    <w:tr2bl w:val="nil"/>
                  </w:tcBorders>
                  <w:noWrap w:val="0"/>
                  <w:vAlign w:val="center"/>
                </w:tcPr>
                <w:p w14:paraId="71C0014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废水</w:t>
                  </w:r>
                </w:p>
              </w:tc>
              <w:tc>
                <w:tcPr>
                  <w:tcW w:w="426" w:type="pct"/>
                  <w:tcBorders>
                    <w:tl2br w:val="nil"/>
                    <w:tr2bl w:val="nil"/>
                  </w:tcBorders>
                  <w:noWrap w:val="0"/>
                  <w:vAlign w:val="center"/>
                </w:tcPr>
                <w:p w14:paraId="769ED97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生活污水</w:t>
                  </w:r>
                </w:p>
              </w:tc>
              <w:tc>
                <w:tcPr>
                  <w:tcW w:w="647" w:type="pct"/>
                  <w:tcBorders>
                    <w:tl2br w:val="nil"/>
                    <w:tr2bl w:val="nil"/>
                  </w:tcBorders>
                  <w:noWrap w:val="0"/>
                  <w:vAlign w:val="center"/>
                </w:tcPr>
                <w:p w14:paraId="271FAC3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员工生活</w:t>
                  </w:r>
                </w:p>
              </w:tc>
              <w:tc>
                <w:tcPr>
                  <w:tcW w:w="952" w:type="pct"/>
                  <w:tcBorders>
                    <w:tl2br w:val="nil"/>
                    <w:tr2bl w:val="nil"/>
                  </w:tcBorders>
                  <w:noWrap w:val="0"/>
                  <w:vAlign w:val="center"/>
                </w:tcPr>
                <w:p w14:paraId="26E9CDD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生活污水</w:t>
                  </w:r>
                </w:p>
              </w:tc>
              <w:tc>
                <w:tcPr>
                  <w:tcW w:w="824" w:type="pct"/>
                  <w:tcBorders>
                    <w:tl2br w:val="nil"/>
                    <w:tr2bl w:val="nil"/>
                  </w:tcBorders>
                  <w:noWrap w:val="0"/>
                  <w:vAlign w:val="center"/>
                </w:tcPr>
                <w:p w14:paraId="48903E1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COD</w:t>
                  </w:r>
                  <w:r>
                    <w:rPr>
                      <w:rFonts w:hint="default" w:ascii="Times New Roman" w:hAnsi="Times New Roman" w:eastAsia="宋体" w:cs="Times New Roman"/>
                      <w:color w:val="auto"/>
                      <w:sz w:val="21"/>
                      <w:szCs w:val="21"/>
                      <w:highlight w:val="none"/>
                      <w:vertAlign w:val="subscript"/>
                    </w:rPr>
                    <w:t>Cr</w:t>
                  </w:r>
                  <w:r>
                    <w:rPr>
                      <w:rFonts w:hint="default" w:ascii="Times New Roman" w:hAnsi="Times New Roman" w:eastAsia="宋体" w:cs="Times New Roman"/>
                      <w:color w:val="auto"/>
                      <w:sz w:val="21"/>
                      <w:szCs w:val="21"/>
                      <w:highlight w:val="none"/>
                    </w:rPr>
                    <w:t>、BOD</w:t>
                  </w:r>
                  <w:r>
                    <w:rPr>
                      <w:rFonts w:hint="default" w:ascii="Times New Roman" w:hAnsi="Times New Roman" w:eastAsia="宋体" w:cs="Times New Roman"/>
                      <w:color w:val="auto"/>
                      <w:sz w:val="21"/>
                      <w:szCs w:val="21"/>
                      <w:highlight w:val="none"/>
                      <w:vertAlign w:val="subscript"/>
                    </w:rPr>
                    <w:t>5</w:t>
                  </w:r>
                  <w:r>
                    <w:rPr>
                      <w:rFonts w:hint="default" w:ascii="Times New Roman" w:hAnsi="Times New Roman" w:eastAsia="宋体" w:cs="Times New Roman"/>
                      <w:color w:val="auto"/>
                      <w:sz w:val="21"/>
                      <w:szCs w:val="21"/>
                      <w:highlight w:val="none"/>
                    </w:rPr>
                    <w:t>、SS、氨氮</w:t>
                  </w:r>
                </w:p>
              </w:tc>
              <w:tc>
                <w:tcPr>
                  <w:tcW w:w="645" w:type="pct"/>
                  <w:tcBorders>
                    <w:tl2br w:val="nil"/>
                    <w:tr2bl w:val="nil"/>
                  </w:tcBorders>
                  <w:noWrap w:val="0"/>
                  <w:vAlign w:val="center"/>
                </w:tcPr>
                <w:p w14:paraId="6AAFACE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232" w:type="pct"/>
                  <w:tcBorders>
                    <w:tl2br w:val="nil"/>
                    <w:tr2bl w:val="nil"/>
                  </w:tcBorders>
                  <w:noWrap w:val="0"/>
                  <w:vAlign w:val="center"/>
                </w:tcPr>
                <w:p w14:paraId="7CF4A2A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经三级化粪池预处理后排至污水管网</w:t>
                  </w:r>
                </w:p>
              </w:tc>
            </w:tr>
            <w:tr w14:paraId="243EA60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70" w:type="pct"/>
                  <w:vMerge w:val="restart"/>
                  <w:tcBorders>
                    <w:tl2br w:val="nil"/>
                    <w:tr2bl w:val="nil"/>
                  </w:tcBorders>
                  <w:noWrap w:val="0"/>
                  <w:vAlign w:val="center"/>
                </w:tcPr>
                <w:p w14:paraId="7DFFA77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固体废物</w:t>
                  </w:r>
                </w:p>
              </w:tc>
              <w:tc>
                <w:tcPr>
                  <w:tcW w:w="426" w:type="pct"/>
                  <w:tcBorders>
                    <w:tl2br w:val="nil"/>
                    <w:tr2bl w:val="nil"/>
                  </w:tcBorders>
                  <w:noWrap w:val="0"/>
                  <w:vAlign w:val="center"/>
                </w:tcPr>
                <w:p w14:paraId="15411FC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生活垃圾</w:t>
                  </w:r>
                </w:p>
              </w:tc>
              <w:tc>
                <w:tcPr>
                  <w:tcW w:w="647" w:type="pct"/>
                  <w:tcBorders>
                    <w:tl2br w:val="nil"/>
                    <w:tr2bl w:val="nil"/>
                  </w:tcBorders>
                  <w:noWrap w:val="0"/>
                  <w:vAlign w:val="center"/>
                </w:tcPr>
                <w:p w14:paraId="4E02FA8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员工生活</w:t>
                  </w:r>
                </w:p>
              </w:tc>
              <w:tc>
                <w:tcPr>
                  <w:tcW w:w="952" w:type="pct"/>
                  <w:tcBorders>
                    <w:tl2br w:val="nil"/>
                    <w:tr2bl w:val="nil"/>
                  </w:tcBorders>
                  <w:noWrap w:val="0"/>
                  <w:vAlign w:val="center"/>
                </w:tcPr>
                <w:p w14:paraId="1ED1EEF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生活垃圾</w:t>
                  </w:r>
                </w:p>
              </w:tc>
              <w:tc>
                <w:tcPr>
                  <w:tcW w:w="824" w:type="pct"/>
                  <w:tcBorders>
                    <w:tl2br w:val="nil"/>
                    <w:tr2bl w:val="nil"/>
                  </w:tcBorders>
                  <w:noWrap w:val="0"/>
                  <w:vAlign w:val="center"/>
                </w:tcPr>
                <w:p w14:paraId="0F1681FB">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645" w:type="pct"/>
                  <w:tcBorders>
                    <w:tl2br w:val="nil"/>
                    <w:tr2bl w:val="nil"/>
                  </w:tcBorders>
                  <w:noWrap w:val="0"/>
                  <w:vAlign w:val="center"/>
                </w:tcPr>
                <w:p w14:paraId="0F08DF6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w:t>
                  </w:r>
                </w:p>
              </w:tc>
              <w:tc>
                <w:tcPr>
                  <w:tcW w:w="1232" w:type="pct"/>
                  <w:tcBorders>
                    <w:tl2br w:val="nil"/>
                    <w:tr2bl w:val="nil"/>
                  </w:tcBorders>
                  <w:noWrap w:val="0"/>
                  <w:vAlign w:val="center"/>
                </w:tcPr>
                <w:p w14:paraId="132E248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交由环卫部门集中处理</w:t>
                  </w:r>
                </w:p>
              </w:tc>
            </w:tr>
            <w:tr w14:paraId="665874E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70" w:type="pct"/>
                  <w:vMerge w:val="continue"/>
                  <w:tcBorders>
                    <w:tl2br w:val="nil"/>
                    <w:tr2bl w:val="nil"/>
                  </w:tcBorders>
                  <w:noWrap w:val="0"/>
                  <w:vAlign w:val="center"/>
                </w:tcPr>
                <w:p w14:paraId="61B5C71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26" w:type="pct"/>
                  <w:vMerge w:val="restart"/>
                  <w:tcBorders>
                    <w:tl2br w:val="nil"/>
                    <w:tr2bl w:val="nil"/>
                  </w:tcBorders>
                  <w:noWrap w:val="0"/>
                  <w:vAlign w:val="center"/>
                </w:tcPr>
                <w:p w14:paraId="6C0D32A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一般固体废物</w:t>
                  </w:r>
                </w:p>
              </w:tc>
              <w:tc>
                <w:tcPr>
                  <w:tcW w:w="647" w:type="pct"/>
                  <w:tcBorders>
                    <w:tl2br w:val="nil"/>
                    <w:tr2bl w:val="nil"/>
                  </w:tcBorders>
                  <w:noWrap w:val="0"/>
                  <w:vAlign w:val="center"/>
                </w:tcPr>
                <w:p w14:paraId="534E439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冲压、质检</w:t>
                  </w:r>
                </w:p>
              </w:tc>
              <w:tc>
                <w:tcPr>
                  <w:tcW w:w="952" w:type="pct"/>
                  <w:tcBorders>
                    <w:tl2br w:val="nil"/>
                    <w:tr2bl w:val="nil"/>
                  </w:tcBorders>
                  <w:noWrap w:val="0"/>
                  <w:vAlign w:val="center"/>
                </w:tcPr>
                <w:p w14:paraId="2D569C3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塑料边角料、</w:t>
                  </w:r>
                  <w:r>
                    <w:rPr>
                      <w:rFonts w:hint="default" w:ascii="Times New Roman" w:hAnsi="Times New Roman" w:eastAsia="宋体" w:cs="Times New Roman"/>
                      <w:color w:val="auto"/>
                      <w:sz w:val="21"/>
                      <w:szCs w:val="21"/>
                      <w:highlight w:val="none"/>
                    </w:rPr>
                    <w:t>废</w:t>
                  </w:r>
                  <w:r>
                    <w:rPr>
                      <w:rFonts w:hint="eastAsia" w:ascii="Times New Roman" w:hAnsi="Times New Roman" w:cs="Times New Roman"/>
                      <w:color w:val="auto"/>
                      <w:sz w:val="21"/>
                      <w:szCs w:val="21"/>
                      <w:highlight w:val="none"/>
                      <w:lang w:val="en-US" w:eastAsia="zh-CN"/>
                    </w:rPr>
                    <w:t>塑料制品</w:t>
                  </w:r>
                </w:p>
              </w:tc>
              <w:tc>
                <w:tcPr>
                  <w:tcW w:w="824" w:type="pct"/>
                  <w:tcBorders>
                    <w:tl2br w:val="nil"/>
                    <w:tr2bl w:val="nil"/>
                  </w:tcBorders>
                  <w:noWrap w:val="0"/>
                  <w:vAlign w:val="center"/>
                </w:tcPr>
                <w:p w14:paraId="08AA386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w:t>
                  </w:r>
                </w:p>
              </w:tc>
              <w:tc>
                <w:tcPr>
                  <w:tcW w:w="645" w:type="pct"/>
                  <w:tcBorders>
                    <w:tl2br w:val="nil"/>
                    <w:tr2bl w:val="nil"/>
                  </w:tcBorders>
                  <w:noWrap w:val="0"/>
                  <w:vAlign w:val="center"/>
                </w:tcPr>
                <w:p w14:paraId="38D77D8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w:t>
                  </w:r>
                </w:p>
              </w:tc>
              <w:tc>
                <w:tcPr>
                  <w:tcW w:w="1232" w:type="pct"/>
                  <w:vMerge w:val="restart"/>
                  <w:tcBorders>
                    <w:tl2br w:val="nil"/>
                    <w:tr2bl w:val="nil"/>
                  </w:tcBorders>
                  <w:noWrap w:val="0"/>
                  <w:vAlign w:val="center"/>
                </w:tcPr>
                <w:p w14:paraId="4B39507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交专业回收公司处理</w:t>
                  </w:r>
                </w:p>
              </w:tc>
            </w:tr>
            <w:tr w14:paraId="3A815BA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70" w:type="pct"/>
                  <w:vMerge w:val="continue"/>
                  <w:tcBorders>
                    <w:tl2br w:val="nil"/>
                    <w:tr2bl w:val="nil"/>
                  </w:tcBorders>
                  <w:noWrap w:val="0"/>
                  <w:vAlign w:val="center"/>
                </w:tcPr>
                <w:p w14:paraId="7711E10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26" w:type="pct"/>
                  <w:vMerge w:val="continue"/>
                  <w:tcBorders>
                    <w:tl2br w:val="nil"/>
                    <w:tr2bl w:val="nil"/>
                  </w:tcBorders>
                  <w:noWrap w:val="0"/>
                  <w:vAlign w:val="center"/>
                </w:tcPr>
                <w:p w14:paraId="0B7EC5F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647" w:type="pct"/>
                  <w:tcBorders>
                    <w:tl2br w:val="nil"/>
                    <w:tr2bl w:val="nil"/>
                  </w:tcBorders>
                  <w:noWrap w:val="0"/>
                  <w:vAlign w:val="center"/>
                </w:tcPr>
                <w:p w14:paraId="6076210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分切、开槽/啤模</w:t>
                  </w:r>
                </w:p>
              </w:tc>
              <w:tc>
                <w:tcPr>
                  <w:tcW w:w="952" w:type="pct"/>
                  <w:tcBorders>
                    <w:tl2br w:val="nil"/>
                    <w:tr2bl w:val="nil"/>
                  </w:tcBorders>
                  <w:noWrap w:val="0"/>
                  <w:vAlign w:val="center"/>
                </w:tcPr>
                <w:p w14:paraId="2596A16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纸板边角料</w:t>
                  </w:r>
                </w:p>
              </w:tc>
              <w:tc>
                <w:tcPr>
                  <w:tcW w:w="824" w:type="pct"/>
                  <w:tcBorders>
                    <w:tl2br w:val="nil"/>
                    <w:tr2bl w:val="nil"/>
                  </w:tcBorders>
                  <w:noWrap w:val="0"/>
                  <w:vAlign w:val="center"/>
                </w:tcPr>
                <w:p w14:paraId="544A81C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w:t>
                  </w:r>
                </w:p>
              </w:tc>
              <w:tc>
                <w:tcPr>
                  <w:tcW w:w="645" w:type="pct"/>
                  <w:tcBorders>
                    <w:tl2br w:val="nil"/>
                    <w:tr2bl w:val="nil"/>
                  </w:tcBorders>
                  <w:noWrap w:val="0"/>
                  <w:vAlign w:val="center"/>
                </w:tcPr>
                <w:p w14:paraId="0335ECA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w:t>
                  </w:r>
                </w:p>
              </w:tc>
              <w:tc>
                <w:tcPr>
                  <w:tcW w:w="1232" w:type="pct"/>
                  <w:vMerge w:val="continue"/>
                  <w:tcBorders>
                    <w:tl2br w:val="nil"/>
                    <w:tr2bl w:val="nil"/>
                  </w:tcBorders>
                  <w:noWrap w:val="0"/>
                  <w:vAlign w:val="center"/>
                </w:tcPr>
                <w:p w14:paraId="7CB83573">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 w:val="21"/>
                      <w:szCs w:val="21"/>
                      <w:highlight w:val="none"/>
                    </w:rPr>
                  </w:pPr>
                </w:p>
              </w:tc>
            </w:tr>
            <w:tr w14:paraId="1ABA016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70" w:type="pct"/>
                  <w:vMerge w:val="continue"/>
                  <w:tcBorders>
                    <w:tl2br w:val="nil"/>
                    <w:tr2bl w:val="nil"/>
                  </w:tcBorders>
                  <w:noWrap w:val="0"/>
                  <w:vAlign w:val="center"/>
                </w:tcPr>
                <w:p w14:paraId="0551809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26" w:type="pct"/>
                  <w:vMerge w:val="continue"/>
                  <w:tcBorders>
                    <w:tl2br w:val="nil"/>
                    <w:tr2bl w:val="nil"/>
                  </w:tcBorders>
                  <w:noWrap w:val="0"/>
                  <w:vAlign w:val="center"/>
                </w:tcPr>
                <w:p w14:paraId="447B2B0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647" w:type="pct"/>
                  <w:tcBorders>
                    <w:tl2br w:val="nil"/>
                    <w:tr2bl w:val="nil"/>
                  </w:tcBorders>
                  <w:noWrap w:val="0"/>
                  <w:vAlign w:val="center"/>
                </w:tcPr>
                <w:p w14:paraId="21712BE3">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吸塑</w:t>
                  </w:r>
                </w:p>
              </w:tc>
              <w:tc>
                <w:tcPr>
                  <w:tcW w:w="952" w:type="pct"/>
                  <w:tcBorders>
                    <w:tl2br w:val="nil"/>
                    <w:tr2bl w:val="nil"/>
                  </w:tcBorders>
                  <w:noWrap w:val="0"/>
                  <w:vAlign w:val="center"/>
                </w:tcPr>
                <w:p w14:paraId="7A8D8C97">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废模具</w:t>
                  </w:r>
                </w:p>
              </w:tc>
              <w:tc>
                <w:tcPr>
                  <w:tcW w:w="824" w:type="pct"/>
                  <w:tcBorders>
                    <w:tl2br w:val="nil"/>
                    <w:tr2bl w:val="nil"/>
                  </w:tcBorders>
                  <w:noWrap w:val="0"/>
                  <w:vAlign w:val="center"/>
                </w:tcPr>
                <w:p w14:paraId="5B29C506">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645" w:type="pct"/>
                  <w:tcBorders>
                    <w:tl2br w:val="nil"/>
                    <w:tr2bl w:val="nil"/>
                  </w:tcBorders>
                  <w:noWrap w:val="0"/>
                  <w:vAlign w:val="center"/>
                </w:tcPr>
                <w:p w14:paraId="508FA5E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232" w:type="pct"/>
                  <w:vMerge w:val="continue"/>
                  <w:tcBorders>
                    <w:tl2br w:val="nil"/>
                    <w:tr2bl w:val="nil"/>
                  </w:tcBorders>
                  <w:noWrap w:val="0"/>
                  <w:vAlign w:val="center"/>
                </w:tcPr>
                <w:p w14:paraId="46844E0F">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 w:val="21"/>
                      <w:szCs w:val="21"/>
                      <w:highlight w:val="none"/>
                    </w:rPr>
                  </w:pPr>
                </w:p>
              </w:tc>
            </w:tr>
            <w:tr w14:paraId="5B803D5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70" w:type="pct"/>
                  <w:vMerge w:val="continue"/>
                  <w:tcBorders>
                    <w:tl2br w:val="nil"/>
                    <w:tr2bl w:val="nil"/>
                  </w:tcBorders>
                  <w:noWrap w:val="0"/>
                  <w:vAlign w:val="center"/>
                </w:tcPr>
                <w:p w14:paraId="4EDC059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26" w:type="pct"/>
                  <w:vMerge w:val="continue"/>
                  <w:tcBorders>
                    <w:tl2br w:val="nil"/>
                    <w:tr2bl w:val="nil"/>
                  </w:tcBorders>
                  <w:noWrap w:val="0"/>
                  <w:vAlign w:val="center"/>
                </w:tcPr>
                <w:p w14:paraId="360C08D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647" w:type="pct"/>
                  <w:tcBorders>
                    <w:tl2br w:val="nil"/>
                    <w:tr2bl w:val="nil"/>
                  </w:tcBorders>
                  <w:noWrap w:val="0"/>
                  <w:vAlign w:val="center"/>
                </w:tcPr>
                <w:p w14:paraId="6B16991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包装出货</w:t>
                  </w:r>
                </w:p>
              </w:tc>
              <w:tc>
                <w:tcPr>
                  <w:tcW w:w="952" w:type="pct"/>
                  <w:tcBorders>
                    <w:tl2br w:val="nil"/>
                    <w:tr2bl w:val="nil"/>
                  </w:tcBorders>
                  <w:noWrap w:val="0"/>
                  <w:vAlign w:val="center"/>
                </w:tcPr>
                <w:p w14:paraId="7E11EEF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废包装材料</w:t>
                  </w:r>
                </w:p>
              </w:tc>
              <w:tc>
                <w:tcPr>
                  <w:tcW w:w="824" w:type="pct"/>
                  <w:tcBorders>
                    <w:tl2br w:val="nil"/>
                    <w:tr2bl w:val="nil"/>
                  </w:tcBorders>
                  <w:noWrap w:val="0"/>
                  <w:vAlign w:val="center"/>
                </w:tcPr>
                <w:p w14:paraId="5DC2653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w:t>
                  </w:r>
                </w:p>
              </w:tc>
              <w:tc>
                <w:tcPr>
                  <w:tcW w:w="645" w:type="pct"/>
                  <w:tcBorders>
                    <w:tl2br w:val="nil"/>
                    <w:tr2bl w:val="nil"/>
                  </w:tcBorders>
                  <w:noWrap w:val="0"/>
                  <w:vAlign w:val="center"/>
                </w:tcPr>
                <w:p w14:paraId="53DBD3F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w:t>
                  </w:r>
                </w:p>
              </w:tc>
              <w:tc>
                <w:tcPr>
                  <w:tcW w:w="1232" w:type="pct"/>
                  <w:vMerge w:val="continue"/>
                  <w:tcBorders>
                    <w:tl2br w:val="nil"/>
                    <w:tr2bl w:val="nil"/>
                  </w:tcBorders>
                  <w:noWrap w:val="0"/>
                  <w:vAlign w:val="center"/>
                </w:tcPr>
                <w:p w14:paraId="17F7E266">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auto"/>
                      <w:sz w:val="21"/>
                      <w:szCs w:val="21"/>
                      <w:highlight w:val="none"/>
                    </w:rPr>
                  </w:pPr>
                </w:p>
              </w:tc>
            </w:tr>
            <w:tr w14:paraId="5844DE0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70" w:type="pct"/>
                  <w:vMerge w:val="continue"/>
                  <w:tcBorders>
                    <w:tl2br w:val="nil"/>
                    <w:tr2bl w:val="nil"/>
                  </w:tcBorders>
                  <w:noWrap w:val="0"/>
                  <w:vAlign w:val="center"/>
                </w:tcPr>
                <w:p w14:paraId="67525D6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26" w:type="pct"/>
                  <w:vMerge w:val="restart"/>
                  <w:tcBorders>
                    <w:tl2br w:val="nil"/>
                    <w:tr2bl w:val="nil"/>
                  </w:tcBorders>
                  <w:noWrap w:val="0"/>
                  <w:vAlign w:val="center"/>
                </w:tcPr>
                <w:p w14:paraId="131A559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危险废</w:t>
                  </w:r>
                  <w:r>
                    <w:rPr>
                      <w:rFonts w:hint="default" w:ascii="Times New Roman" w:hAnsi="Times New Roman" w:eastAsia="宋体" w:cs="Times New Roman"/>
                      <w:color w:val="auto"/>
                      <w:sz w:val="21"/>
                      <w:szCs w:val="21"/>
                      <w:highlight w:val="none"/>
                    </w:rPr>
                    <w:cr/>
                  </w:r>
                  <w:r>
                    <w:rPr>
                      <w:rStyle w:val="49"/>
                      <w:rFonts w:hint="default" w:ascii="Times New Roman" w:hAnsi="Times New Roman" w:eastAsia="宋体" w:cs="Times New Roman"/>
                      <w:color w:val="auto"/>
                      <w:kern w:val="0"/>
                      <w:sz w:val="21"/>
                      <w:szCs w:val="21"/>
                      <w:highlight w:val="none"/>
                    </w:rPr>
                    <w:t>物</w:t>
                  </w:r>
                </w:p>
              </w:tc>
              <w:tc>
                <w:tcPr>
                  <w:tcW w:w="647" w:type="pct"/>
                  <w:tcBorders>
                    <w:tl2br w:val="nil"/>
                    <w:tr2bl w:val="nil"/>
                  </w:tcBorders>
                  <w:noWrap w:val="0"/>
                  <w:vAlign w:val="center"/>
                </w:tcPr>
                <w:p w14:paraId="088923F0">
                  <w:pPr>
                    <w:keepNext w:val="0"/>
                    <w:keepLines w:val="0"/>
                    <w:widowControl/>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清洗</w:t>
                  </w:r>
                </w:p>
              </w:tc>
              <w:tc>
                <w:tcPr>
                  <w:tcW w:w="952" w:type="pct"/>
                  <w:tcBorders>
                    <w:tl2br w:val="nil"/>
                    <w:tr2bl w:val="nil"/>
                  </w:tcBorders>
                  <w:noWrap w:val="0"/>
                  <w:vAlign w:val="center"/>
                </w:tcPr>
                <w:p w14:paraId="65460A53">
                  <w:pPr>
                    <w:keepNext w:val="0"/>
                    <w:keepLines w:val="0"/>
                    <w:suppressLineNumbers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清洗废水</w:t>
                  </w:r>
                </w:p>
              </w:tc>
              <w:tc>
                <w:tcPr>
                  <w:tcW w:w="824" w:type="pct"/>
                  <w:tcBorders>
                    <w:tl2br w:val="nil"/>
                    <w:tr2bl w:val="nil"/>
                  </w:tcBorders>
                  <w:noWrap w:val="0"/>
                  <w:vAlign w:val="center"/>
                </w:tcPr>
                <w:p w14:paraId="02CEC37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w:t>
                  </w:r>
                </w:p>
              </w:tc>
              <w:tc>
                <w:tcPr>
                  <w:tcW w:w="645" w:type="pct"/>
                  <w:tcBorders>
                    <w:tl2br w:val="nil"/>
                    <w:tr2bl w:val="nil"/>
                  </w:tcBorders>
                  <w:noWrap w:val="0"/>
                  <w:vAlign w:val="center"/>
                </w:tcPr>
                <w:p w14:paraId="4279630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w:t>
                  </w:r>
                </w:p>
              </w:tc>
              <w:tc>
                <w:tcPr>
                  <w:tcW w:w="1232" w:type="pct"/>
                  <w:vMerge w:val="restart"/>
                  <w:tcBorders>
                    <w:tl2br w:val="nil"/>
                    <w:tr2bl w:val="nil"/>
                  </w:tcBorders>
                  <w:noWrap w:val="0"/>
                  <w:vAlign w:val="center"/>
                </w:tcPr>
                <w:p w14:paraId="1472B13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Cs/>
                      <w:color w:val="auto"/>
                      <w:sz w:val="21"/>
                      <w:szCs w:val="21"/>
                      <w:highlight w:val="none"/>
                    </w:rPr>
                    <w:t>交</w:t>
                  </w:r>
                  <w:r>
                    <w:rPr>
                      <w:rFonts w:hint="default" w:ascii="Times New Roman" w:hAnsi="Times New Roman" w:eastAsia="宋体" w:cs="Times New Roman"/>
                      <w:color w:val="auto"/>
                      <w:sz w:val="21"/>
                      <w:szCs w:val="21"/>
                      <w:highlight w:val="none"/>
                    </w:rPr>
                    <w:t>由具</w:t>
                  </w:r>
                  <w:r>
                    <w:rPr>
                      <w:rFonts w:hint="default" w:ascii="Times New Roman" w:hAnsi="Times New Roman" w:eastAsia="宋体" w:cs="Times New Roman"/>
                      <w:bCs/>
                      <w:color w:val="auto"/>
                      <w:sz w:val="21"/>
                      <w:szCs w:val="21"/>
                      <w:highlight w:val="none"/>
                    </w:rPr>
                    <w:t>有危险废物处理资质单位处理</w:t>
                  </w:r>
                </w:p>
              </w:tc>
            </w:tr>
            <w:tr w14:paraId="731ECFD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70" w:type="pct"/>
                  <w:vMerge w:val="continue"/>
                  <w:tcBorders>
                    <w:tl2br w:val="nil"/>
                    <w:tr2bl w:val="nil"/>
                  </w:tcBorders>
                  <w:noWrap w:val="0"/>
                  <w:vAlign w:val="center"/>
                </w:tcPr>
                <w:p w14:paraId="0C56A2B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26" w:type="pct"/>
                  <w:vMerge w:val="continue"/>
                  <w:tcBorders>
                    <w:tl2br w:val="nil"/>
                    <w:tr2bl w:val="nil"/>
                  </w:tcBorders>
                  <w:noWrap w:val="0"/>
                  <w:vAlign w:val="center"/>
                </w:tcPr>
                <w:p w14:paraId="211D0F6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647" w:type="pct"/>
                  <w:tcBorders>
                    <w:tl2br w:val="nil"/>
                    <w:tr2bl w:val="nil"/>
                  </w:tcBorders>
                  <w:noWrap w:val="0"/>
                  <w:vAlign w:val="center"/>
                </w:tcPr>
                <w:p w14:paraId="6C460877">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cs="Times New Roman"/>
                      <w:color w:val="auto"/>
                      <w:kern w:val="0"/>
                      <w:sz w:val="21"/>
                      <w:szCs w:val="21"/>
                      <w:highlight w:val="none"/>
                      <w:lang w:val="en-US" w:eastAsia="zh-CN"/>
                    </w:rPr>
                    <w:t>冷却</w:t>
                  </w:r>
                </w:p>
              </w:tc>
              <w:tc>
                <w:tcPr>
                  <w:tcW w:w="952" w:type="pct"/>
                  <w:tcBorders>
                    <w:tl2br w:val="nil"/>
                    <w:tr2bl w:val="nil"/>
                  </w:tcBorders>
                  <w:noWrap w:val="0"/>
                  <w:vAlign w:val="center"/>
                </w:tcPr>
                <w:p w14:paraId="2C2777A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冷却废水</w:t>
                  </w:r>
                </w:p>
              </w:tc>
              <w:tc>
                <w:tcPr>
                  <w:tcW w:w="824" w:type="pct"/>
                  <w:tcBorders>
                    <w:tl2br w:val="nil"/>
                    <w:tr2bl w:val="nil"/>
                  </w:tcBorders>
                  <w:noWrap w:val="0"/>
                  <w:vAlign w:val="center"/>
                </w:tcPr>
                <w:p w14:paraId="207B7C4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w:t>
                  </w:r>
                </w:p>
              </w:tc>
              <w:tc>
                <w:tcPr>
                  <w:tcW w:w="645" w:type="pct"/>
                  <w:tcBorders>
                    <w:tl2br w:val="nil"/>
                    <w:tr2bl w:val="nil"/>
                  </w:tcBorders>
                  <w:noWrap w:val="0"/>
                  <w:vAlign w:val="center"/>
                </w:tcPr>
                <w:p w14:paraId="37A917E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w:t>
                  </w:r>
                </w:p>
              </w:tc>
              <w:tc>
                <w:tcPr>
                  <w:tcW w:w="1232" w:type="pct"/>
                  <w:vMerge w:val="continue"/>
                  <w:tcBorders>
                    <w:tl2br w:val="nil"/>
                    <w:tr2bl w:val="nil"/>
                  </w:tcBorders>
                  <w:noWrap w:val="0"/>
                  <w:vAlign w:val="center"/>
                </w:tcPr>
                <w:p w14:paraId="4D525C4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r>
            <w:tr w14:paraId="1777A03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70" w:type="pct"/>
                  <w:vMerge w:val="continue"/>
                  <w:tcBorders>
                    <w:tl2br w:val="nil"/>
                    <w:tr2bl w:val="nil"/>
                  </w:tcBorders>
                  <w:noWrap w:val="0"/>
                  <w:vAlign w:val="center"/>
                </w:tcPr>
                <w:p w14:paraId="4E393D5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26" w:type="pct"/>
                  <w:vMerge w:val="continue"/>
                  <w:tcBorders>
                    <w:tl2br w:val="nil"/>
                    <w:tr2bl w:val="nil"/>
                  </w:tcBorders>
                  <w:noWrap w:val="0"/>
                  <w:vAlign w:val="center"/>
                </w:tcPr>
                <w:p w14:paraId="7B06671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647" w:type="pct"/>
                  <w:tcBorders>
                    <w:tl2br w:val="nil"/>
                    <w:tr2bl w:val="nil"/>
                  </w:tcBorders>
                  <w:noWrap w:val="0"/>
                  <w:vAlign w:val="center"/>
                </w:tcPr>
                <w:p w14:paraId="29927EC6">
                  <w:pPr>
                    <w:keepNext w:val="0"/>
                    <w:keepLines w:val="0"/>
                    <w:widowControl/>
                    <w:suppressLineNumbers w:val="0"/>
                    <w:adjustRightInd w:val="0"/>
                    <w:snapToGrid w:val="0"/>
                    <w:spacing w:before="0" w:beforeAutospacing="0" w:after="0" w:afterAutospacing="0"/>
                    <w:ind w:left="-105" w:leftChars="-50" w:right="-105" w:rightChars="-5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印刷</w:t>
                  </w:r>
                </w:p>
              </w:tc>
              <w:tc>
                <w:tcPr>
                  <w:tcW w:w="952" w:type="pct"/>
                  <w:tcBorders>
                    <w:tl2br w:val="nil"/>
                    <w:tr2bl w:val="nil"/>
                  </w:tcBorders>
                  <w:noWrap w:val="0"/>
                  <w:vAlign w:val="center"/>
                </w:tcPr>
                <w:p w14:paraId="6C55B41E">
                  <w:pPr>
                    <w:keepNext w:val="0"/>
                    <w:keepLines w:val="0"/>
                    <w:suppressLineNumbers w:val="0"/>
                    <w:snapToGrid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废</w:t>
                  </w:r>
                  <w:r>
                    <w:rPr>
                      <w:rFonts w:hint="eastAsia" w:cs="Times New Roman"/>
                      <w:color w:val="auto"/>
                      <w:sz w:val="21"/>
                      <w:szCs w:val="21"/>
                      <w:highlight w:val="none"/>
                      <w:lang w:val="en-US" w:eastAsia="zh-CN"/>
                    </w:rPr>
                    <w:t>油墨桶</w:t>
                  </w:r>
                </w:p>
              </w:tc>
              <w:tc>
                <w:tcPr>
                  <w:tcW w:w="824" w:type="pct"/>
                  <w:tcBorders>
                    <w:tl2br w:val="nil"/>
                    <w:tr2bl w:val="nil"/>
                  </w:tcBorders>
                  <w:noWrap w:val="0"/>
                  <w:vAlign w:val="center"/>
                </w:tcPr>
                <w:p w14:paraId="259F4B0F">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645" w:type="pct"/>
                  <w:tcBorders>
                    <w:tl2br w:val="nil"/>
                    <w:tr2bl w:val="nil"/>
                  </w:tcBorders>
                  <w:noWrap w:val="0"/>
                  <w:vAlign w:val="center"/>
                </w:tcPr>
                <w:p w14:paraId="0752FC03">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1232" w:type="pct"/>
                  <w:vMerge w:val="continue"/>
                  <w:tcBorders>
                    <w:tl2br w:val="nil"/>
                    <w:tr2bl w:val="nil"/>
                  </w:tcBorders>
                  <w:noWrap w:val="0"/>
                  <w:vAlign w:val="center"/>
                </w:tcPr>
                <w:p w14:paraId="70080DB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r>
            <w:tr w14:paraId="214EB24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70" w:type="pct"/>
                  <w:vMerge w:val="continue"/>
                  <w:tcBorders>
                    <w:tl2br w:val="nil"/>
                    <w:tr2bl w:val="nil"/>
                  </w:tcBorders>
                  <w:noWrap w:val="0"/>
                  <w:vAlign w:val="center"/>
                </w:tcPr>
                <w:p w14:paraId="0E05838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26" w:type="pct"/>
                  <w:vMerge w:val="continue"/>
                  <w:tcBorders>
                    <w:tl2br w:val="nil"/>
                    <w:tr2bl w:val="nil"/>
                  </w:tcBorders>
                  <w:noWrap w:val="0"/>
                  <w:vAlign w:val="center"/>
                </w:tcPr>
                <w:p w14:paraId="5A63DE5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647" w:type="pct"/>
                  <w:vMerge w:val="restart"/>
                  <w:tcBorders>
                    <w:tl2br w:val="nil"/>
                    <w:tr2bl w:val="nil"/>
                  </w:tcBorders>
                  <w:noWrap w:val="0"/>
                  <w:vAlign w:val="center"/>
                </w:tcPr>
                <w:p w14:paraId="3B66EDB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kern w:val="0"/>
                      <w:sz w:val="21"/>
                      <w:szCs w:val="21"/>
                      <w:highlight w:val="none"/>
                      <w:lang w:val="en-US" w:eastAsia="zh-CN" w:bidi="ar-SA"/>
                    </w:rPr>
                    <w:t>设备保养和维护</w:t>
                  </w:r>
                </w:p>
              </w:tc>
              <w:tc>
                <w:tcPr>
                  <w:tcW w:w="952" w:type="pct"/>
                  <w:tcBorders>
                    <w:tl2br w:val="nil"/>
                    <w:tr2bl w:val="nil"/>
                  </w:tcBorders>
                  <w:noWrap w:val="0"/>
                  <w:vAlign w:val="center"/>
                </w:tcPr>
                <w:p w14:paraId="519DC07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0"/>
                      <w:sz w:val="21"/>
                      <w:szCs w:val="21"/>
                      <w:highlight w:val="none"/>
                    </w:rPr>
                    <w:t>废</w:t>
                  </w:r>
                  <w:r>
                    <w:rPr>
                      <w:rFonts w:hint="default" w:ascii="Times New Roman" w:hAnsi="Times New Roman" w:eastAsia="宋体" w:cs="Times New Roman"/>
                      <w:color w:val="auto"/>
                      <w:kern w:val="0"/>
                      <w:sz w:val="21"/>
                      <w:szCs w:val="21"/>
                      <w:highlight w:val="none"/>
                      <w:lang w:val="en-US" w:eastAsia="zh-CN"/>
                    </w:rPr>
                    <w:t>机</w:t>
                  </w:r>
                  <w:r>
                    <w:rPr>
                      <w:rFonts w:hint="default" w:ascii="Times New Roman" w:hAnsi="Times New Roman" w:eastAsia="宋体" w:cs="Times New Roman"/>
                      <w:color w:val="auto"/>
                      <w:kern w:val="0"/>
                      <w:sz w:val="21"/>
                      <w:szCs w:val="21"/>
                      <w:highlight w:val="none"/>
                    </w:rPr>
                    <w:t>油</w:t>
                  </w:r>
                </w:p>
              </w:tc>
              <w:tc>
                <w:tcPr>
                  <w:tcW w:w="824" w:type="pct"/>
                  <w:tcBorders>
                    <w:tl2br w:val="nil"/>
                    <w:tr2bl w:val="nil"/>
                  </w:tcBorders>
                  <w:noWrap w:val="0"/>
                  <w:vAlign w:val="center"/>
                </w:tcPr>
                <w:p w14:paraId="4A6116E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w:t>
                  </w:r>
                </w:p>
              </w:tc>
              <w:tc>
                <w:tcPr>
                  <w:tcW w:w="645" w:type="pct"/>
                  <w:tcBorders>
                    <w:tl2br w:val="nil"/>
                    <w:tr2bl w:val="nil"/>
                  </w:tcBorders>
                  <w:noWrap w:val="0"/>
                  <w:vAlign w:val="center"/>
                </w:tcPr>
                <w:p w14:paraId="6544C7B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w:t>
                  </w:r>
                </w:p>
              </w:tc>
              <w:tc>
                <w:tcPr>
                  <w:tcW w:w="1232" w:type="pct"/>
                  <w:vMerge w:val="continue"/>
                  <w:tcBorders>
                    <w:tl2br w:val="nil"/>
                    <w:tr2bl w:val="nil"/>
                  </w:tcBorders>
                  <w:noWrap w:val="0"/>
                  <w:vAlign w:val="center"/>
                </w:tcPr>
                <w:p w14:paraId="65C5C9A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r>
            <w:tr w14:paraId="711E9E9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70" w:type="pct"/>
                  <w:vMerge w:val="continue"/>
                  <w:tcBorders>
                    <w:tl2br w:val="nil"/>
                    <w:tr2bl w:val="nil"/>
                  </w:tcBorders>
                  <w:noWrap w:val="0"/>
                  <w:vAlign w:val="center"/>
                </w:tcPr>
                <w:p w14:paraId="4407BA3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26" w:type="pct"/>
                  <w:vMerge w:val="continue"/>
                  <w:tcBorders>
                    <w:tl2br w:val="nil"/>
                    <w:tr2bl w:val="nil"/>
                  </w:tcBorders>
                  <w:noWrap w:val="0"/>
                  <w:vAlign w:val="center"/>
                </w:tcPr>
                <w:p w14:paraId="1742826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647" w:type="pct"/>
                  <w:vMerge w:val="continue"/>
                  <w:tcBorders>
                    <w:tl2br w:val="nil"/>
                    <w:tr2bl w:val="nil"/>
                  </w:tcBorders>
                  <w:noWrap w:val="0"/>
                  <w:vAlign w:val="center"/>
                </w:tcPr>
                <w:p w14:paraId="216EAC12">
                  <w:pPr>
                    <w:keepNext w:val="0"/>
                    <w:keepLines w:val="0"/>
                    <w:widowControl/>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kern w:val="2"/>
                      <w:sz w:val="21"/>
                      <w:szCs w:val="21"/>
                      <w:highlight w:val="none"/>
                      <w:lang w:val="en-US" w:eastAsia="zh-CN" w:bidi="ar-SA"/>
                    </w:rPr>
                  </w:pPr>
                </w:p>
              </w:tc>
              <w:tc>
                <w:tcPr>
                  <w:tcW w:w="952" w:type="pct"/>
                  <w:tcBorders>
                    <w:tl2br w:val="nil"/>
                    <w:tr2bl w:val="nil"/>
                  </w:tcBorders>
                  <w:noWrap w:val="0"/>
                  <w:vAlign w:val="center"/>
                </w:tcPr>
                <w:p w14:paraId="43D90CF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废</w:t>
                  </w:r>
                  <w:r>
                    <w:rPr>
                      <w:rFonts w:hint="default" w:ascii="Times New Roman" w:hAnsi="Times New Roman" w:eastAsia="宋体" w:cs="Times New Roman"/>
                      <w:color w:val="auto"/>
                      <w:sz w:val="21"/>
                      <w:szCs w:val="21"/>
                      <w:highlight w:val="none"/>
                      <w:lang w:val="en-US" w:eastAsia="zh-CN"/>
                    </w:rPr>
                    <w:t>机</w:t>
                  </w:r>
                  <w:r>
                    <w:rPr>
                      <w:rFonts w:hint="default" w:ascii="Times New Roman" w:hAnsi="Times New Roman" w:eastAsia="宋体" w:cs="Times New Roman"/>
                      <w:color w:val="auto"/>
                      <w:kern w:val="0"/>
                      <w:sz w:val="21"/>
                      <w:szCs w:val="21"/>
                      <w:highlight w:val="none"/>
                    </w:rPr>
                    <w:t>油</w:t>
                  </w:r>
                  <w:r>
                    <w:rPr>
                      <w:rFonts w:hint="default" w:ascii="Times New Roman" w:hAnsi="Times New Roman" w:eastAsia="宋体" w:cs="Times New Roman"/>
                      <w:color w:val="auto"/>
                      <w:sz w:val="21"/>
                      <w:szCs w:val="21"/>
                      <w:highlight w:val="none"/>
                    </w:rPr>
                    <w:t>桶</w:t>
                  </w:r>
                </w:p>
              </w:tc>
              <w:tc>
                <w:tcPr>
                  <w:tcW w:w="824" w:type="pct"/>
                  <w:tcBorders>
                    <w:tl2br w:val="nil"/>
                    <w:tr2bl w:val="nil"/>
                  </w:tcBorders>
                  <w:noWrap w:val="0"/>
                  <w:vAlign w:val="center"/>
                </w:tcPr>
                <w:p w14:paraId="2976F1B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w:t>
                  </w:r>
                </w:p>
              </w:tc>
              <w:tc>
                <w:tcPr>
                  <w:tcW w:w="645" w:type="pct"/>
                  <w:tcBorders>
                    <w:tl2br w:val="nil"/>
                    <w:tr2bl w:val="nil"/>
                  </w:tcBorders>
                  <w:noWrap w:val="0"/>
                  <w:vAlign w:val="center"/>
                </w:tcPr>
                <w:p w14:paraId="409084C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w:t>
                  </w:r>
                </w:p>
              </w:tc>
              <w:tc>
                <w:tcPr>
                  <w:tcW w:w="1232" w:type="pct"/>
                  <w:vMerge w:val="continue"/>
                  <w:tcBorders>
                    <w:tl2br w:val="nil"/>
                    <w:tr2bl w:val="nil"/>
                  </w:tcBorders>
                  <w:noWrap w:val="0"/>
                  <w:vAlign w:val="center"/>
                </w:tcPr>
                <w:p w14:paraId="5C34B05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r>
            <w:tr w14:paraId="17CB46B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70" w:type="pct"/>
                  <w:vMerge w:val="continue"/>
                  <w:tcBorders>
                    <w:tl2br w:val="nil"/>
                    <w:tr2bl w:val="nil"/>
                  </w:tcBorders>
                  <w:noWrap w:val="0"/>
                  <w:vAlign w:val="center"/>
                </w:tcPr>
                <w:p w14:paraId="20EBCC1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26" w:type="pct"/>
                  <w:vMerge w:val="continue"/>
                  <w:tcBorders>
                    <w:tl2br w:val="nil"/>
                    <w:tr2bl w:val="nil"/>
                  </w:tcBorders>
                  <w:noWrap w:val="0"/>
                  <w:vAlign w:val="center"/>
                </w:tcPr>
                <w:p w14:paraId="665E07F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647" w:type="pct"/>
                  <w:vMerge w:val="continue"/>
                  <w:tcBorders>
                    <w:tl2br w:val="nil"/>
                    <w:tr2bl w:val="nil"/>
                  </w:tcBorders>
                  <w:noWrap w:val="0"/>
                  <w:vAlign w:val="center"/>
                </w:tcPr>
                <w:p w14:paraId="319AB94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rPr>
                  </w:pPr>
                </w:p>
              </w:tc>
              <w:tc>
                <w:tcPr>
                  <w:tcW w:w="952" w:type="pct"/>
                  <w:tcBorders>
                    <w:tl2br w:val="nil"/>
                    <w:tr2bl w:val="nil"/>
                  </w:tcBorders>
                  <w:noWrap w:val="0"/>
                  <w:vAlign w:val="center"/>
                </w:tcPr>
                <w:p w14:paraId="773122F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废手套、抹布</w:t>
                  </w:r>
                </w:p>
              </w:tc>
              <w:tc>
                <w:tcPr>
                  <w:tcW w:w="824" w:type="pct"/>
                  <w:tcBorders>
                    <w:tl2br w:val="nil"/>
                    <w:tr2bl w:val="nil"/>
                  </w:tcBorders>
                  <w:noWrap w:val="0"/>
                  <w:vAlign w:val="center"/>
                </w:tcPr>
                <w:p w14:paraId="69900C7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w:t>
                  </w:r>
                </w:p>
              </w:tc>
              <w:tc>
                <w:tcPr>
                  <w:tcW w:w="645" w:type="pct"/>
                  <w:tcBorders>
                    <w:tl2br w:val="nil"/>
                    <w:tr2bl w:val="nil"/>
                  </w:tcBorders>
                  <w:noWrap w:val="0"/>
                  <w:vAlign w:val="center"/>
                </w:tcPr>
                <w:p w14:paraId="087AAF1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w:t>
                  </w:r>
                </w:p>
              </w:tc>
              <w:tc>
                <w:tcPr>
                  <w:tcW w:w="1232" w:type="pct"/>
                  <w:vMerge w:val="continue"/>
                  <w:tcBorders>
                    <w:tl2br w:val="nil"/>
                    <w:tr2bl w:val="nil"/>
                  </w:tcBorders>
                  <w:noWrap w:val="0"/>
                  <w:vAlign w:val="center"/>
                </w:tcPr>
                <w:p w14:paraId="05CB35D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r>
            <w:tr w14:paraId="08C3773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70" w:type="pct"/>
                  <w:vMerge w:val="continue"/>
                  <w:tcBorders>
                    <w:tl2br w:val="nil"/>
                    <w:tr2bl w:val="nil"/>
                  </w:tcBorders>
                  <w:noWrap w:val="0"/>
                  <w:vAlign w:val="center"/>
                </w:tcPr>
                <w:p w14:paraId="64E8055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26" w:type="pct"/>
                  <w:vMerge w:val="continue"/>
                  <w:tcBorders>
                    <w:tl2br w:val="nil"/>
                    <w:tr2bl w:val="nil"/>
                  </w:tcBorders>
                  <w:noWrap w:val="0"/>
                  <w:vAlign w:val="center"/>
                </w:tcPr>
                <w:p w14:paraId="370B8BD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647" w:type="pct"/>
                  <w:tcBorders>
                    <w:tl2br w:val="nil"/>
                    <w:tr2bl w:val="nil"/>
                  </w:tcBorders>
                  <w:noWrap w:val="0"/>
                  <w:vAlign w:val="center"/>
                </w:tcPr>
                <w:p w14:paraId="3A57C36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废气处理</w:t>
                  </w:r>
                </w:p>
              </w:tc>
              <w:tc>
                <w:tcPr>
                  <w:tcW w:w="952" w:type="pct"/>
                  <w:tcBorders>
                    <w:tl2br w:val="nil"/>
                    <w:tr2bl w:val="nil"/>
                  </w:tcBorders>
                  <w:noWrap w:val="0"/>
                  <w:vAlign w:val="center"/>
                </w:tcPr>
                <w:p w14:paraId="379CBFAE">
                  <w:pPr>
                    <w:keepNext w:val="0"/>
                    <w:keepLines w:val="0"/>
                    <w:suppressLineNumbers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废活性炭</w:t>
                  </w:r>
                </w:p>
              </w:tc>
              <w:tc>
                <w:tcPr>
                  <w:tcW w:w="824" w:type="pct"/>
                  <w:tcBorders>
                    <w:tl2br w:val="nil"/>
                    <w:tr2bl w:val="nil"/>
                  </w:tcBorders>
                  <w:noWrap w:val="0"/>
                  <w:vAlign w:val="center"/>
                </w:tcPr>
                <w:p w14:paraId="39A1EC9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w:t>
                  </w:r>
                </w:p>
              </w:tc>
              <w:tc>
                <w:tcPr>
                  <w:tcW w:w="645" w:type="pct"/>
                  <w:tcBorders>
                    <w:tl2br w:val="nil"/>
                    <w:tr2bl w:val="nil"/>
                  </w:tcBorders>
                  <w:noWrap w:val="0"/>
                  <w:vAlign w:val="center"/>
                </w:tcPr>
                <w:p w14:paraId="0DCE1C2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w:t>
                  </w:r>
                </w:p>
              </w:tc>
              <w:tc>
                <w:tcPr>
                  <w:tcW w:w="1232" w:type="pct"/>
                  <w:vMerge w:val="continue"/>
                  <w:tcBorders>
                    <w:tl2br w:val="nil"/>
                    <w:tr2bl w:val="nil"/>
                  </w:tcBorders>
                  <w:noWrap w:val="0"/>
                  <w:vAlign w:val="center"/>
                </w:tcPr>
                <w:p w14:paraId="42AD0A9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r>
            <w:tr w14:paraId="77A9EB3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97" w:type="pct"/>
                  <w:gridSpan w:val="2"/>
                  <w:tcBorders>
                    <w:tl2br w:val="nil"/>
                    <w:tr2bl w:val="nil"/>
                  </w:tcBorders>
                  <w:noWrap w:val="0"/>
                  <w:vAlign w:val="center"/>
                </w:tcPr>
                <w:p w14:paraId="6971564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w:t>
                  </w:r>
                </w:p>
              </w:tc>
              <w:tc>
                <w:tcPr>
                  <w:tcW w:w="647" w:type="pct"/>
                  <w:tcBorders>
                    <w:tl2br w:val="nil"/>
                    <w:tr2bl w:val="nil"/>
                  </w:tcBorders>
                  <w:noWrap w:val="0"/>
                  <w:vAlign w:val="center"/>
                </w:tcPr>
                <w:p w14:paraId="77ABE0D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w:t>
                  </w:r>
                </w:p>
              </w:tc>
              <w:tc>
                <w:tcPr>
                  <w:tcW w:w="952" w:type="pct"/>
                  <w:tcBorders>
                    <w:tl2br w:val="nil"/>
                    <w:tr2bl w:val="nil"/>
                  </w:tcBorders>
                  <w:noWrap w:val="0"/>
                  <w:vAlign w:val="center"/>
                </w:tcPr>
                <w:p w14:paraId="2B6F5B8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设备噪声</w:t>
                  </w:r>
                </w:p>
              </w:tc>
              <w:tc>
                <w:tcPr>
                  <w:tcW w:w="824" w:type="pct"/>
                  <w:tcBorders>
                    <w:tl2br w:val="nil"/>
                    <w:tr2bl w:val="nil"/>
                  </w:tcBorders>
                  <w:noWrap w:val="0"/>
                  <w:vAlign w:val="center"/>
                </w:tcPr>
                <w:p w14:paraId="7DCA597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w:t>
                  </w:r>
                </w:p>
              </w:tc>
              <w:tc>
                <w:tcPr>
                  <w:tcW w:w="645" w:type="pct"/>
                  <w:tcBorders>
                    <w:tl2br w:val="nil"/>
                    <w:tr2bl w:val="nil"/>
                  </w:tcBorders>
                  <w:noWrap w:val="0"/>
                  <w:vAlign w:val="center"/>
                </w:tcPr>
                <w:p w14:paraId="345C2FA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w:t>
                  </w:r>
                </w:p>
              </w:tc>
              <w:tc>
                <w:tcPr>
                  <w:tcW w:w="1232" w:type="pct"/>
                  <w:tcBorders>
                    <w:tl2br w:val="nil"/>
                    <w:tr2bl w:val="nil"/>
                  </w:tcBorders>
                  <w:noWrap w:val="0"/>
                  <w:vAlign w:val="center"/>
                </w:tcPr>
                <w:p w14:paraId="5464AE01">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highlight w:val="none"/>
                      <w:vertAlign w:val="baseline"/>
                      <w:lang w:val="en-US" w:eastAsia="zh-CN"/>
                    </w:rPr>
                    <w:t>合理布局，采取消声、隔声、减振等降噪措施</w:t>
                  </w:r>
                </w:p>
              </w:tc>
            </w:tr>
          </w:tbl>
          <w:p w14:paraId="0A3B811C">
            <w:pPr>
              <w:pStyle w:val="146"/>
              <w:keepNext w:val="0"/>
              <w:keepLines w:val="0"/>
              <w:suppressLineNumbers w:val="0"/>
              <w:spacing w:before="0" w:beforeAutospacing="0" w:after="0" w:afterAutospacing="0" w:line="336" w:lineRule="auto"/>
              <w:ind w:left="0" w:right="0" w:firstLine="480"/>
              <w:jc w:val="center"/>
              <w:rPr>
                <w:rFonts w:hint="default" w:ascii="Times New Roman" w:hAnsi="Times New Roman" w:eastAsia="宋体" w:cs="Times New Roman"/>
                <w:color w:val="auto"/>
                <w:sz w:val="21"/>
                <w:szCs w:val="21"/>
                <w:highlight w:val="none"/>
              </w:rPr>
            </w:pPr>
          </w:p>
        </w:tc>
      </w:tr>
      <w:tr w14:paraId="658F5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6" w:type="pct"/>
            <w:noWrap w:val="0"/>
            <w:vAlign w:val="center"/>
          </w:tcPr>
          <w:p w14:paraId="01EE7169">
            <w:pPr>
              <w:pStyle w:val="37"/>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Cs/>
                <w:color w:val="auto"/>
                <w:kern w:val="2"/>
                <w:sz w:val="21"/>
                <w:szCs w:val="21"/>
                <w:highlight w:val="none"/>
              </w:rPr>
              <w:t>与项目有关的原有环境污染问</w:t>
            </w:r>
          </w:p>
        </w:tc>
        <w:tc>
          <w:tcPr>
            <w:tcW w:w="4773" w:type="pct"/>
            <w:noWrap w:val="0"/>
            <w:vAlign w:val="top"/>
          </w:tcPr>
          <w:p w14:paraId="7B4EB3A8">
            <w:pPr>
              <w:keepNext w:val="0"/>
              <w:keepLines w:val="0"/>
              <w:suppressLineNumbers w:val="0"/>
              <w:spacing w:before="0" w:beforeAutospacing="0" w:after="0" w:afterAutospacing="0" w:line="360" w:lineRule="auto"/>
              <w:ind w:left="0" w:right="0" w:firstLine="422" w:firstLineChars="200"/>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一、现有项目基本情况</w:t>
            </w:r>
          </w:p>
          <w:p w14:paraId="2D6C28BF">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现有</w:t>
            </w:r>
            <w:r>
              <w:rPr>
                <w:rFonts w:hint="default" w:ascii="Times New Roman" w:hAnsi="Times New Roman" w:eastAsia="宋体" w:cs="Times New Roman"/>
                <w:color w:val="auto"/>
                <w:sz w:val="21"/>
                <w:szCs w:val="21"/>
                <w:highlight w:val="none"/>
              </w:rPr>
              <w:t>项目位于博罗县</w:t>
            </w:r>
            <w:r>
              <w:rPr>
                <w:rFonts w:hint="default" w:ascii="Times New Roman" w:hAnsi="Times New Roman" w:eastAsia="宋体" w:cs="Times New Roman"/>
                <w:color w:val="auto"/>
                <w:sz w:val="21"/>
                <w:szCs w:val="21"/>
                <w:highlight w:val="none"/>
                <w:lang w:val="en-US" w:eastAsia="zh-CN"/>
              </w:rPr>
              <w:t>罗阳镇鸡麻地（</w:t>
            </w:r>
            <w:r>
              <w:rPr>
                <w:rFonts w:hint="eastAsia" w:cs="Times New Roman"/>
                <w:color w:val="auto"/>
                <w:sz w:val="21"/>
                <w:szCs w:val="21"/>
                <w:highlight w:val="none"/>
                <w:lang w:val="en-US" w:eastAsia="zh-CN"/>
              </w:rPr>
              <w:t>韦德</w:t>
            </w:r>
            <w:r>
              <w:rPr>
                <w:rFonts w:hint="default" w:ascii="Times New Roman" w:hAnsi="Times New Roman" w:eastAsia="宋体" w:cs="Times New Roman"/>
                <w:color w:val="auto"/>
                <w:sz w:val="21"/>
                <w:szCs w:val="21"/>
                <w:highlight w:val="none"/>
                <w:lang w:val="en-US" w:eastAsia="zh-CN"/>
              </w:rPr>
              <w:t>厂内）</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地理位置中心坐标：E</w:t>
            </w:r>
            <w:r>
              <w:rPr>
                <w:rFonts w:hint="default" w:ascii="Times New Roman" w:hAnsi="Times New Roman" w:eastAsia="宋体" w:cs="Times New Roman"/>
                <w:bCs/>
                <w:color w:val="auto"/>
                <w:sz w:val="21"/>
                <w:szCs w:val="21"/>
                <w:highlight w:val="none"/>
              </w:rPr>
              <w:t>11</w:t>
            </w:r>
            <w:r>
              <w:rPr>
                <w:rFonts w:hint="default" w:ascii="Times New Roman" w:hAnsi="Times New Roman" w:eastAsia="宋体" w:cs="Times New Roman"/>
                <w:bCs/>
                <w:color w:val="auto"/>
                <w:sz w:val="21"/>
                <w:szCs w:val="21"/>
                <w:highlight w:val="none"/>
                <w:lang w:val="en-US" w:eastAsia="zh-CN"/>
              </w:rPr>
              <w:t>4</w:t>
            </w:r>
            <w:r>
              <w:rPr>
                <w:rFonts w:hint="default" w:ascii="Times New Roman" w:hAnsi="Times New Roman" w:eastAsia="宋体" w:cs="Times New Roman"/>
                <w:bCs/>
                <w:color w:val="auto"/>
                <w:sz w:val="21"/>
                <w:szCs w:val="21"/>
                <w:highlight w:val="none"/>
              </w:rPr>
              <w:t>°</w:t>
            </w:r>
            <w:r>
              <w:rPr>
                <w:rFonts w:hint="default" w:ascii="Times New Roman" w:hAnsi="Times New Roman" w:eastAsia="宋体" w:cs="Times New Roman"/>
                <w:bCs/>
                <w:color w:val="auto"/>
                <w:sz w:val="21"/>
                <w:szCs w:val="21"/>
                <w:highlight w:val="none"/>
                <w:lang w:val="en-US" w:eastAsia="zh-CN"/>
              </w:rPr>
              <w:t>19</w:t>
            </w:r>
            <w:r>
              <w:rPr>
                <w:rFonts w:hint="default" w:ascii="Times New Roman" w:hAnsi="Times New Roman" w:eastAsia="宋体" w:cs="Times New Roman"/>
                <w:bCs/>
                <w:color w:val="auto"/>
                <w:sz w:val="21"/>
                <w:szCs w:val="21"/>
                <w:highlight w:val="none"/>
              </w:rPr>
              <w:t>′</w:t>
            </w:r>
            <w:r>
              <w:rPr>
                <w:rFonts w:hint="default" w:ascii="Times New Roman" w:hAnsi="Times New Roman" w:eastAsia="宋体" w:cs="Times New Roman"/>
                <w:bCs/>
                <w:color w:val="auto"/>
                <w:sz w:val="21"/>
                <w:szCs w:val="21"/>
                <w:highlight w:val="none"/>
                <w:lang w:val="en-US" w:eastAsia="zh-CN"/>
              </w:rPr>
              <w:t>54.800</w:t>
            </w:r>
            <w:r>
              <w:rPr>
                <w:rFonts w:hint="default" w:ascii="Times New Roman" w:hAnsi="Times New Roman" w:eastAsia="宋体" w:cs="Times New Roman"/>
                <w:bCs/>
                <w:color w:val="auto"/>
                <w:sz w:val="21"/>
                <w:szCs w:val="21"/>
                <w:highlight w:val="none"/>
              </w:rPr>
              <w:t>″，</w:t>
            </w:r>
            <w:r>
              <w:rPr>
                <w:rFonts w:hint="default" w:ascii="Times New Roman" w:hAnsi="Times New Roman" w:eastAsia="宋体" w:cs="Times New Roman"/>
                <w:bCs/>
                <w:color w:val="auto"/>
                <w:sz w:val="21"/>
                <w:szCs w:val="21"/>
                <w:highlight w:val="none"/>
                <w:lang w:val="en-US" w:eastAsia="zh-CN"/>
              </w:rPr>
              <w:t>N</w:t>
            </w:r>
            <w:r>
              <w:rPr>
                <w:rFonts w:hint="default" w:ascii="Times New Roman" w:hAnsi="Times New Roman" w:eastAsia="宋体" w:cs="Times New Roman"/>
                <w:bCs/>
                <w:color w:val="auto"/>
                <w:sz w:val="21"/>
                <w:szCs w:val="21"/>
                <w:highlight w:val="none"/>
              </w:rPr>
              <w:t>23°</w:t>
            </w:r>
            <w:r>
              <w:rPr>
                <w:rFonts w:hint="default" w:ascii="Times New Roman" w:hAnsi="Times New Roman" w:eastAsia="宋体" w:cs="Times New Roman"/>
                <w:bCs/>
                <w:color w:val="auto"/>
                <w:sz w:val="21"/>
                <w:szCs w:val="21"/>
                <w:highlight w:val="none"/>
                <w:lang w:val="en-US" w:eastAsia="zh-CN"/>
              </w:rPr>
              <w:t>11</w:t>
            </w:r>
            <w:r>
              <w:rPr>
                <w:rFonts w:hint="default" w:ascii="Times New Roman" w:hAnsi="Times New Roman" w:eastAsia="宋体" w:cs="Times New Roman"/>
                <w:bCs/>
                <w:color w:val="auto"/>
                <w:sz w:val="21"/>
                <w:szCs w:val="21"/>
                <w:highlight w:val="none"/>
              </w:rPr>
              <w:t>′</w:t>
            </w:r>
            <w:r>
              <w:rPr>
                <w:rFonts w:hint="default" w:ascii="Times New Roman" w:hAnsi="Times New Roman" w:eastAsia="宋体" w:cs="Times New Roman"/>
                <w:bCs/>
                <w:color w:val="auto"/>
                <w:sz w:val="21"/>
                <w:szCs w:val="21"/>
                <w:highlight w:val="none"/>
                <w:lang w:val="en-US" w:eastAsia="zh-CN"/>
              </w:rPr>
              <w:t>34.600</w:t>
            </w:r>
            <w:r>
              <w:rPr>
                <w:rFonts w:hint="default" w:ascii="Times New Roman" w:hAnsi="Times New Roman" w:eastAsia="宋体" w:cs="Times New Roman"/>
                <w:bCs/>
                <w:color w:val="auto"/>
                <w:sz w:val="21"/>
                <w:szCs w:val="21"/>
                <w:highlight w:val="none"/>
              </w:rPr>
              <w:t>″</w:t>
            </w:r>
            <w:r>
              <w:rPr>
                <w:rFonts w:hint="default" w:ascii="Times New Roman" w:hAnsi="Times New Roman" w:eastAsia="宋体" w:cs="Times New Roman"/>
                <w:bCs/>
                <w:color w:val="auto"/>
                <w:sz w:val="21"/>
                <w:szCs w:val="21"/>
                <w:highlight w:val="none"/>
                <w:lang w:eastAsia="zh-CN"/>
              </w:rPr>
              <w:t>，</w:t>
            </w:r>
            <w:r>
              <w:rPr>
                <w:rFonts w:hint="default" w:ascii="Times New Roman" w:hAnsi="Times New Roman" w:eastAsia="宋体" w:cs="Times New Roman"/>
                <w:bCs/>
                <w:color w:val="auto"/>
                <w:sz w:val="21"/>
                <w:szCs w:val="21"/>
                <w:highlight w:val="none"/>
                <w:lang w:val="en-US" w:eastAsia="zh-CN"/>
              </w:rPr>
              <w:t>占地面积</w:t>
            </w:r>
            <w:r>
              <w:rPr>
                <w:rFonts w:hint="eastAsia" w:cs="Times New Roman"/>
                <w:bCs/>
                <w:color w:val="auto"/>
                <w:sz w:val="21"/>
                <w:szCs w:val="21"/>
                <w:highlight w:val="none"/>
                <w:lang w:val="en-US" w:eastAsia="zh-CN"/>
              </w:rPr>
              <w:t>27</w:t>
            </w:r>
            <w:r>
              <w:rPr>
                <w:rFonts w:hint="default" w:ascii="Times New Roman" w:hAnsi="Times New Roman" w:eastAsia="宋体" w:cs="Times New Roman"/>
                <w:bCs/>
                <w:color w:val="auto"/>
                <w:sz w:val="21"/>
                <w:szCs w:val="21"/>
                <w:highlight w:val="none"/>
                <w:lang w:val="en-US" w:eastAsia="zh-CN"/>
              </w:rPr>
              <w:t>0</w:t>
            </w:r>
            <w:r>
              <w:rPr>
                <w:rFonts w:hint="default" w:ascii="Times New Roman" w:hAnsi="Times New Roman" w:eastAsia="宋体" w:cs="Times New Roman"/>
                <w:color w:val="auto"/>
                <w:sz w:val="21"/>
                <w:szCs w:val="21"/>
                <w:highlight w:val="none"/>
                <w:lang w:val="en-US" w:eastAsia="zh-CN"/>
              </w:rPr>
              <w:t>0m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，建筑面积2</w:t>
            </w:r>
            <w:r>
              <w:rPr>
                <w:rFonts w:hint="eastAsia" w:cs="Times New Roman"/>
                <w:color w:val="auto"/>
                <w:sz w:val="21"/>
                <w:szCs w:val="21"/>
                <w:highlight w:val="none"/>
                <w:lang w:val="en-US" w:eastAsia="zh-CN"/>
              </w:rPr>
              <w:t>0</w:t>
            </w:r>
            <w:r>
              <w:rPr>
                <w:rFonts w:hint="default" w:ascii="Times New Roman" w:hAnsi="Times New Roman" w:eastAsia="宋体" w:cs="Times New Roman"/>
                <w:color w:val="auto"/>
                <w:sz w:val="21"/>
                <w:szCs w:val="21"/>
                <w:highlight w:val="none"/>
                <w:lang w:val="en-US" w:eastAsia="zh-CN"/>
              </w:rPr>
              <w:t>00m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，主要从事吸塑制品和包装纸箱的生产，年产吸塑制品360吨、包装纸箱12万个。原有项目员工21人，</w:t>
            </w:r>
            <w:r>
              <w:rPr>
                <w:rFonts w:hint="eastAsia" w:ascii="Times New Roman" w:hAnsi="Times New Roman" w:cs="Times New Roman"/>
                <w:color w:val="auto"/>
                <w:sz w:val="21"/>
                <w:szCs w:val="21"/>
                <w:highlight w:val="none"/>
                <w:lang w:val="en-US" w:eastAsia="zh-CN"/>
              </w:rPr>
              <w:t>均在</w:t>
            </w:r>
            <w:r>
              <w:rPr>
                <w:rFonts w:hint="eastAsia" w:cs="Times New Roman"/>
                <w:color w:val="auto"/>
                <w:sz w:val="21"/>
                <w:szCs w:val="21"/>
                <w:highlight w:val="none"/>
                <w:lang w:val="en-US" w:eastAsia="zh-CN"/>
              </w:rPr>
              <w:t>韦德</w:t>
            </w:r>
            <w:r>
              <w:rPr>
                <w:rFonts w:hint="eastAsia" w:ascii="Times New Roman" w:hAnsi="Times New Roman" w:cs="Times New Roman"/>
                <w:color w:val="auto"/>
                <w:sz w:val="21"/>
                <w:szCs w:val="21"/>
                <w:highlight w:val="none"/>
                <w:lang w:val="en-US" w:eastAsia="zh-CN"/>
              </w:rPr>
              <w:t>电子厂</w:t>
            </w:r>
            <w:r>
              <w:rPr>
                <w:rFonts w:hint="default" w:ascii="Times New Roman" w:hAnsi="Times New Roman" w:eastAsia="宋体" w:cs="Times New Roman"/>
                <w:color w:val="auto"/>
                <w:sz w:val="21"/>
                <w:szCs w:val="21"/>
                <w:highlight w:val="none"/>
                <w:lang w:val="en-US" w:eastAsia="zh-CN"/>
              </w:rPr>
              <w:t>内食宿，每天工作8小时，</w:t>
            </w:r>
            <w:r>
              <w:rPr>
                <w:rFonts w:hint="eastAsia" w:cs="Times New Roman"/>
                <w:color w:val="auto"/>
                <w:sz w:val="21"/>
                <w:szCs w:val="21"/>
                <w:highlight w:val="none"/>
                <w:lang w:val="en-US" w:eastAsia="zh-CN"/>
              </w:rPr>
              <w:t>单班制，</w:t>
            </w:r>
            <w:r>
              <w:rPr>
                <w:rFonts w:hint="default" w:ascii="Times New Roman" w:hAnsi="Times New Roman" w:eastAsia="宋体" w:cs="Times New Roman"/>
                <w:color w:val="auto"/>
                <w:sz w:val="21"/>
                <w:szCs w:val="21"/>
                <w:highlight w:val="none"/>
                <w:lang w:val="en-US" w:eastAsia="zh-CN"/>
              </w:rPr>
              <w:t>年工作300天。</w:t>
            </w:r>
          </w:p>
          <w:p w14:paraId="38E078C1">
            <w:pPr>
              <w:keepNext w:val="0"/>
              <w:keepLines w:val="0"/>
              <w:suppressLineNumbers w:val="0"/>
              <w:spacing w:before="0" w:beforeAutospacing="0" w:after="0" w:afterAutospacing="0" w:line="360" w:lineRule="auto"/>
              <w:ind w:left="0" w:right="0" w:firstLine="422" w:firstLineChars="200"/>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二、现有项目环保手续履行情况</w:t>
            </w:r>
          </w:p>
          <w:p w14:paraId="764EA417">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原有项目位于</w:t>
            </w:r>
            <w:r>
              <w:rPr>
                <w:rFonts w:hint="default" w:ascii="Times New Roman" w:hAnsi="Times New Roman" w:eastAsia="宋体" w:cs="Times New Roman"/>
                <w:color w:val="auto"/>
                <w:sz w:val="21"/>
                <w:szCs w:val="21"/>
                <w:highlight w:val="none"/>
              </w:rPr>
              <w:t>博罗县</w:t>
            </w:r>
            <w:r>
              <w:rPr>
                <w:rFonts w:hint="default" w:ascii="Times New Roman" w:hAnsi="Times New Roman" w:eastAsia="宋体" w:cs="Times New Roman"/>
                <w:color w:val="auto"/>
                <w:sz w:val="21"/>
                <w:szCs w:val="21"/>
                <w:highlight w:val="none"/>
                <w:lang w:val="en-US" w:eastAsia="zh-CN"/>
              </w:rPr>
              <w:t>罗阳镇鸡麻地（</w:t>
            </w:r>
            <w:r>
              <w:rPr>
                <w:rFonts w:hint="eastAsia" w:cs="Times New Roman"/>
                <w:color w:val="auto"/>
                <w:sz w:val="21"/>
                <w:szCs w:val="21"/>
                <w:highlight w:val="none"/>
                <w:lang w:val="en-US" w:eastAsia="zh-CN"/>
              </w:rPr>
              <w:t>韦德</w:t>
            </w:r>
            <w:r>
              <w:rPr>
                <w:rFonts w:hint="default" w:ascii="Times New Roman" w:hAnsi="Times New Roman" w:eastAsia="宋体" w:cs="Times New Roman"/>
                <w:color w:val="auto"/>
                <w:sz w:val="21"/>
                <w:szCs w:val="21"/>
                <w:highlight w:val="none"/>
                <w:lang w:val="en-US" w:eastAsia="zh-CN"/>
              </w:rPr>
              <w:t>厂内），地理位置中心坐标：E</w:t>
            </w:r>
            <w:r>
              <w:rPr>
                <w:rFonts w:hint="default" w:ascii="Times New Roman" w:hAnsi="Times New Roman" w:eastAsia="宋体" w:cs="Times New Roman"/>
                <w:bCs/>
                <w:color w:val="auto"/>
                <w:sz w:val="21"/>
                <w:szCs w:val="21"/>
                <w:highlight w:val="none"/>
              </w:rPr>
              <w:t>11</w:t>
            </w:r>
            <w:r>
              <w:rPr>
                <w:rFonts w:hint="default" w:ascii="Times New Roman" w:hAnsi="Times New Roman" w:eastAsia="宋体" w:cs="Times New Roman"/>
                <w:bCs/>
                <w:color w:val="auto"/>
                <w:sz w:val="21"/>
                <w:szCs w:val="21"/>
                <w:highlight w:val="none"/>
                <w:lang w:val="en-US" w:eastAsia="zh-CN"/>
              </w:rPr>
              <w:t>4</w:t>
            </w:r>
            <w:r>
              <w:rPr>
                <w:rFonts w:hint="default" w:ascii="Times New Roman" w:hAnsi="Times New Roman" w:eastAsia="宋体" w:cs="Times New Roman"/>
                <w:bCs/>
                <w:color w:val="auto"/>
                <w:sz w:val="21"/>
                <w:szCs w:val="21"/>
                <w:highlight w:val="none"/>
              </w:rPr>
              <w:t>°</w:t>
            </w:r>
            <w:r>
              <w:rPr>
                <w:rFonts w:hint="default" w:ascii="Times New Roman" w:hAnsi="Times New Roman" w:eastAsia="宋体" w:cs="Times New Roman"/>
                <w:bCs/>
                <w:color w:val="auto"/>
                <w:sz w:val="21"/>
                <w:szCs w:val="21"/>
                <w:highlight w:val="none"/>
                <w:lang w:val="en-US" w:eastAsia="zh-CN"/>
              </w:rPr>
              <w:t>19</w:t>
            </w:r>
            <w:r>
              <w:rPr>
                <w:rFonts w:hint="default" w:ascii="Times New Roman" w:hAnsi="Times New Roman" w:eastAsia="宋体" w:cs="Times New Roman"/>
                <w:bCs/>
                <w:color w:val="auto"/>
                <w:sz w:val="21"/>
                <w:szCs w:val="21"/>
                <w:highlight w:val="none"/>
              </w:rPr>
              <w:t>′</w:t>
            </w:r>
            <w:r>
              <w:rPr>
                <w:rFonts w:hint="default" w:ascii="Times New Roman" w:hAnsi="Times New Roman" w:eastAsia="宋体" w:cs="Times New Roman"/>
                <w:bCs/>
                <w:color w:val="auto"/>
                <w:sz w:val="21"/>
                <w:szCs w:val="21"/>
                <w:highlight w:val="none"/>
                <w:lang w:val="en-US" w:eastAsia="zh-CN"/>
              </w:rPr>
              <w:t>54.800</w:t>
            </w:r>
            <w:r>
              <w:rPr>
                <w:rFonts w:hint="default" w:ascii="Times New Roman" w:hAnsi="Times New Roman" w:eastAsia="宋体" w:cs="Times New Roman"/>
                <w:bCs/>
                <w:color w:val="auto"/>
                <w:sz w:val="21"/>
                <w:szCs w:val="21"/>
                <w:highlight w:val="none"/>
              </w:rPr>
              <w:t>″，</w:t>
            </w:r>
            <w:r>
              <w:rPr>
                <w:rFonts w:hint="default" w:ascii="Times New Roman" w:hAnsi="Times New Roman" w:eastAsia="宋体" w:cs="Times New Roman"/>
                <w:bCs/>
                <w:color w:val="auto"/>
                <w:sz w:val="21"/>
                <w:szCs w:val="21"/>
                <w:highlight w:val="none"/>
                <w:lang w:val="en-US" w:eastAsia="zh-CN"/>
              </w:rPr>
              <w:t>N</w:t>
            </w:r>
            <w:r>
              <w:rPr>
                <w:rFonts w:hint="default" w:ascii="Times New Roman" w:hAnsi="Times New Roman" w:eastAsia="宋体" w:cs="Times New Roman"/>
                <w:bCs/>
                <w:color w:val="auto"/>
                <w:sz w:val="21"/>
                <w:szCs w:val="21"/>
                <w:highlight w:val="none"/>
              </w:rPr>
              <w:t>23°</w:t>
            </w:r>
            <w:r>
              <w:rPr>
                <w:rFonts w:hint="default" w:ascii="Times New Roman" w:hAnsi="Times New Roman" w:eastAsia="宋体" w:cs="Times New Roman"/>
                <w:bCs/>
                <w:color w:val="auto"/>
                <w:sz w:val="21"/>
                <w:szCs w:val="21"/>
                <w:highlight w:val="none"/>
                <w:lang w:val="en-US" w:eastAsia="zh-CN"/>
              </w:rPr>
              <w:t>11</w:t>
            </w:r>
            <w:r>
              <w:rPr>
                <w:rFonts w:hint="default" w:ascii="Times New Roman" w:hAnsi="Times New Roman" w:eastAsia="宋体" w:cs="Times New Roman"/>
                <w:bCs/>
                <w:color w:val="auto"/>
                <w:sz w:val="21"/>
                <w:szCs w:val="21"/>
                <w:highlight w:val="none"/>
              </w:rPr>
              <w:t>′</w:t>
            </w:r>
            <w:r>
              <w:rPr>
                <w:rFonts w:hint="default" w:ascii="Times New Roman" w:hAnsi="Times New Roman" w:eastAsia="宋体" w:cs="Times New Roman"/>
                <w:bCs/>
                <w:color w:val="auto"/>
                <w:sz w:val="21"/>
                <w:szCs w:val="21"/>
                <w:highlight w:val="none"/>
                <w:lang w:val="en-US" w:eastAsia="zh-CN"/>
              </w:rPr>
              <w:t>34.600</w:t>
            </w:r>
            <w:r>
              <w:rPr>
                <w:rFonts w:hint="default" w:ascii="Times New Roman" w:hAnsi="Times New Roman" w:eastAsia="宋体" w:cs="Times New Roman"/>
                <w:bCs/>
                <w:color w:val="auto"/>
                <w:sz w:val="21"/>
                <w:szCs w:val="21"/>
                <w:highlight w:val="none"/>
              </w:rPr>
              <w:t>″</w:t>
            </w:r>
            <w:r>
              <w:rPr>
                <w:rFonts w:hint="default" w:ascii="Times New Roman" w:hAnsi="Times New Roman" w:eastAsia="宋体" w:cs="Times New Roman"/>
                <w:bCs/>
                <w:color w:val="auto"/>
                <w:sz w:val="21"/>
                <w:szCs w:val="21"/>
                <w:highlight w:val="none"/>
                <w:lang w:eastAsia="zh-CN"/>
              </w:rPr>
              <w:t>。</w:t>
            </w:r>
            <w:r>
              <w:rPr>
                <w:rFonts w:hint="default" w:ascii="Times New Roman" w:hAnsi="Times New Roman" w:eastAsia="宋体" w:cs="Times New Roman"/>
                <w:color w:val="auto"/>
                <w:sz w:val="21"/>
                <w:szCs w:val="21"/>
                <w:highlight w:val="none"/>
                <w:lang w:eastAsia="zh-CN"/>
              </w:rPr>
              <w:t>博罗县合晟包装制品有限公司</w:t>
            </w:r>
            <w:r>
              <w:rPr>
                <w:rFonts w:hint="default" w:ascii="Times New Roman" w:hAnsi="Times New Roman" w:eastAsia="宋体" w:cs="Times New Roman"/>
                <w:color w:val="auto"/>
                <w:sz w:val="21"/>
                <w:szCs w:val="21"/>
                <w:highlight w:val="none"/>
                <w:lang w:val="en-US" w:eastAsia="zh-CN"/>
              </w:rPr>
              <w:t>成立于2008年10月，</w:t>
            </w:r>
            <w:r>
              <w:rPr>
                <w:rFonts w:hint="default" w:ascii="Times New Roman" w:hAnsi="Times New Roman" w:eastAsia="宋体" w:cs="Times New Roman"/>
                <w:color w:val="auto"/>
                <w:sz w:val="21"/>
                <w:szCs w:val="21"/>
                <w:highlight w:val="none"/>
              </w:rPr>
              <w:t>20</w:t>
            </w:r>
            <w:r>
              <w:rPr>
                <w:rFonts w:hint="default" w:ascii="Times New Roman" w:hAnsi="Times New Roman" w:eastAsia="宋体" w:cs="Times New Roman"/>
                <w:color w:val="auto"/>
                <w:sz w:val="21"/>
                <w:szCs w:val="21"/>
                <w:highlight w:val="none"/>
                <w:lang w:val="en-US" w:eastAsia="zh-CN"/>
              </w:rPr>
              <w:t>08</w:t>
            </w:r>
            <w:r>
              <w:rPr>
                <w:rFonts w:hint="default" w:ascii="Times New Roman" w:hAnsi="Times New Roman" w:eastAsia="宋体" w:cs="Times New Roman"/>
                <w:color w:val="auto"/>
                <w:sz w:val="21"/>
                <w:szCs w:val="21"/>
                <w:highlight w:val="none"/>
              </w:rPr>
              <w:t>年</w:t>
            </w:r>
            <w:r>
              <w:rPr>
                <w:rFonts w:hint="default" w:ascii="Times New Roman" w:hAnsi="Times New Roman" w:eastAsia="宋体" w:cs="Times New Roman"/>
                <w:color w:val="auto"/>
                <w:sz w:val="21"/>
                <w:szCs w:val="21"/>
                <w:highlight w:val="none"/>
                <w:lang w:val="en-US" w:eastAsia="zh-CN"/>
              </w:rPr>
              <w:t>企业委托博罗县环境科学研究所编制《博罗县合晟包装制品有限公司建设项目环境影响报告表》，报告表于2008年10月23日取得博罗县环境保护局《关于博罗县合晟包装制品有限公司建设项目环境影响报告表的批复》（批复文号：博环建[2008]390号，详见附件</w:t>
            </w:r>
            <w:r>
              <w:rPr>
                <w:rFonts w:hint="eastAsia"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2016年12月，原有项目委托博罗县环境保护监测站编制《建设项目竣工环境保护监测报告表》（博环监验字（2016）第091号，详见附件</w:t>
            </w:r>
            <w:r>
              <w:rPr>
                <w:rFonts w:hint="eastAsia"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lang w:val="en-US" w:eastAsia="zh-CN"/>
              </w:rPr>
              <w:t>）。</w:t>
            </w:r>
          </w:p>
          <w:p w14:paraId="38924D78">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2018年，因公司业务发展需要扩大产能，企业委托深圳鹏达信能源环保科技有限公司编制《博罗县合晟包装制品有限公司扩建项目环境影响报告表》，报告表于2018年1月3日取得博罗县环境保护局《关于博罗县合晟包装制品有限公司扩建项目环境影响报告表的批复》（批复文号：博环建[2018]3号，详见附件</w:t>
            </w:r>
            <w:r>
              <w:rPr>
                <w:rFonts w:hint="eastAsia"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en-US" w:eastAsia="zh-CN"/>
              </w:rPr>
              <w:t>），原有项目取得《固定污染源排污登记回执》（登记编号：914413226806220726001W，详见附件</w:t>
            </w:r>
            <w:r>
              <w:rPr>
                <w:rFonts w:hint="eastAsia"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lang w:val="en-US" w:eastAsia="zh-CN"/>
              </w:rPr>
              <w:t>），并通过博罗县环境保护局的行政验收，取得《关于博罗县合晟包装制品有限公司扩建项目噪声、固废污染防治设施竣工环境保护验收意见的函》（文件函号：博环建[2018]235号，详见附件</w:t>
            </w:r>
            <w:r>
              <w:rPr>
                <w:rFonts w:hint="eastAsia"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lang w:val="en-US" w:eastAsia="zh-CN"/>
              </w:rPr>
              <w:t>）。</w:t>
            </w:r>
          </w:p>
          <w:p w14:paraId="1B32FBFF">
            <w:pPr>
              <w:pStyle w:val="120"/>
              <w:keepNext w:val="0"/>
              <w:keepLines w:val="0"/>
              <w:numPr>
                <w:ilvl w:val="0"/>
                <w:numId w:val="0"/>
              </w:numPr>
              <w:suppressLineNumbers w:val="0"/>
              <w:spacing w:before="0" w:beforeAutospacing="0" w:after="0" w:afterAutospacing="0" w:line="360" w:lineRule="auto"/>
              <w:ind w:left="420" w:leftChars="200" w:right="0" w:rightChars="0"/>
              <w:rPr>
                <w:rFonts w:hint="default" w:ascii="Times New Roman" w:hAnsi="Times New Roman" w:eastAsia="宋体" w:cs="Times New Roman"/>
                <w:b/>
                <w:bCs/>
                <w:color w:val="auto"/>
                <w:sz w:val="21"/>
                <w:szCs w:val="21"/>
                <w:highlight w:val="none"/>
              </w:rPr>
            </w:pPr>
            <w:r>
              <w:rPr>
                <w:rFonts w:hint="eastAsia" w:ascii="Times New Roman" w:hAnsi="Times New Roman" w:cs="Times New Roman"/>
                <w:b/>
                <w:bCs/>
                <w:color w:val="auto"/>
                <w:sz w:val="21"/>
                <w:szCs w:val="21"/>
                <w:highlight w:val="none"/>
                <w:lang w:val="en-US" w:eastAsia="zh-CN"/>
              </w:rPr>
              <w:t>三、</w:t>
            </w:r>
            <w:r>
              <w:rPr>
                <w:rFonts w:hint="default" w:ascii="Times New Roman" w:hAnsi="Times New Roman" w:eastAsia="宋体" w:cs="Times New Roman"/>
                <w:b/>
                <w:bCs/>
                <w:color w:val="auto"/>
                <w:sz w:val="21"/>
                <w:szCs w:val="21"/>
                <w:highlight w:val="none"/>
                <w:lang w:val="en-US" w:eastAsia="zh-CN"/>
              </w:rPr>
              <w:t>现有项目</w:t>
            </w:r>
            <w:r>
              <w:rPr>
                <w:rFonts w:hint="default" w:ascii="Times New Roman" w:hAnsi="Times New Roman" w:eastAsia="宋体" w:cs="Times New Roman"/>
                <w:b/>
                <w:bCs/>
                <w:color w:val="auto"/>
                <w:sz w:val="21"/>
                <w:szCs w:val="21"/>
                <w:highlight w:val="none"/>
              </w:rPr>
              <w:t>工艺流程及产污环节</w:t>
            </w:r>
          </w:p>
          <w:p w14:paraId="39B5A7CA">
            <w:pPr>
              <w:pStyle w:val="120"/>
              <w:keepNext w:val="0"/>
              <w:keepLines w:val="0"/>
              <w:numPr>
                <w:ilvl w:val="0"/>
                <w:numId w:val="0"/>
              </w:numPr>
              <w:suppressLineNumbers w:val="0"/>
              <w:spacing w:before="0" w:beforeAutospacing="0" w:after="0" w:afterAutospacing="0" w:line="360" w:lineRule="auto"/>
              <w:ind w:left="0" w:right="0" w:firstLine="422" w:firstLineChars="200"/>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1、吸塑制品</w:t>
            </w:r>
            <w:r>
              <w:rPr>
                <w:rFonts w:hint="default" w:ascii="Times New Roman" w:hAnsi="Times New Roman" w:eastAsia="宋体" w:cs="Times New Roman"/>
                <w:b/>
                <w:bCs/>
                <w:color w:val="auto"/>
                <w:sz w:val="21"/>
                <w:szCs w:val="21"/>
                <w:highlight w:val="none"/>
              </w:rPr>
              <w:t>工艺流程图及产污环</w:t>
            </w:r>
            <w:r>
              <w:rPr>
                <w:rFonts w:hint="default" w:ascii="Times New Roman" w:hAnsi="Times New Roman" w:eastAsia="宋体" w:cs="Times New Roman"/>
                <w:b/>
                <w:bCs/>
                <w:color w:val="auto"/>
                <w:sz w:val="21"/>
                <w:szCs w:val="21"/>
                <w:highlight w:val="none"/>
                <w:lang w:val="en-US" w:eastAsia="zh-CN"/>
              </w:rPr>
              <w:t>节</w:t>
            </w:r>
          </w:p>
          <w:p w14:paraId="2AA4CECF">
            <w:pPr>
              <w:pStyle w:val="120"/>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highlight w:val="none"/>
              </w:rPr>
              <mc:AlternateContent>
                <mc:Choice Requires="wpc">
                  <w:drawing>
                    <wp:inline distT="0" distB="0" distL="114300" distR="114300">
                      <wp:extent cx="5523865" cy="1775460"/>
                      <wp:effectExtent l="0" t="0" r="0" b="0"/>
                      <wp:docPr id="182" name="画布 27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67" name="文本框 16"/>
                              <wps:cNvSpPr txBox="1">
                                <a:spLocks noChangeArrowheads="1"/>
                              </wps:cNvSpPr>
                              <wps:spPr bwMode="auto">
                                <a:xfrm>
                                  <a:off x="158750" y="655320"/>
                                  <a:ext cx="656590" cy="438785"/>
                                </a:xfrm>
                                <a:prstGeom prst="rect">
                                  <a:avLst/>
                                </a:prstGeom>
                                <a:noFill/>
                                <a:ln>
                                  <a:noFill/>
                                </a:ln>
                                <a:effectLst/>
                              </wps:spPr>
                              <wps:txbx>
                                <w:txbxContent>
                                  <w:p w14:paraId="7D5618E1">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各种塑胶原料</w:t>
                                    </w:r>
                                  </w:p>
                                </w:txbxContent>
                              </wps:txbx>
                              <wps:bodyPr rot="0" vert="horz" wrap="square" lIns="91440" tIns="45720" rIns="91440" bIns="45720" anchor="t" anchorCtr="0" upright="1">
                                <a:noAutofit/>
                              </wps:bodyPr>
                            </wps:wsp>
                            <wps:wsp>
                              <wps:cNvPr id="168" name="文本框 34"/>
                              <wps:cNvSpPr txBox="1">
                                <a:spLocks noChangeArrowheads="1"/>
                              </wps:cNvSpPr>
                              <wps:spPr bwMode="auto">
                                <a:xfrm>
                                  <a:off x="1132205" y="727710"/>
                                  <a:ext cx="646430" cy="292100"/>
                                </a:xfrm>
                                <a:prstGeom prst="rect">
                                  <a:avLst/>
                                </a:prstGeom>
                                <a:noFill/>
                                <a:ln w="9525">
                                  <a:solidFill>
                                    <a:srgbClr val="000000"/>
                                  </a:solidFill>
                                  <a:miter lim="800000"/>
                                </a:ln>
                                <a:effectLst/>
                              </wps:spPr>
                              <wps:txbx>
                                <w:txbxContent>
                                  <w:p w14:paraId="72A6D230">
                                    <w:pPr>
                                      <w:jc w:val="center"/>
                                      <w:rPr>
                                        <w:rFonts w:hint="eastAsia" w:eastAsia="宋体"/>
                                        <w:lang w:val="en-US" w:eastAsia="zh-CN"/>
                                      </w:rPr>
                                    </w:pPr>
                                    <w:r>
                                      <w:rPr>
                                        <w:rFonts w:hint="eastAsia"/>
                                        <w:lang w:val="en-US" w:eastAsia="zh-CN"/>
                                      </w:rPr>
                                      <w:t>吸塑</w:t>
                                    </w:r>
                                  </w:p>
                                </w:txbxContent>
                              </wps:txbx>
                              <wps:bodyPr rot="0" vert="horz" wrap="square" lIns="91440" tIns="45720" rIns="91440" bIns="45720" anchor="t" anchorCtr="0" upright="1">
                                <a:noAutofit/>
                              </wps:bodyPr>
                            </wps:wsp>
                            <wps:wsp>
                              <wps:cNvPr id="169" name="直线 688"/>
                              <wps:cNvCnPr/>
                              <wps:spPr>
                                <a:xfrm>
                                  <a:off x="1453515" y="1028700"/>
                                  <a:ext cx="0" cy="292100"/>
                                </a:xfrm>
                                <a:prstGeom prst="line">
                                  <a:avLst/>
                                </a:prstGeom>
                                <a:ln w="9525" cap="flat" cmpd="sng">
                                  <a:solidFill>
                                    <a:srgbClr val="000000"/>
                                  </a:solidFill>
                                  <a:prstDash val="dash"/>
                                  <a:headEnd type="none" w="med" len="med"/>
                                  <a:tailEnd type="triangle" w="med" len="med"/>
                                </a:ln>
                              </wps:spPr>
                              <wps:bodyPr upright="1"/>
                            </wps:wsp>
                            <wps:wsp>
                              <wps:cNvPr id="170" name="直线 697"/>
                              <wps:cNvCnPr/>
                              <wps:spPr>
                                <a:xfrm flipV="1">
                                  <a:off x="808355" y="873760"/>
                                  <a:ext cx="316230" cy="635"/>
                                </a:xfrm>
                                <a:prstGeom prst="line">
                                  <a:avLst/>
                                </a:prstGeom>
                                <a:ln w="9525" cap="flat" cmpd="sng">
                                  <a:solidFill>
                                    <a:srgbClr val="000000"/>
                                  </a:solidFill>
                                  <a:prstDash val="solid"/>
                                  <a:headEnd type="none" w="med" len="med"/>
                                  <a:tailEnd type="triangle" w="med" len="med"/>
                                </a:ln>
                              </wps:spPr>
                              <wps:bodyPr upright="1"/>
                            </wps:wsp>
                            <wps:wsp>
                              <wps:cNvPr id="171" name="文本框 34"/>
                              <wps:cNvSpPr txBox="1"/>
                              <wps:spPr>
                                <a:xfrm>
                                  <a:off x="866140" y="1320800"/>
                                  <a:ext cx="1145540" cy="292100"/>
                                </a:xfrm>
                                <a:prstGeom prst="rect">
                                  <a:avLst/>
                                </a:prstGeom>
                                <a:noFill/>
                                <a:ln w="9525" cap="flat" cmpd="sng">
                                  <a:solidFill>
                                    <a:srgbClr val="000000"/>
                                  </a:solidFill>
                                  <a:prstDash val="dash"/>
                                  <a:miter/>
                                  <a:headEnd type="none" w="med" len="med"/>
                                  <a:tailEnd type="none" w="med" len="med"/>
                                </a:ln>
                              </wps:spPr>
                              <wps:txbx>
                                <w:txbxContent>
                                  <w:p w14:paraId="272F55FA">
                                    <w:pPr>
                                      <w:jc w:val="center"/>
                                      <w:rPr>
                                        <w:rFonts w:hint="default" w:eastAsia="宋体"/>
                                        <w:lang w:val="en-US" w:eastAsia="zh-CN"/>
                                      </w:rPr>
                                    </w:pPr>
                                    <w:r>
                                      <w:rPr>
                                        <w:rFonts w:hint="eastAsia" w:eastAsia="宋体"/>
                                        <w:lang w:val="en-US" w:eastAsia="zh-CN"/>
                                      </w:rPr>
                                      <w:t>有机废气、噪声</w:t>
                                    </w:r>
                                  </w:p>
                                </w:txbxContent>
                              </wps:txbx>
                              <wps:bodyPr vert="horz" anchor="t" anchorCtr="0" upright="1"/>
                            </wps:wsp>
                            <wps:wsp>
                              <wps:cNvPr id="172" name="文本框 34"/>
                              <wps:cNvSpPr txBox="1"/>
                              <wps:spPr>
                                <a:xfrm>
                                  <a:off x="1815465" y="125730"/>
                                  <a:ext cx="1296670" cy="292100"/>
                                </a:xfrm>
                                <a:prstGeom prst="rect">
                                  <a:avLst/>
                                </a:prstGeom>
                                <a:noFill/>
                                <a:ln w="9525" cap="flat" cmpd="sng">
                                  <a:solidFill>
                                    <a:srgbClr val="000000"/>
                                  </a:solidFill>
                                  <a:prstDash val="dash"/>
                                  <a:miter/>
                                  <a:headEnd type="none" w="med" len="med"/>
                                  <a:tailEnd type="none" w="med" len="med"/>
                                </a:ln>
                              </wps:spPr>
                              <wps:txbx>
                                <w:txbxContent>
                                  <w:p w14:paraId="1A09582A">
                                    <w:pPr>
                                      <w:jc w:val="center"/>
                                      <w:rPr>
                                        <w:rFonts w:hint="default" w:eastAsia="宋体"/>
                                        <w:lang w:val="en-US" w:eastAsia="zh-CN"/>
                                      </w:rPr>
                                    </w:pPr>
                                    <w:r>
                                      <w:rPr>
                                        <w:rFonts w:hint="eastAsia" w:eastAsia="宋体"/>
                                        <w:lang w:val="en-US" w:eastAsia="zh-CN"/>
                                      </w:rPr>
                                      <w:t>塑料边角料、噪声</w:t>
                                    </w:r>
                                  </w:p>
                                </w:txbxContent>
                              </wps:txbx>
                              <wps:bodyPr vert="horz" anchor="t" anchorCtr="0" upright="1"/>
                            </wps:wsp>
                            <wps:wsp>
                              <wps:cNvPr id="173" name="文本框 34"/>
                              <wps:cNvSpPr txBox="1">
                                <a:spLocks noChangeArrowheads="1"/>
                              </wps:cNvSpPr>
                              <wps:spPr bwMode="auto">
                                <a:xfrm>
                                  <a:off x="2104390" y="735965"/>
                                  <a:ext cx="638175" cy="292100"/>
                                </a:xfrm>
                                <a:prstGeom prst="rect">
                                  <a:avLst/>
                                </a:prstGeom>
                                <a:noFill/>
                                <a:ln w="9525">
                                  <a:solidFill>
                                    <a:srgbClr val="000000"/>
                                  </a:solidFill>
                                  <a:miter lim="800000"/>
                                </a:ln>
                                <a:effectLst/>
                              </wps:spPr>
                              <wps:txbx>
                                <w:txbxContent>
                                  <w:p w14:paraId="6EAD88CF">
                                    <w:pPr>
                                      <w:jc w:val="center"/>
                                      <w:rPr>
                                        <w:rFonts w:hint="default" w:eastAsia="宋体"/>
                                        <w:lang w:val="en-US" w:eastAsia="zh-CN"/>
                                      </w:rPr>
                                    </w:pPr>
                                    <w:r>
                                      <w:rPr>
                                        <w:rFonts w:hint="eastAsia" w:eastAsia="宋体"/>
                                        <w:lang w:val="en-US" w:eastAsia="zh-CN"/>
                                      </w:rPr>
                                      <w:t>冲压</w:t>
                                    </w:r>
                                  </w:p>
                                </w:txbxContent>
                              </wps:txbx>
                              <wps:bodyPr rot="0" vert="horz" wrap="square" lIns="91440" tIns="45720" rIns="91440" bIns="45720" anchor="t" anchorCtr="0" upright="1">
                                <a:noAutofit/>
                              </wps:bodyPr>
                            </wps:wsp>
                            <wps:wsp>
                              <wps:cNvPr id="174" name="文本框 34"/>
                              <wps:cNvSpPr txBox="1">
                                <a:spLocks noChangeArrowheads="1"/>
                              </wps:cNvSpPr>
                              <wps:spPr bwMode="auto">
                                <a:xfrm>
                                  <a:off x="3067050" y="727075"/>
                                  <a:ext cx="645795" cy="292100"/>
                                </a:xfrm>
                                <a:prstGeom prst="rect">
                                  <a:avLst/>
                                </a:prstGeom>
                                <a:noFill/>
                                <a:ln w="9525">
                                  <a:solidFill>
                                    <a:srgbClr val="000000"/>
                                  </a:solidFill>
                                  <a:miter lim="800000"/>
                                </a:ln>
                                <a:effectLst/>
                              </wps:spPr>
                              <wps:txbx>
                                <w:txbxContent>
                                  <w:p w14:paraId="72635187">
                                    <w:pPr>
                                      <w:jc w:val="center"/>
                                      <w:rPr>
                                        <w:rFonts w:hint="default" w:eastAsia="宋体"/>
                                        <w:lang w:val="en-US" w:eastAsia="zh-CN"/>
                                      </w:rPr>
                                    </w:pPr>
                                    <w:r>
                                      <w:rPr>
                                        <w:rFonts w:hint="eastAsia" w:eastAsia="宋体"/>
                                        <w:lang w:val="en-US" w:eastAsia="zh-CN"/>
                                      </w:rPr>
                                      <w:t>折边</w:t>
                                    </w:r>
                                  </w:p>
                                </w:txbxContent>
                              </wps:txbx>
                              <wps:bodyPr rot="0" vert="horz" wrap="square" lIns="91440" tIns="45720" rIns="91440" bIns="45720" anchor="t" anchorCtr="0" upright="1">
                                <a:noAutofit/>
                              </wps:bodyPr>
                            </wps:wsp>
                            <wps:wsp>
                              <wps:cNvPr id="175" name="直线 710"/>
                              <wps:cNvCnPr/>
                              <wps:spPr>
                                <a:xfrm flipV="1">
                                  <a:off x="1787525" y="873125"/>
                                  <a:ext cx="304800" cy="0"/>
                                </a:xfrm>
                                <a:prstGeom prst="line">
                                  <a:avLst/>
                                </a:prstGeom>
                                <a:ln w="9525" cap="flat" cmpd="sng">
                                  <a:solidFill>
                                    <a:srgbClr val="000000"/>
                                  </a:solidFill>
                                  <a:prstDash val="solid"/>
                                  <a:headEnd type="none" w="med" len="med"/>
                                  <a:tailEnd type="triangle" w="med" len="med"/>
                                </a:ln>
                              </wps:spPr>
                              <wps:bodyPr upright="1"/>
                            </wps:wsp>
                            <wps:wsp>
                              <wps:cNvPr id="176" name="直线 711"/>
                              <wps:cNvCnPr/>
                              <wps:spPr>
                                <a:xfrm flipV="1">
                                  <a:off x="2753995" y="865505"/>
                                  <a:ext cx="304800" cy="0"/>
                                </a:xfrm>
                                <a:prstGeom prst="line">
                                  <a:avLst/>
                                </a:prstGeom>
                                <a:ln w="9525" cap="flat" cmpd="sng">
                                  <a:solidFill>
                                    <a:srgbClr val="000000"/>
                                  </a:solidFill>
                                  <a:prstDash val="solid"/>
                                  <a:headEnd type="none" w="med" len="med"/>
                                  <a:tailEnd type="triangle" w="med" len="med"/>
                                </a:ln>
                              </wps:spPr>
                              <wps:bodyPr upright="1"/>
                            </wps:wsp>
                            <wps:wsp>
                              <wps:cNvPr id="177" name="直线 712"/>
                              <wps:cNvCnPr/>
                              <wps:spPr>
                                <a:xfrm flipV="1">
                                  <a:off x="3712845" y="858520"/>
                                  <a:ext cx="304800" cy="0"/>
                                </a:xfrm>
                                <a:prstGeom prst="line">
                                  <a:avLst/>
                                </a:prstGeom>
                                <a:ln w="9525" cap="flat" cmpd="sng">
                                  <a:solidFill>
                                    <a:srgbClr val="000000"/>
                                  </a:solidFill>
                                  <a:prstDash val="solid"/>
                                  <a:headEnd type="none" w="med" len="med"/>
                                  <a:tailEnd type="triangle" w="med" len="med"/>
                                </a:ln>
                              </wps:spPr>
                              <wps:bodyPr upright="1"/>
                            </wps:wsp>
                            <wps:wsp>
                              <wps:cNvPr id="178" name="文本框 34"/>
                              <wps:cNvSpPr txBox="1">
                                <a:spLocks noChangeArrowheads="1"/>
                              </wps:cNvSpPr>
                              <wps:spPr bwMode="auto">
                                <a:xfrm>
                                  <a:off x="4014470" y="718820"/>
                                  <a:ext cx="663575" cy="292100"/>
                                </a:xfrm>
                                <a:prstGeom prst="rect">
                                  <a:avLst/>
                                </a:prstGeom>
                                <a:noFill/>
                                <a:ln w="9525">
                                  <a:solidFill>
                                    <a:srgbClr val="000000"/>
                                  </a:solidFill>
                                  <a:miter lim="800000"/>
                                </a:ln>
                                <a:effectLst/>
                              </wps:spPr>
                              <wps:txbx>
                                <w:txbxContent>
                                  <w:p w14:paraId="520ACADD">
                                    <w:pPr>
                                      <w:jc w:val="center"/>
                                      <w:rPr>
                                        <w:rFonts w:hint="default" w:eastAsia="宋体"/>
                                        <w:lang w:val="en-US" w:eastAsia="zh-CN"/>
                                      </w:rPr>
                                    </w:pPr>
                                    <w:r>
                                      <w:rPr>
                                        <w:rFonts w:hint="eastAsia" w:eastAsia="宋体"/>
                                        <w:lang w:val="en-US" w:eastAsia="zh-CN"/>
                                      </w:rPr>
                                      <w:t>质检</w:t>
                                    </w:r>
                                  </w:p>
                                </w:txbxContent>
                              </wps:txbx>
                              <wps:bodyPr rot="0" vert="horz" wrap="square" lIns="91440" tIns="45720" rIns="91440" bIns="45720" anchor="t" anchorCtr="0" upright="1">
                                <a:noAutofit/>
                              </wps:bodyPr>
                            </wps:wsp>
                            <wps:wsp>
                              <wps:cNvPr id="179" name="直线 714"/>
                              <wps:cNvCnPr/>
                              <wps:spPr>
                                <a:xfrm flipV="1">
                                  <a:off x="4702175" y="857885"/>
                                  <a:ext cx="304800" cy="0"/>
                                </a:xfrm>
                                <a:prstGeom prst="line">
                                  <a:avLst/>
                                </a:prstGeom>
                                <a:ln w="9525" cap="flat" cmpd="sng">
                                  <a:solidFill>
                                    <a:srgbClr val="000000"/>
                                  </a:solidFill>
                                  <a:prstDash val="solid"/>
                                  <a:headEnd type="none" w="med" len="med"/>
                                  <a:tailEnd type="triangle" w="med" len="med"/>
                                </a:ln>
                              </wps:spPr>
                              <wps:bodyPr upright="1"/>
                            </wps:wsp>
                            <wps:wsp>
                              <wps:cNvPr id="180" name="文本框 16"/>
                              <wps:cNvSpPr txBox="1">
                                <a:spLocks noChangeArrowheads="1"/>
                              </wps:cNvSpPr>
                              <wps:spPr bwMode="auto">
                                <a:xfrm>
                                  <a:off x="4917440" y="706120"/>
                                  <a:ext cx="622300" cy="321310"/>
                                </a:xfrm>
                                <a:prstGeom prst="rect">
                                  <a:avLst/>
                                </a:prstGeom>
                                <a:noFill/>
                                <a:ln>
                                  <a:noFill/>
                                </a:ln>
                                <a:effectLst/>
                              </wps:spPr>
                              <wps:txbx>
                                <w:txbxContent>
                                  <w:p w14:paraId="28D6DB63">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成品</w:t>
                                    </w:r>
                                  </w:p>
                                </w:txbxContent>
                              </wps:txbx>
                              <wps:bodyPr rot="0" vert="horz" wrap="square" lIns="91440" tIns="45720" rIns="91440" bIns="45720" anchor="t" anchorCtr="0" upright="1">
                                <a:noAutofit/>
                              </wps:bodyPr>
                            </wps:wsp>
                            <wps:wsp>
                              <wps:cNvPr id="181" name="直线 716"/>
                              <wps:cNvCnPr/>
                              <wps:spPr>
                                <a:xfrm flipV="1">
                                  <a:off x="2445385" y="424815"/>
                                  <a:ext cx="635" cy="295910"/>
                                </a:xfrm>
                                <a:prstGeom prst="line">
                                  <a:avLst/>
                                </a:prstGeom>
                                <a:ln w="9525" cap="flat" cmpd="sng">
                                  <a:solidFill>
                                    <a:srgbClr val="000000"/>
                                  </a:solidFill>
                                  <a:prstDash val="dash"/>
                                  <a:headEnd type="none" w="med" len="med"/>
                                  <a:tailEnd type="triangle" w="med" len="med"/>
                                </a:ln>
                              </wps:spPr>
                              <wps:bodyPr upright="1"/>
                            </wps:wsp>
                            <wps:wsp>
                              <wps:cNvPr id="250" name="直线 716"/>
                              <wps:cNvCnPr/>
                              <wps:spPr>
                                <a:xfrm flipV="1">
                                  <a:off x="4332605" y="431165"/>
                                  <a:ext cx="635" cy="295910"/>
                                </a:xfrm>
                                <a:prstGeom prst="line">
                                  <a:avLst/>
                                </a:prstGeom>
                                <a:ln w="9525" cap="flat" cmpd="sng">
                                  <a:solidFill>
                                    <a:srgbClr val="000000"/>
                                  </a:solidFill>
                                  <a:prstDash val="dash"/>
                                  <a:headEnd type="none" w="med" len="med"/>
                                  <a:tailEnd type="triangle" w="med" len="med"/>
                                </a:ln>
                              </wps:spPr>
                              <wps:bodyPr upright="1"/>
                            </wps:wsp>
                            <wps:wsp>
                              <wps:cNvPr id="251" name="文本框 34"/>
                              <wps:cNvSpPr txBox="1"/>
                              <wps:spPr>
                                <a:xfrm>
                                  <a:off x="4088765" y="126365"/>
                                  <a:ext cx="496570" cy="292100"/>
                                </a:xfrm>
                                <a:prstGeom prst="rect">
                                  <a:avLst/>
                                </a:prstGeom>
                                <a:noFill/>
                                <a:ln w="9525" cap="flat" cmpd="sng">
                                  <a:solidFill>
                                    <a:srgbClr val="000000"/>
                                  </a:solidFill>
                                  <a:prstDash val="dash"/>
                                  <a:miter/>
                                  <a:headEnd type="none" w="med" len="med"/>
                                  <a:tailEnd type="none" w="med" len="med"/>
                                </a:ln>
                              </wps:spPr>
                              <wps:txbx>
                                <w:txbxContent>
                                  <w:p w14:paraId="52008D7C">
                                    <w:pPr>
                                      <w:jc w:val="center"/>
                                      <w:rPr>
                                        <w:rFonts w:hint="default" w:eastAsia="宋体"/>
                                        <w:lang w:val="en-US" w:eastAsia="zh-CN"/>
                                      </w:rPr>
                                    </w:pPr>
                                    <w:r>
                                      <w:rPr>
                                        <w:rFonts w:hint="eastAsia"/>
                                        <w:lang w:val="en-US" w:eastAsia="zh-CN"/>
                                      </w:rPr>
                                      <w:t>次品</w:t>
                                    </w:r>
                                  </w:p>
                                </w:txbxContent>
                              </wps:txbx>
                              <wps:bodyPr vert="horz" anchor="t" anchorCtr="0" upright="1"/>
                            </wps:wsp>
                          </wpc:wpc>
                        </a:graphicData>
                      </a:graphic>
                    </wp:inline>
                  </w:drawing>
                </mc:Choice>
                <mc:Fallback>
                  <w:pict>
                    <v:group id="画布 271" o:spid="_x0000_s1026" o:spt="203" style="height:139.8pt;width:434.95pt;" coordsize="5523865,1775460" editas="canvas" o:gfxdata="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">
                      <o:lock v:ext="edit" aspectratio="f"/>
                      <v:shape id="画布 271" o:spid="_x0000_s1026" style="position:absolute;left:0;top:0;height:1775460;width:5523865;" filled="f" stroked="f" coordsize="21600,21600" o:gfxdata="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">
                        <v:fill on="f" focussize="0,0"/>
                        <v:stroke on="f"/>
                        <v:imagedata o:title=""/>
                        <o:lock v:ext="edit" aspectratio="t"/>
                      </v:shape>
                      <v:shape id="文本框 16" o:spid="_x0000_s1026" o:spt="202" type="#_x0000_t202" style="position:absolute;left:158750;top:655320;height:438785;width:656590;" filled="f" stroked="f" coordsize="21600,21600" o:gfxdata="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IWp&#10;wcbUAAAABQEAAA8AAAAAAAAAAQAgAAAAIgAAAGRycy9kb3ducmV2LnhtbFBLAQIUABQAAAAIAIdO&#10;4kCmFJgpJwIAAC8EAAAOAAAAAAAAAAEAIAAAACMBAABkcnMvZTJvRG9jLnhtbFBLBQYAAAAABgAG&#10;AFkBAAC8BQAAAAA=&#10;">
                        <v:fill on="f" focussize="0,0"/>
                        <v:stroke on="f"/>
                        <v:imagedata o:title=""/>
                        <o:lock v:ext="edit" aspectratio="f"/>
                        <v:textbox>
                          <w:txbxContent>
                            <w:p w14:paraId="7D5618E1">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各种塑胶原料</w:t>
                              </w:r>
                            </w:p>
                          </w:txbxContent>
                        </v:textbox>
                      </v:shape>
                      <v:shape id="文本框 34" o:spid="_x0000_s1026" o:spt="202" type="#_x0000_t202" style="position:absolute;left:1132205;top:727710;height:292100;width:646430;" filled="f" stroked="t" coordsize="21600,21600" o:gfxdata="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BAy1W11AAAAAUBAAAPAAAAAAAA&#10;AAEAIAAAACIAAABkcnMvZG93bnJldi54bWxQSwECFAAUAAAACACHTuJAJyV09U8CAAB5BAAADgAA&#10;AAAAAAABACAAAAAjAQAAZHJzL2Uyb0RvYy54bWxQSwUGAAAAAAYABgBZAQAA5AUAAAAA&#10;">
                        <v:fill on="f" focussize="0,0"/>
                        <v:stroke color="#000000" miterlimit="8" joinstyle="miter"/>
                        <v:imagedata o:title=""/>
                        <o:lock v:ext="edit" aspectratio="f"/>
                        <v:textbox>
                          <w:txbxContent>
                            <w:p w14:paraId="72A6D230">
                              <w:pPr>
                                <w:jc w:val="center"/>
                                <w:rPr>
                                  <w:rFonts w:hint="eastAsia" w:eastAsia="宋体"/>
                                  <w:lang w:val="en-US" w:eastAsia="zh-CN"/>
                                </w:rPr>
                              </w:pPr>
                              <w:r>
                                <w:rPr>
                                  <w:rFonts w:hint="eastAsia"/>
                                  <w:lang w:val="en-US" w:eastAsia="zh-CN"/>
                                </w:rPr>
                                <w:t>吸塑</w:t>
                              </w:r>
                            </w:p>
                          </w:txbxContent>
                        </v:textbox>
                      </v:shape>
                      <v:line id="直线 688" o:spid="_x0000_s1026" o:spt="20" style="position:absolute;left:1453515;top:1028700;height:292100;width:0;" filled="f" stroked="t" coordsize="21600,21600" o:gfxdata="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oxEXP9gAAAAFAQAADwAAAAAAAAABACAAAAAiAAAAZHJzL2Rvd25y&#10;ZXYueG1sUEsBAhQAFAAAAAgAh07iQAF4n0D+AQAA7QMAAA4AAAAAAAAAAQAgAAAAJwEAAGRycy9l&#10;Mm9Eb2MueG1sUEsFBgAAAAAGAAYAWQEAAJcFAAAAAA==&#10;">
                        <v:fill on="f" focussize="0,0"/>
                        <v:stroke color="#000000" joinstyle="round" dashstyle="dash" endarrow="block"/>
                        <v:imagedata o:title=""/>
                        <o:lock v:ext="edit" aspectratio="f"/>
                      </v:line>
                      <v:line id="直线 697" o:spid="_x0000_s1026" o:spt="20" style="position:absolute;left:808355;top:873760;flip:y;height:635;width:316230;" filled="f" stroked="t" coordsize="21600,21600" o:gfxdata="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sbrBI1wAAAAUBAAAPAAAAAAAAAAEAIAAAACIAAABkcnMv&#10;ZG93bnJldi54bWxQSwECFAAUAAAACACHTuJAHeldDQQCAAD4AwAADgAAAAAAAAABACAAAAAmAQAA&#10;ZHJzL2Uyb0RvYy54bWxQSwUGAAAAAAYABgBZAQAAnAUAAAAA&#10;">
                        <v:fill on="f" focussize="0,0"/>
                        <v:stroke color="#000000" joinstyle="round" endarrow="block"/>
                        <v:imagedata o:title=""/>
                        <o:lock v:ext="edit" aspectratio="f"/>
                      </v:line>
                      <v:shape id="文本框 34" o:spid="_x0000_s1026" o:spt="202" type="#_x0000_t202" style="position:absolute;left:866140;top:1320800;height:292100;width:1145540;" filled="f" stroked="t" coordsize="21600,21600" o:gfxdata="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BHke5zYAAAABQEAAA8AAAAAAAAAAQAgAAAAIgAAAGRycy9kb3ducmV2LnhtbFBLAQIUABQAAAAI&#10;AIdO4kC3UtCcJgIAAD8EAAAOAAAAAAAAAAEAIAAAACcBAABkcnMvZTJvRG9jLnhtbFBLBQYAAAAA&#10;BgAGAFkBAAC/BQAAAAA=&#10;">
                        <v:fill on="f" focussize="0,0"/>
                        <v:stroke color="#000000" joinstyle="miter" dashstyle="dash"/>
                        <v:imagedata o:title=""/>
                        <o:lock v:ext="edit" aspectratio="f"/>
                        <v:textbox>
                          <w:txbxContent>
                            <w:p w14:paraId="272F55FA">
                              <w:pPr>
                                <w:jc w:val="center"/>
                                <w:rPr>
                                  <w:rFonts w:hint="default" w:eastAsia="宋体"/>
                                  <w:lang w:val="en-US" w:eastAsia="zh-CN"/>
                                </w:rPr>
                              </w:pPr>
                              <w:r>
                                <w:rPr>
                                  <w:rFonts w:hint="eastAsia" w:eastAsia="宋体"/>
                                  <w:lang w:val="en-US" w:eastAsia="zh-CN"/>
                                </w:rPr>
                                <w:t>有机废气、噪声</w:t>
                              </w:r>
                            </w:p>
                          </w:txbxContent>
                        </v:textbox>
                      </v:shape>
                      <v:shape id="文本框 34" o:spid="_x0000_s1026" o:spt="202" type="#_x0000_t202" style="position:absolute;left:1815465;top:125730;height:292100;width:1296670;" filled="f" stroked="t" coordsize="21600,21600" o:gfxdata="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R5Huc2AAAAAUBAAAPAAAAAAAAAAEAIAAAACIAAABkcnMvZG93bnJldi54bWxQSwECFAAUAAAA&#10;CACHTuJAm2iStCcCAAA/BAAADgAAAAAAAAABACAAAAAnAQAAZHJzL2Uyb0RvYy54bWxQSwUGAAAA&#10;AAYABgBZAQAAwAUAAAAA&#10;">
                        <v:fill on="f" focussize="0,0"/>
                        <v:stroke color="#000000" joinstyle="miter" dashstyle="dash"/>
                        <v:imagedata o:title=""/>
                        <o:lock v:ext="edit" aspectratio="f"/>
                        <v:textbox>
                          <w:txbxContent>
                            <w:p w14:paraId="1A09582A">
                              <w:pPr>
                                <w:jc w:val="center"/>
                                <w:rPr>
                                  <w:rFonts w:hint="default" w:eastAsia="宋体"/>
                                  <w:lang w:val="en-US" w:eastAsia="zh-CN"/>
                                </w:rPr>
                              </w:pPr>
                              <w:r>
                                <w:rPr>
                                  <w:rFonts w:hint="eastAsia" w:eastAsia="宋体"/>
                                  <w:lang w:val="en-US" w:eastAsia="zh-CN"/>
                                </w:rPr>
                                <w:t>塑料边角料、噪声</w:t>
                              </w:r>
                            </w:p>
                          </w:txbxContent>
                        </v:textbox>
                      </v:shape>
                      <v:shape id="文本框 34" o:spid="_x0000_s1026" o:spt="202" type="#_x0000_t202" style="position:absolute;left:2104390;top:735965;height:292100;width:638175;" filled="f" stroked="t" coordsize="21600,21600" o:gfxdata="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QMtVtdQAAAAFAQAADwAAAAAA&#10;AAABACAAAAAiAAAAZHJzL2Rvd25yZXYueG1sUEsBAhQAFAAAAAgAh07iQI5zA29QAgAAeQQAAA4A&#10;AAAAAAAAAQAgAAAAIwEAAGRycy9lMm9Eb2MueG1sUEsFBgAAAAAGAAYAWQEAAOUFAAAAAA==&#10;">
                        <v:fill on="f" focussize="0,0"/>
                        <v:stroke color="#000000" miterlimit="8" joinstyle="miter"/>
                        <v:imagedata o:title=""/>
                        <o:lock v:ext="edit" aspectratio="f"/>
                        <v:textbox>
                          <w:txbxContent>
                            <w:p w14:paraId="6EAD88CF">
                              <w:pPr>
                                <w:jc w:val="center"/>
                                <w:rPr>
                                  <w:rFonts w:hint="default" w:eastAsia="宋体"/>
                                  <w:lang w:val="en-US" w:eastAsia="zh-CN"/>
                                </w:rPr>
                              </w:pPr>
                              <w:r>
                                <w:rPr>
                                  <w:rFonts w:hint="eastAsia" w:eastAsia="宋体"/>
                                  <w:lang w:val="en-US" w:eastAsia="zh-CN"/>
                                </w:rPr>
                                <w:t>冲压</w:t>
                              </w:r>
                            </w:p>
                          </w:txbxContent>
                        </v:textbox>
                      </v:shape>
                      <v:shape id="文本框 34" o:spid="_x0000_s1026" o:spt="202" type="#_x0000_t202" style="position:absolute;left:3067050;top:727075;height:292100;width:645795;" filled="f" stroked="t" coordsize="21600,21600" o:gfxdata="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EDLVbXUAAAABQEAAA8AAAAA&#10;AAAAAQAgAAAAIgAAAGRycy9kb3ducmV2LnhtbFBLAQIUABQAAAAIAIdO4kBjIGeOUQIAAHkEAAAO&#10;AAAAAAAAAAEAIAAAACMBAABkcnMvZTJvRG9jLnhtbFBLBQYAAAAABgAGAFkBAADmBQAAAAA=&#10;">
                        <v:fill on="f" focussize="0,0"/>
                        <v:stroke color="#000000" miterlimit="8" joinstyle="miter"/>
                        <v:imagedata o:title=""/>
                        <o:lock v:ext="edit" aspectratio="f"/>
                        <v:textbox>
                          <w:txbxContent>
                            <w:p w14:paraId="72635187">
                              <w:pPr>
                                <w:jc w:val="center"/>
                                <w:rPr>
                                  <w:rFonts w:hint="default" w:eastAsia="宋体"/>
                                  <w:lang w:val="en-US" w:eastAsia="zh-CN"/>
                                </w:rPr>
                              </w:pPr>
                              <w:r>
                                <w:rPr>
                                  <w:rFonts w:hint="eastAsia" w:eastAsia="宋体"/>
                                  <w:lang w:val="en-US" w:eastAsia="zh-CN"/>
                                </w:rPr>
                                <w:t>折边</w:t>
                              </w:r>
                            </w:p>
                          </w:txbxContent>
                        </v:textbox>
                      </v:shape>
                      <v:line id="直线 710" o:spid="_x0000_s1026" o:spt="20" style="position:absolute;left:1787525;top:873125;flip:y;height:0;width:304800;" filled="f" stroked="t" coordsize="21600,21600" o:gfxdata="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sbrBI1wAAAAUBAAAPAAAAAAAAAAEAIAAAACIAAABkcnMvZG93&#10;bnJldi54bWxQSwECFAAUAAAACACHTuJAnSEcwQECAAD3AwAADgAAAAAAAAABACAAAAAmAQAAZHJz&#10;L2Uyb0RvYy54bWxQSwUGAAAAAAYABgBZAQAAmQUAAAAA&#10;">
                        <v:fill on="f" focussize="0,0"/>
                        <v:stroke color="#000000" joinstyle="round" endarrow="block"/>
                        <v:imagedata o:title=""/>
                        <o:lock v:ext="edit" aspectratio="f"/>
                      </v:line>
                      <v:line id="直线 711" o:spid="_x0000_s1026" o:spt="20" style="position:absolute;left:2753995;top:865505;flip:y;height:0;width:304800;" filled="f" stroked="t" coordsize="21600,21600" o:gfxdata="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LG6wSNcAAAAFAQAADwAAAAAAAAABACAAAAAiAAAA&#10;ZHJzL2Rvd25yZXYueG1sUEsBAhQAFAAAAAgAh07iQJrR5AIIAgAA9wMAAA4AAAAAAAAAAQAgAAAA&#10;JgEAAGRycy9lMm9Eb2MueG1sUEsFBgAAAAAGAAYAWQEAAKAFAAAAAA==&#10;">
                        <v:fill on="f" focussize="0,0"/>
                        <v:stroke color="#000000" joinstyle="round" endarrow="block"/>
                        <v:imagedata o:title=""/>
                        <o:lock v:ext="edit" aspectratio="f"/>
                      </v:line>
                      <v:line id="直线 712" o:spid="_x0000_s1026" o:spt="20" style="position:absolute;left:3712845;top:858520;flip:y;height:0;width:304800;" filled="f" stroked="t" coordsize="21600,21600" o:gfxdata="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LG6wSNcAAAAFAQAADwAAAAAAAAABACAAAAAiAAAAZHJz&#10;L2Rvd25yZXYueG1sUEsBAhQAFAAAAAgAh07iQF34Q9AFAgAA9wMAAA4AAAAAAAAAAQAgAAAAJgEA&#10;AGRycy9lMm9Eb2MueG1sUEsFBgAAAAAGAAYAWQEAAJ0FAAAAAA==&#10;">
                        <v:fill on="f" focussize="0,0"/>
                        <v:stroke color="#000000" joinstyle="round" endarrow="block"/>
                        <v:imagedata o:title=""/>
                        <o:lock v:ext="edit" aspectratio="f"/>
                      </v:line>
                      <v:shape id="文本框 34" o:spid="_x0000_s1026" o:spt="202" type="#_x0000_t202" style="position:absolute;left:4014470;top:718820;height:292100;width:663575;" filled="f" stroked="t" coordsize="21600,21600" o:gfxdata="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QMtVtdQAAAAFAQAADwAAAAAA&#10;AAABACAAAAAiAAAAZHJzL2Rvd25yZXYueG1sUEsBAhQAFAAAAAgAh07iQNLFNrBQAgAAeQQAAA4A&#10;AAAAAAAAAQAgAAAAIwEAAGRycy9lMm9Eb2MueG1sUEsFBgAAAAAGAAYAWQEAAOUFAAAAAA==&#10;">
                        <v:fill on="f" focussize="0,0"/>
                        <v:stroke color="#000000" miterlimit="8" joinstyle="miter"/>
                        <v:imagedata o:title=""/>
                        <o:lock v:ext="edit" aspectratio="f"/>
                        <v:textbox>
                          <w:txbxContent>
                            <w:p w14:paraId="520ACADD">
                              <w:pPr>
                                <w:jc w:val="center"/>
                                <w:rPr>
                                  <w:rFonts w:hint="default" w:eastAsia="宋体"/>
                                  <w:lang w:val="en-US" w:eastAsia="zh-CN"/>
                                </w:rPr>
                              </w:pPr>
                              <w:r>
                                <w:rPr>
                                  <w:rFonts w:hint="eastAsia" w:eastAsia="宋体"/>
                                  <w:lang w:val="en-US" w:eastAsia="zh-CN"/>
                                </w:rPr>
                                <w:t>质检</w:t>
                              </w:r>
                            </w:p>
                          </w:txbxContent>
                        </v:textbox>
                      </v:shape>
                      <v:line id="直线 714" o:spid="_x0000_s1026" o:spt="20" style="position:absolute;left:4702175;top:857885;flip:y;height:0;width:304800;" filled="f" stroked="t" coordsize="21600,21600" o:gfxdata="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LG6wSNcAAAAFAQAADwAAAAAAAAABACAAAAAiAAAA&#10;ZHJzL2Rvd25yZXYueG1sUEsBAhQAFAAAAAgAh07iQKmNRqsIAgAA9wMAAA4AAAAAAAAAAQAgAAAA&#10;JgEAAGRycy9lMm9Eb2MueG1sUEsFBgAAAAAGAAYAWQEAAKAFAAAAAA==&#10;">
                        <v:fill on="f" focussize="0,0"/>
                        <v:stroke color="#000000" joinstyle="round" endarrow="block"/>
                        <v:imagedata o:title=""/>
                        <o:lock v:ext="edit" aspectratio="f"/>
                      </v:line>
                      <v:shape id="文本框 16" o:spid="_x0000_s1026" o:spt="202" type="#_x0000_t202" style="position:absolute;left:4917440;top:706120;height:321310;width:622300;" filled="f" stroked="f" coordsize="21600,21600" o:gfxdata="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FqcHG&#10;1AAAAAUBAAAPAAAAAAAAAAEAIAAAACIAAABkcnMvZG93bnJldi54bWxQSwECFAAUAAAACACHTuJA&#10;u5AtVSUCAAAwBAAADgAAAAAAAAABACAAAAAjAQAAZHJzL2Uyb0RvYy54bWxQSwUGAAAAAAYABgBZ&#10;AQAAugUAAAAA&#10;">
                        <v:fill on="f" focussize="0,0"/>
                        <v:stroke on="f"/>
                        <v:imagedata o:title=""/>
                        <o:lock v:ext="edit" aspectratio="f"/>
                        <v:textbox>
                          <w:txbxContent>
                            <w:p w14:paraId="28D6DB63">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成品</w:t>
                              </w:r>
                            </w:p>
                          </w:txbxContent>
                        </v:textbox>
                      </v:shape>
                      <v:line id="直线 716" o:spid="_x0000_s1026" o:spt="20" style="position:absolute;left:2445385;top:424815;flip:y;height:295910;width:635;" filled="f" stroked="t" coordsize="21600,21600" o:gfxdata="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9vBHN1AAAAAUBAAAPAAAAAAAAAAEAIAAAACIAAABk&#10;cnMvZG93bnJldi54bWxQSwECFAAUAAAACACHTuJA8tRGOgoCAAD4AwAADgAAAAAAAAABACAAAAAj&#10;AQAAZHJzL2Uyb0RvYy54bWxQSwUGAAAAAAYABgBZAQAAnwUAAAAA&#10;">
                        <v:fill on="f" focussize="0,0"/>
                        <v:stroke color="#000000" joinstyle="round" dashstyle="dash" endarrow="block"/>
                        <v:imagedata o:title=""/>
                        <o:lock v:ext="edit" aspectratio="f"/>
                      </v:line>
                      <v:line id="直线 716" o:spid="_x0000_s1026" o:spt="20" style="position:absolute;left:4332605;top:431165;flip:y;height:295910;width:635;" filled="f" stroked="t" coordsize="21600,21600" o:gfxdata="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9vBHN1AAAAAUBAAAPAAAAAAAAAAEAIAAAACIAAABkcnMv&#10;ZG93bnJldi54bWxQSwECFAAUAAAACACHTuJABkHcZwcCAAD4AwAADgAAAAAAAAABACAAAAAjAQAA&#10;ZHJzL2Uyb0RvYy54bWxQSwUGAAAAAAYABgBZAQAAnAUAAAAA&#10;">
                        <v:fill on="f" focussize="0,0"/>
                        <v:stroke color="#000000" joinstyle="round" dashstyle="dash" endarrow="block"/>
                        <v:imagedata o:title=""/>
                        <o:lock v:ext="edit" aspectratio="f"/>
                      </v:line>
                      <v:shape id="文本框 34" o:spid="_x0000_s1026" o:spt="202" type="#_x0000_t202" style="position:absolute;left:4088765;top:126365;height:292100;width:496570;" filled="f" stroked="t" coordsize="21600,21600" o:gfxdata="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EeR7nNgAAAAFAQAADwAAAAAAAAABACAAAAAiAAAAZHJzL2Rvd25yZXYueG1sUEsBAhQAFAAA&#10;AAgAh07iQPl3f1coAgAAPgQAAA4AAAAAAAAAAQAgAAAAJwEAAGRycy9lMm9Eb2MueG1sUEsFBgAA&#10;AAAGAAYAWQEAAMEFAAAAAA==&#10;">
                        <v:fill on="f" focussize="0,0"/>
                        <v:stroke color="#000000" joinstyle="miter" dashstyle="dash"/>
                        <v:imagedata o:title=""/>
                        <o:lock v:ext="edit" aspectratio="f"/>
                        <v:textbox>
                          <w:txbxContent>
                            <w:p w14:paraId="52008D7C">
                              <w:pPr>
                                <w:jc w:val="center"/>
                                <w:rPr>
                                  <w:rFonts w:hint="default" w:eastAsia="宋体"/>
                                  <w:lang w:val="en-US" w:eastAsia="zh-CN"/>
                                </w:rPr>
                              </w:pPr>
                              <w:r>
                                <w:rPr>
                                  <w:rFonts w:hint="eastAsia"/>
                                  <w:lang w:val="en-US" w:eastAsia="zh-CN"/>
                                </w:rPr>
                                <w:t>次品</w:t>
                              </w:r>
                            </w:p>
                          </w:txbxContent>
                        </v:textbox>
                      </v:shape>
                      <w10:wrap type="none"/>
                      <w10:anchorlock/>
                    </v:group>
                  </w:pict>
                </mc:Fallback>
              </mc:AlternateContent>
            </w:r>
          </w:p>
          <w:p w14:paraId="09BE4F84">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图2-</w:t>
            </w:r>
            <w:r>
              <w:rPr>
                <w:rFonts w:hint="default" w:ascii="Times New Roman" w:hAnsi="Times New Roman" w:eastAsia="宋体" w:cs="Times New Roman"/>
                <w:b/>
                <w:bCs/>
                <w:color w:val="auto"/>
                <w:kern w:val="0"/>
                <w:sz w:val="21"/>
                <w:szCs w:val="21"/>
                <w:highlight w:val="none"/>
                <w:lang w:val="en-US" w:eastAsia="zh-CN"/>
              </w:rPr>
              <w:t>4 现有项目吸塑制品</w:t>
            </w:r>
            <w:r>
              <w:rPr>
                <w:rFonts w:hint="default" w:ascii="Times New Roman" w:hAnsi="Times New Roman" w:eastAsia="宋体" w:cs="Times New Roman"/>
                <w:b/>
                <w:bCs/>
                <w:color w:val="auto"/>
                <w:kern w:val="0"/>
                <w:sz w:val="21"/>
                <w:szCs w:val="21"/>
                <w:highlight w:val="none"/>
              </w:rPr>
              <w:t>工艺流程及产污环节示意图</w:t>
            </w:r>
          </w:p>
          <w:p w14:paraId="6624C716">
            <w:pPr>
              <w:keepNext w:val="0"/>
              <w:keepLines w:val="0"/>
              <w:suppressLineNumbers w:val="0"/>
              <w:adjustRightInd w:val="0"/>
              <w:snapToGrid w:val="0"/>
              <w:spacing w:before="0" w:beforeAutospacing="0" w:after="0" w:afterAutospacing="0" w:line="336" w:lineRule="auto"/>
              <w:ind w:left="0" w:right="0" w:firstLine="422" w:firstLineChars="200"/>
              <w:jc w:val="left"/>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rPr>
              <w:t>工艺流程</w:t>
            </w:r>
            <w:r>
              <w:rPr>
                <w:rFonts w:hint="default" w:ascii="Times New Roman" w:hAnsi="Times New Roman" w:eastAsia="宋体" w:cs="Times New Roman"/>
                <w:b/>
                <w:bCs/>
                <w:color w:val="auto"/>
                <w:sz w:val="21"/>
                <w:szCs w:val="21"/>
                <w:highlight w:val="none"/>
                <w:lang w:val="en-US" w:eastAsia="zh-CN"/>
              </w:rPr>
              <w:t>说明</w:t>
            </w:r>
          </w:p>
          <w:p w14:paraId="78F9CF78">
            <w:pPr>
              <w:pStyle w:val="82"/>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吸塑：</w:t>
            </w:r>
            <w:r>
              <w:rPr>
                <w:rFonts w:hint="default" w:ascii="Times New Roman" w:hAnsi="Times New Roman" w:eastAsia="宋体" w:cs="Times New Roman"/>
                <w:color w:val="auto"/>
                <w:sz w:val="21"/>
                <w:szCs w:val="21"/>
                <w:highlight w:val="none"/>
                <w:lang w:val="en-US" w:eastAsia="zh-CN"/>
              </w:rPr>
              <w:t>使用吸塑机将PVC、APET、PP、ABS和HTPS塑料膜加热软化，通过真空吸附模具冷却定型，形成托盘或外壳等三维结构的吸塑制品。此工序会产生有机废气和噪声。</w:t>
            </w:r>
          </w:p>
          <w:p w14:paraId="59A6FB12">
            <w:pPr>
              <w:pStyle w:val="82"/>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冲压：</w:t>
            </w:r>
            <w:r>
              <w:rPr>
                <w:rFonts w:hint="default" w:ascii="Times New Roman" w:hAnsi="Times New Roman" w:eastAsia="宋体" w:cs="Times New Roman"/>
                <w:color w:val="auto"/>
                <w:sz w:val="21"/>
                <w:szCs w:val="21"/>
                <w:highlight w:val="none"/>
                <w:lang w:val="en-US" w:eastAsia="zh-CN"/>
              </w:rPr>
              <w:t>通过冲床驱动高精度模具对吸塑半成品加压切割，快速分离多余边料与成品部件。此工序会产生塑料边角料和噪声。</w:t>
            </w:r>
          </w:p>
          <w:p w14:paraId="7BF895DD">
            <w:pPr>
              <w:pStyle w:val="82"/>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折边：</w:t>
            </w:r>
            <w:r>
              <w:rPr>
                <w:rFonts w:hint="default" w:ascii="Times New Roman" w:hAnsi="Times New Roman" w:eastAsia="宋体" w:cs="Times New Roman"/>
                <w:color w:val="auto"/>
                <w:sz w:val="21"/>
                <w:szCs w:val="21"/>
                <w:highlight w:val="none"/>
                <w:lang w:val="en-US" w:eastAsia="zh-CN"/>
              </w:rPr>
              <w:t>采用折边机对裁切后的产品边缘进行翻折、卷边等塑性变形，增强结构强度或适配组装需求。</w:t>
            </w:r>
          </w:p>
          <w:p w14:paraId="04240EA5">
            <w:pPr>
              <w:pStyle w:val="82"/>
              <w:keepNext w:val="0"/>
              <w:keepLines w:val="0"/>
              <w:suppressLineNumbers w:val="0"/>
              <w:spacing w:before="0" w:beforeAutospacing="0" w:after="0" w:afterAutospacing="0" w:line="360" w:lineRule="auto"/>
              <w:ind w:left="0" w:right="0" w:firstLine="48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质检：</w:t>
            </w:r>
            <w:r>
              <w:rPr>
                <w:rFonts w:hint="default" w:ascii="Times New Roman" w:hAnsi="Times New Roman" w:eastAsia="宋体" w:cs="Times New Roman"/>
                <w:color w:val="auto"/>
                <w:sz w:val="21"/>
                <w:szCs w:val="21"/>
                <w:highlight w:val="none"/>
                <w:lang w:val="en-US" w:eastAsia="zh-CN"/>
              </w:rPr>
              <w:t>通过人工目检与仪器测量剔除瑕疵品。此工序会产生次品。</w:t>
            </w:r>
          </w:p>
          <w:p w14:paraId="5DAA005F">
            <w:pPr>
              <w:pStyle w:val="120"/>
              <w:keepNext w:val="0"/>
              <w:keepLines w:val="0"/>
              <w:numPr>
                <w:ilvl w:val="0"/>
                <w:numId w:val="0"/>
              </w:numPr>
              <w:suppressLineNumbers w:val="0"/>
              <w:spacing w:before="0" w:beforeAutospacing="0" w:after="0" w:afterAutospacing="0" w:line="360" w:lineRule="auto"/>
              <w:ind w:left="0" w:right="0" w:firstLine="422" w:firstLineChars="200"/>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2、包装纸箱生产工艺流程图及产污环节</w:t>
            </w:r>
          </w:p>
          <w:p w14:paraId="754C416A">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highlight w:val="none"/>
              </w:rPr>
              <mc:AlternateContent>
                <mc:Choice Requires="wpc">
                  <w:drawing>
                    <wp:inline distT="0" distB="0" distL="114300" distR="114300">
                      <wp:extent cx="5525770" cy="1775460"/>
                      <wp:effectExtent l="0" t="0" r="0" b="0"/>
                      <wp:docPr id="207" name="画布 27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83" name="文本框 16"/>
                              <wps:cNvSpPr txBox="1">
                                <a:spLocks noChangeArrowheads="1"/>
                              </wps:cNvSpPr>
                              <wps:spPr bwMode="auto">
                                <a:xfrm>
                                  <a:off x="22860" y="706120"/>
                                  <a:ext cx="511810" cy="295275"/>
                                </a:xfrm>
                                <a:prstGeom prst="rect">
                                  <a:avLst/>
                                </a:prstGeom>
                                <a:noFill/>
                                <a:ln>
                                  <a:noFill/>
                                </a:ln>
                                <a:effectLst/>
                              </wps:spPr>
                              <wps:txbx>
                                <w:txbxContent>
                                  <w:p w14:paraId="14FE2CBF">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纸板</w:t>
                                    </w:r>
                                  </w:p>
                                </w:txbxContent>
                              </wps:txbx>
                              <wps:bodyPr rot="0" vert="horz" wrap="square" lIns="91440" tIns="45720" rIns="91440" bIns="45720" anchor="t" anchorCtr="0" upright="1">
                                <a:noAutofit/>
                              </wps:bodyPr>
                            </wps:wsp>
                            <wps:wsp>
                              <wps:cNvPr id="184" name="文本框 34"/>
                              <wps:cNvSpPr txBox="1">
                                <a:spLocks noChangeArrowheads="1"/>
                              </wps:cNvSpPr>
                              <wps:spPr bwMode="auto">
                                <a:xfrm>
                                  <a:off x="829945" y="735330"/>
                                  <a:ext cx="680085" cy="292100"/>
                                </a:xfrm>
                                <a:prstGeom prst="rect">
                                  <a:avLst/>
                                </a:prstGeom>
                                <a:noFill/>
                                <a:ln w="9525">
                                  <a:solidFill>
                                    <a:srgbClr val="000000"/>
                                  </a:solidFill>
                                  <a:miter lim="800000"/>
                                </a:ln>
                                <a:effectLst/>
                              </wps:spPr>
                              <wps:txbx>
                                <w:txbxContent>
                                  <w:p w14:paraId="42C733D6">
                                    <w:pPr>
                                      <w:jc w:val="center"/>
                                      <w:rPr>
                                        <w:rFonts w:hint="default" w:eastAsia="宋体"/>
                                        <w:lang w:val="en-US" w:eastAsia="zh-CN"/>
                                      </w:rPr>
                                    </w:pPr>
                                    <w:r>
                                      <w:rPr>
                                        <w:rFonts w:hint="eastAsia" w:eastAsia="宋体"/>
                                        <w:lang w:val="en-US" w:eastAsia="zh-CN"/>
                                      </w:rPr>
                                      <w:t>分纸</w:t>
                                    </w:r>
                                  </w:p>
                                </w:txbxContent>
                              </wps:txbx>
                              <wps:bodyPr rot="0" vert="horz" wrap="square" lIns="91440" tIns="45720" rIns="91440" bIns="45720" anchor="t" anchorCtr="0" upright="1">
                                <a:noAutofit/>
                              </wps:bodyPr>
                            </wps:wsp>
                            <wps:wsp>
                              <wps:cNvPr id="185" name="直线 723"/>
                              <wps:cNvCnPr/>
                              <wps:spPr>
                                <a:xfrm>
                                  <a:off x="1183640" y="1028700"/>
                                  <a:ext cx="0" cy="292100"/>
                                </a:xfrm>
                                <a:prstGeom prst="line">
                                  <a:avLst/>
                                </a:prstGeom>
                                <a:ln w="9525" cap="flat" cmpd="sng">
                                  <a:solidFill>
                                    <a:srgbClr val="000000"/>
                                  </a:solidFill>
                                  <a:prstDash val="dash"/>
                                  <a:headEnd type="none" w="med" len="med"/>
                                  <a:tailEnd type="triangle" w="med" len="med"/>
                                </a:ln>
                              </wps:spPr>
                              <wps:bodyPr upright="1"/>
                            </wps:wsp>
                            <wps:wsp>
                              <wps:cNvPr id="186" name="直线 724"/>
                              <wps:cNvCnPr/>
                              <wps:spPr>
                                <a:xfrm flipV="1">
                                  <a:off x="525145" y="862330"/>
                                  <a:ext cx="316230" cy="635"/>
                                </a:xfrm>
                                <a:prstGeom prst="line">
                                  <a:avLst/>
                                </a:prstGeom>
                                <a:ln w="9525" cap="flat" cmpd="sng">
                                  <a:solidFill>
                                    <a:srgbClr val="000000"/>
                                  </a:solidFill>
                                  <a:prstDash val="solid"/>
                                  <a:headEnd type="none" w="med" len="med"/>
                                  <a:tailEnd type="triangle" w="med" len="med"/>
                                </a:ln>
                              </wps:spPr>
                              <wps:bodyPr upright="1"/>
                            </wps:wsp>
                            <wps:wsp>
                              <wps:cNvPr id="187" name="文本框 34"/>
                              <wps:cNvSpPr txBox="1"/>
                              <wps:spPr>
                                <a:xfrm>
                                  <a:off x="602615" y="1334135"/>
                                  <a:ext cx="1145540" cy="292100"/>
                                </a:xfrm>
                                <a:prstGeom prst="rect">
                                  <a:avLst/>
                                </a:prstGeom>
                                <a:noFill/>
                                <a:ln w="9525" cap="flat" cmpd="sng">
                                  <a:solidFill>
                                    <a:srgbClr val="000000"/>
                                  </a:solidFill>
                                  <a:prstDash val="dash"/>
                                  <a:miter/>
                                  <a:headEnd type="none" w="med" len="med"/>
                                  <a:tailEnd type="none" w="med" len="med"/>
                                </a:ln>
                              </wps:spPr>
                              <wps:txbx>
                                <w:txbxContent>
                                  <w:p w14:paraId="38A3716A">
                                    <w:pPr>
                                      <w:jc w:val="center"/>
                                      <w:rPr>
                                        <w:rFonts w:hint="default" w:eastAsia="宋体"/>
                                        <w:lang w:val="en-US" w:eastAsia="zh-CN"/>
                                      </w:rPr>
                                    </w:pPr>
                                    <w:r>
                                      <w:rPr>
                                        <w:rFonts w:hint="eastAsia" w:eastAsia="宋体"/>
                                        <w:lang w:val="en-US" w:eastAsia="zh-CN"/>
                                      </w:rPr>
                                      <w:t>边角料、噪声</w:t>
                                    </w:r>
                                  </w:p>
                                </w:txbxContent>
                              </wps:txbx>
                              <wps:bodyPr vert="horz" anchor="t" anchorCtr="0" upright="1"/>
                            </wps:wsp>
                            <wps:wsp>
                              <wps:cNvPr id="188" name="文本框 34"/>
                              <wps:cNvSpPr txBox="1"/>
                              <wps:spPr>
                                <a:xfrm>
                                  <a:off x="1593850" y="153670"/>
                                  <a:ext cx="1089025" cy="292100"/>
                                </a:xfrm>
                                <a:prstGeom prst="rect">
                                  <a:avLst/>
                                </a:prstGeom>
                                <a:noFill/>
                                <a:ln w="9525" cap="flat" cmpd="sng">
                                  <a:solidFill>
                                    <a:srgbClr val="000000"/>
                                  </a:solidFill>
                                  <a:prstDash val="dash"/>
                                  <a:miter/>
                                  <a:headEnd type="none" w="med" len="med"/>
                                  <a:tailEnd type="none" w="med" len="med"/>
                                </a:ln>
                              </wps:spPr>
                              <wps:txbx>
                                <w:txbxContent>
                                  <w:p w14:paraId="3057C369">
                                    <w:pPr>
                                      <w:jc w:val="center"/>
                                      <w:rPr>
                                        <w:rFonts w:hint="default" w:eastAsia="宋体"/>
                                        <w:lang w:val="en-US" w:eastAsia="zh-CN"/>
                                      </w:rPr>
                                    </w:pPr>
                                    <w:r>
                                      <w:rPr>
                                        <w:rFonts w:hint="eastAsia" w:eastAsia="宋体"/>
                                        <w:lang w:val="en-US" w:eastAsia="zh-CN"/>
                                      </w:rPr>
                                      <w:t>油墨废气、噪声</w:t>
                                    </w:r>
                                  </w:p>
                                </w:txbxContent>
                              </wps:txbx>
                              <wps:bodyPr vert="horz" anchor="t" anchorCtr="0" upright="1"/>
                            </wps:wsp>
                            <wps:wsp>
                              <wps:cNvPr id="189" name="文本框 34"/>
                              <wps:cNvSpPr txBox="1">
                                <a:spLocks noChangeArrowheads="1"/>
                              </wps:cNvSpPr>
                              <wps:spPr bwMode="auto">
                                <a:xfrm>
                                  <a:off x="1811655" y="734695"/>
                                  <a:ext cx="654685" cy="292100"/>
                                </a:xfrm>
                                <a:prstGeom prst="rect">
                                  <a:avLst/>
                                </a:prstGeom>
                                <a:noFill/>
                                <a:ln w="9525">
                                  <a:solidFill>
                                    <a:srgbClr val="000000"/>
                                  </a:solidFill>
                                  <a:miter lim="800000"/>
                                </a:ln>
                                <a:effectLst/>
                              </wps:spPr>
                              <wps:txbx>
                                <w:txbxContent>
                                  <w:p w14:paraId="60CC07DA">
                                    <w:pPr>
                                      <w:jc w:val="center"/>
                                      <w:rPr>
                                        <w:rFonts w:hint="default" w:eastAsia="宋体"/>
                                        <w:lang w:val="en-US" w:eastAsia="zh-CN"/>
                                      </w:rPr>
                                    </w:pPr>
                                    <w:r>
                                      <w:rPr>
                                        <w:rFonts w:hint="eastAsia" w:eastAsia="宋体"/>
                                        <w:lang w:val="en-US" w:eastAsia="zh-CN"/>
                                      </w:rPr>
                                      <w:t>印刷</w:t>
                                    </w:r>
                                  </w:p>
                                </w:txbxContent>
                              </wps:txbx>
                              <wps:bodyPr rot="0" vert="horz" wrap="square" lIns="91440" tIns="45720" rIns="91440" bIns="45720" anchor="t" anchorCtr="0" upright="1">
                                <a:noAutofit/>
                              </wps:bodyPr>
                            </wps:wsp>
                            <wps:wsp>
                              <wps:cNvPr id="190" name="文本框 34"/>
                              <wps:cNvSpPr txBox="1">
                                <a:spLocks noChangeArrowheads="1"/>
                              </wps:cNvSpPr>
                              <wps:spPr bwMode="auto">
                                <a:xfrm>
                                  <a:off x="2760345" y="752475"/>
                                  <a:ext cx="671830" cy="292100"/>
                                </a:xfrm>
                                <a:prstGeom prst="rect">
                                  <a:avLst/>
                                </a:prstGeom>
                                <a:noFill/>
                                <a:ln w="9525">
                                  <a:solidFill>
                                    <a:srgbClr val="000000"/>
                                  </a:solidFill>
                                  <a:miter lim="800000"/>
                                </a:ln>
                                <a:effectLst/>
                              </wps:spPr>
                              <wps:txbx>
                                <w:txbxContent>
                                  <w:p w14:paraId="366AA0B3">
                                    <w:pPr>
                                      <w:jc w:val="center"/>
                                      <w:rPr>
                                        <w:rFonts w:hint="default" w:eastAsia="宋体"/>
                                        <w:lang w:val="en-US" w:eastAsia="zh-CN"/>
                                      </w:rPr>
                                    </w:pPr>
                                    <w:r>
                                      <w:rPr>
                                        <w:rFonts w:hint="eastAsia" w:eastAsia="宋体"/>
                                        <w:lang w:val="en-US" w:eastAsia="zh-CN"/>
                                      </w:rPr>
                                      <w:t>开槽</w:t>
                                    </w:r>
                                  </w:p>
                                </w:txbxContent>
                              </wps:txbx>
                              <wps:bodyPr rot="0" vert="horz" wrap="square" lIns="91440" tIns="45720" rIns="91440" bIns="45720" anchor="t" anchorCtr="0" upright="1">
                                <a:noAutofit/>
                              </wps:bodyPr>
                            </wps:wsp>
                            <wps:wsp>
                              <wps:cNvPr id="191" name="直线 729"/>
                              <wps:cNvCnPr/>
                              <wps:spPr>
                                <a:xfrm flipV="1">
                                  <a:off x="1503680" y="866140"/>
                                  <a:ext cx="304800" cy="0"/>
                                </a:xfrm>
                                <a:prstGeom prst="line">
                                  <a:avLst/>
                                </a:prstGeom>
                                <a:ln w="9525" cap="flat" cmpd="sng">
                                  <a:solidFill>
                                    <a:srgbClr val="000000"/>
                                  </a:solidFill>
                                  <a:prstDash val="solid"/>
                                  <a:headEnd type="none" w="med" len="med"/>
                                  <a:tailEnd type="triangle" w="med" len="med"/>
                                </a:ln>
                              </wps:spPr>
                              <wps:bodyPr upright="1"/>
                            </wps:wsp>
                            <wps:wsp>
                              <wps:cNvPr id="192" name="直线 730"/>
                              <wps:cNvCnPr/>
                              <wps:spPr>
                                <a:xfrm flipV="1">
                                  <a:off x="2469515" y="872490"/>
                                  <a:ext cx="304800" cy="0"/>
                                </a:xfrm>
                                <a:prstGeom prst="line">
                                  <a:avLst/>
                                </a:prstGeom>
                                <a:ln w="9525" cap="flat" cmpd="sng">
                                  <a:solidFill>
                                    <a:srgbClr val="000000"/>
                                  </a:solidFill>
                                  <a:prstDash val="solid"/>
                                  <a:headEnd type="none" w="med" len="med"/>
                                  <a:tailEnd type="triangle" w="med" len="med"/>
                                </a:ln>
                              </wps:spPr>
                              <wps:bodyPr upright="1"/>
                            </wps:wsp>
                            <wps:wsp>
                              <wps:cNvPr id="193" name="直线 731"/>
                              <wps:cNvCnPr/>
                              <wps:spPr>
                                <a:xfrm flipV="1">
                                  <a:off x="3428365" y="872490"/>
                                  <a:ext cx="304800" cy="0"/>
                                </a:xfrm>
                                <a:prstGeom prst="line">
                                  <a:avLst/>
                                </a:prstGeom>
                                <a:ln w="9525" cap="flat" cmpd="sng">
                                  <a:solidFill>
                                    <a:srgbClr val="000000"/>
                                  </a:solidFill>
                                  <a:prstDash val="solid"/>
                                  <a:headEnd type="none" w="med" len="med"/>
                                  <a:tailEnd type="triangle" w="med" len="med"/>
                                </a:ln>
                              </wps:spPr>
                              <wps:bodyPr upright="1"/>
                            </wps:wsp>
                            <wps:wsp>
                              <wps:cNvPr id="194" name="文本框 34"/>
                              <wps:cNvSpPr txBox="1">
                                <a:spLocks noChangeArrowheads="1"/>
                              </wps:cNvSpPr>
                              <wps:spPr bwMode="auto">
                                <a:xfrm>
                                  <a:off x="3742055" y="751840"/>
                                  <a:ext cx="645795" cy="292100"/>
                                </a:xfrm>
                                <a:prstGeom prst="rect">
                                  <a:avLst/>
                                </a:prstGeom>
                                <a:noFill/>
                                <a:ln w="9525">
                                  <a:solidFill>
                                    <a:srgbClr val="000000"/>
                                  </a:solidFill>
                                  <a:miter lim="800000"/>
                                </a:ln>
                                <a:effectLst/>
                              </wps:spPr>
                              <wps:txbx>
                                <w:txbxContent>
                                  <w:p w14:paraId="5F6AA9B8">
                                    <w:pPr>
                                      <w:jc w:val="center"/>
                                      <w:rPr>
                                        <w:rFonts w:hint="default" w:eastAsia="宋体"/>
                                        <w:lang w:val="en-US" w:eastAsia="zh-CN"/>
                                      </w:rPr>
                                    </w:pPr>
                                    <w:r>
                                      <w:rPr>
                                        <w:rFonts w:hint="eastAsia" w:eastAsia="宋体"/>
                                        <w:lang w:val="en-US" w:eastAsia="zh-CN"/>
                                      </w:rPr>
                                      <w:t>打钉</w:t>
                                    </w:r>
                                  </w:p>
                                </w:txbxContent>
                              </wps:txbx>
                              <wps:bodyPr rot="0" vert="horz" wrap="square" lIns="91440" tIns="45720" rIns="91440" bIns="45720" anchor="t" anchorCtr="0" upright="1">
                                <a:noAutofit/>
                              </wps:bodyPr>
                            </wps:wsp>
                            <wps:wsp>
                              <wps:cNvPr id="195" name="直线 733"/>
                              <wps:cNvCnPr/>
                              <wps:spPr>
                                <a:xfrm flipV="1">
                                  <a:off x="4384675" y="865505"/>
                                  <a:ext cx="304800" cy="0"/>
                                </a:xfrm>
                                <a:prstGeom prst="line">
                                  <a:avLst/>
                                </a:prstGeom>
                                <a:ln w="9525" cap="flat" cmpd="sng">
                                  <a:solidFill>
                                    <a:srgbClr val="000000"/>
                                  </a:solidFill>
                                  <a:prstDash val="solid"/>
                                  <a:headEnd type="none" w="med" len="med"/>
                                  <a:tailEnd type="triangle" w="med" len="med"/>
                                </a:ln>
                              </wps:spPr>
                              <wps:bodyPr upright="1"/>
                            </wps:wsp>
                            <wps:wsp>
                              <wps:cNvPr id="197" name="直线 735"/>
                              <wps:cNvCnPr/>
                              <wps:spPr>
                                <a:xfrm flipV="1">
                                  <a:off x="2147570" y="452120"/>
                                  <a:ext cx="635" cy="295910"/>
                                </a:xfrm>
                                <a:prstGeom prst="line">
                                  <a:avLst/>
                                </a:prstGeom>
                                <a:ln w="9525" cap="flat" cmpd="sng">
                                  <a:solidFill>
                                    <a:srgbClr val="000000"/>
                                  </a:solidFill>
                                  <a:prstDash val="dash"/>
                                  <a:headEnd type="none" w="med" len="med"/>
                                  <a:tailEnd type="triangle" w="med" len="med"/>
                                </a:ln>
                              </wps:spPr>
                              <wps:bodyPr upright="1"/>
                            </wps:wsp>
                            <wps:wsp>
                              <wps:cNvPr id="198" name="直线 737"/>
                              <wps:cNvCnPr/>
                              <wps:spPr>
                                <a:xfrm>
                                  <a:off x="3095625" y="1038860"/>
                                  <a:ext cx="0" cy="292100"/>
                                </a:xfrm>
                                <a:prstGeom prst="line">
                                  <a:avLst/>
                                </a:prstGeom>
                                <a:ln w="9525" cap="flat" cmpd="sng">
                                  <a:solidFill>
                                    <a:srgbClr val="000000"/>
                                  </a:solidFill>
                                  <a:prstDash val="dash"/>
                                  <a:headEnd type="none" w="med" len="med"/>
                                  <a:tailEnd type="triangle" w="med" len="med"/>
                                </a:ln>
                              </wps:spPr>
                              <wps:bodyPr upright="1"/>
                            </wps:wsp>
                            <wps:wsp>
                              <wps:cNvPr id="199" name="文本框 34"/>
                              <wps:cNvSpPr txBox="1"/>
                              <wps:spPr>
                                <a:xfrm>
                                  <a:off x="2506980" y="1336675"/>
                                  <a:ext cx="1143000" cy="292100"/>
                                </a:xfrm>
                                <a:prstGeom prst="rect">
                                  <a:avLst/>
                                </a:prstGeom>
                                <a:noFill/>
                                <a:ln w="9525" cap="flat" cmpd="sng">
                                  <a:solidFill>
                                    <a:srgbClr val="000000"/>
                                  </a:solidFill>
                                  <a:prstDash val="dash"/>
                                  <a:miter/>
                                  <a:headEnd type="none" w="med" len="med"/>
                                  <a:tailEnd type="none" w="med" len="med"/>
                                </a:ln>
                              </wps:spPr>
                              <wps:txbx>
                                <w:txbxContent>
                                  <w:p w14:paraId="05715720">
                                    <w:pPr>
                                      <w:jc w:val="center"/>
                                      <w:rPr>
                                        <w:rFonts w:hint="default" w:eastAsia="宋体"/>
                                        <w:lang w:val="en-US" w:eastAsia="zh-CN"/>
                                      </w:rPr>
                                    </w:pPr>
                                    <w:r>
                                      <w:rPr>
                                        <w:rFonts w:hint="eastAsia" w:eastAsia="宋体"/>
                                        <w:lang w:val="en-US" w:eastAsia="zh-CN"/>
                                      </w:rPr>
                                      <w:t>边角料、噪声</w:t>
                                    </w:r>
                                  </w:p>
                                </w:txbxContent>
                              </wps:txbx>
                              <wps:bodyPr vert="horz" anchor="t" anchorCtr="0" upright="1"/>
                            </wps:wsp>
                            <wps:wsp>
                              <wps:cNvPr id="200" name="直线 739"/>
                              <wps:cNvCnPr/>
                              <wps:spPr>
                                <a:xfrm flipV="1">
                                  <a:off x="4051935" y="435610"/>
                                  <a:ext cx="0" cy="292100"/>
                                </a:xfrm>
                                <a:prstGeom prst="line">
                                  <a:avLst/>
                                </a:prstGeom>
                                <a:ln w="9525" cap="flat" cmpd="sng">
                                  <a:solidFill>
                                    <a:srgbClr val="000000"/>
                                  </a:solidFill>
                                  <a:prstDash val="dash"/>
                                  <a:headEnd type="none" w="med" len="med"/>
                                  <a:tailEnd type="triangle" w="med" len="med"/>
                                </a:ln>
                              </wps:spPr>
                              <wps:bodyPr upright="1"/>
                            </wps:wsp>
                            <wps:wsp>
                              <wps:cNvPr id="201" name="文本框 34"/>
                              <wps:cNvSpPr txBox="1"/>
                              <wps:spPr>
                                <a:xfrm>
                                  <a:off x="3810000" y="145415"/>
                                  <a:ext cx="483235" cy="292100"/>
                                </a:xfrm>
                                <a:prstGeom prst="rect">
                                  <a:avLst/>
                                </a:prstGeom>
                                <a:noFill/>
                                <a:ln w="9525" cap="flat" cmpd="sng">
                                  <a:solidFill>
                                    <a:srgbClr val="000000"/>
                                  </a:solidFill>
                                  <a:prstDash val="dash"/>
                                  <a:miter/>
                                  <a:headEnd type="none" w="med" len="med"/>
                                  <a:tailEnd type="none" w="med" len="med"/>
                                </a:ln>
                              </wps:spPr>
                              <wps:txbx>
                                <w:txbxContent>
                                  <w:p w14:paraId="2C3070DF">
                                    <w:pPr>
                                      <w:jc w:val="center"/>
                                      <w:rPr>
                                        <w:rFonts w:hint="default" w:eastAsia="宋体"/>
                                        <w:lang w:val="en-US" w:eastAsia="zh-CN"/>
                                      </w:rPr>
                                    </w:pPr>
                                    <w:r>
                                      <w:rPr>
                                        <w:rFonts w:hint="eastAsia" w:eastAsia="宋体"/>
                                        <w:lang w:val="en-US" w:eastAsia="zh-CN"/>
                                      </w:rPr>
                                      <w:t>噪声</w:t>
                                    </w:r>
                                  </w:p>
                                </w:txbxContent>
                              </wps:txbx>
                              <wps:bodyPr vert="horz" anchor="t" anchorCtr="0" upright="1"/>
                            </wps:wsp>
                            <wps:wsp>
                              <wps:cNvPr id="202" name="文本框 34"/>
                              <wps:cNvSpPr txBox="1">
                                <a:spLocks noChangeArrowheads="1"/>
                              </wps:cNvSpPr>
                              <wps:spPr bwMode="auto">
                                <a:xfrm>
                                  <a:off x="4699635" y="742950"/>
                                  <a:ext cx="645795" cy="292100"/>
                                </a:xfrm>
                                <a:prstGeom prst="rect">
                                  <a:avLst/>
                                </a:prstGeom>
                                <a:noFill/>
                                <a:ln w="9525">
                                  <a:solidFill>
                                    <a:srgbClr val="000000"/>
                                  </a:solidFill>
                                  <a:miter lim="800000"/>
                                </a:ln>
                                <a:effectLst/>
                              </wps:spPr>
                              <wps:txbx>
                                <w:txbxContent>
                                  <w:p w14:paraId="30DB3557">
                                    <w:pPr>
                                      <w:jc w:val="center"/>
                                      <w:rPr>
                                        <w:rFonts w:hint="default" w:eastAsia="宋体"/>
                                        <w:lang w:val="en-US" w:eastAsia="zh-CN"/>
                                      </w:rPr>
                                    </w:pPr>
                                    <w:r>
                                      <w:rPr>
                                        <w:rFonts w:hint="eastAsia" w:eastAsia="宋体"/>
                                        <w:lang w:val="en-US" w:eastAsia="zh-CN"/>
                                      </w:rPr>
                                      <w:t>成型</w:t>
                                    </w:r>
                                  </w:p>
                                </w:txbxContent>
                              </wps:txbx>
                              <wps:bodyPr rot="0" vert="horz" wrap="square" lIns="91440" tIns="45720" rIns="91440" bIns="45720" anchor="t" anchorCtr="0" upright="1">
                                <a:noAutofit/>
                              </wps:bodyPr>
                            </wps:wsp>
                            <wps:wsp>
                              <wps:cNvPr id="203" name="直线 742"/>
                              <wps:cNvCnPr/>
                              <wps:spPr>
                                <a:xfrm flipV="1">
                                  <a:off x="5021580" y="443230"/>
                                  <a:ext cx="0" cy="292100"/>
                                </a:xfrm>
                                <a:prstGeom prst="line">
                                  <a:avLst/>
                                </a:prstGeom>
                                <a:ln w="9525" cap="flat" cmpd="sng">
                                  <a:solidFill>
                                    <a:srgbClr val="000000"/>
                                  </a:solidFill>
                                  <a:prstDash val="dash"/>
                                  <a:headEnd type="none" w="med" len="med"/>
                                  <a:tailEnd type="triangle" w="med" len="med"/>
                                </a:ln>
                              </wps:spPr>
                              <wps:bodyPr upright="1"/>
                            </wps:wsp>
                            <wps:wsp>
                              <wps:cNvPr id="204" name="文本框 34"/>
                              <wps:cNvSpPr txBox="1"/>
                              <wps:spPr>
                                <a:xfrm>
                                  <a:off x="4785995" y="152400"/>
                                  <a:ext cx="482600" cy="292100"/>
                                </a:xfrm>
                                <a:prstGeom prst="rect">
                                  <a:avLst/>
                                </a:prstGeom>
                                <a:noFill/>
                                <a:ln w="9525" cap="flat" cmpd="sng">
                                  <a:solidFill>
                                    <a:srgbClr val="000000"/>
                                  </a:solidFill>
                                  <a:prstDash val="dash"/>
                                  <a:miter/>
                                  <a:headEnd type="none" w="med" len="med"/>
                                  <a:tailEnd type="none" w="med" len="med"/>
                                </a:ln>
                              </wps:spPr>
                              <wps:txbx>
                                <w:txbxContent>
                                  <w:p w14:paraId="17EBC964">
                                    <w:pPr>
                                      <w:jc w:val="center"/>
                                      <w:rPr>
                                        <w:rFonts w:hint="default" w:eastAsia="宋体"/>
                                        <w:lang w:val="en-US" w:eastAsia="zh-CN"/>
                                      </w:rPr>
                                    </w:pPr>
                                    <w:r>
                                      <w:rPr>
                                        <w:rFonts w:hint="eastAsia" w:eastAsia="宋体"/>
                                        <w:lang w:val="en-US" w:eastAsia="zh-CN"/>
                                      </w:rPr>
                                      <w:t>噪声</w:t>
                                    </w:r>
                                  </w:p>
                                </w:txbxContent>
                              </wps:txbx>
                              <wps:bodyPr vert="horz" anchor="t" anchorCtr="0" upright="1"/>
                            </wps:wsp>
                            <wps:wsp>
                              <wps:cNvPr id="205" name="直线 746"/>
                              <wps:cNvCnPr/>
                              <wps:spPr>
                                <a:xfrm>
                                  <a:off x="5020310" y="1050290"/>
                                  <a:ext cx="0" cy="292100"/>
                                </a:xfrm>
                                <a:prstGeom prst="line">
                                  <a:avLst/>
                                </a:prstGeom>
                                <a:ln w="9525" cap="flat" cmpd="sng">
                                  <a:solidFill>
                                    <a:srgbClr val="000000"/>
                                  </a:solidFill>
                                  <a:prstDash val="solid"/>
                                  <a:headEnd type="none" w="med" len="med"/>
                                  <a:tailEnd type="triangle" w="med" len="med"/>
                                </a:ln>
                              </wps:spPr>
                              <wps:bodyPr upright="1"/>
                            </wps:wsp>
                            <wps:wsp>
                              <wps:cNvPr id="206" name="文本框 16"/>
                              <wps:cNvSpPr txBox="1">
                                <a:spLocks noChangeArrowheads="1"/>
                              </wps:cNvSpPr>
                              <wps:spPr bwMode="auto">
                                <a:xfrm>
                                  <a:off x="4595495" y="1315720"/>
                                  <a:ext cx="808355" cy="303530"/>
                                </a:xfrm>
                                <a:prstGeom prst="rect">
                                  <a:avLst/>
                                </a:prstGeom>
                                <a:noFill/>
                                <a:ln>
                                  <a:noFill/>
                                </a:ln>
                                <a:effectLst/>
                              </wps:spPr>
                              <wps:txbx>
                                <w:txbxContent>
                                  <w:p w14:paraId="6F0ECA2E">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纸箱</w:t>
                                    </w:r>
                                  </w:p>
                                </w:txbxContent>
                              </wps:txbx>
                              <wps:bodyPr rot="0" vert="horz" wrap="square" lIns="91440" tIns="45720" rIns="91440" bIns="45720" anchor="t" anchorCtr="0" upright="1">
                                <a:noAutofit/>
                              </wps:bodyPr>
                            </wps:wsp>
                          </wpc:wpc>
                        </a:graphicData>
                      </a:graphic>
                    </wp:inline>
                  </w:drawing>
                </mc:Choice>
                <mc:Fallback>
                  <w:pict>
                    <v:group id="画布 271" o:spid="_x0000_s1026" o:spt="203" style="height:139.8pt;width:435.1pt;" coordsize="5525770,1775460" editas="canvas" o:gfxdata="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">
                      <o:lock v:ext="edit" aspectratio="f"/>
                      <v:shape id="画布 271" o:spid="_x0000_s1026" style="position:absolute;left:0;top:0;height:1775460;width:5525770;" filled="f" stroked="f" coordsize="21600,21600" o:gfxdata="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">
                        <v:fill on="f" focussize="0,0"/>
                        <v:stroke on="f"/>
                        <v:imagedata o:title=""/>
                        <o:lock v:ext="edit" aspectratio="t"/>
                      </v:shape>
                      <v:shape id="文本框 16" o:spid="_x0000_s1026" o:spt="202" type="#_x0000_t202" style="position:absolute;left:22860;top:706120;height:295275;width:511810;" filled="f" stroked="f" coordsize="21600,21600" o:gfxdata="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xLkL&#10;ONQAAAAFAQAADwAAAAAAAAABACAAAAAiAAAAZHJzL2Rvd25yZXYueG1sUEsBAhQAFAAAAAgAh07i&#10;QJwmH2YmAgAALgQAAA4AAAAAAAAAAQAgAAAAIwEAAGRycy9lMm9Eb2MueG1sUEsFBgAAAAAGAAYA&#10;WQEAALsFAAAAAA==&#10;">
                        <v:fill on="f" focussize="0,0"/>
                        <v:stroke on="f"/>
                        <v:imagedata o:title=""/>
                        <o:lock v:ext="edit" aspectratio="f"/>
                        <v:textbox>
                          <w:txbxContent>
                            <w:p w14:paraId="14FE2CBF">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纸板</w:t>
                              </w:r>
                            </w:p>
                          </w:txbxContent>
                        </v:textbox>
                      </v:shape>
                      <v:shape id="文本框 34" o:spid="_x0000_s1026" o:spt="202" type="#_x0000_t202" style="position:absolute;left:829945;top:735330;height:292100;width:680085;" filled="f" stroked="t" coordsize="21600,21600" o:gfxdata="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B259L1AAAAAUBAAAPAAAAAAAA&#10;AAEAIAAAACIAAABkcnMvZG93bnJldi54bWxQSwECFAAUAAAACACHTuJAiIV5jk8CAAB4BAAADgAA&#10;AAAAAAABACAAAAAjAQAAZHJzL2Uyb0RvYy54bWxQSwUGAAAAAAYABgBZAQAA5AUAAAAA&#10;">
                        <v:fill on="f" focussize="0,0"/>
                        <v:stroke color="#000000" miterlimit="8" joinstyle="miter"/>
                        <v:imagedata o:title=""/>
                        <o:lock v:ext="edit" aspectratio="f"/>
                        <v:textbox>
                          <w:txbxContent>
                            <w:p w14:paraId="42C733D6">
                              <w:pPr>
                                <w:jc w:val="center"/>
                                <w:rPr>
                                  <w:rFonts w:hint="default" w:eastAsia="宋体"/>
                                  <w:lang w:val="en-US" w:eastAsia="zh-CN"/>
                                </w:rPr>
                              </w:pPr>
                              <w:r>
                                <w:rPr>
                                  <w:rFonts w:hint="eastAsia" w:eastAsia="宋体"/>
                                  <w:lang w:val="en-US" w:eastAsia="zh-CN"/>
                                </w:rPr>
                                <w:t>分纸</w:t>
                              </w:r>
                            </w:p>
                          </w:txbxContent>
                        </v:textbox>
                      </v:shape>
                      <v:line id="直线 723" o:spid="_x0000_s1026" o:spt="20" style="position:absolute;left:1183640;top:1028700;height:292100;width:0;" filled="f" stroked="t" coordsize="21600,21600" o:gfxdata="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4gHdwdgAAAAFAQAADwAAAAAAAAABACAAAAAiAAAAZHJzL2Rvd25y&#10;ZXYueG1sUEsBAhQAFAAAAAgAh07iQIFwpAH+AQAA7QMAAA4AAAAAAAAAAQAgAAAAJwEAAGRycy9l&#10;Mm9Eb2MueG1sUEsFBgAAAAAGAAYAWQEAAJcFAAAAAA==&#10;">
                        <v:fill on="f" focussize="0,0"/>
                        <v:stroke color="#000000" joinstyle="round" dashstyle="dash" endarrow="block"/>
                        <v:imagedata o:title=""/>
                        <o:lock v:ext="edit" aspectratio="f"/>
                      </v:line>
                      <v:line id="直线 724" o:spid="_x0000_s1026" o:spt="20" style="position:absolute;left:525145;top:862330;flip:y;height:635;width:316230;" filled="f" stroked="t" coordsize="21600,21600" o:gfxdata="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tfnq21wAAAAUBAAAPAAAAAAAAAAEAIAAAACIAAABkcnMv&#10;ZG93bnJldi54bWxQSwECFAAUAAAACACHTuJAWV9HlgQCAAD4AwAADgAAAAAAAAABACAAAAAmAQAA&#10;ZHJzL2Uyb0RvYy54bWxQSwUGAAAAAAYABgBZAQAAnAUAAAAA&#10;">
                        <v:fill on="f" focussize="0,0"/>
                        <v:stroke color="#000000" joinstyle="round" endarrow="block"/>
                        <v:imagedata o:title=""/>
                        <o:lock v:ext="edit" aspectratio="f"/>
                      </v:line>
                      <v:shape id="文本框 34" o:spid="_x0000_s1026" o:spt="202" type="#_x0000_t202" style="position:absolute;left:602615;top:1334135;height:292100;width:1145540;" filled="f" stroked="t" coordsize="21600,21600" o:gfxdata="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UPSxYtcAAAAFAQAADwAAAAAAAAABACAAAAAiAAAAZHJzL2Rvd25yZXYueG1sUEsBAhQAFAAA&#10;AAgAh07iQIR6rtgpAgAAPwQAAA4AAAAAAAAAAQAgAAAAJgEAAGRycy9lMm9Eb2MueG1sUEsFBgAA&#10;AAAGAAYAWQEAAMEFAAAAAA==&#10;">
                        <v:fill on="f" focussize="0,0"/>
                        <v:stroke color="#000000" joinstyle="miter" dashstyle="dash"/>
                        <v:imagedata o:title=""/>
                        <o:lock v:ext="edit" aspectratio="f"/>
                        <v:textbox>
                          <w:txbxContent>
                            <w:p w14:paraId="38A3716A">
                              <w:pPr>
                                <w:jc w:val="center"/>
                                <w:rPr>
                                  <w:rFonts w:hint="default" w:eastAsia="宋体"/>
                                  <w:lang w:val="en-US" w:eastAsia="zh-CN"/>
                                </w:rPr>
                              </w:pPr>
                              <w:r>
                                <w:rPr>
                                  <w:rFonts w:hint="eastAsia" w:eastAsia="宋体"/>
                                  <w:lang w:val="en-US" w:eastAsia="zh-CN"/>
                                </w:rPr>
                                <w:t>边角料、噪声</w:t>
                              </w:r>
                            </w:p>
                          </w:txbxContent>
                        </v:textbox>
                      </v:shape>
                      <v:shape id="文本框 34" o:spid="_x0000_s1026" o:spt="202" type="#_x0000_t202" style="position:absolute;left:1593850;top:153670;height:292100;width:1089025;" filled="f" stroked="t" coordsize="21600,21600" o:gfxdata="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FD0&#10;sWLXAAAABQEAAA8AAAAAAAAAAQAgAAAAIgAAAGRycy9kb3ducmV2LnhtbFBLAQIUABQAAAAIAIdO&#10;4kAF/8cRJAIAAD8EAAAOAAAAAAAAAAEAIAAAACYBAABkcnMvZTJvRG9jLnhtbFBLBQYAAAAABgAG&#10;AFkBAAC8BQAAAAA=&#10;">
                        <v:fill on="f" focussize="0,0"/>
                        <v:stroke color="#000000" joinstyle="miter" dashstyle="dash"/>
                        <v:imagedata o:title=""/>
                        <o:lock v:ext="edit" aspectratio="f"/>
                        <v:textbox>
                          <w:txbxContent>
                            <w:p w14:paraId="3057C369">
                              <w:pPr>
                                <w:jc w:val="center"/>
                                <w:rPr>
                                  <w:rFonts w:hint="default" w:eastAsia="宋体"/>
                                  <w:lang w:val="en-US" w:eastAsia="zh-CN"/>
                                </w:rPr>
                              </w:pPr>
                              <w:r>
                                <w:rPr>
                                  <w:rFonts w:hint="eastAsia" w:eastAsia="宋体"/>
                                  <w:lang w:val="en-US" w:eastAsia="zh-CN"/>
                                </w:rPr>
                                <w:t>油墨废气、噪声</w:t>
                              </w:r>
                            </w:p>
                          </w:txbxContent>
                        </v:textbox>
                      </v:shape>
                      <v:shape id="文本框 34" o:spid="_x0000_s1026" o:spt="202" type="#_x0000_t202" style="position:absolute;left:1811655;top:734695;height:292100;width:654685;" filled="f" stroked="t" coordsize="21600,21600" o:gfxdata="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AHbn0vUAAAABQEAAA8AAAAA&#10;AAAAAQAgAAAAIgAAAGRycy9kb3ducmV2LnhtbFBLAQIUABQAAAAIAIdO4kBXdeH1UQIAAHkEAAAO&#10;AAAAAAAAAAEAIAAAACMBAABkcnMvZTJvRG9jLnhtbFBLBQYAAAAABgAGAFkBAADmBQAAAAA=&#10;">
                        <v:fill on="f" focussize="0,0"/>
                        <v:stroke color="#000000" miterlimit="8" joinstyle="miter"/>
                        <v:imagedata o:title=""/>
                        <o:lock v:ext="edit" aspectratio="f"/>
                        <v:textbox>
                          <w:txbxContent>
                            <w:p w14:paraId="60CC07DA">
                              <w:pPr>
                                <w:jc w:val="center"/>
                                <w:rPr>
                                  <w:rFonts w:hint="default" w:eastAsia="宋体"/>
                                  <w:lang w:val="en-US" w:eastAsia="zh-CN"/>
                                </w:rPr>
                              </w:pPr>
                              <w:r>
                                <w:rPr>
                                  <w:rFonts w:hint="eastAsia" w:eastAsia="宋体"/>
                                  <w:lang w:val="en-US" w:eastAsia="zh-CN"/>
                                </w:rPr>
                                <w:t>印刷</w:t>
                              </w:r>
                            </w:p>
                          </w:txbxContent>
                        </v:textbox>
                      </v:shape>
                      <v:shape id="文本框 34" o:spid="_x0000_s1026" o:spt="202" type="#_x0000_t202" style="position:absolute;left:2760345;top:752475;height:292100;width:671830;" filled="f" stroked="t" coordsize="21600,21600" o:gfxdata="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AHbn0vUAAAABQEAAA8AAAAA&#10;AAAAAQAgAAAAIgAAAGRycy9kb3ducmV2LnhtbFBLAQIUABQAAAAIAIdO4kDA1wcTUQIAAHkEAAAO&#10;AAAAAAAAAAEAIAAAACMBAABkcnMvZTJvRG9jLnhtbFBLBQYAAAAABgAGAFkBAADmBQAAAAA=&#10;">
                        <v:fill on="f" focussize="0,0"/>
                        <v:stroke color="#000000" miterlimit="8" joinstyle="miter"/>
                        <v:imagedata o:title=""/>
                        <o:lock v:ext="edit" aspectratio="f"/>
                        <v:textbox>
                          <w:txbxContent>
                            <w:p w14:paraId="366AA0B3">
                              <w:pPr>
                                <w:jc w:val="center"/>
                                <w:rPr>
                                  <w:rFonts w:hint="default" w:eastAsia="宋体"/>
                                  <w:lang w:val="en-US" w:eastAsia="zh-CN"/>
                                </w:rPr>
                              </w:pPr>
                              <w:r>
                                <w:rPr>
                                  <w:rFonts w:hint="eastAsia" w:eastAsia="宋体"/>
                                  <w:lang w:val="en-US" w:eastAsia="zh-CN"/>
                                </w:rPr>
                                <w:t>开槽</w:t>
                              </w:r>
                            </w:p>
                          </w:txbxContent>
                        </v:textbox>
                      </v:shape>
                      <v:line id="直线 729" o:spid="_x0000_s1026" o:spt="20" style="position:absolute;left:1503680;top:866140;flip:y;height:0;width:304800;" filled="f" stroked="t" coordsize="21600,21600" o:gfxdata="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&#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G1+erbXAAAABQEAAA8AAAAAAAAAAQAgAAAAIgAAAGRy&#10;cy9kb3ducmV2LnhtbFBLAQIUABQAAAAIAIdO4kB36hl7BgIAAPcDAAAOAAAAAAAAAAEAIAAAACYB&#10;AABkcnMvZTJvRG9jLnhtbFBLBQYAAAAABgAGAFkBAACeBQAAAAA=&#10;">
                        <v:fill on="f" focussize="0,0"/>
                        <v:stroke color="#000000" joinstyle="round" endarrow="block"/>
                        <v:imagedata o:title=""/>
                        <o:lock v:ext="edit" aspectratio="f"/>
                      </v:line>
                      <v:line id="直线 730" o:spid="_x0000_s1026" o:spt="20" style="position:absolute;left:2469515;top:872490;flip:y;height:0;width:304800;" filled="f" stroked="t" coordsize="21600,21600" o:gfxdata="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tfnq21wAAAAUBAAAPAAAAAAAAAAEAIAAAACIAAABk&#10;cnMvZG93bnJldi54bWxQSwECFAAUAAAACACHTuJA3HZrfgcCAAD3AwAADgAAAAAAAAABACAAAAAm&#10;AQAAZHJzL2Uyb0RvYy54bWxQSwUGAAAAAAYABgBZAQAAnwUAAAAA&#10;">
                        <v:fill on="f" focussize="0,0"/>
                        <v:stroke color="#000000" joinstyle="round" endarrow="block"/>
                        <v:imagedata o:title=""/>
                        <o:lock v:ext="edit" aspectratio="f"/>
                      </v:line>
                      <v:line id="直线 731" o:spid="_x0000_s1026" o:spt="20" style="position:absolute;left:3428365;top:872490;flip:y;height:0;width:304800;" filled="f" stroked="t" coordsize="21600,21600" o:gfxdata="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tfnq21wAAAAUBAAAPAAAAAAAAAAEAIAAAACIAAABk&#10;cnMvZG93bnJldi54bWxQSwECFAAUAAAACACHTuJAaR7jPgcCAAD3AwAADgAAAAAAAAABACAAAAAm&#10;AQAAZHJzL2Uyb0RvYy54bWxQSwUGAAAAAAYABgBZAQAAnwUAAAAA&#10;">
                        <v:fill on="f" focussize="0,0"/>
                        <v:stroke color="#000000" joinstyle="round" endarrow="block"/>
                        <v:imagedata o:title=""/>
                        <o:lock v:ext="edit" aspectratio="f"/>
                      </v:line>
                      <v:shape id="文本框 34" o:spid="_x0000_s1026" o:spt="202" type="#_x0000_t202" style="position:absolute;left:3742055;top:751840;height:292100;width:645795;" filled="f" stroked="t" coordsize="21600,21600" o:gfxdata="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B259L1AAAAAUBAAAPAAAAAAAA&#10;AAEAIAAAACIAAABkcnMvZG93bnJldi54bWxQSwECFAAUAAAACACHTuJAyqfEKk8CAAB5BAAADgAA&#10;AAAAAAABACAAAAAjAQAAZHJzL2Uyb0RvYy54bWxQSwUGAAAAAAYABgBZAQAA5AUAAAAA&#10;">
                        <v:fill on="f" focussize="0,0"/>
                        <v:stroke color="#000000" miterlimit="8" joinstyle="miter"/>
                        <v:imagedata o:title=""/>
                        <o:lock v:ext="edit" aspectratio="f"/>
                        <v:textbox>
                          <w:txbxContent>
                            <w:p w14:paraId="5F6AA9B8">
                              <w:pPr>
                                <w:jc w:val="center"/>
                                <w:rPr>
                                  <w:rFonts w:hint="default" w:eastAsia="宋体"/>
                                  <w:lang w:val="en-US" w:eastAsia="zh-CN"/>
                                </w:rPr>
                              </w:pPr>
                              <w:r>
                                <w:rPr>
                                  <w:rFonts w:hint="eastAsia" w:eastAsia="宋体"/>
                                  <w:lang w:val="en-US" w:eastAsia="zh-CN"/>
                                </w:rPr>
                                <w:t>打钉</w:t>
                              </w:r>
                            </w:p>
                          </w:txbxContent>
                        </v:textbox>
                      </v:shape>
                      <v:line id="直线 733" o:spid="_x0000_s1026" o:spt="20" style="position:absolute;left:4384675;top:865505;flip:y;height:0;width:304800;" filled="f" stroked="t" coordsize="21600,21600" o:gfxdata="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1+erbXAAAABQEAAA8AAAAAAAAAAQAgAAAAIgAA&#10;AGRycy9kb3ducmV2LnhtbFBLAQIUABQAAAAIAIdO4kDlWu+7CQIAAPcDAAAOAAAAAAAAAAEAIAAA&#10;ACYBAABkcnMvZTJvRG9jLnhtbFBLBQYAAAAABgAGAFkBAAChBQAAAAA=&#10;">
                        <v:fill on="f" focussize="0,0"/>
                        <v:stroke color="#000000" joinstyle="round" endarrow="block"/>
                        <v:imagedata o:title=""/>
                        <o:lock v:ext="edit" aspectratio="f"/>
                      </v:line>
                      <v:line id="直线 735" o:spid="_x0000_s1026" o:spt="20" style="position:absolute;left:2147570;top:452120;flip:y;height:295910;width:635;" filled="f" stroked="t" coordsize="21600,21600" o:gfxdata="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vKzbM9QAAAAFAQAADwAAAAAAAAABACAAAAAiAAAAZHJz&#10;L2Rvd25yZXYueG1sUEsBAhQAFAAAAAgAh07iQEU4KVQIAgAA+AMAAA4AAAAAAAAAAQAgAAAAIwEA&#10;AGRycy9lMm9Eb2MueG1sUEsFBgAAAAAGAAYAWQEAAJ0FAAAAAA==&#10;">
                        <v:fill on="f" focussize="0,0"/>
                        <v:stroke color="#000000" joinstyle="round" dashstyle="dash" endarrow="block"/>
                        <v:imagedata o:title=""/>
                        <o:lock v:ext="edit" aspectratio="f"/>
                      </v:line>
                      <v:line id="直线 737" o:spid="_x0000_s1026" o:spt="20" style="position:absolute;left:3095625;top:1038860;height:292100;width:0;" filled="f" stroked="t" coordsize="21600,21600" o:gfxdata="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IB3cHYAAAABQEAAA8AAAAAAAAAAQAgAAAAIgAAAGRycy9kb3du&#10;cmV2LnhtbFBLAQIUABQAAAAIAIdO4kBdIJcF/wEAAO0DAAAOAAAAAAAAAAEAIAAAACcBAABkcnMv&#10;ZTJvRG9jLnhtbFBLBQYAAAAABgAGAFkBAACYBQAAAAA=&#10;">
                        <v:fill on="f" focussize="0,0"/>
                        <v:stroke color="#000000" joinstyle="round" dashstyle="dash" endarrow="block"/>
                        <v:imagedata o:title=""/>
                        <o:lock v:ext="edit" aspectratio="f"/>
                      </v:line>
                      <v:shape id="文本框 34" o:spid="_x0000_s1026" o:spt="202" type="#_x0000_t202" style="position:absolute;left:2506980;top:1336675;height:292100;width:1143000;" filled="f" stroked="t" coordsize="21600,21600" o:gfxdata="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UPSxYtcAAAAFAQAADwAAAAAAAAABACAAAAAiAAAAZHJzL2Rvd25yZXYueG1sUEsBAhQAFAAAAAgA&#10;h07iQPsyvLAmAgAAQAQAAA4AAAAAAAAAAQAgAAAAJgEAAGRycy9lMm9Eb2MueG1sUEsFBgAAAAAG&#10;AAYAWQEAAL4FAAAAAA==&#10;">
                        <v:fill on="f" focussize="0,0"/>
                        <v:stroke color="#000000" joinstyle="miter" dashstyle="dash"/>
                        <v:imagedata o:title=""/>
                        <o:lock v:ext="edit" aspectratio="f"/>
                        <v:textbox>
                          <w:txbxContent>
                            <w:p w14:paraId="05715720">
                              <w:pPr>
                                <w:jc w:val="center"/>
                                <w:rPr>
                                  <w:rFonts w:hint="default" w:eastAsia="宋体"/>
                                  <w:lang w:val="en-US" w:eastAsia="zh-CN"/>
                                </w:rPr>
                              </w:pPr>
                              <w:r>
                                <w:rPr>
                                  <w:rFonts w:hint="eastAsia" w:eastAsia="宋体"/>
                                  <w:lang w:val="en-US" w:eastAsia="zh-CN"/>
                                </w:rPr>
                                <w:t>边角料、噪声</w:t>
                              </w:r>
                            </w:p>
                          </w:txbxContent>
                        </v:textbox>
                      </v:shape>
                      <v:line id="直线 739" o:spid="_x0000_s1026" o:spt="20" style="position:absolute;left:4051935;top:435610;flip:y;height:292100;width:0;" filled="f" stroked="t" coordsize="21600,21600" o:gfxdata="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ys2zPUAAAABQEAAA8AAAAAAAAAAQAgAAAAIgAAAGRycy9kb3du&#10;cmV2LnhtbFBLAQIUABQAAAAIAIdO4kDGNKH6AwIAAPYDAAAOAAAAAAAAAAEAIAAAACMBAABkcnMv&#10;ZTJvRG9jLnhtbFBLBQYAAAAABgAGAFkBAACYBQAAAAA=&#10;">
                        <v:fill on="f" focussize="0,0"/>
                        <v:stroke color="#000000" joinstyle="round" dashstyle="dash" endarrow="block"/>
                        <v:imagedata o:title=""/>
                        <o:lock v:ext="edit" aspectratio="f"/>
                      </v:line>
                      <v:shape id="文本框 34" o:spid="_x0000_s1026" o:spt="202" type="#_x0000_t202" style="position:absolute;left:3810000;top:145415;height:292100;width:483235;" filled="f" stroked="t" coordsize="21600,21600" o:gfxdata="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UPSx&#10;YtcAAAAFAQAADwAAAAAAAAABACAAAAAiAAAAZHJzL2Rvd25yZXYueG1sUEsBAhQAFAAAAAgAh07i&#10;QHwGxZMjAgAAPgQAAA4AAAAAAAAAAQAgAAAAJgEAAGRycy9lMm9Eb2MueG1sUEsFBgAAAAAGAAYA&#10;WQEAALsFAAAAAA==&#10;">
                        <v:fill on="f" focussize="0,0"/>
                        <v:stroke color="#000000" joinstyle="miter" dashstyle="dash"/>
                        <v:imagedata o:title=""/>
                        <o:lock v:ext="edit" aspectratio="f"/>
                        <v:textbox>
                          <w:txbxContent>
                            <w:p w14:paraId="2C3070DF">
                              <w:pPr>
                                <w:jc w:val="center"/>
                                <w:rPr>
                                  <w:rFonts w:hint="default" w:eastAsia="宋体"/>
                                  <w:lang w:val="en-US" w:eastAsia="zh-CN"/>
                                </w:rPr>
                              </w:pPr>
                              <w:r>
                                <w:rPr>
                                  <w:rFonts w:hint="eastAsia" w:eastAsia="宋体"/>
                                  <w:lang w:val="en-US" w:eastAsia="zh-CN"/>
                                </w:rPr>
                                <w:t>噪声</w:t>
                              </w:r>
                            </w:p>
                          </w:txbxContent>
                        </v:textbox>
                      </v:shape>
                      <v:shape id="文本框 34" o:spid="_x0000_s1026" o:spt="202" type="#_x0000_t202" style="position:absolute;left:4699635;top:742950;height:292100;width:645795;" filled="f" stroked="t" coordsize="21600,21600" o:gfxdata="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AdufS9QAAAAFAQAADwAAAAAA&#10;AAABACAAAAAiAAAAZHJzL2Rvd25yZXYueG1sUEsBAhQAFAAAAAgAh07iQMO3a3tQAgAAeQQAAA4A&#10;AAAAAAAAAQAgAAAAIwEAAGRycy9lMm9Eb2MueG1sUEsFBgAAAAAGAAYAWQEAAOUFAAAAAA==&#10;">
                        <v:fill on="f" focussize="0,0"/>
                        <v:stroke color="#000000" miterlimit="8" joinstyle="miter"/>
                        <v:imagedata o:title=""/>
                        <o:lock v:ext="edit" aspectratio="f"/>
                        <v:textbox>
                          <w:txbxContent>
                            <w:p w14:paraId="30DB3557">
                              <w:pPr>
                                <w:jc w:val="center"/>
                                <w:rPr>
                                  <w:rFonts w:hint="default" w:eastAsia="宋体"/>
                                  <w:lang w:val="en-US" w:eastAsia="zh-CN"/>
                                </w:rPr>
                              </w:pPr>
                              <w:r>
                                <w:rPr>
                                  <w:rFonts w:hint="eastAsia" w:eastAsia="宋体"/>
                                  <w:lang w:val="en-US" w:eastAsia="zh-CN"/>
                                </w:rPr>
                                <w:t>成型</w:t>
                              </w:r>
                            </w:p>
                          </w:txbxContent>
                        </v:textbox>
                      </v:shape>
                      <v:line id="直线 742" o:spid="_x0000_s1026" o:spt="20" style="position:absolute;left:5021580;top:443230;flip:y;height:292100;width:0;" filled="f" stroked="t" coordsize="21600,21600" o:gfxdata="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8rNsz1AAAAAUBAAAPAAAAAAAAAAEAIAAAACIAAABkcnMv&#10;ZG93bnJldi54bWxQSwECFAAUAAAACACHTuJAqAoI9QcCAAD2AwAADgAAAAAAAAABACAAAAAjAQAA&#10;ZHJzL2Uyb0RvYy54bWxQSwUGAAAAAAYABgBZAQAAnAUAAAAA&#10;">
                        <v:fill on="f" focussize="0,0"/>
                        <v:stroke color="#000000" joinstyle="round" dashstyle="dash" endarrow="block"/>
                        <v:imagedata o:title=""/>
                        <o:lock v:ext="edit" aspectratio="f"/>
                      </v:line>
                      <v:shape id="文本框 34" o:spid="_x0000_s1026" o:spt="202" type="#_x0000_t202" style="position:absolute;left:4785995;top:152400;height:292100;width:482600;" filled="f" stroked="t" coordsize="21600,21600" o:gfxdata="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UPSxYtcAAAAFAQAADwAAAAAAAAABACAAAAAiAAAAZHJzL2Rvd25yZXYueG1sUEsBAhQAFAAAAAgA&#10;h07iQOkX2Z0mAgAAPgQAAA4AAAAAAAAAAQAgAAAAJgEAAGRycy9lMm9Eb2MueG1sUEsFBgAAAAAG&#10;AAYAWQEAAL4FAAAAAA==&#10;">
                        <v:fill on="f" focussize="0,0"/>
                        <v:stroke color="#000000" joinstyle="miter" dashstyle="dash"/>
                        <v:imagedata o:title=""/>
                        <o:lock v:ext="edit" aspectratio="f"/>
                        <v:textbox>
                          <w:txbxContent>
                            <w:p w14:paraId="17EBC964">
                              <w:pPr>
                                <w:jc w:val="center"/>
                                <w:rPr>
                                  <w:rFonts w:hint="default" w:eastAsia="宋体"/>
                                  <w:lang w:val="en-US" w:eastAsia="zh-CN"/>
                                </w:rPr>
                              </w:pPr>
                              <w:r>
                                <w:rPr>
                                  <w:rFonts w:hint="eastAsia" w:eastAsia="宋体"/>
                                  <w:lang w:val="en-US" w:eastAsia="zh-CN"/>
                                </w:rPr>
                                <w:t>噪声</w:t>
                              </w:r>
                            </w:p>
                          </w:txbxContent>
                        </v:textbox>
                      </v:shape>
                      <v:line id="直线 746" o:spid="_x0000_s1026" o:spt="20" style="position:absolute;left:5020310;top:1050290;height:292100;width:0;" filled="f" stroked="t" coordsize="21600,21600" o:gfxdata="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lFu/l1wAAAAUBAAAPAAAAAAAAAAEAIAAAACIAAABkcnMvZG93bnJl&#10;di54bWxQSwECFAAUAAAACACHTuJAsIpmfv4BAADuAwAADgAAAAAAAAABACAAAAAmAQAAZHJzL2Uy&#10;b0RvYy54bWxQSwUGAAAAAAYABgBZAQAAlgUAAAAA&#10;">
                        <v:fill on="f" focussize="0,0"/>
                        <v:stroke color="#000000" joinstyle="round" endarrow="block"/>
                        <v:imagedata o:title=""/>
                        <o:lock v:ext="edit" aspectratio="f"/>
                      </v:line>
                      <v:shape id="文本框 16" o:spid="_x0000_s1026" o:spt="202" type="#_x0000_t202" style="position:absolute;left:4595495;top:1315720;height:303530;width:808355;" filled="f" stroked="f" coordsize="21600,21600" o:gfxdata="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E&#10;uQs41AAAAAUBAAAPAAAAAAAAAAEAIAAAACIAAABkcnMvZG93bnJldi54bWxQSwECFAAUAAAACACH&#10;TuJAB1SkLCgCAAAxBAAADgAAAAAAAAABACAAAAAjAQAAZHJzL2Uyb0RvYy54bWxQSwUGAAAAAAYA&#10;BgBZAQAAvQUAAAAA&#10;">
                        <v:fill on="f" focussize="0,0"/>
                        <v:stroke on="f"/>
                        <v:imagedata o:title=""/>
                        <o:lock v:ext="edit" aspectratio="f"/>
                        <v:textbox>
                          <w:txbxContent>
                            <w:p w14:paraId="6F0ECA2E">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纸箱</w:t>
                              </w:r>
                            </w:p>
                          </w:txbxContent>
                        </v:textbox>
                      </v:shape>
                      <w10:wrap type="none"/>
                      <w10:anchorlock/>
                    </v:group>
                  </w:pict>
                </mc:Fallback>
              </mc:AlternateContent>
            </w:r>
          </w:p>
          <w:p w14:paraId="6A4123E4">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kern w:val="0"/>
                <w:sz w:val="21"/>
                <w:szCs w:val="21"/>
                <w:highlight w:val="none"/>
              </w:rPr>
              <w:t>图2-</w:t>
            </w:r>
            <w:r>
              <w:rPr>
                <w:rFonts w:hint="default" w:ascii="Times New Roman" w:hAnsi="Times New Roman" w:eastAsia="宋体" w:cs="Times New Roman"/>
                <w:b/>
                <w:bCs/>
                <w:color w:val="auto"/>
                <w:kern w:val="0"/>
                <w:sz w:val="21"/>
                <w:szCs w:val="21"/>
                <w:highlight w:val="none"/>
                <w:lang w:val="en-US" w:eastAsia="zh-CN"/>
              </w:rPr>
              <w:t>5 包装纸箱生产</w:t>
            </w:r>
            <w:r>
              <w:rPr>
                <w:rFonts w:hint="default" w:ascii="Times New Roman" w:hAnsi="Times New Roman" w:eastAsia="宋体" w:cs="Times New Roman"/>
                <w:b/>
                <w:bCs/>
                <w:color w:val="auto"/>
                <w:kern w:val="0"/>
                <w:sz w:val="21"/>
                <w:szCs w:val="21"/>
                <w:highlight w:val="none"/>
              </w:rPr>
              <w:t>工艺流程及产污环节示意图</w:t>
            </w:r>
          </w:p>
          <w:p w14:paraId="156708B7">
            <w:pPr>
              <w:keepNext w:val="0"/>
              <w:keepLines w:val="0"/>
              <w:suppressLineNumbers w:val="0"/>
              <w:adjustRightInd w:val="0"/>
              <w:snapToGrid w:val="0"/>
              <w:spacing w:before="0" w:beforeAutospacing="0" w:after="0" w:afterAutospacing="0" w:line="360" w:lineRule="auto"/>
              <w:ind w:left="0" w:right="0" w:firstLine="422" w:firstLineChars="200"/>
              <w:jc w:val="left"/>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rPr>
              <w:t>工艺流程</w:t>
            </w:r>
            <w:r>
              <w:rPr>
                <w:rFonts w:hint="default" w:ascii="Times New Roman" w:hAnsi="Times New Roman" w:eastAsia="宋体" w:cs="Times New Roman"/>
                <w:b/>
                <w:bCs/>
                <w:color w:val="auto"/>
                <w:sz w:val="21"/>
                <w:szCs w:val="21"/>
                <w:highlight w:val="none"/>
                <w:lang w:val="en-US" w:eastAsia="zh-CN"/>
              </w:rPr>
              <w:t>说明</w:t>
            </w:r>
          </w:p>
          <w:p w14:paraId="1EE6A231">
            <w:pPr>
              <w:pStyle w:val="155"/>
              <w:keepNext w:val="0"/>
              <w:keepLines w:val="0"/>
              <w:numPr>
                <w:ilvl w:val="0"/>
                <w:numId w:val="0"/>
              </w:numPr>
              <w:suppressLineNumbers w:val="0"/>
              <w:spacing w:before="0" w:beforeLines="0" w:beforeAutospacing="0" w:after="0" w:afterLines="0" w:afterAutospacing="0"/>
              <w:ind w:left="0" w:right="0" w:firstLine="422" w:firstLineChars="20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分</w:t>
            </w:r>
            <w:r>
              <w:rPr>
                <w:rFonts w:hint="eastAsia" w:hAnsi="Times New Roman" w:cs="Times New Roman"/>
                <w:b/>
                <w:bCs/>
                <w:color w:val="auto"/>
                <w:sz w:val="21"/>
                <w:szCs w:val="21"/>
                <w:highlight w:val="none"/>
                <w:lang w:val="en-US" w:eastAsia="zh-CN"/>
              </w:rPr>
              <w:t>纸</w:t>
            </w:r>
            <w:r>
              <w:rPr>
                <w:rFonts w:hint="default" w:ascii="Times New Roman" w:hAnsi="Times New Roman" w:eastAsia="宋体" w:cs="Times New Roman"/>
                <w:b/>
                <w:bCs/>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外购纸板根据产品尺寸的要求，使用分纸机进行分切，该过程会产生边角料和噪声。</w:t>
            </w:r>
          </w:p>
          <w:p w14:paraId="11B7E24F">
            <w:pPr>
              <w:pStyle w:val="155"/>
              <w:keepNext w:val="0"/>
              <w:keepLines w:val="0"/>
              <w:numPr>
                <w:ilvl w:val="0"/>
                <w:numId w:val="0"/>
              </w:numPr>
              <w:suppressLineNumbers w:val="0"/>
              <w:spacing w:before="0" w:beforeLines="0" w:beforeAutospacing="0" w:after="0" w:afterLines="0" w:afterAutospacing="0"/>
              <w:ind w:left="0" w:right="0" w:firstLine="422" w:firstLineChars="20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印刷：</w:t>
            </w:r>
            <w:r>
              <w:rPr>
                <w:rFonts w:hint="default" w:ascii="Times New Roman" w:hAnsi="Times New Roman" w:eastAsia="宋体" w:cs="Times New Roman"/>
                <w:color w:val="auto"/>
                <w:sz w:val="21"/>
                <w:szCs w:val="21"/>
                <w:highlight w:val="none"/>
                <w:lang w:val="en-US" w:eastAsia="zh-CN"/>
              </w:rPr>
              <w:t>把产品所需的图案通过印刷机印在产品上。项目使用的印刷机</w:t>
            </w:r>
            <w:r>
              <w:rPr>
                <w:rFonts w:hint="eastAsia" w:ascii="Times New Roman" w:hAnsi="Times New Roman" w:cs="Times New Roman"/>
                <w:color w:val="auto"/>
                <w:sz w:val="21"/>
                <w:szCs w:val="21"/>
                <w:highlight w:val="none"/>
                <w:lang w:val="en-US" w:eastAsia="zh-CN"/>
              </w:rPr>
              <w:t>滚筒</w:t>
            </w:r>
            <w:r>
              <w:rPr>
                <w:rFonts w:hint="default" w:ascii="Times New Roman" w:hAnsi="Times New Roman" w:eastAsia="宋体" w:cs="Times New Roman"/>
                <w:color w:val="auto"/>
                <w:sz w:val="21"/>
                <w:szCs w:val="21"/>
                <w:highlight w:val="none"/>
                <w:lang w:val="en-US" w:eastAsia="zh-CN"/>
              </w:rPr>
              <w:t>把水性油墨印在产品上，该工序会产生</w:t>
            </w:r>
            <w:r>
              <w:rPr>
                <w:rFonts w:hint="eastAsia" w:hAnsi="Times New Roman" w:cs="Times New Roman"/>
                <w:color w:val="auto"/>
                <w:sz w:val="21"/>
                <w:szCs w:val="21"/>
                <w:highlight w:val="none"/>
                <w:lang w:val="en-US" w:eastAsia="zh-CN"/>
              </w:rPr>
              <w:t>油</w:t>
            </w:r>
            <w:r>
              <w:rPr>
                <w:rFonts w:hint="default" w:ascii="Times New Roman" w:hAnsi="Times New Roman" w:eastAsia="宋体" w:cs="Times New Roman"/>
                <w:color w:val="auto"/>
                <w:sz w:val="21"/>
                <w:szCs w:val="21"/>
                <w:highlight w:val="none"/>
                <w:lang w:val="en-US" w:eastAsia="zh-CN"/>
              </w:rPr>
              <w:t>墨</w:t>
            </w:r>
            <w:r>
              <w:rPr>
                <w:rFonts w:hint="eastAsia" w:hAnsi="Times New Roman" w:cs="Times New Roman"/>
                <w:color w:val="auto"/>
                <w:sz w:val="21"/>
                <w:szCs w:val="21"/>
                <w:highlight w:val="none"/>
                <w:lang w:val="en-US" w:eastAsia="zh-CN"/>
              </w:rPr>
              <w:t>废气</w:t>
            </w:r>
            <w:r>
              <w:rPr>
                <w:rFonts w:hint="default" w:ascii="Times New Roman" w:hAnsi="Times New Roman" w:eastAsia="宋体" w:cs="Times New Roman"/>
                <w:color w:val="auto"/>
                <w:sz w:val="21"/>
                <w:szCs w:val="21"/>
                <w:highlight w:val="none"/>
                <w:lang w:val="en-US" w:eastAsia="zh-CN"/>
              </w:rPr>
              <w:t>和噪声。</w:t>
            </w:r>
          </w:p>
          <w:p w14:paraId="75EC06F2">
            <w:pPr>
              <w:pStyle w:val="155"/>
              <w:keepNext w:val="0"/>
              <w:keepLines w:val="0"/>
              <w:numPr>
                <w:ilvl w:val="0"/>
                <w:numId w:val="0"/>
              </w:numPr>
              <w:suppressLineNumbers w:val="0"/>
              <w:spacing w:before="0" w:beforeLines="0" w:beforeAutospacing="0" w:after="0" w:afterLines="0" w:afterAutospacing="0"/>
              <w:ind w:left="0" w:right="0" w:firstLine="422" w:firstLineChars="20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开槽：</w:t>
            </w:r>
            <w:r>
              <w:rPr>
                <w:rFonts w:hint="default" w:ascii="Times New Roman" w:hAnsi="Times New Roman" w:eastAsia="宋体" w:cs="Times New Roman"/>
                <w:color w:val="auto"/>
                <w:sz w:val="21"/>
                <w:szCs w:val="21"/>
                <w:highlight w:val="none"/>
                <w:lang w:val="en-US" w:eastAsia="zh-CN"/>
              </w:rPr>
              <w:t>根据产品要求把印刷好的纸板使用切角机切出凹槽或者使用啤机压出凹槽，该工序会产生边角料和噪声。</w:t>
            </w:r>
          </w:p>
          <w:p w14:paraId="1BB51D5E">
            <w:pPr>
              <w:pStyle w:val="155"/>
              <w:keepNext w:val="0"/>
              <w:keepLines w:val="0"/>
              <w:numPr>
                <w:ilvl w:val="0"/>
                <w:numId w:val="0"/>
              </w:numPr>
              <w:suppressLineNumbers w:val="0"/>
              <w:spacing w:before="0" w:beforeLines="0" w:beforeAutospacing="0" w:after="0" w:afterLines="0" w:afterAutospacing="0"/>
              <w:ind w:left="0" w:right="0" w:firstLine="422" w:firstLineChars="200"/>
              <w:rPr>
                <w:rFonts w:hint="default" w:ascii="Times New Roman" w:hAnsi="Times New Roman" w:eastAsia="宋体" w:cs="Times New Roman"/>
                <w:color w:val="auto"/>
                <w:sz w:val="21"/>
                <w:szCs w:val="21"/>
                <w:highlight w:val="none"/>
                <w:lang w:val="en-US" w:eastAsia="zh-CN"/>
              </w:rPr>
            </w:pPr>
            <w:r>
              <w:rPr>
                <w:rFonts w:hint="eastAsia" w:hAnsi="Times New Roman" w:cs="Times New Roman"/>
                <w:b/>
                <w:bCs/>
                <w:color w:val="auto"/>
                <w:sz w:val="21"/>
                <w:szCs w:val="21"/>
                <w:highlight w:val="none"/>
                <w:lang w:val="en-US" w:eastAsia="zh-CN"/>
              </w:rPr>
              <w:t>打</w:t>
            </w:r>
            <w:r>
              <w:rPr>
                <w:rFonts w:hint="default" w:ascii="Times New Roman" w:hAnsi="Times New Roman" w:eastAsia="宋体" w:cs="Times New Roman"/>
                <w:b/>
                <w:bCs/>
                <w:color w:val="auto"/>
                <w:sz w:val="21"/>
                <w:szCs w:val="21"/>
                <w:highlight w:val="none"/>
                <w:lang w:val="en-US" w:eastAsia="zh-CN"/>
              </w:rPr>
              <w:t>钉：</w:t>
            </w:r>
            <w:r>
              <w:rPr>
                <w:rFonts w:hint="default" w:ascii="Times New Roman" w:hAnsi="Times New Roman" w:eastAsia="宋体" w:cs="Times New Roman"/>
                <w:color w:val="auto"/>
                <w:sz w:val="21"/>
                <w:szCs w:val="21"/>
                <w:highlight w:val="none"/>
                <w:lang w:val="en-US" w:eastAsia="zh-CN"/>
              </w:rPr>
              <w:t>根据客户要求将有凹槽的纸板通过钉箱机使用钉线进行钉合处理，该工序会产生噪声。</w:t>
            </w:r>
          </w:p>
          <w:p w14:paraId="17F58EAF">
            <w:pPr>
              <w:pStyle w:val="155"/>
              <w:keepNext w:val="0"/>
              <w:keepLines w:val="0"/>
              <w:numPr>
                <w:ilvl w:val="0"/>
                <w:numId w:val="0"/>
              </w:numPr>
              <w:suppressLineNumbers w:val="0"/>
              <w:spacing w:before="0" w:beforeLines="0" w:beforeAutospacing="0" w:after="0" w:afterLines="0" w:afterAutospacing="0"/>
              <w:ind w:left="0" w:right="0" w:firstLine="422" w:firstLineChars="200"/>
              <w:rPr>
                <w:rFonts w:hint="default" w:ascii="Times New Roman" w:hAnsi="Times New Roman" w:eastAsia="宋体" w:cs="Times New Roman"/>
                <w:color w:val="auto"/>
                <w:sz w:val="21"/>
                <w:szCs w:val="21"/>
                <w:highlight w:val="none"/>
                <w:lang w:val="en-US" w:eastAsia="zh-CN"/>
              </w:rPr>
            </w:pPr>
            <w:r>
              <w:rPr>
                <w:rFonts w:hint="eastAsia" w:hAnsi="Times New Roman" w:cs="Times New Roman"/>
                <w:b/>
                <w:bCs/>
                <w:color w:val="auto"/>
                <w:sz w:val="21"/>
                <w:szCs w:val="21"/>
                <w:highlight w:val="none"/>
                <w:lang w:val="en-US" w:eastAsia="zh-CN"/>
              </w:rPr>
              <w:t>成型</w:t>
            </w:r>
            <w:r>
              <w:rPr>
                <w:rFonts w:hint="default" w:ascii="Times New Roman" w:hAnsi="Times New Roman" w:eastAsia="宋体" w:cs="Times New Roman"/>
                <w:b/>
                <w:bCs/>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加工后的成品包装出货，此工序会产生</w:t>
            </w:r>
            <w:r>
              <w:rPr>
                <w:rFonts w:hint="eastAsia" w:hAnsi="Times New Roman" w:cs="Times New Roman"/>
                <w:color w:val="auto"/>
                <w:sz w:val="21"/>
                <w:szCs w:val="21"/>
                <w:highlight w:val="none"/>
                <w:lang w:val="en-US" w:eastAsia="zh-CN"/>
              </w:rPr>
              <w:t>噪声</w:t>
            </w:r>
            <w:r>
              <w:rPr>
                <w:rFonts w:hint="default" w:ascii="Times New Roman" w:hAnsi="Times New Roman" w:eastAsia="宋体" w:cs="Times New Roman"/>
                <w:color w:val="auto"/>
                <w:sz w:val="21"/>
                <w:szCs w:val="21"/>
                <w:highlight w:val="none"/>
                <w:lang w:val="en-US" w:eastAsia="zh-CN"/>
              </w:rPr>
              <w:t>。</w:t>
            </w:r>
          </w:p>
          <w:p w14:paraId="1D29237A">
            <w:pPr>
              <w:pStyle w:val="120"/>
              <w:keepNext w:val="0"/>
              <w:keepLines w:val="0"/>
              <w:numPr>
                <w:ilvl w:val="0"/>
                <w:numId w:val="0"/>
              </w:numPr>
              <w:suppressLineNumbers w:val="0"/>
              <w:spacing w:before="0" w:beforeAutospacing="0" w:after="0" w:afterAutospacing="0" w:line="360" w:lineRule="auto"/>
              <w:ind w:left="0" w:right="0" w:firstLine="422" w:firstLineChars="200"/>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2、</w:t>
            </w:r>
            <w:r>
              <w:rPr>
                <w:rFonts w:hint="eastAsia" w:ascii="Times New Roman" w:hAnsi="Times New Roman" w:eastAsia="宋体" w:cs="Times New Roman"/>
                <w:b/>
                <w:bCs/>
                <w:color w:val="auto"/>
                <w:sz w:val="21"/>
                <w:szCs w:val="21"/>
                <w:highlight w:val="none"/>
                <w:lang w:val="en-US" w:eastAsia="zh-CN"/>
              </w:rPr>
              <w:t>现有项目</w:t>
            </w:r>
            <w:r>
              <w:rPr>
                <w:rFonts w:hint="default" w:ascii="Times New Roman" w:hAnsi="Times New Roman" w:eastAsia="宋体" w:cs="Times New Roman"/>
                <w:b/>
                <w:bCs/>
                <w:color w:val="auto"/>
                <w:sz w:val="21"/>
                <w:szCs w:val="21"/>
                <w:highlight w:val="none"/>
                <w:lang w:val="en-US" w:eastAsia="zh-CN"/>
              </w:rPr>
              <w:t>污染物</w:t>
            </w:r>
            <w:r>
              <w:rPr>
                <w:rFonts w:hint="eastAsia" w:ascii="Times New Roman" w:hAnsi="Times New Roman" w:eastAsia="宋体" w:cs="Times New Roman"/>
                <w:b/>
                <w:bCs/>
                <w:color w:val="auto"/>
                <w:sz w:val="21"/>
                <w:szCs w:val="21"/>
                <w:highlight w:val="none"/>
                <w:lang w:val="en-US" w:eastAsia="zh-CN"/>
              </w:rPr>
              <w:t>排放</w:t>
            </w:r>
            <w:r>
              <w:rPr>
                <w:rFonts w:hint="eastAsia" w:ascii="Times New Roman" w:hAnsi="Times New Roman" w:cs="Times New Roman"/>
                <w:b/>
                <w:bCs/>
                <w:color w:val="auto"/>
                <w:sz w:val="21"/>
                <w:szCs w:val="21"/>
                <w:highlight w:val="none"/>
                <w:lang w:val="en-US" w:eastAsia="zh-CN"/>
              </w:rPr>
              <w:t>达标情况分析</w:t>
            </w:r>
          </w:p>
          <w:p w14:paraId="1CCCFE79">
            <w:pPr>
              <w:pStyle w:val="155"/>
              <w:keepNext w:val="0"/>
              <w:keepLines w:val="0"/>
              <w:numPr>
                <w:ilvl w:val="0"/>
                <w:numId w:val="0"/>
              </w:numPr>
              <w:suppressLineNumbers w:val="0"/>
              <w:spacing w:before="0" w:beforeLines="0" w:beforeAutospacing="0" w:after="0" w:afterLines="0" w:afterAutospacing="0"/>
              <w:ind w:left="0" w:right="0" w:firstLine="422" w:firstLineChars="200"/>
              <w:rPr>
                <w:rFonts w:hint="default" w:ascii="宋体" w:hAnsi="宋体" w:eastAsia="宋体" w:cs="宋体"/>
                <w:b/>
                <w:bCs/>
                <w:color w:val="auto"/>
                <w:sz w:val="21"/>
                <w:szCs w:val="21"/>
                <w:highlight w:val="none"/>
                <w:lang w:val="en-US" w:eastAsia="zh-CN"/>
              </w:rPr>
            </w:pPr>
            <w:r>
              <w:rPr>
                <w:rFonts w:hint="eastAsia" w:ascii="宋体" w:cs="宋体"/>
                <w:b/>
                <w:bCs/>
                <w:color w:val="auto"/>
                <w:sz w:val="21"/>
                <w:szCs w:val="21"/>
                <w:highlight w:val="none"/>
                <w:lang w:val="en-US" w:eastAsia="zh-CN"/>
              </w:rPr>
              <w:t>（1）</w:t>
            </w:r>
            <w:r>
              <w:rPr>
                <w:rFonts w:hint="eastAsia" w:ascii="宋体" w:hAnsi="宋体" w:eastAsia="宋体" w:cs="宋体"/>
                <w:b/>
                <w:bCs/>
                <w:color w:val="auto"/>
                <w:sz w:val="21"/>
                <w:szCs w:val="21"/>
                <w:highlight w:val="none"/>
                <w:lang w:val="en-US" w:eastAsia="zh-CN"/>
              </w:rPr>
              <w:t>废水</w:t>
            </w:r>
            <w:r>
              <w:rPr>
                <w:rFonts w:hint="eastAsia" w:ascii="宋体" w:cs="宋体"/>
                <w:b/>
                <w:bCs/>
                <w:color w:val="auto"/>
                <w:sz w:val="21"/>
                <w:szCs w:val="21"/>
                <w:highlight w:val="none"/>
                <w:lang w:val="en-US" w:eastAsia="zh-CN"/>
              </w:rPr>
              <w:t>排放达标情况分析</w:t>
            </w:r>
          </w:p>
          <w:p w14:paraId="11FA3078">
            <w:pPr>
              <w:pStyle w:val="155"/>
              <w:keepNext w:val="0"/>
              <w:keepLines w:val="0"/>
              <w:numPr>
                <w:ilvl w:val="0"/>
                <w:numId w:val="0"/>
              </w:numPr>
              <w:suppressLineNumbers w:val="0"/>
              <w:spacing w:before="0" w:beforeLines="0" w:beforeAutospacing="0" w:after="0" w:afterLines="0" w:afterAutospacing="0"/>
              <w:ind w:left="0" w:right="0" w:firstLine="420" w:firstLineChars="200"/>
              <w:rPr>
                <w:rFonts w:hint="eastAsia" w:hAnsi="Times New Roman"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项目不产生</w:t>
            </w:r>
            <w:r>
              <w:rPr>
                <w:rFonts w:hint="eastAsia" w:hAnsi="Times New Roman" w:cs="Times New Roman"/>
                <w:color w:val="auto"/>
                <w:sz w:val="21"/>
                <w:szCs w:val="21"/>
                <w:highlight w:val="none"/>
                <w:lang w:val="en-US" w:eastAsia="zh-CN"/>
              </w:rPr>
              <w:t>和</w:t>
            </w:r>
            <w:r>
              <w:rPr>
                <w:rFonts w:hint="eastAsia" w:ascii="Times New Roman" w:hAnsi="Times New Roman" w:eastAsia="宋体" w:cs="Times New Roman"/>
                <w:color w:val="auto"/>
                <w:sz w:val="21"/>
                <w:szCs w:val="21"/>
                <w:highlight w:val="none"/>
                <w:lang w:val="en-US" w:eastAsia="zh-CN"/>
              </w:rPr>
              <w:t>排放生产废水，主要外排污水为员工生活污水。员工生活污水排放量为</w:t>
            </w:r>
            <w:r>
              <w:rPr>
                <w:rFonts w:hint="eastAsia" w:hAnsi="Times New Roman" w:cs="Times New Roman"/>
                <w:color w:val="auto"/>
                <w:sz w:val="21"/>
                <w:szCs w:val="21"/>
                <w:highlight w:val="none"/>
                <w:lang w:val="en-US" w:eastAsia="zh-CN"/>
              </w:rPr>
              <w:t>739.8t/a，经三级化粪池预处理后，经市政污水管网排入</w:t>
            </w:r>
            <w:r>
              <w:rPr>
                <w:rFonts w:hint="default" w:hAnsi="Times New Roman" w:cs="Times New Roman"/>
                <w:color w:val="auto"/>
                <w:sz w:val="21"/>
                <w:szCs w:val="21"/>
                <w:highlight w:val="none"/>
                <w:lang w:val="en-US" w:eastAsia="zh-CN"/>
              </w:rPr>
              <w:t>博罗县城生活污水处理厂进行深度处理</w:t>
            </w:r>
            <w:r>
              <w:rPr>
                <w:rFonts w:hint="eastAsia" w:hAnsi="Times New Roman" w:cs="Times New Roman"/>
                <w:color w:val="auto"/>
                <w:sz w:val="21"/>
                <w:szCs w:val="21"/>
                <w:highlight w:val="none"/>
                <w:lang w:val="en-US" w:eastAsia="zh-CN"/>
              </w:rPr>
              <w:t>。</w:t>
            </w:r>
          </w:p>
          <w:p w14:paraId="20444410">
            <w:pPr>
              <w:keepNext w:val="0"/>
              <w:keepLines w:val="0"/>
              <w:widowControl/>
              <w:numPr>
                <w:ilvl w:val="0"/>
                <w:numId w:val="4"/>
              </w:numPr>
              <w:suppressLineNumbers w:val="0"/>
              <w:adjustRightInd w:val="0"/>
              <w:snapToGrid w:val="0"/>
              <w:spacing w:before="0" w:beforeAutospacing="0" w:after="0" w:afterAutospacing="0" w:line="360" w:lineRule="auto"/>
              <w:ind w:right="0"/>
              <w:jc w:val="center"/>
              <w:rPr>
                <w:b/>
                <w:color w:val="auto"/>
                <w:spacing w:val="-2"/>
                <w:szCs w:val="21"/>
                <w:highlight w:val="none"/>
              </w:rPr>
            </w:pPr>
            <w:r>
              <w:rPr>
                <w:rFonts w:hint="eastAsia"/>
                <w:b/>
                <w:color w:val="auto"/>
                <w:spacing w:val="-2"/>
                <w:szCs w:val="21"/>
                <w:highlight w:val="none"/>
              </w:rPr>
              <w:t>污水主要污染物产排情况</w:t>
            </w:r>
          </w:p>
          <w:tbl>
            <w:tblPr>
              <w:tblStyle w:val="41"/>
              <w:tblW w:w="4998"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1"/>
              <w:gridCol w:w="1774"/>
              <w:gridCol w:w="920"/>
              <w:gridCol w:w="802"/>
              <w:gridCol w:w="897"/>
              <w:gridCol w:w="794"/>
              <w:gridCol w:w="1177"/>
              <w:gridCol w:w="794"/>
            </w:tblGrid>
            <w:tr w14:paraId="5F31DBE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 w:hRule="atLeast"/>
                <w:jc w:val="center"/>
              </w:trPr>
              <w:tc>
                <w:tcPr>
                  <w:tcW w:w="1883" w:type="pct"/>
                  <w:gridSpan w:val="2"/>
                  <w:tcBorders>
                    <w:tl2br w:val="nil"/>
                    <w:tr2bl w:val="nil"/>
                  </w:tcBorders>
                  <w:noWrap w:val="0"/>
                  <w:vAlign w:val="center"/>
                </w:tcPr>
                <w:p w14:paraId="73BF255A">
                  <w:pPr>
                    <w:keepNext w:val="0"/>
                    <w:keepLines w:val="0"/>
                    <w:suppressLineNumbers w:val="0"/>
                    <w:spacing w:before="0" w:beforeAutospacing="0" w:after="0" w:afterAutospacing="0"/>
                    <w:ind w:left="0" w:right="0"/>
                    <w:jc w:val="center"/>
                    <w:rPr>
                      <w:b/>
                      <w:bCs/>
                      <w:color w:val="auto"/>
                      <w:szCs w:val="21"/>
                      <w:highlight w:val="none"/>
                    </w:rPr>
                  </w:pPr>
                  <w:r>
                    <w:rPr>
                      <w:rFonts w:hint="eastAsia" w:cs="宋体"/>
                      <w:b/>
                      <w:bCs/>
                      <w:color w:val="auto"/>
                      <w:szCs w:val="21"/>
                      <w:highlight w:val="none"/>
                    </w:rPr>
                    <w:t>污染物</w:t>
                  </w:r>
                </w:p>
              </w:tc>
              <w:tc>
                <w:tcPr>
                  <w:tcW w:w="532" w:type="pct"/>
                  <w:tcBorders>
                    <w:tl2br w:val="nil"/>
                    <w:tr2bl w:val="nil"/>
                  </w:tcBorders>
                  <w:noWrap w:val="0"/>
                  <w:vAlign w:val="center"/>
                </w:tcPr>
                <w:p w14:paraId="0411CE6B">
                  <w:pPr>
                    <w:keepNext w:val="0"/>
                    <w:keepLines w:val="0"/>
                    <w:suppressLineNumbers w:val="0"/>
                    <w:spacing w:before="0" w:beforeAutospacing="0" w:after="0" w:afterAutospacing="0"/>
                    <w:ind w:left="0" w:right="0"/>
                    <w:jc w:val="center"/>
                    <w:rPr>
                      <w:b/>
                      <w:bCs/>
                      <w:color w:val="auto"/>
                      <w:szCs w:val="21"/>
                      <w:highlight w:val="none"/>
                    </w:rPr>
                  </w:pPr>
                  <w:r>
                    <w:rPr>
                      <w:b/>
                      <w:bCs/>
                      <w:color w:val="auto"/>
                      <w:szCs w:val="21"/>
                      <w:highlight w:val="none"/>
                    </w:rPr>
                    <w:t>COD</w:t>
                  </w:r>
                  <w:r>
                    <w:rPr>
                      <w:b/>
                      <w:bCs/>
                      <w:color w:val="auto"/>
                      <w:szCs w:val="21"/>
                      <w:highlight w:val="none"/>
                      <w:vertAlign w:val="subscript"/>
                    </w:rPr>
                    <w:t>Cr</w:t>
                  </w:r>
                </w:p>
              </w:tc>
              <w:tc>
                <w:tcPr>
                  <w:tcW w:w="464" w:type="pct"/>
                  <w:tcBorders>
                    <w:tl2br w:val="nil"/>
                    <w:tr2bl w:val="nil"/>
                  </w:tcBorders>
                  <w:noWrap w:val="0"/>
                  <w:vAlign w:val="center"/>
                </w:tcPr>
                <w:p w14:paraId="2B7C6DEA">
                  <w:pPr>
                    <w:keepNext w:val="0"/>
                    <w:keepLines w:val="0"/>
                    <w:suppressLineNumbers w:val="0"/>
                    <w:spacing w:before="0" w:beforeAutospacing="0" w:after="0" w:afterAutospacing="0"/>
                    <w:ind w:left="0" w:right="0"/>
                    <w:jc w:val="center"/>
                    <w:rPr>
                      <w:b/>
                      <w:bCs/>
                      <w:color w:val="auto"/>
                      <w:szCs w:val="21"/>
                      <w:highlight w:val="none"/>
                    </w:rPr>
                  </w:pPr>
                  <w:r>
                    <w:rPr>
                      <w:b/>
                      <w:bCs/>
                      <w:color w:val="auto"/>
                      <w:szCs w:val="21"/>
                      <w:highlight w:val="none"/>
                    </w:rPr>
                    <w:t>BOD</w:t>
                  </w:r>
                  <w:r>
                    <w:rPr>
                      <w:b/>
                      <w:bCs/>
                      <w:color w:val="auto"/>
                      <w:szCs w:val="21"/>
                      <w:highlight w:val="none"/>
                      <w:vertAlign w:val="subscript"/>
                    </w:rPr>
                    <w:t>5</w:t>
                  </w:r>
                </w:p>
              </w:tc>
              <w:tc>
                <w:tcPr>
                  <w:tcW w:w="519" w:type="pct"/>
                  <w:tcBorders>
                    <w:tl2br w:val="nil"/>
                    <w:tr2bl w:val="nil"/>
                  </w:tcBorders>
                  <w:noWrap w:val="0"/>
                  <w:vAlign w:val="center"/>
                </w:tcPr>
                <w:p w14:paraId="3CE7A943">
                  <w:pPr>
                    <w:keepNext w:val="0"/>
                    <w:keepLines w:val="0"/>
                    <w:suppressLineNumbers w:val="0"/>
                    <w:spacing w:before="0" w:beforeAutospacing="0" w:after="0" w:afterAutospacing="0"/>
                    <w:ind w:left="0" w:right="0"/>
                    <w:jc w:val="center"/>
                    <w:rPr>
                      <w:b/>
                      <w:bCs/>
                      <w:color w:val="auto"/>
                      <w:szCs w:val="21"/>
                      <w:highlight w:val="none"/>
                    </w:rPr>
                  </w:pPr>
                  <w:r>
                    <w:rPr>
                      <w:b/>
                      <w:bCs/>
                      <w:color w:val="auto"/>
                      <w:szCs w:val="21"/>
                      <w:highlight w:val="none"/>
                    </w:rPr>
                    <w:t>NH</w:t>
                  </w:r>
                  <w:r>
                    <w:rPr>
                      <w:b/>
                      <w:bCs/>
                      <w:color w:val="auto"/>
                      <w:szCs w:val="21"/>
                      <w:highlight w:val="none"/>
                      <w:vertAlign w:val="subscript"/>
                    </w:rPr>
                    <w:t>3</w:t>
                  </w:r>
                  <w:r>
                    <w:rPr>
                      <w:rFonts w:hint="eastAsia"/>
                      <w:b/>
                      <w:bCs/>
                      <w:color w:val="auto"/>
                      <w:szCs w:val="21"/>
                      <w:highlight w:val="none"/>
                    </w:rPr>
                    <w:t>-N</w:t>
                  </w:r>
                </w:p>
              </w:tc>
              <w:tc>
                <w:tcPr>
                  <w:tcW w:w="459" w:type="pct"/>
                  <w:tcBorders>
                    <w:tl2br w:val="nil"/>
                    <w:tr2bl w:val="nil"/>
                  </w:tcBorders>
                  <w:noWrap w:val="0"/>
                  <w:vAlign w:val="center"/>
                </w:tcPr>
                <w:p w14:paraId="16F249A3">
                  <w:pPr>
                    <w:keepNext w:val="0"/>
                    <w:keepLines w:val="0"/>
                    <w:suppressLineNumbers w:val="0"/>
                    <w:spacing w:before="0" w:beforeAutospacing="0" w:after="0" w:afterAutospacing="0"/>
                    <w:ind w:left="0" w:right="0"/>
                    <w:jc w:val="center"/>
                    <w:rPr>
                      <w:b/>
                      <w:bCs/>
                      <w:color w:val="auto"/>
                      <w:szCs w:val="21"/>
                      <w:highlight w:val="none"/>
                    </w:rPr>
                  </w:pPr>
                  <w:r>
                    <w:rPr>
                      <w:rFonts w:hint="eastAsia"/>
                      <w:b/>
                      <w:bCs/>
                      <w:color w:val="auto"/>
                      <w:szCs w:val="21"/>
                      <w:highlight w:val="none"/>
                    </w:rPr>
                    <w:t>SS</w:t>
                  </w:r>
                </w:p>
              </w:tc>
              <w:tc>
                <w:tcPr>
                  <w:tcW w:w="681" w:type="pct"/>
                  <w:tcBorders>
                    <w:tl2br w:val="nil"/>
                    <w:tr2bl w:val="nil"/>
                  </w:tcBorders>
                  <w:noWrap w:val="0"/>
                  <w:vAlign w:val="center"/>
                </w:tcPr>
                <w:p w14:paraId="745D4953">
                  <w:pPr>
                    <w:keepNext w:val="0"/>
                    <w:keepLines w:val="0"/>
                    <w:suppressLineNumbers w:val="0"/>
                    <w:spacing w:before="0" w:beforeAutospacing="0" w:after="0" w:afterAutospacing="0"/>
                    <w:ind w:left="0" w:right="0"/>
                    <w:jc w:val="center"/>
                    <w:rPr>
                      <w:rFonts w:hint="eastAsia"/>
                      <w:b/>
                      <w:bCs/>
                      <w:color w:val="auto"/>
                      <w:szCs w:val="21"/>
                      <w:highlight w:val="none"/>
                    </w:rPr>
                  </w:pPr>
                  <w:r>
                    <w:rPr>
                      <w:rFonts w:hint="eastAsia"/>
                      <w:b/>
                      <w:bCs/>
                      <w:color w:val="auto"/>
                      <w:szCs w:val="21"/>
                      <w:highlight w:val="none"/>
                    </w:rPr>
                    <w:t>动植物</w:t>
                  </w:r>
                  <w:r>
                    <w:rPr>
                      <w:b/>
                      <w:bCs/>
                      <w:color w:val="auto"/>
                      <w:szCs w:val="21"/>
                      <w:highlight w:val="none"/>
                    </w:rPr>
                    <w:t>油</w:t>
                  </w:r>
                </w:p>
              </w:tc>
              <w:tc>
                <w:tcPr>
                  <w:tcW w:w="459" w:type="pct"/>
                  <w:tcBorders>
                    <w:tl2br w:val="nil"/>
                    <w:tr2bl w:val="nil"/>
                  </w:tcBorders>
                  <w:noWrap w:val="0"/>
                  <w:vAlign w:val="center"/>
                </w:tcPr>
                <w:p w14:paraId="7A186754">
                  <w:pPr>
                    <w:keepNext w:val="0"/>
                    <w:keepLines w:val="0"/>
                    <w:suppressLineNumbers w:val="0"/>
                    <w:spacing w:before="0" w:beforeAutospacing="0" w:after="0" w:afterAutospacing="0"/>
                    <w:ind w:left="0" w:right="0"/>
                    <w:jc w:val="center"/>
                    <w:rPr>
                      <w:b/>
                      <w:bCs/>
                      <w:color w:val="auto"/>
                      <w:szCs w:val="21"/>
                      <w:highlight w:val="none"/>
                    </w:rPr>
                  </w:pPr>
                  <w:r>
                    <w:rPr>
                      <w:rFonts w:hint="eastAsia"/>
                      <w:b/>
                      <w:bCs/>
                      <w:color w:val="auto"/>
                      <w:szCs w:val="21"/>
                      <w:highlight w:val="none"/>
                    </w:rPr>
                    <w:t>TP</w:t>
                  </w:r>
                </w:p>
              </w:tc>
            </w:tr>
            <w:tr w14:paraId="0BF4FC6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8" w:hRule="atLeast"/>
                <w:jc w:val="center"/>
              </w:trPr>
              <w:tc>
                <w:tcPr>
                  <w:tcW w:w="857" w:type="pct"/>
                  <w:vMerge w:val="restart"/>
                  <w:tcBorders>
                    <w:tl2br w:val="nil"/>
                    <w:tr2bl w:val="nil"/>
                  </w:tcBorders>
                  <w:noWrap w:val="0"/>
                  <w:vAlign w:val="center"/>
                </w:tcPr>
                <w:p w14:paraId="145C1BFD">
                  <w:pPr>
                    <w:keepNext w:val="0"/>
                    <w:keepLines w:val="0"/>
                    <w:suppressLineNumbers w:val="0"/>
                    <w:spacing w:before="0" w:beforeAutospacing="0" w:after="0" w:afterAutospacing="0"/>
                    <w:ind w:left="0" w:right="0"/>
                    <w:jc w:val="center"/>
                    <w:rPr>
                      <w:color w:val="auto"/>
                      <w:szCs w:val="21"/>
                      <w:highlight w:val="none"/>
                    </w:rPr>
                  </w:pPr>
                  <w:r>
                    <w:rPr>
                      <w:rFonts w:hint="eastAsia" w:cs="宋体"/>
                      <w:color w:val="auto"/>
                      <w:szCs w:val="21"/>
                      <w:highlight w:val="none"/>
                    </w:rPr>
                    <w:t>生活污水</w:t>
                  </w:r>
                </w:p>
                <w:p w14:paraId="06987133">
                  <w:pPr>
                    <w:keepNext w:val="0"/>
                    <w:keepLines w:val="0"/>
                    <w:suppressLineNumbers w:val="0"/>
                    <w:spacing w:before="0" w:beforeAutospacing="0" w:after="0" w:afterAutospacing="0"/>
                    <w:ind w:left="0" w:right="0"/>
                    <w:jc w:val="center"/>
                    <w:rPr>
                      <w:color w:val="auto"/>
                      <w:szCs w:val="21"/>
                      <w:highlight w:val="none"/>
                    </w:rPr>
                  </w:pPr>
                  <w:r>
                    <w:rPr>
                      <w:rFonts w:hint="eastAsia" w:cs="宋体"/>
                      <w:color w:val="auto"/>
                      <w:szCs w:val="21"/>
                      <w:highlight w:val="none"/>
                    </w:rPr>
                    <w:t>（</w:t>
                  </w:r>
                  <w:r>
                    <w:rPr>
                      <w:rFonts w:hint="eastAsia" w:cs="宋体"/>
                      <w:color w:val="auto"/>
                      <w:szCs w:val="21"/>
                      <w:highlight w:val="none"/>
                      <w:lang w:val="en-US" w:eastAsia="zh-CN"/>
                    </w:rPr>
                    <w:t>739.8</w:t>
                  </w:r>
                  <w:r>
                    <w:rPr>
                      <w:color w:val="auto"/>
                      <w:szCs w:val="21"/>
                      <w:highlight w:val="none"/>
                    </w:rPr>
                    <w:t>t/a）</w:t>
                  </w:r>
                </w:p>
              </w:tc>
              <w:tc>
                <w:tcPr>
                  <w:tcW w:w="1026" w:type="pct"/>
                  <w:tcBorders>
                    <w:tl2br w:val="nil"/>
                    <w:tr2bl w:val="nil"/>
                  </w:tcBorders>
                  <w:noWrap w:val="0"/>
                  <w:vAlign w:val="center"/>
                </w:tcPr>
                <w:p w14:paraId="71475666">
                  <w:pPr>
                    <w:keepNext w:val="0"/>
                    <w:keepLines w:val="0"/>
                    <w:suppressLineNumbers w:val="0"/>
                    <w:spacing w:before="0" w:beforeAutospacing="0" w:after="0" w:afterAutospacing="0"/>
                    <w:ind w:left="0" w:right="0"/>
                    <w:jc w:val="center"/>
                    <w:rPr>
                      <w:color w:val="auto"/>
                      <w:szCs w:val="21"/>
                      <w:highlight w:val="none"/>
                    </w:rPr>
                  </w:pPr>
                  <w:r>
                    <w:rPr>
                      <w:rFonts w:hint="eastAsia" w:cs="宋体"/>
                      <w:color w:val="auto"/>
                      <w:szCs w:val="21"/>
                      <w:highlight w:val="none"/>
                    </w:rPr>
                    <w:t>产生浓度</w:t>
                  </w:r>
                  <w:r>
                    <w:rPr>
                      <w:color w:val="auto"/>
                      <w:szCs w:val="21"/>
                      <w:highlight w:val="none"/>
                    </w:rPr>
                    <w:t>m</w:t>
                  </w:r>
                  <w:r>
                    <w:rPr>
                      <w:rFonts w:hint="eastAsia"/>
                      <w:color w:val="auto"/>
                      <w:szCs w:val="21"/>
                      <w:highlight w:val="none"/>
                    </w:rPr>
                    <w:t>g</w:t>
                  </w:r>
                  <w:r>
                    <w:rPr>
                      <w:color w:val="auto"/>
                      <w:szCs w:val="21"/>
                      <w:highlight w:val="none"/>
                    </w:rPr>
                    <w:t>/L</w:t>
                  </w:r>
                </w:p>
              </w:tc>
              <w:tc>
                <w:tcPr>
                  <w:tcW w:w="532" w:type="pct"/>
                  <w:tcBorders>
                    <w:tl2br w:val="nil"/>
                    <w:tr2bl w:val="nil"/>
                  </w:tcBorders>
                  <w:noWrap w:val="0"/>
                  <w:vAlign w:val="center"/>
                </w:tcPr>
                <w:p w14:paraId="5486B612">
                  <w:pPr>
                    <w:keepNext w:val="0"/>
                    <w:keepLines w:val="0"/>
                    <w:suppressLineNumbers w:val="0"/>
                    <w:adjustRightInd w:val="0"/>
                    <w:snapToGrid w:val="0"/>
                    <w:spacing w:before="0" w:beforeAutospacing="0" w:after="0" w:afterAutospacing="0"/>
                    <w:ind w:left="0" w:right="0"/>
                    <w:jc w:val="center"/>
                    <w:rPr>
                      <w:color w:val="auto"/>
                      <w:szCs w:val="21"/>
                      <w:highlight w:val="none"/>
                    </w:rPr>
                  </w:pPr>
                  <w:r>
                    <w:rPr>
                      <w:rFonts w:hint="eastAsia"/>
                      <w:color w:val="auto"/>
                      <w:szCs w:val="21"/>
                      <w:highlight w:val="none"/>
                    </w:rPr>
                    <w:t>285</w:t>
                  </w:r>
                </w:p>
              </w:tc>
              <w:tc>
                <w:tcPr>
                  <w:tcW w:w="464" w:type="pct"/>
                  <w:tcBorders>
                    <w:tl2br w:val="nil"/>
                    <w:tr2bl w:val="nil"/>
                  </w:tcBorders>
                  <w:noWrap w:val="0"/>
                  <w:vAlign w:val="center"/>
                </w:tcPr>
                <w:p w14:paraId="5E6410F1">
                  <w:pPr>
                    <w:keepNext w:val="0"/>
                    <w:keepLines w:val="0"/>
                    <w:suppressLineNumbers w:val="0"/>
                    <w:adjustRightInd w:val="0"/>
                    <w:snapToGrid w:val="0"/>
                    <w:spacing w:before="0" w:beforeAutospacing="0" w:after="0" w:afterAutospacing="0"/>
                    <w:ind w:left="0" w:right="0"/>
                    <w:jc w:val="center"/>
                    <w:rPr>
                      <w:color w:val="auto"/>
                      <w:szCs w:val="21"/>
                      <w:highlight w:val="none"/>
                    </w:rPr>
                  </w:pPr>
                  <w:r>
                    <w:rPr>
                      <w:rFonts w:hint="eastAsia"/>
                      <w:color w:val="auto"/>
                      <w:szCs w:val="21"/>
                      <w:highlight w:val="none"/>
                    </w:rPr>
                    <w:t>160</w:t>
                  </w:r>
                </w:p>
              </w:tc>
              <w:tc>
                <w:tcPr>
                  <w:tcW w:w="519" w:type="pct"/>
                  <w:tcBorders>
                    <w:tl2br w:val="nil"/>
                    <w:tr2bl w:val="nil"/>
                  </w:tcBorders>
                  <w:noWrap w:val="0"/>
                  <w:vAlign w:val="center"/>
                </w:tcPr>
                <w:p w14:paraId="1C9D2D4A">
                  <w:pPr>
                    <w:keepNext w:val="0"/>
                    <w:keepLines w:val="0"/>
                    <w:suppressLineNumbers w:val="0"/>
                    <w:adjustRightInd w:val="0"/>
                    <w:snapToGrid w:val="0"/>
                    <w:spacing w:before="0" w:beforeAutospacing="0" w:after="0" w:afterAutospacing="0"/>
                    <w:ind w:left="0" w:right="0"/>
                    <w:jc w:val="center"/>
                    <w:rPr>
                      <w:color w:val="auto"/>
                      <w:szCs w:val="21"/>
                      <w:highlight w:val="none"/>
                    </w:rPr>
                  </w:pPr>
                  <w:r>
                    <w:rPr>
                      <w:rFonts w:hint="eastAsia"/>
                      <w:color w:val="auto"/>
                      <w:szCs w:val="21"/>
                      <w:highlight w:val="none"/>
                    </w:rPr>
                    <w:t>28</w:t>
                  </w:r>
                </w:p>
              </w:tc>
              <w:tc>
                <w:tcPr>
                  <w:tcW w:w="459" w:type="pct"/>
                  <w:tcBorders>
                    <w:tl2br w:val="nil"/>
                    <w:tr2bl w:val="nil"/>
                  </w:tcBorders>
                  <w:noWrap w:val="0"/>
                  <w:vAlign w:val="center"/>
                </w:tcPr>
                <w:p w14:paraId="15003AC5">
                  <w:pPr>
                    <w:keepNext w:val="0"/>
                    <w:keepLines w:val="0"/>
                    <w:suppressLineNumbers w:val="0"/>
                    <w:adjustRightInd w:val="0"/>
                    <w:snapToGrid w:val="0"/>
                    <w:spacing w:before="0" w:beforeAutospacing="0" w:after="0" w:afterAutospacing="0"/>
                    <w:ind w:left="0" w:right="0"/>
                    <w:jc w:val="center"/>
                    <w:rPr>
                      <w:color w:val="auto"/>
                      <w:szCs w:val="21"/>
                      <w:highlight w:val="none"/>
                    </w:rPr>
                  </w:pPr>
                  <w:r>
                    <w:rPr>
                      <w:rFonts w:hint="eastAsia"/>
                      <w:color w:val="auto"/>
                      <w:szCs w:val="21"/>
                      <w:highlight w:val="none"/>
                    </w:rPr>
                    <w:t>150</w:t>
                  </w:r>
                </w:p>
              </w:tc>
              <w:tc>
                <w:tcPr>
                  <w:tcW w:w="681" w:type="pct"/>
                  <w:tcBorders>
                    <w:tl2br w:val="nil"/>
                    <w:tr2bl w:val="nil"/>
                  </w:tcBorders>
                  <w:noWrap w:val="0"/>
                  <w:vAlign w:val="center"/>
                </w:tcPr>
                <w:p w14:paraId="7BAD9DA2">
                  <w:pPr>
                    <w:keepNext w:val="0"/>
                    <w:keepLines w:val="0"/>
                    <w:suppressLineNumbers w:val="0"/>
                    <w:adjustRightInd w:val="0"/>
                    <w:snapToGrid w:val="0"/>
                    <w:spacing w:before="0" w:beforeAutospacing="0" w:after="0" w:afterAutospacing="0"/>
                    <w:ind w:left="0" w:right="0"/>
                    <w:jc w:val="center"/>
                    <w:rPr>
                      <w:color w:val="auto"/>
                      <w:szCs w:val="21"/>
                      <w:highlight w:val="none"/>
                    </w:rPr>
                  </w:pPr>
                  <w:r>
                    <w:rPr>
                      <w:color w:val="auto"/>
                      <w:szCs w:val="21"/>
                      <w:highlight w:val="none"/>
                    </w:rPr>
                    <w:t>100</w:t>
                  </w:r>
                </w:p>
              </w:tc>
              <w:tc>
                <w:tcPr>
                  <w:tcW w:w="459" w:type="pct"/>
                  <w:tcBorders>
                    <w:tl2br w:val="nil"/>
                    <w:tr2bl w:val="nil"/>
                  </w:tcBorders>
                  <w:noWrap w:val="0"/>
                  <w:vAlign w:val="center"/>
                </w:tcPr>
                <w:p w14:paraId="5B5B743F">
                  <w:pPr>
                    <w:keepNext w:val="0"/>
                    <w:keepLines w:val="0"/>
                    <w:suppressLineNumbers w:val="0"/>
                    <w:adjustRightInd w:val="0"/>
                    <w:snapToGrid w:val="0"/>
                    <w:spacing w:before="0" w:beforeAutospacing="0" w:after="0" w:afterAutospacing="0"/>
                    <w:ind w:left="0" w:right="0"/>
                    <w:jc w:val="center"/>
                    <w:rPr>
                      <w:color w:val="auto"/>
                      <w:szCs w:val="21"/>
                      <w:highlight w:val="none"/>
                    </w:rPr>
                  </w:pPr>
                  <w:r>
                    <w:rPr>
                      <w:rFonts w:hint="eastAsia"/>
                      <w:color w:val="auto"/>
                      <w:szCs w:val="21"/>
                      <w:highlight w:val="none"/>
                    </w:rPr>
                    <w:t>4</w:t>
                  </w:r>
                </w:p>
              </w:tc>
            </w:tr>
            <w:tr w14:paraId="6D02B96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 w:hRule="atLeast"/>
                <w:jc w:val="center"/>
              </w:trPr>
              <w:tc>
                <w:tcPr>
                  <w:tcW w:w="857" w:type="pct"/>
                  <w:vMerge w:val="continue"/>
                  <w:tcBorders>
                    <w:tl2br w:val="nil"/>
                    <w:tr2bl w:val="nil"/>
                  </w:tcBorders>
                  <w:noWrap w:val="0"/>
                  <w:vAlign w:val="center"/>
                </w:tcPr>
                <w:p w14:paraId="2711542E">
                  <w:pPr>
                    <w:keepNext w:val="0"/>
                    <w:keepLines w:val="0"/>
                    <w:suppressLineNumbers w:val="0"/>
                    <w:spacing w:before="0" w:beforeAutospacing="0" w:after="0" w:afterAutospacing="0"/>
                    <w:ind w:left="0" w:right="0"/>
                    <w:jc w:val="center"/>
                    <w:rPr>
                      <w:color w:val="auto"/>
                      <w:szCs w:val="21"/>
                      <w:highlight w:val="none"/>
                    </w:rPr>
                  </w:pPr>
                </w:p>
              </w:tc>
              <w:tc>
                <w:tcPr>
                  <w:tcW w:w="1026" w:type="pct"/>
                  <w:tcBorders>
                    <w:tl2br w:val="nil"/>
                    <w:tr2bl w:val="nil"/>
                  </w:tcBorders>
                  <w:noWrap w:val="0"/>
                  <w:vAlign w:val="center"/>
                </w:tcPr>
                <w:p w14:paraId="420E8121">
                  <w:pPr>
                    <w:keepNext w:val="0"/>
                    <w:keepLines w:val="0"/>
                    <w:suppressLineNumbers w:val="0"/>
                    <w:spacing w:before="0" w:beforeAutospacing="0" w:after="0" w:afterAutospacing="0"/>
                    <w:ind w:left="0" w:right="0"/>
                    <w:jc w:val="center"/>
                    <w:rPr>
                      <w:color w:val="auto"/>
                      <w:szCs w:val="21"/>
                      <w:highlight w:val="none"/>
                    </w:rPr>
                  </w:pPr>
                  <w:r>
                    <w:rPr>
                      <w:rFonts w:hint="eastAsia" w:cs="宋体"/>
                      <w:color w:val="auto"/>
                      <w:szCs w:val="21"/>
                      <w:highlight w:val="none"/>
                    </w:rPr>
                    <w:t>产生量</w:t>
                  </w:r>
                  <w:r>
                    <w:rPr>
                      <w:color w:val="auto"/>
                      <w:szCs w:val="21"/>
                      <w:highlight w:val="none"/>
                    </w:rPr>
                    <w:t>t</w:t>
                  </w:r>
                  <w:r>
                    <w:rPr>
                      <w:rFonts w:hint="eastAsia"/>
                      <w:color w:val="auto"/>
                      <w:szCs w:val="21"/>
                      <w:highlight w:val="none"/>
                    </w:rPr>
                    <w:t>/</w:t>
                  </w:r>
                  <w:r>
                    <w:rPr>
                      <w:color w:val="auto"/>
                      <w:szCs w:val="21"/>
                      <w:highlight w:val="none"/>
                    </w:rPr>
                    <w:t>a</w:t>
                  </w:r>
                </w:p>
              </w:tc>
              <w:tc>
                <w:tcPr>
                  <w:tcW w:w="532" w:type="pct"/>
                  <w:tcBorders>
                    <w:tl2br w:val="nil"/>
                    <w:tr2bl w:val="nil"/>
                  </w:tcBorders>
                  <w:noWrap w:val="0"/>
                  <w:vAlign w:val="center"/>
                </w:tcPr>
                <w:p w14:paraId="1890C54C">
                  <w:pPr>
                    <w:keepNext w:val="0"/>
                    <w:keepLines w:val="0"/>
                    <w:suppressLineNumbers w:val="0"/>
                    <w:spacing w:before="0" w:beforeAutospacing="0" w:after="0" w:afterAutospacing="0"/>
                    <w:ind w:left="0" w:right="0"/>
                    <w:jc w:val="center"/>
                    <w:rPr>
                      <w:rFonts w:hint="default" w:eastAsia="宋体"/>
                      <w:color w:val="auto"/>
                      <w:szCs w:val="21"/>
                      <w:highlight w:val="none"/>
                      <w:lang w:val="en-US" w:eastAsia="zh-CN"/>
                    </w:rPr>
                  </w:pPr>
                  <w:r>
                    <w:rPr>
                      <w:rFonts w:hint="eastAsia"/>
                      <w:color w:val="auto"/>
                      <w:szCs w:val="21"/>
                      <w:highlight w:val="none"/>
                      <w:lang w:val="en-US" w:eastAsia="zh-CN"/>
                    </w:rPr>
                    <w:t>0.2108</w:t>
                  </w:r>
                </w:p>
              </w:tc>
              <w:tc>
                <w:tcPr>
                  <w:tcW w:w="464" w:type="pct"/>
                  <w:tcBorders>
                    <w:tl2br w:val="nil"/>
                    <w:tr2bl w:val="nil"/>
                  </w:tcBorders>
                  <w:noWrap w:val="0"/>
                  <w:vAlign w:val="center"/>
                </w:tcPr>
                <w:p w14:paraId="6C5FB5B5">
                  <w:pPr>
                    <w:keepNext w:val="0"/>
                    <w:keepLines w:val="0"/>
                    <w:suppressLineNumbers w:val="0"/>
                    <w:spacing w:before="0" w:beforeAutospacing="0" w:after="0" w:afterAutospacing="0"/>
                    <w:ind w:left="0" w:right="0"/>
                    <w:jc w:val="center"/>
                    <w:rPr>
                      <w:rFonts w:hint="default" w:eastAsia="宋体"/>
                      <w:color w:val="auto"/>
                      <w:szCs w:val="21"/>
                      <w:highlight w:val="none"/>
                      <w:lang w:val="en-US" w:eastAsia="zh-CN"/>
                    </w:rPr>
                  </w:pPr>
                  <w:r>
                    <w:rPr>
                      <w:rFonts w:hint="eastAsia"/>
                      <w:color w:val="auto"/>
                      <w:szCs w:val="21"/>
                      <w:highlight w:val="none"/>
                      <w:lang w:val="en-US" w:eastAsia="zh-CN"/>
                    </w:rPr>
                    <w:t>0.1184</w:t>
                  </w:r>
                </w:p>
              </w:tc>
              <w:tc>
                <w:tcPr>
                  <w:tcW w:w="519" w:type="pct"/>
                  <w:tcBorders>
                    <w:tl2br w:val="nil"/>
                    <w:tr2bl w:val="nil"/>
                  </w:tcBorders>
                  <w:noWrap w:val="0"/>
                  <w:vAlign w:val="center"/>
                </w:tcPr>
                <w:p w14:paraId="1EB11EDC">
                  <w:pPr>
                    <w:keepNext w:val="0"/>
                    <w:keepLines w:val="0"/>
                    <w:suppressLineNumbers w:val="0"/>
                    <w:spacing w:before="0" w:beforeAutospacing="0" w:after="0" w:afterAutospacing="0"/>
                    <w:ind w:left="0" w:right="0"/>
                    <w:jc w:val="center"/>
                    <w:rPr>
                      <w:rFonts w:hint="default" w:eastAsia="宋体"/>
                      <w:color w:val="auto"/>
                      <w:szCs w:val="21"/>
                      <w:highlight w:val="none"/>
                      <w:lang w:val="en-US" w:eastAsia="zh-CN"/>
                    </w:rPr>
                  </w:pPr>
                  <w:r>
                    <w:rPr>
                      <w:rFonts w:hint="eastAsia"/>
                      <w:color w:val="auto"/>
                      <w:szCs w:val="21"/>
                      <w:highlight w:val="none"/>
                      <w:lang w:val="en-US" w:eastAsia="zh-CN"/>
                    </w:rPr>
                    <w:t>0.0207</w:t>
                  </w:r>
                </w:p>
              </w:tc>
              <w:tc>
                <w:tcPr>
                  <w:tcW w:w="459" w:type="pct"/>
                  <w:tcBorders>
                    <w:tl2br w:val="nil"/>
                    <w:tr2bl w:val="nil"/>
                  </w:tcBorders>
                  <w:noWrap w:val="0"/>
                  <w:vAlign w:val="center"/>
                </w:tcPr>
                <w:p w14:paraId="475CD5C2">
                  <w:pPr>
                    <w:keepNext w:val="0"/>
                    <w:keepLines w:val="0"/>
                    <w:suppressLineNumbers w:val="0"/>
                    <w:spacing w:before="0" w:beforeAutospacing="0" w:after="0" w:afterAutospacing="0"/>
                    <w:ind w:left="0" w:right="0"/>
                    <w:jc w:val="center"/>
                    <w:rPr>
                      <w:rFonts w:hint="default" w:eastAsia="宋体"/>
                      <w:color w:val="auto"/>
                      <w:szCs w:val="21"/>
                      <w:highlight w:val="none"/>
                      <w:lang w:val="en-US" w:eastAsia="zh-CN"/>
                    </w:rPr>
                  </w:pPr>
                  <w:r>
                    <w:rPr>
                      <w:rFonts w:hint="eastAsia"/>
                      <w:color w:val="auto"/>
                      <w:szCs w:val="21"/>
                      <w:highlight w:val="none"/>
                      <w:lang w:val="en-US" w:eastAsia="zh-CN"/>
                    </w:rPr>
                    <w:t>0.1110</w:t>
                  </w:r>
                </w:p>
              </w:tc>
              <w:tc>
                <w:tcPr>
                  <w:tcW w:w="681" w:type="pct"/>
                  <w:tcBorders>
                    <w:tl2br w:val="nil"/>
                    <w:tr2bl w:val="nil"/>
                  </w:tcBorders>
                  <w:noWrap w:val="0"/>
                  <w:vAlign w:val="center"/>
                </w:tcPr>
                <w:p w14:paraId="7B8342E7">
                  <w:pPr>
                    <w:keepNext w:val="0"/>
                    <w:keepLines w:val="0"/>
                    <w:suppressLineNumbers w:val="0"/>
                    <w:spacing w:before="0" w:beforeAutospacing="0" w:after="0" w:afterAutospacing="0"/>
                    <w:ind w:left="0" w:right="0"/>
                    <w:jc w:val="center"/>
                    <w:rPr>
                      <w:rFonts w:hint="default" w:eastAsia="宋体"/>
                      <w:color w:val="auto"/>
                      <w:szCs w:val="21"/>
                      <w:highlight w:val="none"/>
                      <w:lang w:val="en-US" w:eastAsia="zh-CN"/>
                    </w:rPr>
                  </w:pPr>
                  <w:r>
                    <w:rPr>
                      <w:rFonts w:hint="eastAsia"/>
                      <w:color w:val="auto"/>
                      <w:szCs w:val="21"/>
                      <w:highlight w:val="none"/>
                      <w:lang w:val="en-US" w:eastAsia="zh-CN"/>
                    </w:rPr>
                    <w:t>0.0740</w:t>
                  </w:r>
                </w:p>
              </w:tc>
              <w:tc>
                <w:tcPr>
                  <w:tcW w:w="459" w:type="pct"/>
                  <w:tcBorders>
                    <w:tl2br w:val="nil"/>
                    <w:tr2bl w:val="nil"/>
                  </w:tcBorders>
                  <w:noWrap w:val="0"/>
                  <w:vAlign w:val="center"/>
                </w:tcPr>
                <w:p w14:paraId="1FEFCBA7">
                  <w:pPr>
                    <w:keepNext w:val="0"/>
                    <w:keepLines w:val="0"/>
                    <w:suppressLineNumbers w:val="0"/>
                    <w:spacing w:before="0" w:beforeAutospacing="0" w:after="0" w:afterAutospacing="0"/>
                    <w:ind w:left="0" w:right="0"/>
                    <w:jc w:val="center"/>
                    <w:rPr>
                      <w:rFonts w:hint="default" w:eastAsia="宋体"/>
                      <w:color w:val="auto"/>
                      <w:szCs w:val="21"/>
                      <w:highlight w:val="none"/>
                      <w:lang w:val="en-US" w:eastAsia="zh-CN"/>
                    </w:rPr>
                  </w:pPr>
                  <w:r>
                    <w:rPr>
                      <w:rFonts w:hint="eastAsia"/>
                      <w:color w:val="auto"/>
                      <w:szCs w:val="21"/>
                      <w:highlight w:val="none"/>
                      <w:lang w:val="en-US" w:eastAsia="zh-CN"/>
                    </w:rPr>
                    <w:t>0.0030</w:t>
                  </w:r>
                </w:p>
              </w:tc>
            </w:tr>
            <w:tr w14:paraId="65E329A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0" w:hRule="atLeast"/>
                <w:jc w:val="center"/>
              </w:trPr>
              <w:tc>
                <w:tcPr>
                  <w:tcW w:w="857" w:type="pct"/>
                  <w:vMerge w:val="continue"/>
                  <w:tcBorders>
                    <w:tl2br w:val="nil"/>
                    <w:tr2bl w:val="nil"/>
                  </w:tcBorders>
                  <w:noWrap w:val="0"/>
                  <w:vAlign w:val="center"/>
                </w:tcPr>
                <w:p w14:paraId="5F4FCAFA">
                  <w:pPr>
                    <w:keepNext w:val="0"/>
                    <w:keepLines w:val="0"/>
                    <w:suppressLineNumbers w:val="0"/>
                    <w:spacing w:before="0" w:beforeAutospacing="0" w:after="0" w:afterAutospacing="0"/>
                    <w:ind w:left="0" w:right="0"/>
                    <w:jc w:val="center"/>
                    <w:rPr>
                      <w:color w:val="auto"/>
                      <w:szCs w:val="21"/>
                      <w:highlight w:val="none"/>
                    </w:rPr>
                  </w:pPr>
                </w:p>
              </w:tc>
              <w:tc>
                <w:tcPr>
                  <w:tcW w:w="1026" w:type="pct"/>
                  <w:tcBorders>
                    <w:tl2br w:val="nil"/>
                    <w:tr2bl w:val="nil"/>
                  </w:tcBorders>
                  <w:noWrap w:val="0"/>
                  <w:vAlign w:val="center"/>
                </w:tcPr>
                <w:p w14:paraId="18CB3B1B">
                  <w:pPr>
                    <w:keepNext w:val="0"/>
                    <w:keepLines w:val="0"/>
                    <w:suppressLineNumbers w:val="0"/>
                    <w:spacing w:before="0" w:beforeAutospacing="0" w:after="0" w:afterAutospacing="0"/>
                    <w:ind w:left="0" w:right="0"/>
                    <w:jc w:val="center"/>
                    <w:rPr>
                      <w:rFonts w:cs="宋体"/>
                      <w:color w:val="auto"/>
                      <w:szCs w:val="21"/>
                      <w:highlight w:val="none"/>
                    </w:rPr>
                  </w:pPr>
                  <w:r>
                    <w:rPr>
                      <w:rFonts w:hint="eastAsia" w:cs="宋体"/>
                      <w:color w:val="auto"/>
                      <w:szCs w:val="21"/>
                      <w:highlight w:val="none"/>
                    </w:rPr>
                    <w:t>排放浓度</w:t>
                  </w:r>
                  <w:r>
                    <w:rPr>
                      <w:color w:val="auto"/>
                      <w:szCs w:val="21"/>
                      <w:highlight w:val="none"/>
                    </w:rPr>
                    <w:t>mg/L</w:t>
                  </w:r>
                </w:p>
              </w:tc>
              <w:tc>
                <w:tcPr>
                  <w:tcW w:w="532" w:type="pct"/>
                  <w:tcBorders>
                    <w:tl2br w:val="nil"/>
                    <w:tr2bl w:val="nil"/>
                  </w:tcBorders>
                  <w:noWrap w:val="0"/>
                  <w:vAlign w:val="center"/>
                </w:tcPr>
                <w:p w14:paraId="0C8970EB">
                  <w:pPr>
                    <w:keepNext w:val="0"/>
                    <w:keepLines w:val="0"/>
                    <w:suppressLineNumbers w:val="0"/>
                    <w:spacing w:before="0" w:beforeAutospacing="0" w:after="0" w:afterAutospacing="0"/>
                    <w:ind w:left="0" w:right="0"/>
                    <w:jc w:val="center"/>
                    <w:rPr>
                      <w:color w:val="auto"/>
                      <w:szCs w:val="21"/>
                      <w:highlight w:val="none"/>
                    </w:rPr>
                  </w:pPr>
                  <w:r>
                    <w:rPr>
                      <w:rFonts w:hint="eastAsia"/>
                      <w:color w:val="auto"/>
                      <w:szCs w:val="21"/>
                      <w:highlight w:val="none"/>
                    </w:rPr>
                    <w:t>40</w:t>
                  </w:r>
                </w:p>
              </w:tc>
              <w:tc>
                <w:tcPr>
                  <w:tcW w:w="464" w:type="pct"/>
                  <w:tcBorders>
                    <w:tl2br w:val="nil"/>
                    <w:tr2bl w:val="nil"/>
                  </w:tcBorders>
                  <w:noWrap w:val="0"/>
                  <w:vAlign w:val="center"/>
                </w:tcPr>
                <w:p w14:paraId="400CDA65">
                  <w:pPr>
                    <w:keepNext w:val="0"/>
                    <w:keepLines w:val="0"/>
                    <w:suppressLineNumbers w:val="0"/>
                    <w:spacing w:before="0" w:beforeAutospacing="0" w:after="0" w:afterAutospacing="0"/>
                    <w:ind w:left="0" w:right="0"/>
                    <w:jc w:val="center"/>
                    <w:rPr>
                      <w:color w:val="auto"/>
                      <w:szCs w:val="21"/>
                      <w:highlight w:val="none"/>
                    </w:rPr>
                  </w:pPr>
                  <w:r>
                    <w:rPr>
                      <w:rFonts w:hint="eastAsia"/>
                      <w:color w:val="auto"/>
                      <w:szCs w:val="21"/>
                      <w:highlight w:val="none"/>
                    </w:rPr>
                    <w:t>10</w:t>
                  </w:r>
                </w:p>
              </w:tc>
              <w:tc>
                <w:tcPr>
                  <w:tcW w:w="519" w:type="pct"/>
                  <w:tcBorders>
                    <w:tl2br w:val="nil"/>
                    <w:tr2bl w:val="nil"/>
                  </w:tcBorders>
                  <w:noWrap w:val="0"/>
                  <w:vAlign w:val="center"/>
                </w:tcPr>
                <w:p w14:paraId="42CEB88E">
                  <w:pPr>
                    <w:keepNext w:val="0"/>
                    <w:keepLines w:val="0"/>
                    <w:suppressLineNumbers w:val="0"/>
                    <w:spacing w:before="0" w:beforeAutospacing="0" w:after="0" w:afterAutospacing="0"/>
                    <w:ind w:left="0" w:right="0"/>
                    <w:jc w:val="center"/>
                    <w:rPr>
                      <w:color w:val="auto"/>
                      <w:szCs w:val="21"/>
                      <w:highlight w:val="none"/>
                    </w:rPr>
                  </w:pPr>
                  <w:r>
                    <w:rPr>
                      <w:rFonts w:hint="eastAsia"/>
                      <w:color w:val="auto"/>
                      <w:szCs w:val="21"/>
                      <w:highlight w:val="none"/>
                    </w:rPr>
                    <w:t>2.0</w:t>
                  </w:r>
                </w:p>
              </w:tc>
              <w:tc>
                <w:tcPr>
                  <w:tcW w:w="459" w:type="pct"/>
                  <w:tcBorders>
                    <w:tl2br w:val="nil"/>
                    <w:tr2bl w:val="nil"/>
                  </w:tcBorders>
                  <w:noWrap w:val="0"/>
                  <w:vAlign w:val="center"/>
                </w:tcPr>
                <w:p w14:paraId="7B509EEB">
                  <w:pPr>
                    <w:keepNext w:val="0"/>
                    <w:keepLines w:val="0"/>
                    <w:suppressLineNumbers w:val="0"/>
                    <w:spacing w:before="0" w:beforeAutospacing="0" w:after="0" w:afterAutospacing="0"/>
                    <w:ind w:left="0" w:right="0"/>
                    <w:jc w:val="center"/>
                    <w:rPr>
                      <w:color w:val="auto"/>
                      <w:szCs w:val="21"/>
                      <w:highlight w:val="none"/>
                    </w:rPr>
                  </w:pPr>
                  <w:r>
                    <w:rPr>
                      <w:rFonts w:hint="eastAsia"/>
                      <w:color w:val="auto"/>
                      <w:szCs w:val="21"/>
                      <w:highlight w:val="none"/>
                    </w:rPr>
                    <w:t>10</w:t>
                  </w:r>
                </w:p>
              </w:tc>
              <w:tc>
                <w:tcPr>
                  <w:tcW w:w="681" w:type="pct"/>
                  <w:tcBorders>
                    <w:tl2br w:val="nil"/>
                    <w:tr2bl w:val="nil"/>
                  </w:tcBorders>
                  <w:noWrap w:val="0"/>
                  <w:vAlign w:val="center"/>
                </w:tcPr>
                <w:p w14:paraId="25682664">
                  <w:pPr>
                    <w:keepNext w:val="0"/>
                    <w:keepLines w:val="0"/>
                    <w:suppressLineNumbers w:val="0"/>
                    <w:spacing w:before="0" w:beforeAutospacing="0" w:after="0" w:afterAutospacing="0"/>
                    <w:ind w:left="0" w:right="0"/>
                    <w:jc w:val="center"/>
                    <w:rPr>
                      <w:color w:val="auto"/>
                      <w:szCs w:val="21"/>
                      <w:highlight w:val="none"/>
                    </w:rPr>
                  </w:pPr>
                  <w:r>
                    <w:rPr>
                      <w:color w:val="auto"/>
                      <w:szCs w:val="21"/>
                      <w:highlight w:val="none"/>
                    </w:rPr>
                    <w:t>1.0</w:t>
                  </w:r>
                </w:p>
              </w:tc>
              <w:tc>
                <w:tcPr>
                  <w:tcW w:w="459" w:type="pct"/>
                  <w:tcBorders>
                    <w:tl2br w:val="nil"/>
                    <w:tr2bl w:val="nil"/>
                  </w:tcBorders>
                  <w:noWrap w:val="0"/>
                  <w:vAlign w:val="center"/>
                </w:tcPr>
                <w:p w14:paraId="2F032315">
                  <w:pPr>
                    <w:keepNext w:val="0"/>
                    <w:keepLines w:val="0"/>
                    <w:suppressLineNumbers w:val="0"/>
                    <w:spacing w:before="0" w:beforeAutospacing="0" w:after="0" w:afterAutospacing="0"/>
                    <w:ind w:left="0" w:right="0"/>
                    <w:jc w:val="center"/>
                    <w:rPr>
                      <w:color w:val="auto"/>
                      <w:szCs w:val="21"/>
                      <w:highlight w:val="none"/>
                    </w:rPr>
                  </w:pPr>
                  <w:r>
                    <w:rPr>
                      <w:rFonts w:hint="eastAsia"/>
                      <w:color w:val="auto"/>
                      <w:szCs w:val="21"/>
                      <w:highlight w:val="none"/>
                    </w:rPr>
                    <w:t>0.4</w:t>
                  </w:r>
                </w:p>
              </w:tc>
            </w:tr>
            <w:tr w14:paraId="7C4144C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4" w:hRule="atLeast"/>
                <w:jc w:val="center"/>
              </w:trPr>
              <w:tc>
                <w:tcPr>
                  <w:tcW w:w="857" w:type="pct"/>
                  <w:vMerge w:val="continue"/>
                  <w:tcBorders>
                    <w:tl2br w:val="nil"/>
                    <w:tr2bl w:val="nil"/>
                  </w:tcBorders>
                  <w:noWrap w:val="0"/>
                  <w:vAlign w:val="center"/>
                </w:tcPr>
                <w:p w14:paraId="14B85AB4">
                  <w:pPr>
                    <w:keepNext w:val="0"/>
                    <w:keepLines w:val="0"/>
                    <w:suppressLineNumbers w:val="0"/>
                    <w:spacing w:before="0" w:beforeAutospacing="0" w:after="0" w:afterAutospacing="0"/>
                    <w:ind w:left="0" w:right="0"/>
                    <w:jc w:val="center"/>
                    <w:rPr>
                      <w:color w:val="auto"/>
                      <w:szCs w:val="21"/>
                      <w:highlight w:val="none"/>
                    </w:rPr>
                  </w:pPr>
                </w:p>
              </w:tc>
              <w:tc>
                <w:tcPr>
                  <w:tcW w:w="1026" w:type="pct"/>
                  <w:tcBorders>
                    <w:tl2br w:val="nil"/>
                    <w:tr2bl w:val="nil"/>
                  </w:tcBorders>
                  <w:noWrap w:val="0"/>
                  <w:vAlign w:val="center"/>
                </w:tcPr>
                <w:p w14:paraId="6B4E3964">
                  <w:pPr>
                    <w:keepNext w:val="0"/>
                    <w:keepLines w:val="0"/>
                    <w:suppressLineNumbers w:val="0"/>
                    <w:spacing w:before="0" w:beforeAutospacing="0" w:after="0" w:afterAutospacing="0"/>
                    <w:ind w:left="0" w:right="0"/>
                    <w:jc w:val="center"/>
                    <w:rPr>
                      <w:rFonts w:cs="宋体"/>
                      <w:color w:val="auto"/>
                      <w:szCs w:val="21"/>
                      <w:highlight w:val="none"/>
                    </w:rPr>
                  </w:pPr>
                  <w:r>
                    <w:rPr>
                      <w:rFonts w:hint="eastAsia" w:cs="宋体"/>
                      <w:color w:val="auto"/>
                      <w:szCs w:val="21"/>
                      <w:highlight w:val="none"/>
                    </w:rPr>
                    <w:t>排放量</w:t>
                  </w:r>
                  <w:r>
                    <w:rPr>
                      <w:color w:val="auto"/>
                      <w:szCs w:val="21"/>
                      <w:highlight w:val="none"/>
                    </w:rPr>
                    <w:t>t/a</w:t>
                  </w:r>
                </w:p>
              </w:tc>
              <w:tc>
                <w:tcPr>
                  <w:tcW w:w="532" w:type="pct"/>
                  <w:tcBorders>
                    <w:tl2br w:val="nil"/>
                    <w:tr2bl w:val="nil"/>
                  </w:tcBorders>
                  <w:noWrap w:val="0"/>
                  <w:vAlign w:val="center"/>
                </w:tcPr>
                <w:p w14:paraId="5FA16D08">
                  <w:pPr>
                    <w:keepNext w:val="0"/>
                    <w:keepLines w:val="0"/>
                    <w:suppressLineNumbers w:val="0"/>
                    <w:spacing w:before="0" w:beforeAutospacing="0" w:after="0" w:afterAutospacing="0"/>
                    <w:ind w:left="0" w:right="0"/>
                    <w:jc w:val="center"/>
                    <w:rPr>
                      <w:rFonts w:hint="default" w:eastAsia="宋体"/>
                      <w:color w:val="auto"/>
                      <w:szCs w:val="21"/>
                      <w:highlight w:val="none"/>
                      <w:lang w:val="en-US" w:eastAsia="zh-CN"/>
                    </w:rPr>
                  </w:pPr>
                  <w:r>
                    <w:rPr>
                      <w:rFonts w:hint="eastAsia"/>
                      <w:color w:val="auto"/>
                      <w:szCs w:val="21"/>
                      <w:highlight w:val="none"/>
                      <w:lang w:val="en-US" w:eastAsia="zh-CN"/>
                    </w:rPr>
                    <w:t>0.0300</w:t>
                  </w:r>
                </w:p>
              </w:tc>
              <w:tc>
                <w:tcPr>
                  <w:tcW w:w="464" w:type="pct"/>
                  <w:tcBorders>
                    <w:tl2br w:val="nil"/>
                    <w:tr2bl w:val="nil"/>
                  </w:tcBorders>
                  <w:noWrap w:val="0"/>
                  <w:vAlign w:val="center"/>
                </w:tcPr>
                <w:p w14:paraId="08EB85F1">
                  <w:pPr>
                    <w:keepNext w:val="0"/>
                    <w:keepLines w:val="0"/>
                    <w:suppressLineNumbers w:val="0"/>
                    <w:spacing w:before="0" w:beforeAutospacing="0" w:after="0" w:afterAutospacing="0"/>
                    <w:ind w:left="0" w:right="0"/>
                    <w:jc w:val="center"/>
                    <w:rPr>
                      <w:rFonts w:hint="default" w:eastAsia="宋体"/>
                      <w:color w:val="auto"/>
                      <w:szCs w:val="21"/>
                      <w:highlight w:val="none"/>
                      <w:lang w:val="en-US" w:eastAsia="zh-CN"/>
                    </w:rPr>
                  </w:pPr>
                  <w:r>
                    <w:rPr>
                      <w:rFonts w:hint="eastAsia"/>
                      <w:color w:val="auto"/>
                      <w:szCs w:val="21"/>
                      <w:highlight w:val="none"/>
                      <w:lang w:val="en-US" w:eastAsia="zh-CN"/>
                    </w:rPr>
                    <w:t>0.0074</w:t>
                  </w:r>
                </w:p>
              </w:tc>
              <w:tc>
                <w:tcPr>
                  <w:tcW w:w="519" w:type="pct"/>
                  <w:tcBorders>
                    <w:tl2br w:val="nil"/>
                    <w:tr2bl w:val="nil"/>
                  </w:tcBorders>
                  <w:noWrap w:val="0"/>
                  <w:vAlign w:val="center"/>
                </w:tcPr>
                <w:p w14:paraId="37CBF05B">
                  <w:pPr>
                    <w:keepNext w:val="0"/>
                    <w:keepLines w:val="0"/>
                    <w:suppressLineNumbers w:val="0"/>
                    <w:spacing w:before="0" w:beforeAutospacing="0" w:after="0" w:afterAutospacing="0"/>
                    <w:ind w:left="0" w:right="0"/>
                    <w:jc w:val="center"/>
                    <w:rPr>
                      <w:rFonts w:hint="default" w:eastAsia="宋体"/>
                      <w:color w:val="auto"/>
                      <w:szCs w:val="21"/>
                      <w:highlight w:val="none"/>
                      <w:lang w:val="en-US" w:eastAsia="zh-CN"/>
                    </w:rPr>
                  </w:pPr>
                  <w:r>
                    <w:rPr>
                      <w:rFonts w:hint="eastAsia"/>
                      <w:color w:val="auto"/>
                      <w:szCs w:val="21"/>
                      <w:highlight w:val="none"/>
                      <w:lang w:val="en-US" w:eastAsia="zh-CN"/>
                    </w:rPr>
                    <w:t>0.0015</w:t>
                  </w:r>
                </w:p>
              </w:tc>
              <w:tc>
                <w:tcPr>
                  <w:tcW w:w="459" w:type="pct"/>
                  <w:tcBorders>
                    <w:tl2br w:val="nil"/>
                    <w:tr2bl w:val="nil"/>
                  </w:tcBorders>
                  <w:noWrap w:val="0"/>
                  <w:vAlign w:val="center"/>
                </w:tcPr>
                <w:p w14:paraId="7F130CE4">
                  <w:pPr>
                    <w:keepNext w:val="0"/>
                    <w:keepLines w:val="0"/>
                    <w:suppressLineNumbers w:val="0"/>
                    <w:spacing w:before="0" w:beforeAutospacing="0" w:after="0" w:afterAutospacing="0"/>
                    <w:ind w:left="0" w:right="0"/>
                    <w:jc w:val="center"/>
                    <w:rPr>
                      <w:color w:val="auto"/>
                      <w:szCs w:val="21"/>
                      <w:highlight w:val="none"/>
                    </w:rPr>
                  </w:pPr>
                  <w:r>
                    <w:rPr>
                      <w:rFonts w:hint="eastAsia"/>
                      <w:color w:val="auto"/>
                      <w:szCs w:val="21"/>
                      <w:highlight w:val="none"/>
                      <w:lang w:val="en-US" w:eastAsia="zh-CN"/>
                    </w:rPr>
                    <w:t>0.0074</w:t>
                  </w:r>
                </w:p>
              </w:tc>
              <w:tc>
                <w:tcPr>
                  <w:tcW w:w="681" w:type="pct"/>
                  <w:tcBorders>
                    <w:tl2br w:val="nil"/>
                    <w:tr2bl w:val="nil"/>
                  </w:tcBorders>
                  <w:noWrap w:val="0"/>
                  <w:vAlign w:val="center"/>
                </w:tcPr>
                <w:p w14:paraId="59481354">
                  <w:pPr>
                    <w:keepNext w:val="0"/>
                    <w:keepLines w:val="0"/>
                    <w:suppressLineNumbers w:val="0"/>
                    <w:spacing w:before="0" w:beforeAutospacing="0" w:after="0" w:afterAutospacing="0"/>
                    <w:ind w:left="0" w:right="0"/>
                    <w:jc w:val="center"/>
                    <w:rPr>
                      <w:rFonts w:hint="default" w:eastAsia="宋体"/>
                      <w:color w:val="auto"/>
                      <w:szCs w:val="21"/>
                      <w:highlight w:val="none"/>
                      <w:lang w:val="en-US" w:eastAsia="zh-CN"/>
                    </w:rPr>
                  </w:pPr>
                  <w:r>
                    <w:rPr>
                      <w:rFonts w:hint="eastAsia"/>
                      <w:color w:val="auto"/>
                      <w:szCs w:val="21"/>
                      <w:highlight w:val="none"/>
                      <w:lang w:val="en-US" w:eastAsia="zh-CN"/>
                    </w:rPr>
                    <w:t>0.0007</w:t>
                  </w:r>
                </w:p>
              </w:tc>
              <w:tc>
                <w:tcPr>
                  <w:tcW w:w="459" w:type="pct"/>
                  <w:tcBorders>
                    <w:tl2br w:val="nil"/>
                    <w:tr2bl w:val="nil"/>
                  </w:tcBorders>
                  <w:noWrap w:val="0"/>
                  <w:vAlign w:val="center"/>
                </w:tcPr>
                <w:p w14:paraId="5D3945DA">
                  <w:pPr>
                    <w:keepNext w:val="0"/>
                    <w:keepLines w:val="0"/>
                    <w:suppressLineNumbers w:val="0"/>
                    <w:spacing w:before="0" w:beforeAutospacing="0" w:after="0" w:afterAutospacing="0"/>
                    <w:ind w:left="0" w:right="0"/>
                    <w:jc w:val="center"/>
                    <w:rPr>
                      <w:color w:val="auto"/>
                      <w:szCs w:val="21"/>
                      <w:highlight w:val="none"/>
                    </w:rPr>
                  </w:pPr>
                  <w:r>
                    <w:rPr>
                      <w:rFonts w:hint="eastAsia"/>
                      <w:color w:val="auto"/>
                      <w:szCs w:val="21"/>
                      <w:highlight w:val="none"/>
                      <w:lang w:val="en-US" w:eastAsia="zh-CN"/>
                    </w:rPr>
                    <w:t>0.0003</w:t>
                  </w:r>
                </w:p>
              </w:tc>
            </w:tr>
          </w:tbl>
          <w:p w14:paraId="0141D487">
            <w:pPr>
              <w:pStyle w:val="15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Lines="0" w:afterAutospacing="0"/>
              <w:ind w:left="0" w:right="0" w:firstLine="422" w:firstLineChars="200"/>
              <w:textAlignment w:val="auto"/>
              <w:rPr>
                <w:rFonts w:hint="default" w:ascii="宋体" w:hAnsi="宋体" w:eastAsia="宋体" w:cs="宋体"/>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（2）</w:t>
            </w:r>
            <w:r>
              <w:rPr>
                <w:rFonts w:hint="default" w:ascii="Times New Roman" w:hAnsi="Times New Roman" w:eastAsia="宋体" w:cs="Times New Roman"/>
                <w:b/>
                <w:bCs/>
                <w:color w:val="auto"/>
                <w:sz w:val="21"/>
                <w:szCs w:val="21"/>
                <w:highlight w:val="none"/>
                <w:lang w:val="en-US" w:eastAsia="zh-CN"/>
              </w:rPr>
              <w:t>废</w:t>
            </w:r>
            <w:r>
              <w:rPr>
                <w:rFonts w:hint="eastAsia" w:ascii="宋体" w:hAnsi="宋体" w:eastAsia="宋体" w:cs="宋体"/>
                <w:b/>
                <w:bCs/>
                <w:color w:val="auto"/>
                <w:sz w:val="21"/>
                <w:szCs w:val="21"/>
                <w:highlight w:val="none"/>
                <w:lang w:val="en-US" w:eastAsia="zh-CN"/>
              </w:rPr>
              <w:t>气</w:t>
            </w:r>
            <w:r>
              <w:rPr>
                <w:rFonts w:hint="eastAsia" w:ascii="宋体" w:cs="宋体"/>
                <w:b/>
                <w:bCs/>
                <w:color w:val="auto"/>
                <w:sz w:val="21"/>
                <w:szCs w:val="21"/>
                <w:highlight w:val="none"/>
                <w:lang w:val="en-US" w:eastAsia="zh-CN"/>
              </w:rPr>
              <w:t>排放达标情况</w:t>
            </w:r>
          </w:p>
          <w:p w14:paraId="630F456B">
            <w:pPr>
              <w:pStyle w:val="15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Lines="0" w:beforeAutospacing="0" w:after="0" w:afterLines="0" w:afterAutospacing="0"/>
              <w:ind w:left="0" w:right="0" w:firstLine="420" w:firstLineChars="200"/>
              <w:textAlignment w:val="auto"/>
              <w:rPr>
                <w:rFonts w:hint="eastAsia" w:cs="Times New Roman"/>
                <w:color w:val="auto"/>
                <w:sz w:val="21"/>
                <w:szCs w:val="21"/>
                <w:highlight w:val="none"/>
                <w:lang w:val="en-US" w:eastAsia="zh-CN"/>
              </w:rPr>
            </w:pPr>
            <w:r>
              <w:rPr>
                <w:rFonts w:hint="eastAsia"/>
                <w:color w:val="auto"/>
                <w:sz w:val="21"/>
                <w:szCs w:val="16"/>
                <w:highlight w:val="none"/>
              </w:rPr>
              <w:t>现有</w:t>
            </w:r>
            <w:r>
              <w:rPr>
                <w:color w:val="auto"/>
                <w:sz w:val="21"/>
                <w:szCs w:val="16"/>
                <w:highlight w:val="none"/>
              </w:rPr>
              <w:t>项目</w:t>
            </w:r>
            <w:r>
              <w:rPr>
                <w:color w:val="auto"/>
                <w:spacing w:val="2"/>
                <w:sz w:val="21"/>
                <w:szCs w:val="21"/>
                <w:highlight w:val="none"/>
              </w:rPr>
              <w:t>营运期产生的废气主要</w:t>
            </w:r>
            <w:r>
              <w:rPr>
                <w:rFonts w:hint="eastAsia"/>
                <w:color w:val="auto"/>
                <w:spacing w:val="2"/>
                <w:sz w:val="21"/>
                <w:szCs w:val="21"/>
                <w:highlight w:val="none"/>
              </w:rPr>
              <w:t>为</w:t>
            </w:r>
            <w:r>
              <w:rPr>
                <w:rFonts w:hint="eastAsia" w:cs="Times New Roman"/>
                <w:color w:val="auto"/>
                <w:sz w:val="21"/>
                <w:szCs w:val="21"/>
                <w:highlight w:val="none"/>
                <w:lang w:val="en-US" w:eastAsia="zh-CN"/>
              </w:rPr>
              <w:t>吸塑有机废气和印刷油墨废气。吸塑工序产生的有机废气经“活性炭吸附装置”处理后经15米高排气筒（DA001）排放；印刷工序产生的有机废气经“活性炭吸附装置”处理后经15米高排气筒（DA002）排放。</w:t>
            </w:r>
          </w:p>
          <w:p w14:paraId="220022B3">
            <w:pPr>
              <w:pStyle w:val="15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Lines="0" w:beforeAutospacing="0" w:after="0" w:afterLines="0" w:afterAutospacing="0"/>
              <w:ind w:left="0" w:right="0" w:firstLine="422" w:firstLineChars="200"/>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①</w:t>
            </w:r>
            <w:r>
              <w:rPr>
                <w:rFonts w:hint="eastAsia" w:ascii="宋体" w:cs="宋体"/>
                <w:b/>
                <w:bCs/>
                <w:color w:val="auto"/>
                <w:sz w:val="21"/>
                <w:szCs w:val="21"/>
                <w:highlight w:val="none"/>
                <w:lang w:val="en-US" w:eastAsia="zh-CN"/>
              </w:rPr>
              <w:t>有组织废气</w:t>
            </w:r>
          </w:p>
          <w:p w14:paraId="18B88A42">
            <w:pPr>
              <w:pStyle w:val="15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Lines="0" w:beforeAutospacing="0" w:after="0" w:afterLines="0" w:afterAutospacing="0"/>
              <w:ind w:left="0" w:right="0" w:firstLine="420" w:firstLineChars="200"/>
              <w:textAlignment w:val="auto"/>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根据现有项目的验收监测报告（附件5，报告编号：</w:t>
            </w:r>
            <w:r>
              <w:rPr>
                <w:rFonts w:hint="default" w:ascii="Times New Roman" w:hAnsi="Times New Roman" w:eastAsia="宋体" w:cs="Times New Roman"/>
                <w:color w:val="auto"/>
                <w:sz w:val="21"/>
                <w:szCs w:val="21"/>
                <w:highlight w:val="none"/>
                <w:lang w:val="en-US" w:eastAsia="zh-CN"/>
              </w:rPr>
              <w:t>博环监验字（2016）第091号</w:t>
            </w:r>
            <w:r>
              <w:rPr>
                <w:rFonts w:hint="eastAsia" w:cs="Times New Roman"/>
                <w:color w:val="auto"/>
                <w:sz w:val="21"/>
                <w:szCs w:val="21"/>
                <w:highlight w:val="none"/>
                <w:lang w:val="en-US" w:eastAsia="zh-CN"/>
              </w:rPr>
              <w:t>，2016年12月17日）以及常规检测报告（附件9，报告编号：HK2309E0247，2023年9月28日），废气污染物排放情况详见下表。</w:t>
            </w:r>
          </w:p>
          <w:p w14:paraId="7E807C49">
            <w:pPr>
              <w:keepNext w:val="0"/>
              <w:keepLines w:val="0"/>
              <w:pageBreakBefore w:val="0"/>
              <w:widowControl w:val="0"/>
              <w:numPr>
                <w:ilvl w:val="0"/>
                <w:numId w:val="4"/>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eastAsia="宋体"/>
                <w:b/>
                <w:color w:val="auto"/>
                <w:highlight w:val="none"/>
              </w:rPr>
            </w:pPr>
            <w:r>
              <w:rPr>
                <w:rFonts w:hint="eastAsia" w:eastAsia="宋体"/>
                <w:b/>
                <w:color w:val="auto"/>
                <w:highlight w:val="none"/>
                <w:lang w:val="en-US" w:eastAsia="zh-CN"/>
              </w:rPr>
              <w:t>现有项目有组织废气监测结果</w:t>
            </w:r>
          </w:p>
          <w:p w14:paraId="075DF34D">
            <w:pPr>
              <w:pStyle w:val="34"/>
              <w:keepNext w:val="0"/>
              <w:keepLines w:val="0"/>
              <w:suppressLineNumbers w:val="0"/>
              <w:spacing w:before="0" w:beforeAutospacing="0" w:after="0" w:afterAutospacing="0"/>
              <w:ind w:left="0" w:leftChars="0" w:right="0"/>
              <w:jc w:val="center"/>
              <w:rPr>
                <w:color w:val="auto"/>
                <w:highlight w:val="none"/>
              </w:rPr>
            </w:pPr>
            <w:r>
              <w:rPr>
                <w:rFonts w:hint="eastAsia"/>
                <w:b/>
                <w:color w:val="auto"/>
                <w:highlight w:val="none"/>
              </w:rPr>
              <w:t>（单位</w:t>
            </w:r>
            <w:r>
              <w:rPr>
                <w:b/>
                <w:color w:val="auto"/>
                <w:highlight w:val="none"/>
              </w:rPr>
              <w:t>：浓度</w:t>
            </w:r>
            <w:r>
              <w:rPr>
                <w:rFonts w:hint="eastAsia"/>
                <w:b/>
                <w:color w:val="auto"/>
                <w:highlight w:val="none"/>
              </w:rPr>
              <w:t>：</w:t>
            </w:r>
            <w:r>
              <w:rPr>
                <w:rFonts w:hint="eastAsia"/>
                <w:b/>
                <w:bCs/>
                <w:color w:val="auto"/>
                <w:szCs w:val="21"/>
                <w:highlight w:val="none"/>
              </w:rPr>
              <w:t>mg/m</w:t>
            </w:r>
            <w:r>
              <w:rPr>
                <w:rFonts w:hint="eastAsia"/>
                <w:b/>
                <w:bCs/>
                <w:color w:val="auto"/>
                <w:szCs w:val="21"/>
                <w:highlight w:val="none"/>
                <w:vertAlign w:val="superscript"/>
              </w:rPr>
              <w:t>3</w:t>
            </w:r>
            <w:r>
              <w:rPr>
                <w:rFonts w:hint="eastAsia"/>
                <w:b/>
                <w:color w:val="auto"/>
                <w:szCs w:val="21"/>
                <w:highlight w:val="none"/>
              </w:rPr>
              <w:t>、</w:t>
            </w:r>
            <w:r>
              <w:rPr>
                <w:rFonts w:hint="eastAsia" w:cs="宋体"/>
                <w:b/>
                <w:color w:val="auto"/>
                <w:szCs w:val="21"/>
                <w:highlight w:val="none"/>
              </w:rPr>
              <w:t>风</w:t>
            </w:r>
            <w:r>
              <w:rPr>
                <w:rFonts w:cs="宋体"/>
                <w:b/>
                <w:color w:val="auto"/>
                <w:szCs w:val="21"/>
                <w:highlight w:val="none"/>
              </w:rPr>
              <w:t>量</w:t>
            </w:r>
            <w:r>
              <w:rPr>
                <w:rFonts w:hint="eastAsia" w:cs="宋体"/>
                <w:b/>
                <w:color w:val="auto"/>
                <w:szCs w:val="21"/>
                <w:highlight w:val="none"/>
              </w:rPr>
              <w:t>：m</w:t>
            </w:r>
            <w:r>
              <w:rPr>
                <w:rFonts w:hint="eastAsia" w:cs="宋体"/>
                <w:b/>
                <w:color w:val="auto"/>
                <w:szCs w:val="21"/>
                <w:highlight w:val="none"/>
                <w:vertAlign w:val="superscript"/>
              </w:rPr>
              <w:t>3</w:t>
            </w:r>
            <w:r>
              <w:rPr>
                <w:rFonts w:hint="eastAsia" w:cs="宋体"/>
                <w:b/>
                <w:color w:val="auto"/>
                <w:szCs w:val="21"/>
                <w:highlight w:val="none"/>
              </w:rPr>
              <w:t>/h、</w:t>
            </w:r>
            <w:r>
              <w:rPr>
                <w:b/>
                <w:color w:val="auto"/>
                <w:szCs w:val="21"/>
                <w:highlight w:val="none"/>
              </w:rPr>
              <w:t>速率</w:t>
            </w:r>
            <w:r>
              <w:rPr>
                <w:rFonts w:hint="eastAsia"/>
                <w:b/>
                <w:color w:val="auto"/>
                <w:szCs w:val="21"/>
                <w:highlight w:val="none"/>
              </w:rPr>
              <w:t>：</w:t>
            </w:r>
            <w:r>
              <w:rPr>
                <w:b/>
                <w:color w:val="auto"/>
                <w:szCs w:val="21"/>
                <w:highlight w:val="none"/>
              </w:rPr>
              <w:t>kg/h</w:t>
            </w:r>
            <w:r>
              <w:rPr>
                <w:rFonts w:hint="eastAsia"/>
                <w:b/>
                <w:color w:val="auto"/>
                <w:szCs w:val="21"/>
                <w:highlight w:val="none"/>
              </w:rPr>
              <w:t>、</w:t>
            </w:r>
            <w:r>
              <w:rPr>
                <w:b/>
                <w:color w:val="auto"/>
                <w:szCs w:val="21"/>
                <w:highlight w:val="none"/>
              </w:rPr>
              <w:t>排放量：</w:t>
            </w:r>
            <w:r>
              <w:rPr>
                <w:rFonts w:hint="eastAsia"/>
                <w:b/>
                <w:color w:val="auto"/>
                <w:szCs w:val="21"/>
                <w:highlight w:val="none"/>
              </w:rPr>
              <w:t>t/a</w:t>
            </w:r>
            <w:r>
              <w:rPr>
                <w:b/>
                <w:color w:val="auto"/>
                <w:highlight w:val="none"/>
              </w:rPr>
              <w:t>）</w:t>
            </w:r>
          </w:p>
          <w:tbl>
            <w:tblPr>
              <w:tblStyle w:val="42"/>
              <w:tblW w:w="5000" w:type="pct"/>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1053"/>
              <w:gridCol w:w="1117"/>
              <w:gridCol w:w="856"/>
              <w:gridCol w:w="1032"/>
              <w:gridCol w:w="747"/>
              <w:gridCol w:w="830"/>
              <w:gridCol w:w="709"/>
              <w:gridCol w:w="791"/>
              <w:gridCol w:w="653"/>
            </w:tblGrid>
            <w:tr w14:paraId="1113797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94" w:type="pct"/>
                  <w:vMerge w:val="restart"/>
                  <w:tcBorders>
                    <w:tl2br w:val="nil"/>
                    <w:tr2bl w:val="nil"/>
                  </w:tcBorders>
                  <w:vAlign w:val="center"/>
                </w:tcPr>
                <w:p w14:paraId="380C256F">
                  <w:pPr>
                    <w:keepNext w:val="0"/>
                    <w:keepLines w:val="0"/>
                    <w:numPr>
                      <w:ilvl w:val="0"/>
                      <w:numId w:val="0"/>
                    </w:numPr>
                    <w:suppressLineNumbers w:val="0"/>
                    <w:adjustRightInd w:val="0"/>
                    <w:snapToGrid w:val="0"/>
                    <w:spacing w:before="0" w:beforeAutospacing="0" w:after="0" w:afterAutospacing="0"/>
                    <w:ind w:left="0" w:right="0" w:rightChars="0"/>
                    <w:jc w:val="center"/>
                    <w:rPr>
                      <w:rFonts w:hint="eastAsia" w:eastAsia="宋体"/>
                      <w:b/>
                      <w:color w:val="auto"/>
                      <w:sz w:val="21"/>
                      <w:szCs w:val="24"/>
                      <w:highlight w:val="none"/>
                      <w:vertAlign w:val="baseline"/>
                      <w:lang w:val="en-US" w:eastAsia="zh-CN"/>
                    </w:rPr>
                  </w:pPr>
                  <w:r>
                    <w:rPr>
                      <w:rFonts w:hint="eastAsia"/>
                      <w:b/>
                      <w:color w:val="auto"/>
                      <w:sz w:val="21"/>
                      <w:szCs w:val="24"/>
                      <w:highlight w:val="none"/>
                      <w:vertAlign w:val="baseline"/>
                      <w:lang w:val="en-US" w:eastAsia="zh-CN"/>
                    </w:rPr>
                    <w:t>排气筒</w:t>
                  </w:r>
                </w:p>
              </w:tc>
              <w:tc>
                <w:tcPr>
                  <w:tcW w:w="609" w:type="pct"/>
                  <w:vMerge w:val="restart"/>
                  <w:tcBorders>
                    <w:tl2br w:val="nil"/>
                    <w:tr2bl w:val="nil"/>
                  </w:tcBorders>
                  <w:vAlign w:val="center"/>
                </w:tcPr>
                <w:p w14:paraId="4F3E2434">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eastAsia="宋体"/>
                      <w:b/>
                      <w:color w:val="auto"/>
                      <w:sz w:val="21"/>
                      <w:szCs w:val="24"/>
                      <w:highlight w:val="none"/>
                      <w:vertAlign w:val="baseline"/>
                      <w:lang w:val="en-US" w:eastAsia="zh-CN"/>
                    </w:rPr>
                  </w:pPr>
                  <w:r>
                    <w:rPr>
                      <w:rFonts w:hint="eastAsia"/>
                      <w:b/>
                      <w:color w:val="auto"/>
                      <w:sz w:val="21"/>
                      <w:szCs w:val="24"/>
                      <w:highlight w:val="none"/>
                      <w:vertAlign w:val="baseline"/>
                      <w:lang w:val="en-US" w:eastAsia="zh-CN"/>
                    </w:rPr>
                    <w:t>采样日期</w:t>
                  </w:r>
                </w:p>
              </w:tc>
              <w:tc>
                <w:tcPr>
                  <w:tcW w:w="646" w:type="pct"/>
                  <w:vMerge w:val="restart"/>
                  <w:tcBorders>
                    <w:tl2br w:val="nil"/>
                    <w:tr2bl w:val="nil"/>
                  </w:tcBorders>
                  <w:vAlign w:val="center"/>
                </w:tcPr>
                <w:p w14:paraId="76E2C83A">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b/>
                      <w:color w:val="auto"/>
                      <w:sz w:val="21"/>
                      <w:szCs w:val="24"/>
                      <w:highlight w:val="none"/>
                      <w:vertAlign w:val="baseline"/>
                      <w:lang w:val="en-US" w:eastAsia="zh-CN"/>
                    </w:rPr>
                  </w:pPr>
                  <w:r>
                    <w:rPr>
                      <w:rFonts w:hint="eastAsia"/>
                      <w:b/>
                      <w:color w:val="auto"/>
                      <w:sz w:val="21"/>
                      <w:szCs w:val="24"/>
                      <w:highlight w:val="none"/>
                      <w:vertAlign w:val="baseline"/>
                      <w:lang w:val="en-US" w:eastAsia="zh-CN"/>
                    </w:rPr>
                    <w:t>监测项目</w:t>
                  </w:r>
                </w:p>
              </w:tc>
              <w:tc>
                <w:tcPr>
                  <w:tcW w:w="495" w:type="pct"/>
                  <w:vMerge w:val="restart"/>
                  <w:tcBorders>
                    <w:tl2br w:val="nil"/>
                    <w:tr2bl w:val="nil"/>
                  </w:tcBorders>
                  <w:vAlign w:val="center"/>
                </w:tcPr>
                <w:p w14:paraId="10933E8A">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eastAsia="宋体"/>
                      <w:b/>
                      <w:color w:val="auto"/>
                      <w:sz w:val="21"/>
                      <w:szCs w:val="24"/>
                      <w:highlight w:val="none"/>
                      <w:vertAlign w:val="baseline"/>
                      <w:lang w:val="en-US" w:eastAsia="zh-CN"/>
                    </w:rPr>
                  </w:pPr>
                  <w:r>
                    <w:rPr>
                      <w:rFonts w:hint="eastAsia"/>
                      <w:b/>
                      <w:color w:val="auto"/>
                      <w:sz w:val="21"/>
                      <w:szCs w:val="24"/>
                      <w:highlight w:val="none"/>
                      <w:vertAlign w:val="baseline"/>
                      <w:lang w:val="en-US" w:eastAsia="zh-CN"/>
                    </w:rPr>
                    <w:t>标干流量</w:t>
                  </w:r>
                </w:p>
              </w:tc>
              <w:tc>
                <w:tcPr>
                  <w:tcW w:w="597" w:type="pct"/>
                  <w:vMerge w:val="restart"/>
                  <w:tcBorders>
                    <w:tl2br w:val="nil"/>
                    <w:tr2bl w:val="nil"/>
                  </w:tcBorders>
                  <w:vAlign w:val="center"/>
                </w:tcPr>
                <w:p w14:paraId="34C97E6A">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eastAsia="宋体"/>
                      <w:b/>
                      <w:color w:val="auto"/>
                      <w:sz w:val="21"/>
                      <w:szCs w:val="24"/>
                      <w:highlight w:val="none"/>
                      <w:vertAlign w:val="baseline"/>
                      <w:lang w:val="en-US" w:eastAsia="zh-CN"/>
                    </w:rPr>
                  </w:pPr>
                  <w:r>
                    <w:rPr>
                      <w:rFonts w:hint="eastAsia"/>
                      <w:b/>
                      <w:color w:val="auto"/>
                      <w:sz w:val="21"/>
                      <w:szCs w:val="24"/>
                      <w:highlight w:val="none"/>
                      <w:vertAlign w:val="baseline"/>
                      <w:lang w:val="en-US" w:eastAsia="zh-CN"/>
                    </w:rPr>
                    <w:t>排放速率</w:t>
                  </w:r>
                </w:p>
              </w:tc>
              <w:tc>
                <w:tcPr>
                  <w:tcW w:w="432" w:type="pct"/>
                  <w:vMerge w:val="restart"/>
                  <w:tcBorders>
                    <w:tl2br w:val="nil"/>
                    <w:tr2bl w:val="nil"/>
                  </w:tcBorders>
                  <w:vAlign w:val="center"/>
                </w:tcPr>
                <w:p w14:paraId="1EB1F7C8">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eastAsia="宋体"/>
                      <w:b/>
                      <w:color w:val="auto"/>
                      <w:sz w:val="21"/>
                      <w:szCs w:val="24"/>
                      <w:highlight w:val="none"/>
                      <w:vertAlign w:val="baseline"/>
                      <w:lang w:val="en-US" w:eastAsia="zh-CN"/>
                    </w:rPr>
                  </w:pPr>
                  <w:r>
                    <w:rPr>
                      <w:rFonts w:hint="eastAsia"/>
                      <w:b/>
                      <w:color w:val="auto"/>
                      <w:sz w:val="21"/>
                      <w:szCs w:val="24"/>
                      <w:highlight w:val="none"/>
                      <w:vertAlign w:val="baseline"/>
                      <w:lang w:val="en-US" w:eastAsia="zh-CN"/>
                    </w:rPr>
                    <w:t>排放浓度</w:t>
                  </w:r>
                </w:p>
              </w:tc>
              <w:tc>
                <w:tcPr>
                  <w:tcW w:w="480" w:type="pct"/>
                  <w:vMerge w:val="restart"/>
                  <w:tcBorders>
                    <w:tl2br w:val="nil"/>
                    <w:tr2bl w:val="nil"/>
                  </w:tcBorders>
                  <w:vAlign w:val="center"/>
                </w:tcPr>
                <w:p w14:paraId="4ACBB234">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b/>
                      <w:color w:val="auto"/>
                      <w:sz w:val="21"/>
                      <w:szCs w:val="24"/>
                      <w:highlight w:val="none"/>
                      <w:vertAlign w:val="baseline"/>
                      <w:lang w:val="en-US" w:eastAsia="zh-CN"/>
                    </w:rPr>
                  </w:pPr>
                  <w:r>
                    <w:rPr>
                      <w:rFonts w:hint="eastAsia"/>
                      <w:b/>
                      <w:color w:val="auto"/>
                      <w:sz w:val="21"/>
                      <w:szCs w:val="24"/>
                      <w:highlight w:val="none"/>
                      <w:vertAlign w:val="baseline"/>
                      <w:lang w:val="en-US" w:eastAsia="zh-CN"/>
                    </w:rPr>
                    <w:t>排放量</w:t>
                  </w:r>
                </w:p>
              </w:tc>
              <w:tc>
                <w:tcPr>
                  <w:tcW w:w="867" w:type="pct"/>
                  <w:gridSpan w:val="2"/>
                  <w:tcBorders>
                    <w:tl2br w:val="nil"/>
                    <w:tr2bl w:val="nil"/>
                  </w:tcBorders>
                  <w:vAlign w:val="center"/>
                </w:tcPr>
                <w:p w14:paraId="7ED84A69">
                  <w:pPr>
                    <w:keepNext w:val="0"/>
                    <w:keepLines w:val="0"/>
                    <w:numPr>
                      <w:ilvl w:val="0"/>
                      <w:numId w:val="0"/>
                    </w:numPr>
                    <w:suppressLineNumbers w:val="0"/>
                    <w:adjustRightInd w:val="0"/>
                    <w:snapToGrid w:val="0"/>
                    <w:spacing w:before="0" w:beforeAutospacing="0" w:after="0" w:afterAutospacing="0"/>
                    <w:ind w:left="0" w:right="0" w:rightChars="0"/>
                    <w:jc w:val="center"/>
                    <w:rPr>
                      <w:rFonts w:hint="eastAsia"/>
                      <w:b/>
                      <w:color w:val="auto"/>
                      <w:sz w:val="21"/>
                      <w:szCs w:val="24"/>
                      <w:highlight w:val="none"/>
                      <w:vertAlign w:val="baseline"/>
                      <w:lang w:val="en-US" w:eastAsia="zh-CN"/>
                    </w:rPr>
                  </w:pPr>
                  <w:r>
                    <w:rPr>
                      <w:rFonts w:hint="eastAsia"/>
                      <w:b/>
                      <w:color w:val="auto"/>
                      <w:sz w:val="21"/>
                      <w:szCs w:val="24"/>
                      <w:highlight w:val="none"/>
                      <w:vertAlign w:val="baseline"/>
                      <w:lang w:val="en-US" w:eastAsia="zh-CN"/>
                    </w:rPr>
                    <w:t>执行标准</w:t>
                  </w:r>
                </w:p>
              </w:tc>
              <w:tc>
                <w:tcPr>
                  <w:tcW w:w="377" w:type="pct"/>
                  <w:vMerge w:val="restart"/>
                  <w:tcBorders>
                    <w:tl2br w:val="nil"/>
                    <w:tr2bl w:val="nil"/>
                  </w:tcBorders>
                  <w:vAlign w:val="center"/>
                </w:tcPr>
                <w:p w14:paraId="5A24A32F">
                  <w:pPr>
                    <w:keepNext w:val="0"/>
                    <w:keepLines w:val="0"/>
                    <w:numPr>
                      <w:ilvl w:val="0"/>
                      <w:numId w:val="0"/>
                    </w:numPr>
                    <w:suppressLineNumbers w:val="0"/>
                    <w:adjustRightInd w:val="0"/>
                    <w:snapToGrid w:val="0"/>
                    <w:spacing w:before="0" w:beforeAutospacing="0" w:after="0" w:afterAutospacing="0"/>
                    <w:ind w:left="0" w:right="0" w:rightChars="0"/>
                    <w:jc w:val="center"/>
                    <w:rPr>
                      <w:rFonts w:hint="eastAsia" w:eastAsia="宋体"/>
                      <w:b/>
                      <w:color w:val="auto"/>
                      <w:sz w:val="21"/>
                      <w:szCs w:val="24"/>
                      <w:highlight w:val="none"/>
                      <w:vertAlign w:val="baseline"/>
                      <w:lang w:val="en-US" w:eastAsia="zh-CN"/>
                    </w:rPr>
                  </w:pPr>
                  <w:r>
                    <w:rPr>
                      <w:rFonts w:hint="eastAsia"/>
                      <w:b/>
                      <w:color w:val="auto"/>
                      <w:sz w:val="21"/>
                      <w:szCs w:val="24"/>
                      <w:highlight w:val="none"/>
                      <w:vertAlign w:val="baseline"/>
                      <w:lang w:val="en-US" w:eastAsia="zh-CN"/>
                    </w:rPr>
                    <w:t>工况</w:t>
                  </w:r>
                </w:p>
              </w:tc>
            </w:tr>
            <w:tr w14:paraId="4EFA3CB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94" w:type="pct"/>
                  <w:vMerge w:val="continue"/>
                  <w:tcBorders>
                    <w:tl2br w:val="nil"/>
                    <w:tr2bl w:val="nil"/>
                  </w:tcBorders>
                  <w:vAlign w:val="center"/>
                </w:tcPr>
                <w:p w14:paraId="5159A9C7">
                  <w:pPr>
                    <w:keepNext w:val="0"/>
                    <w:keepLines w:val="0"/>
                    <w:suppressLineNumbers w:val="0"/>
                    <w:adjustRightInd w:val="0"/>
                    <w:snapToGrid w:val="0"/>
                    <w:spacing w:before="0" w:beforeAutospacing="0" w:after="0" w:afterAutospacing="0"/>
                    <w:ind w:left="0" w:right="0" w:rightChars="0"/>
                    <w:jc w:val="center"/>
                    <w:rPr>
                      <w:rFonts w:hint="default"/>
                      <w:color w:val="auto"/>
                      <w:sz w:val="21"/>
                      <w:szCs w:val="24"/>
                      <w:highlight w:val="none"/>
                    </w:rPr>
                  </w:pPr>
                </w:p>
              </w:tc>
              <w:tc>
                <w:tcPr>
                  <w:tcW w:w="609" w:type="pct"/>
                  <w:vMerge w:val="continue"/>
                  <w:tcBorders>
                    <w:tl2br w:val="nil"/>
                    <w:tr2bl w:val="nil"/>
                  </w:tcBorders>
                  <w:vAlign w:val="center"/>
                </w:tcPr>
                <w:p w14:paraId="20A3ED08">
                  <w:pPr>
                    <w:keepNext w:val="0"/>
                    <w:keepLines w:val="0"/>
                    <w:suppressLineNumbers w:val="0"/>
                    <w:adjustRightInd w:val="0"/>
                    <w:snapToGrid w:val="0"/>
                    <w:spacing w:before="0" w:beforeAutospacing="0" w:after="0" w:afterAutospacing="0"/>
                    <w:ind w:left="0" w:right="0" w:rightChars="0"/>
                    <w:jc w:val="center"/>
                    <w:rPr>
                      <w:rFonts w:hint="default"/>
                      <w:color w:val="auto"/>
                      <w:sz w:val="21"/>
                      <w:szCs w:val="24"/>
                      <w:highlight w:val="none"/>
                    </w:rPr>
                  </w:pPr>
                </w:p>
              </w:tc>
              <w:tc>
                <w:tcPr>
                  <w:tcW w:w="646" w:type="pct"/>
                  <w:vMerge w:val="continue"/>
                  <w:tcBorders>
                    <w:tl2br w:val="nil"/>
                    <w:tr2bl w:val="nil"/>
                  </w:tcBorders>
                  <w:vAlign w:val="center"/>
                </w:tcPr>
                <w:p w14:paraId="47B20F0F">
                  <w:pPr>
                    <w:keepNext w:val="0"/>
                    <w:keepLines w:val="0"/>
                    <w:suppressLineNumbers w:val="0"/>
                    <w:adjustRightInd w:val="0"/>
                    <w:snapToGrid w:val="0"/>
                    <w:spacing w:before="0" w:beforeAutospacing="0" w:after="0" w:afterAutospacing="0"/>
                    <w:ind w:left="0" w:right="0" w:rightChars="0"/>
                    <w:jc w:val="center"/>
                    <w:rPr>
                      <w:rFonts w:hint="default"/>
                      <w:color w:val="auto"/>
                      <w:sz w:val="21"/>
                      <w:szCs w:val="24"/>
                      <w:highlight w:val="none"/>
                    </w:rPr>
                  </w:pPr>
                </w:p>
              </w:tc>
              <w:tc>
                <w:tcPr>
                  <w:tcW w:w="495" w:type="pct"/>
                  <w:vMerge w:val="continue"/>
                  <w:tcBorders>
                    <w:tl2br w:val="nil"/>
                    <w:tr2bl w:val="nil"/>
                  </w:tcBorders>
                  <w:vAlign w:val="center"/>
                </w:tcPr>
                <w:p w14:paraId="793465CC">
                  <w:pPr>
                    <w:keepNext w:val="0"/>
                    <w:keepLines w:val="0"/>
                    <w:suppressLineNumbers w:val="0"/>
                    <w:adjustRightInd w:val="0"/>
                    <w:snapToGrid w:val="0"/>
                    <w:spacing w:before="0" w:beforeAutospacing="0" w:after="0" w:afterAutospacing="0"/>
                    <w:ind w:left="0" w:right="0" w:rightChars="0"/>
                    <w:jc w:val="center"/>
                    <w:rPr>
                      <w:rFonts w:hint="default"/>
                      <w:color w:val="auto"/>
                      <w:sz w:val="21"/>
                      <w:szCs w:val="24"/>
                      <w:highlight w:val="none"/>
                    </w:rPr>
                  </w:pPr>
                </w:p>
              </w:tc>
              <w:tc>
                <w:tcPr>
                  <w:tcW w:w="597" w:type="pct"/>
                  <w:vMerge w:val="continue"/>
                  <w:tcBorders>
                    <w:tl2br w:val="nil"/>
                    <w:tr2bl w:val="nil"/>
                  </w:tcBorders>
                  <w:vAlign w:val="center"/>
                </w:tcPr>
                <w:p w14:paraId="2177F04D">
                  <w:pPr>
                    <w:keepNext w:val="0"/>
                    <w:keepLines w:val="0"/>
                    <w:suppressLineNumbers w:val="0"/>
                    <w:adjustRightInd w:val="0"/>
                    <w:snapToGrid w:val="0"/>
                    <w:spacing w:before="0" w:beforeAutospacing="0" w:after="0" w:afterAutospacing="0"/>
                    <w:ind w:left="0" w:right="0" w:rightChars="0"/>
                    <w:jc w:val="center"/>
                    <w:rPr>
                      <w:rFonts w:hint="default"/>
                      <w:color w:val="auto"/>
                      <w:sz w:val="21"/>
                      <w:szCs w:val="24"/>
                      <w:highlight w:val="none"/>
                    </w:rPr>
                  </w:pPr>
                </w:p>
              </w:tc>
              <w:tc>
                <w:tcPr>
                  <w:tcW w:w="432" w:type="pct"/>
                  <w:vMerge w:val="continue"/>
                  <w:tcBorders>
                    <w:tl2br w:val="nil"/>
                    <w:tr2bl w:val="nil"/>
                  </w:tcBorders>
                  <w:vAlign w:val="center"/>
                </w:tcPr>
                <w:p w14:paraId="70B3F3C8">
                  <w:pPr>
                    <w:keepNext w:val="0"/>
                    <w:keepLines w:val="0"/>
                    <w:suppressLineNumbers w:val="0"/>
                    <w:adjustRightInd w:val="0"/>
                    <w:snapToGrid w:val="0"/>
                    <w:spacing w:before="0" w:beforeAutospacing="0" w:after="0" w:afterAutospacing="0"/>
                    <w:ind w:left="0" w:right="0" w:rightChars="0"/>
                    <w:jc w:val="center"/>
                    <w:rPr>
                      <w:rFonts w:hint="default"/>
                      <w:color w:val="auto"/>
                      <w:sz w:val="21"/>
                      <w:szCs w:val="24"/>
                      <w:highlight w:val="none"/>
                    </w:rPr>
                  </w:pPr>
                </w:p>
              </w:tc>
              <w:tc>
                <w:tcPr>
                  <w:tcW w:w="480" w:type="pct"/>
                  <w:vMerge w:val="continue"/>
                  <w:tcBorders>
                    <w:tl2br w:val="nil"/>
                    <w:tr2bl w:val="nil"/>
                  </w:tcBorders>
                  <w:vAlign w:val="center"/>
                </w:tcPr>
                <w:p w14:paraId="5C0969A1">
                  <w:pPr>
                    <w:keepNext w:val="0"/>
                    <w:keepLines w:val="0"/>
                    <w:suppressLineNumbers w:val="0"/>
                    <w:adjustRightInd w:val="0"/>
                    <w:snapToGrid w:val="0"/>
                    <w:spacing w:before="0" w:beforeAutospacing="0" w:after="0" w:afterAutospacing="0"/>
                    <w:ind w:left="0" w:right="0" w:rightChars="0"/>
                    <w:jc w:val="center"/>
                    <w:rPr>
                      <w:rFonts w:hint="default"/>
                      <w:color w:val="auto"/>
                      <w:sz w:val="21"/>
                      <w:szCs w:val="24"/>
                      <w:highlight w:val="none"/>
                    </w:rPr>
                  </w:pPr>
                </w:p>
              </w:tc>
              <w:tc>
                <w:tcPr>
                  <w:tcW w:w="410" w:type="pct"/>
                  <w:tcBorders>
                    <w:tl2br w:val="nil"/>
                    <w:tr2bl w:val="nil"/>
                  </w:tcBorders>
                  <w:vAlign w:val="center"/>
                </w:tcPr>
                <w:p w14:paraId="7E9C8C34">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b/>
                      <w:color w:val="auto"/>
                      <w:sz w:val="21"/>
                      <w:szCs w:val="24"/>
                      <w:highlight w:val="none"/>
                      <w:vertAlign w:val="baseline"/>
                      <w:lang w:val="en-US" w:eastAsia="zh-CN"/>
                    </w:rPr>
                  </w:pPr>
                  <w:r>
                    <w:rPr>
                      <w:rFonts w:hint="eastAsia"/>
                      <w:b/>
                      <w:color w:val="auto"/>
                      <w:sz w:val="21"/>
                      <w:szCs w:val="24"/>
                      <w:highlight w:val="none"/>
                      <w:vertAlign w:val="baseline"/>
                      <w:lang w:val="en-US" w:eastAsia="zh-CN"/>
                    </w:rPr>
                    <w:t>标准限值</w:t>
                  </w:r>
                </w:p>
              </w:tc>
              <w:tc>
                <w:tcPr>
                  <w:tcW w:w="457" w:type="pct"/>
                  <w:tcBorders>
                    <w:tl2br w:val="nil"/>
                    <w:tr2bl w:val="nil"/>
                  </w:tcBorders>
                  <w:vAlign w:val="center"/>
                </w:tcPr>
                <w:p w14:paraId="492C74FA">
                  <w:pPr>
                    <w:keepNext w:val="0"/>
                    <w:keepLines w:val="0"/>
                    <w:numPr>
                      <w:ilvl w:val="0"/>
                      <w:numId w:val="0"/>
                    </w:numPr>
                    <w:suppressLineNumbers w:val="0"/>
                    <w:adjustRightInd w:val="0"/>
                    <w:snapToGrid w:val="0"/>
                    <w:spacing w:before="0" w:beforeAutospacing="0" w:after="0" w:afterAutospacing="0"/>
                    <w:ind w:left="0" w:leftChars="0" w:right="0" w:rightChars="0" w:firstLine="0" w:firstLineChars="0"/>
                    <w:jc w:val="center"/>
                    <w:rPr>
                      <w:rFonts w:hint="default"/>
                      <w:b/>
                      <w:color w:val="auto"/>
                      <w:sz w:val="21"/>
                      <w:szCs w:val="24"/>
                      <w:highlight w:val="none"/>
                      <w:vertAlign w:val="baseline"/>
                      <w:lang w:val="en-US" w:eastAsia="zh-CN"/>
                    </w:rPr>
                  </w:pPr>
                  <w:r>
                    <w:rPr>
                      <w:rFonts w:hint="eastAsia"/>
                      <w:b/>
                      <w:color w:val="auto"/>
                      <w:sz w:val="21"/>
                      <w:szCs w:val="24"/>
                      <w:highlight w:val="none"/>
                      <w:vertAlign w:val="baseline"/>
                      <w:lang w:val="en-US" w:eastAsia="zh-CN"/>
                    </w:rPr>
                    <w:t>排放速率</w:t>
                  </w:r>
                </w:p>
              </w:tc>
              <w:tc>
                <w:tcPr>
                  <w:tcW w:w="377" w:type="pct"/>
                  <w:vMerge w:val="continue"/>
                  <w:tcBorders>
                    <w:tl2br w:val="nil"/>
                    <w:tr2bl w:val="nil"/>
                  </w:tcBorders>
                  <w:vAlign w:val="center"/>
                </w:tcPr>
                <w:p w14:paraId="1F4C0D21">
                  <w:pPr>
                    <w:keepNext w:val="0"/>
                    <w:keepLines w:val="0"/>
                    <w:suppressLineNumbers w:val="0"/>
                    <w:adjustRightInd w:val="0"/>
                    <w:snapToGrid w:val="0"/>
                    <w:spacing w:before="0" w:beforeAutospacing="0" w:after="0" w:afterAutospacing="0"/>
                    <w:ind w:left="0" w:right="0" w:rightChars="0"/>
                    <w:jc w:val="center"/>
                    <w:rPr>
                      <w:rFonts w:hint="default"/>
                      <w:b/>
                      <w:color w:val="auto"/>
                      <w:sz w:val="21"/>
                      <w:szCs w:val="24"/>
                      <w:highlight w:val="none"/>
                      <w:vertAlign w:val="baseline"/>
                      <w:lang w:val="en-US" w:eastAsia="zh-CN"/>
                    </w:rPr>
                  </w:pPr>
                </w:p>
              </w:tc>
            </w:tr>
            <w:tr w14:paraId="3088CDB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4" w:type="pct"/>
                  <w:tcBorders>
                    <w:tl2br w:val="nil"/>
                    <w:tr2bl w:val="nil"/>
                  </w:tcBorders>
                  <w:vAlign w:val="center"/>
                </w:tcPr>
                <w:p w14:paraId="48C7C98B">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eastAsia="宋体"/>
                      <w:b w:val="0"/>
                      <w:bCs/>
                      <w:color w:val="auto"/>
                      <w:sz w:val="21"/>
                      <w:szCs w:val="24"/>
                      <w:highlight w:val="none"/>
                      <w:vertAlign w:val="baseline"/>
                      <w:lang w:val="en-US" w:eastAsia="zh-CN"/>
                    </w:rPr>
                  </w:pPr>
                  <w:r>
                    <w:rPr>
                      <w:rFonts w:hint="eastAsia"/>
                      <w:b w:val="0"/>
                      <w:bCs/>
                      <w:color w:val="auto"/>
                      <w:sz w:val="21"/>
                      <w:szCs w:val="24"/>
                      <w:highlight w:val="none"/>
                      <w:vertAlign w:val="baseline"/>
                      <w:lang w:val="en-US" w:eastAsia="zh-CN"/>
                    </w:rPr>
                    <w:t>DA001</w:t>
                  </w:r>
                </w:p>
              </w:tc>
              <w:tc>
                <w:tcPr>
                  <w:tcW w:w="609" w:type="pct"/>
                  <w:tcBorders>
                    <w:tl2br w:val="nil"/>
                    <w:tr2bl w:val="nil"/>
                  </w:tcBorders>
                  <w:vAlign w:val="center"/>
                </w:tcPr>
                <w:p w14:paraId="6931F9B9">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eastAsia="宋体"/>
                      <w:b w:val="0"/>
                      <w:bCs/>
                      <w:color w:val="auto"/>
                      <w:sz w:val="21"/>
                      <w:szCs w:val="24"/>
                      <w:highlight w:val="none"/>
                      <w:vertAlign w:val="baseline"/>
                      <w:lang w:val="en-US" w:eastAsia="zh-CN"/>
                    </w:rPr>
                  </w:pPr>
                  <w:r>
                    <w:rPr>
                      <w:rFonts w:hint="eastAsia"/>
                      <w:b w:val="0"/>
                      <w:bCs/>
                      <w:color w:val="auto"/>
                      <w:sz w:val="21"/>
                      <w:szCs w:val="24"/>
                      <w:highlight w:val="none"/>
                      <w:vertAlign w:val="baseline"/>
                      <w:lang w:val="en-US" w:eastAsia="zh-CN"/>
                    </w:rPr>
                    <w:t>2016年12月17日</w:t>
                  </w:r>
                </w:p>
              </w:tc>
              <w:tc>
                <w:tcPr>
                  <w:tcW w:w="646" w:type="pct"/>
                  <w:tcBorders>
                    <w:tl2br w:val="nil"/>
                    <w:tr2bl w:val="nil"/>
                  </w:tcBorders>
                  <w:vAlign w:val="center"/>
                </w:tcPr>
                <w:p w14:paraId="6B456177">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b w:val="0"/>
                      <w:bCs/>
                      <w:color w:val="auto"/>
                      <w:sz w:val="21"/>
                      <w:szCs w:val="24"/>
                      <w:highlight w:val="none"/>
                      <w:vertAlign w:val="baseline"/>
                      <w:lang w:val="en-US" w:eastAsia="zh-CN"/>
                    </w:rPr>
                  </w:pPr>
                  <w:r>
                    <w:rPr>
                      <w:rFonts w:hint="eastAsia"/>
                      <w:b w:val="0"/>
                      <w:bCs/>
                      <w:color w:val="auto"/>
                      <w:sz w:val="21"/>
                      <w:szCs w:val="24"/>
                      <w:highlight w:val="none"/>
                      <w:vertAlign w:val="baseline"/>
                      <w:lang w:val="en-US" w:eastAsia="zh-CN"/>
                    </w:rPr>
                    <w:t>非甲烷总烃</w:t>
                  </w:r>
                </w:p>
              </w:tc>
              <w:tc>
                <w:tcPr>
                  <w:tcW w:w="495" w:type="pct"/>
                  <w:tcBorders>
                    <w:tl2br w:val="nil"/>
                    <w:tr2bl w:val="nil"/>
                  </w:tcBorders>
                  <w:vAlign w:val="center"/>
                </w:tcPr>
                <w:p w14:paraId="7F70DB39">
                  <w:pPr>
                    <w:keepNext w:val="0"/>
                    <w:keepLines w:val="0"/>
                    <w:widowControl/>
                    <w:suppressLineNumbers w:val="0"/>
                    <w:spacing w:before="0" w:beforeAutospacing="0" w:after="0" w:afterAutospacing="0"/>
                    <w:ind w:left="0" w:right="0"/>
                    <w:jc w:val="center"/>
                    <w:textAlignment w:val="center"/>
                    <w:rPr>
                      <w:rFonts w:hint="default" w:eastAsia="宋体"/>
                      <w:b w:val="0"/>
                      <w:bCs/>
                      <w:color w:val="auto"/>
                      <w:sz w:val="21"/>
                      <w:szCs w:val="24"/>
                      <w:highlight w:val="none"/>
                      <w:vertAlign w:val="baseline"/>
                      <w:lang w:val="en-US" w:eastAsia="zh-CN"/>
                    </w:rPr>
                  </w:pPr>
                  <w:r>
                    <w:rPr>
                      <w:rFonts w:hint="eastAsia" w:eastAsia="宋体" w:cs="Times New Roman"/>
                      <w:i w:val="0"/>
                      <w:iCs w:val="0"/>
                      <w:color w:val="auto"/>
                      <w:kern w:val="0"/>
                      <w:sz w:val="21"/>
                      <w:szCs w:val="24"/>
                      <w:highlight w:val="none"/>
                      <w:u w:val="none"/>
                      <w:lang w:val="en-US" w:eastAsia="zh-CN" w:bidi="ar"/>
                    </w:rPr>
                    <w:t>10261</w:t>
                  </w:r>
                </w:p>
              </w:tc>
              <w:tc>
                <w:tcPr>
                  <w:tcW w:w="597" w:type="pct"/>
                  <w:tcBorders>
                    <w:tl2br w:val="nil"/>
                    <w:tr2bl w:val="nil"/>
                  </w:tcBorders>
                  <w:vAlign w:val="center"/>
                </w:tcPr>
                <w:p w14:paraId="2A4676A9">
                  <w:pPr>
                    <w:keepNext w:val="0"/>
                    <w:keepLines w:val="0"/>
                    <w:widowControl/>
                    <w:suppressLineNumbers w:val="0"/>
                    <w:spacing w:before="0" w:beforeAutospacing="0" w:after="0" w:afterAutospacing="0"/>
                    <w:ind w:left="0" w:right="0"/>
                    <w:jc w:val="center"/>
                    <w:textAlignment w:val="center"/>
                    <w:rPr>
                      <w:rFonts w:hint="default"/>
                      <w:b w:val="0"/>
                      <w:bCs/>
                      <w:color w:val="auto"/>
                      <w:sz w:val="21"/>
                      <w:szCs w:val="24"/>
                      <w:highlight w:val="none"/>
                      <w:vertAlign w:val="baseline"/>
                      <w:lang w:val="en-US"/>
                    </w:rPr>
                  </w:pPr>
                  <w:r>
                    <w:rPr>
                      <w:rFonts w:hint="eastAsia" w:eastAsia="宋体" w:cs="Times New Roman"/>
                      <w:i w:val="0"/>
                      <w:iCs w:val="0"/>
                      <w:color w:val="auto"/>
                      <w:kern w:val="0"/>
                      <w:sz w:val="21"/>
                      <w:szCs w:val="24"/>
                      <w:highlight w:val="none"/>
                      <w:u w:val="none"/>
                      <w:lang w:val="en-US" w:eastAsia="zh-CN" w:bidi="ar"/>
                    </w:rPr>
                    <w:t>0.04</w:t>
                  </w:r>
                </w:p>
              </w:tc>
              <w:tc>
                <w:tcPr>
                  <w:tcW w:w="432" w:type="pct"/>
                  <w:tcBorders>
                    <w:tl2br w:val="nil"/>
                    <w:tr2bl w:val="nil"/>
                  </w:tcBorders>
                  <w:vAlign w:val="center"/>
                </w:tcPr>
                <w:p w14:paraId="6FFB8B3B">
                  <w:pPr>
                    <w:keepNext w:val="0"/>
                    <w:keepLines w:val="0"/>
                    <w:widowControl/>
                    <w:suppressLineNumbers w:val="0"/>
                    <w:spacing w:before="0" w:beforeAutospacing="0" w:after="0" w:afterAutospacing="0"/>
                    <w:ind w:left="0" w:right="0"/>
                    <w:jc w:val="center"/>
                    <w:textAlignment w:val="center"/>
                    <w:rPr>
                      <w:rFonts w:hint="default"/>
                      <w:b w:val="0"/>
                      <w:bCs/>
                      <w:color w:val="auto"/>
                      <w:sz w:val="21"/>
                      <w:szCs w:val="24"/>
                      <w:highlight w:val="none"/>
                      <w:vertAlign w:val="baseline"/>
                      <w:lang w:val="en-US"/>
                    </w:rPr>
                  </w:pPr>
                  <w:r>
                    <w:rPr>
                      <w:rFonts w:hint="eastAsia" w:eastAsia="宋体" w:cs="Times New Roman"/>
                      <w:i w:val="0"/>
                      <w:iCs w:val="0"/>
                      <w:color w:val="auto"/>
                      <w:kern w:val="0"/>
                      <w:sz w:val="21"/>
                      <w:szCs w:val="24"/>
                      <w:highlight w:val="none"/>
                      <w:u w:val="none"/>
                      <w:lang w:val="en-US" w:eastAsia="zh-CN" w:bidi="ar"/>
                    </w:rPr>
                    <w:t>4.12</w:t>
                  </w:r>
                </w:p>
              </w:tc>
              <w:tc>
                <w:tcPr>
                  <w:tcW w:w="480" w:type="pct"/>
                  <w:tcBorders>
                    <w:tl2br w:val="nil"/>
                    <w:tr2bl w:val="nil"/>
                  </w:tcBorders>
                  <w:vAlign w:val="center"/>
                </w:tcPr>
                <w:p w14:paraId="6715ECF6">
                  <w:pPr>
                    <w:keepNext w:val="0"/>
                    <w:keepLines w:val="0"/>
                    <w:widowControl/>
                    <w:suppressLineNumbers w:val="0"/>
                    <w:spacing w:before="0" w:beforeAutospacing="0" w:after="0" w:afterAutospacing="0"/>
                    <w:ind w:left="0" w:right="0"/>
                    <w:jc w:val="center"/>
                    <w:textAlignment w:val="center"/>
                    <w:rPr>
                      <w:rFonts w:hint="default"/>
                      <w:color w:val="auto"/>
                      <w:highlight w:val="none"/>
                      <w:lang w:val="en-US" w:eastAsia="zh-CN"/>
                    </w:rPr>
                  </w:pPr>
                  <w:r>
                    <w:rPr>
                      <w:rFonts w:hint="eastAsia" w:eastAsia="宋体" w:cs="Times New Roman"/>
                      <w:i w:val="0"/>
                      <w:iCs w:val="0"/>
                      <w:color w:val="auto"/>
                      <w:kern w:val="0"/>
                      <w:sz w:val="21"/>
                      <w:szCs w:val="24"/>
                      <w:highlight w:val="none"/>
                      <w:u w:val="none"/>
                      <w:lang w:val="en-US" w:eastAsia="zh-CN" w:bidi="ar"/>
                    </w:rPr>
                    <w:t>0.1015</w:t>
                  </w:r>
                </w:p>
              </w:tc>
              <w:tc>
                <w:tcPr>
                  <w:tcW w:w="410" w:type="pct"/>
                  <w:tcBorders>
                    <w:tl2br w:val="nil"/>
                    <w:tr2bl w:val="nil"/>
                  </w:tcBorders>
                  <w:vAlign w:val="center"/>
                </w:tcPr>
                <w:p w14:paraId="78DF4BD0">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eastAsia="宋体"/>
                      <w:b w:val="0"/>
                      <w:bCs/>
                      <w:color w:val="auto"/>
                      <w:sz w:val="21"/>
                      <w:szCs w:val="24"/>
                      <w:highlight w:val="none"/>
                      <w:vertAlign w:val="baseline"/>
                      <w:lang w:val="en-US" w:eastAsia="zh-CN"/>
                    </w:rPr>
                  </w:pPr>
                  <w:r>
                    <w:rPr>
                      <w:rFonts w:hint="eastAsia" w:eastAsia="宋体"/>
                      <w:b w:val="0"/>
                      <w:bCs/>
                      <w:color w:val="auto"/>
                      <w:sz w:val="21"/>
                      <w:szCs w:val="24"/>
                      <w:highlight w:val="none"/>
                      <w:vertAlign w:val="baseline"/>
                      <w:lang w:val="en-US" w:eastAsia="zh-CN"/>
                    </w:rPr>
                    <w:t>60</w:t>
                  </w:r>
                </w:p>
              </w:tc>
              <w:tc>
                <w:tcPr>
                  <w:tcW w:w="457" w:type="pct"/>
                  <w:tcBorders>
                    <w:tl2br w:val="nil"/>
                    <w:tr2bl w:val="nil"/>
                  </w:tcBorders>
                  <w:vAlign w:val="center"/>
                </w:tcPr>
                <w:p w14:paraId="3028ED53">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eastAsia="宋体"/>
                      <w:b w:val="0"/>
                      <w:bCs/>
                      <w:color w:val="auto"/>
                      <w:sz w:val="21"/>
                      <w:szCs w:val="24"/>
                      <w:highlight w:val="none"/>
                      <w:vertAlign w:val="baseline"/>
                      <w:lang w:val="en-US" w:eastAsia="zh-CN"/>
                    </w:rPr>
                  </w:pPr>
                  <w:r>
                    <w:rPr>
                      <w:rFonts w:hint="eastAsia"/>
                      <w:b w:val="0"/>
                      <w:bCs/>
                      <w:color w:val="auto"/>
                      <w:sz w:val="21"/>
                      <w:szCs w:val="24"/>
                      <w:highlight w:val="none"/>
                      <w:vertAlign w:val="baseline"/>
                      <w:lang w:val="en-US" w:eastAsia="zh-CN"/>
                    </w:rPr>
                    <w:t>/</w:t>
                  </w:r>
                </w:p>
              </w:tc>
              <w:tc>
                <w:tcPr>
                  <w:tcW w:w="377" w:type="pct"/>
                  <w:tcBorders>
                    <w:tl2br w:val="nil"/>
                    <w:tr2bl w:val="nil"/>
                  </w:tcBorders>
                  <w:vAlign w:val="center"/>
                </w:tcPr>
                <w:p w14:paraId="130C7EB4">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eastAsia="宋体"/>
                      <w:b w:val="0"/>
                      <w:bCs/>
                      <w:color w:val="auto"/>
                      <w:sz w:val="21"/>
                      <w:szCs w:val="24"/>
                      <w:highlight w:val="none"/>
                      <w:vertAlign w:val="baseline"/>
                      <w:lang w:val="en-US" w:eastAsia="zh-CN"/>
                    </w:rPr>
                  </w:pPr>
                  <w:r>
                    <w:rPr>
                      <w:rFonts w:hint="eastAsia"/>
                      <w:b w:val="0"/>
                      <w:bCs/>
                      <w:color w:val="auto"/>
                      <w:sz w:val="21"/>
                      <w:szCs w:val="24"/>
                      <w:highlight w:val="none"/>
                      <w:vertAlign w:val="baseline"/>
                      <w:lang w:val="en-US" w:eastAsia="zh-CN"/>
                    </w:rPr>
                    <w:t>75%</w:t>
                  </w:r>
                </w:p>
              </w:tc>
            </w:tr>
            <w:tr w14:paraId="43A721A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4" w:type="pct"/>
                  <w:tcBorders>
                    <w:tl2br w:val="nil"/>
                    <w:tr2bl w:val="nil"/>
                  </w:tcBorders>
                  <w:vAlign w:val="center"/>
                </w:tcPr>
                <w:p w14:paraId="2D8E0DAA">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eastAsia="宋体"/>
                      <w:b w:val="0"/>
                      <w:bCs/>
                      <w:color w:val="auto"/>
                      <w:sz w:val="21"/>
                      <w:szCs w:val="24"/>
                      <w:highlight w:val="none"/>
                      <w:vertAlign w:val="baseline"/>
                      <w:lang w:val="en-US" w:eastAsia="zh-CN"/>
                    </w:rPr>
                  </w:pPr>
                  <w:r>
                    <w:rPr>
                      <w:rFonts w:hint="eastAsia"/>
                      <w:b w:val="0"/>
                      <w:bCs/>
                      <w:color w:val="auto"/>
                      <w:sz w:val="21"/>
                      <w:szCs w:val="24"/>
                      <w:highlight w:val="none"/>
                      <w:vertAlign w:val="baseline"/>
                      <w:lang w:val="en-US" w:eastAsia="zh-CN"/>
                    </w:rPr>
                    <w:t>DA002</w:t>
                  </w:r>
                </w:p>
              </w:tc>
              <w:tc>
                <w:tcPr>
                  <w:tcW w:w="609" w:type="pct"/>
                  <w:tcBorders>
                    <w:tl2br w:val="nil"/>
                    <w:tr2bl w:val="nil"/>
                  </w:tcBorders>
                  <w:vAlign w:val="center"/>
                </w:tcPr>
                <w:p w14:paraId="1CCEC96A">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b w:val="0"/>
                      <w:bCs/>
                      <w:color w:val="auto"/>
                      <w:sz w:val="21"/>
                      <w:szCs w:val="24"/>
                      <w:highlight w:val="none"/>
                      <w:vertAlign w:val="baseline"/>
                    </w:rPr>
                  </w:pPr>
                  <w:r>
                    <w:rPr>
                      <w:rFonts w:hint="eastAsia"/>
                      <w:b w:val="0"/>
                      <w:bCs/>
                      <w:color w:val="auto"/>
                      <w:sz w:val="21"/>
                      <w:szCs w:val="24"/>
                      <w:highlight w:val="none"/>
                      <w:vertAlign w:val="baseline"/>
                      <w:lang w:val="en-US" w:eastAsia="zh-CN"/>
                    </w:rPr>
                    <w:t>2023年9月28日</w:t>
                  </w:r>
                </w:p>
              </w:tc>
              <w:tc>
                <w:tcPr>
                  <w:tcW w:w="646" w:type="pct"/>
                  <w:tcBorders>
                    <w:tl2br w:val="nil"/>
                    <w:tr2bl w:val="nil"/>
                  </w:tcBorders>
                  <w:vAlign w:val="center"/>
                </w:tcPr>
                <w:p w14:paraId="6B98CB60">
                  <w:pPr>
                    <w:keepNext w:val="0"/>
                    <w:keepLines w:val="0"/>
                    <w:numPr>
                      <w:ilvl w:val="0"/>
                      <w:numId w:val="0"/>
                    </w:numPr>
                    <w:suppressLineNumbers w:val="0"/>
                    <w:adjustRightInd w:val="0"/>
                    <w:snapToGrid w:val="0"/>
                    <w:spacing w:before="0" w:beforeAutospacing="0" w:after="0" w:afterAutospacing="0"/>
                    <w:ind w:left="0" w:leftChars="0" w:right="0" w:rightChars="0" w:firstLine="0" w:firstLineChars="0"/>
                    <w:jc w:val="center"/>
                    <w:rPr>
                      <w:rFonts w:hint="eastAsia" w:eastAsia="宋体"/>
                      <w:b w:val="0"/>
                      <w:bCs/>
                      <w:color w:val="auto"/>
                      <w:sz w:val="21"/>
                      <w:szCs w:val="24"/>
                      <w:highlight w:val="none"/>
                      <w:vertAlign w:val="baseline"/>
                      <w:lang w:val="en-US" w:eastAsia="zh-CN"/>
                    </w:rPr>
                  </w:pPr>
                  <w:r>
                    <w:rPr>
                      <w:rFonts w:hint="eastAsia"/>
                      <w:b w:val="0"/>
                      <w:bCs/>
                      <w:color w:val="auto"/>
                      <w:sz w:val="21"/>
                      <w:szCs w:val="24"/>
                      <w:highlight w:val="none"/>
                      <w:vertAlign w:val="baseline"/>
                      <w:lang w:val="en-US" w:eastAsia="zh-CN"/>
                    </w:rPr>
                    <w:t>总VOCs</w:t>
                  </w:r>
                </w:p>
              </w:tc>
              <w:tc>
                <w:tcPr>
                  <w:tcW w:w="495" w:type="pct"/>
                  <w:tcBorders>
                    <w:tl2br w:val="nil"/>
                    <w:tr2bl w:val="nil"/>
                  </w:tcBorders>
                  <w:vAlign w:val="center"/>
                </w:tcPr>
                <w:p w14:paraId="02B37378">
                  <w:pPr>
                    <w:keepNext w:val="0"/>
                    <w:keepLines w:val="0"/>
                    <w:widowControl/>
                    <w:suppressLineNumbers w:val="0"/>
                    <w:spacing w:before="0" w:beforeAutospacing="0" w:after="0" w:afterAutospacing="0"/>
                    <w:ind w:left="0" w:right="0"/>
                    <w:jc w:val="center"/>
                    <w:textAlignment w:val="center"/>
                    <w:rPr>
                      <w:rFonts w:hint="default"/>
                      <w:b w:val="0"/>
                      <w:bCs/>
                      <w:color w:val="auto"/>
                      <w:sz w:val="21"/>
                      <w:szCs w:val="24"/>
                      <w:highlight w:val="none"/>
                      <w:vertAlign w:val="baseline"/>
                      <w:lang w:val="en-US"/>
                    </w:rPr>
                  </w:pPr>
                  <w:r>
                    <w:rPr>
                      <w:rFonts w:hint="eastAsia" w:eastAsia="宋体" w:cs="Times New Roman"/>
                      <w:i w:val="0"/>
                      <w:iCs w:val="0"/>
                      <w:color w:val="auto"/>
                      <w:kern w:val="0"/>
                      <w:sz w:val="21"/>
                      <w:szCs w:val="24"/>
                      <w:highlight w:val="none"/>
                      <w:u w:val="none"/>
                      <w:lang w:val="en-US" w:eastAsia="zh-CN" w:bidi="ar"/>
                    </w:rPr>
                    <w:t>4875</w:t>
                  </w:r>
                </w:p>
              </w:tc>
              <w:tc>
                <w:tcPr>
                  <w:tcW w:w="597" w:type="pct"/>
                  <w:tcBorders>
                    <w:tl2br w:val="nil"/>
                    <w:tr2bl w:val="nil"/>
                  </w:tcBorders>
                  <w:vAlign w:val="center"/>
                </w:tcPr>
                <w:p w14:paraId="29FCB67E">
                  <w:pPr>
                    <w:keepNext w:val="0"/>
                    <w:keepLines w:val="0"/>
                    <w:widowControl/>
                    <w:suppressLineNumbers w:val="0"/>
                    <w:spacing w:before="0" w:beforeAutospacing="0" w:after="0" w:afterAutospacing="0"/>
                    <w:ind w:left="0" w:right="0"/>
                    <w:jc w:val="center"/>
                    <w:textAlignment w:val="center"/>
                    <w:rPr>
                      <w:rFonts w:hint="default"/>
                      <w:b w:val="0"/>
                      <w:bCs/>
                      <w:color w:val="auto"/>
                      <w:sz w:val="21"/>
                      <w:szCs w:val="24"/>
                      <w:highlight w:val="none"/>
                      <w:vertAlign w:val="baseline"/>
                    </w:rPr>
                  </w:pPr>
                  <w:r>
                    <w:rPr>
                      <w:rFonts w:hint="eastAsia" w:eastAsia="宋体" w:cs="Times New Roman"/>
                      <w:i w:val="0"/>
                      <w:iCs w:val="0"/>
                      <w:color w:val="auto"/>
                      <w:kern w:val="0"/>
                      <w:sz w:val="21"/>
                      <w:szCs w:val="24"/>
                      <w:highlight w:val="none"/>
                      <w:u w:val="none"/>
                      <w:lang w:val="en-US" w:eastAsia="zh-CN" w:bidi="ar"/>
                    </w:rPr>
                    <w:t>2.62</w:t>
                  </w:r>
                  <w:r>
                    <w:rPr>
                      <w:rFonts w:hint="default" w:ascii="Times New Roman" w:hAnsi="Times New Roman" w:eastAsia="宋体" w:cs="Times New Roman"/>
                      <w:i w:val="0"/>
                      <w:iCs w:val="0"/>
                      <w:color w:val="auto"/>
                      <w:kern w:val="0"/>
                      <w:sz w:val="21"/>
                      <w:szCs w:val="24"/>
                      <w:highlight w:val="none"/>
                      <w:u w:val="none"/>
                      <w:lang w:val="en-US" w:eastAsia="zh-CN" w:bidi="ar"/>
                    </w:rPr>
                    <w:t>×</w:t>
                  </w:r>
                  <w:r>
                    <w:rPr>
                      <w:rFonts w:hint="eastAsia" w:eastAsia="宋体" w:cs="Times New Roman"/>
                      <w:i w:val="0"/>
                      <w:iCs w:val="0"/>
                      <w:color w:val="auto"/>
                      <w:kern w:val="0"/>
                      <w:sz w:val="21"/>
                      <w:szCs w:val="24"/>
                      <w:highlight w:val="none"/>
                      <w:u w:val="none"/>
                      <w:lang w:val="en-US" w:eastAsia="zh-CN" w:bidi="ar"/>
                    </w:rPr>
                    <w:t>10</w:t>
                  </w:r>
                  <w:r>
                    <w:rPr>
                      <w:rFonts w:hint="eastAsia" w:eastAsia="宋体" w:cs="Times New Roman"/>
                      <w:i w:val="0"/>
                      <w:iCs w:val="0"/>
                      <w:color w:val="auto"/>
                      <w:kern w:val="0"/>
                      <w:sz w:val="21"/>
                      <w:szCs w:val="24"/>
                      <w:highlight w:val="none"/>
                      <w:u w:val="none"/>
                      <w:vertAlign w:val="superscript"/>
                      <w:lang w:val="en-US" w:eastAsia="zh-CN" w:bidi="ar"/>
                    </w:rPr>
                    <w:t>-2</w:t>
                  </w:r>
                </w:p>
              </w:tc>
              <w:tc>
                <w:tcPr>
                  <w:tcW w:w="432" w:type="pct"/>
                  <w:tcBorders>
                    <w:tl2br w:val="nil"/>
                    <w:tr2bl w:val="nil"/>
                  </w:tcBorders>
                  <w:vAlign w:val="center"/>
                </w:tcPr>
                <w:p w14:paraId="466DE354">
                  <w:pPr>
                    <w:keepNext w:val="0"/>
                    <w:keepLines w:val="0"/>
                    <w:widowControl/>
                    <w:suppressLineNumbers w:val="0"/>
                    <w:spacing w:before="0" w:beforeAutospacing="0" w:after="0" w:afterAutospacing="0"/>
                    <w:ind w:left="0" w:right="0"/>
                    <w:jc w:val="center"/>
                    <w:textAlignment w:val="center"/>
                    <w:rPr>
                      <w:rFonts w:hint="default" w:eastAsia="宋体"/>
                      <w:b w:val="0"/>
                      <w:bCs/>
                      <w:color w:val="auto"/>
                      <w:sz w:val="21"/>
                      <w:szCs w:val="24"/>
                      <w:highlight w:val="none"/>
                      <w:vertAlign w:val="baseline"/>
                      <w:lang w:val="en-US" w:eastAsia="zh-CN"/>
                    </w:rPr>
                  </w:pPr>
                  <w:r>
                    <w:rPr>
                      <w:rFonts w:hint="eastAsia"/>
                      <w:b w:val="0"/>
                      <w:bCs/>
                      <w:color w:val="auto"/>
                      <w:sz w:val="21"/>
                      <w:szCs w:val="24"/>
                      <w:highlight w:val="none"/>
                      <w:vertAlign w:val="baseline"/>
                      <w:lang w:val="en-US" w:eastAsia="zh-CN"/>
                    </w:rPr>
                    <w:t>5.38</w:t>
                  </w:r>
                </w:p>
              </w:tc>
              <w:tc>
                <w:tcPr>
                  <w:tcW w:w="480" w:type="pct"/>
                  <w:tcBorders>
                    <w:tl2br w:val="nil"/>
                    <w:tr2bl w:val="nil"/>
                  </w:tcBorders>
                  <w:vAlign w:val="center"/>
                </w:tcPr>
                <w:p w14:paraId="02078D45">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kern w:val="0"/>
                      <w:sz w:val="21"/>
                      <w:szCs w:val="24"/>
                      <w:highlight w:val="none"/>
                      <w:u w:val="none"/>
                      <w:lang w:val="en-US" w:eastAsia="zh-CN" w:bidi="ar"/>
                    </w:rPr>
                  </w:pPr>
                  <w:r>
                    <w:rPr>
                      <w:rFonts w:hint="eastAsia" w:cs="Times New Roman"/>
                      <w:i w:val="0"/>
                      <w:iCs w:val="0"/>
                      <w:color w:val="auto"/>
                      <w:kern w:val="0"/>
                      <w:sz w:val="21"/>
                      <w:szCs w:val="24"/>
                      <w:highlight w:val="none"/>
                      <w:u w:val="none"/>
                      <w:lang w:val="en-US" w:eastAsia="zh-CN" w:bidi="ar"/>
                    </w:rPr>
                    <w:t>0.0630</w:t>
                  </w:r>
                </w:p>
              </w:tc>
              <w:tc>
                <w:tcPr>
                  <w:tcW w:w="410" w:type="pct"/>
                  <w:tcBorders>
                    <w:tl2br w:val="nil"/>
                    <w:tr2bl w:val="nil"/>
                  </w:tcBorders>
                  <w:vAlign w:val="center"/>
                </w:tcPr>
                <w:p w14:paraId="46C7220A">
                  <w:pPr>
                    <w:keepNext w:val="0"/>
                    <w:keepLines w:val="0"/>
                    <w:numPr>
                      <w:ilvl w:val="0"/>
                      <w:numId w:val="0"/>
                    </w:numPr>
                    <w:suppressLineNumbers w:val="0"/>
                    <w:adjustRightInd w:val="0"/>
                    <w:snapToGrid w:val="0"/>
                    <w:spacing w:before="0" w:beforeAutospacing="0" w:after="0" w:afterAutospacing="0"/>
                    <w:ind w:left="0" w:leftChars="0" w:right="0" w:rightChars="0" w:firstLine="0" w:firstLineChars="0"/>
                    <w:jc w:val="center"/>
                    <w:rPr>
                      <w:rFonts w:hint="default" w:eastAsia="宋体"/>
                      <w:b w:val="0"/>
                      <w:bCs/>
                      <w:color w:val="auto"/>
                      <w:sz w:val="21"/>
                      <w:szCs w:val="24"/>
                      <w:highlight w:val="none"/>
                      <w:vertAlign w:val="baseline"/>
                      <w:lang w:val="en-US" w:eastAsia="zh-CN"/>
                    </w:rPr>
                  </w:pPr>
                  <w:r>
                    <w:rPr>
                      <w:rFonts w:hint="eastAsia"/>
                      <w:b w:val="0"/>
                      <w:bCs/>
                      <w:color w:val="auto"/>
                      <w:sz w:val="21"/>
                      <w:szCs w:val="24"/>
                      <w:highlight w:val="none"/>
                      <w:vertAlign w:val="baseline"/>
                      <w:lang w:val="en-US" w:eastAsia="zh-CN"/>
                    </w:rPr>
                    <w:t>80</w:t>
                  </w:r>
                </w:p>
              </w:tc>
              <w:tc>
                <w:tcPr>
                  <w:tcW w:w="457" w:type="pct"/>
                  <w:tcBorders>
                    <w:tl2br w:val="nil"/>
                    <w:tr2bl w:val="nil"/>
                  </w:tcBorders>
                  <w:vAlign w:val="center"/>
                </w:tcPr>
                <w:p w14:paraId="560C4A9F">
                  <w:pPr>
                    <w:keepNext w:val="0"/>
                    <w:keepLines w:val="0"/>
                    <w:numPr>
                      <w:ilvl w:val="0"/>
                      <w:numId w:val="0"/>
                    </w:numPr>
                    <w:suppressLineNumbers w:val="0"/>
                    <w:adjustRightInd w:val="0"/>
                    <w:snapToGrid w:val="0"/>
                    <w:spacing w:before="0" w:beforeAutospacing="0" w:after="0" w:afterAutospacing="0"/>
                    <w:ind w:left="0" w:leftChars="0" w:right="0" w:rightChars="0" w:firstLine="0" w:firstLineChars="0"/>
                    <w:jc w:val="center"/>
                    <w:rPr>
                      <w:rFonts w:hint="default" w:eastAsia="宋体"/>
                      <w:b w:val="0"/>
                      <w:bCs/>
                      <w:color w:val="auto"/>
                      <w:sz w:val="21"/>
                      <w:szCs w:val="24"/>
                      <w:highlight w:val="none"/>
                      <w:vertAlign w:val="baseline"/>
                      <w:lang w:val="en-US" w:eastAsia="zh-CN"/>
                    </w:rPr>
                  </w:pPr>
                  <w:r>
                    <w:rPr>
                      <w:rFonts w:hint="eastAsia"/>
                      <w:b w:val="0"/>
                      <w:bCs/>
                      <w:color w:val="auto"/>
                      <w:sz w:val="21"/>
                      <w:szCs w:val="24"/>
                      <w:highlight w:val="none"/>
                      <w:vertAlign w:val="baseline"/>
                      <w:lang w:val="en-US" w:eastAsia="zh-CN"/>
                    </w:rPr>
                    <w:t>5.1</w:t>
                  </w:r>
                </w:p>
              </w:tc>
              <w:tc>
                <w:tcPr>
                  <w:tcW w:w="377" w:type="pct"/>
                  <w:tcBorders>
                    <w:tl2br w:val="nil"/>
                    <w:tr2bl w:val="nil"/>
                  </w:tcBorders>
                  <w:vAlign w:val="center"/>
                </w:tcPr>
                <w:p w14:paraId="611874BD">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eastAsia="宋体"/>
                      <w:b w:val="0"/>
                      <w:bCs/>
                      <w:color w:val="auto"/>
                      <w:sz w:val="21"/>
                      <w:szCs w:val="24"/>
                      <w:highlight w:val="none"/>
                      <w:vertAlign w:val="baseline"/>
                      <w:lang w:val="en-US" w:eastAsia="zh-CN"/>
                    </w:rPr>
                  </w:pPr>
                  <w:r>
                    <w:rPr>
                      <w:rFonts w:hint="eastAsia"/>
                      <w:b w:val="0"/>
                      <w:bCs/>
                      <w:color w:val="auto"/>
                      <w:sz w:val="21"/>
                      <w:szCs w:val="24"/>
                      <w:highlight w:val="none"/>
                      <w:vertAlign w:val="baseline"/>
                      <w:lang w:val="en-US" w:eastAsia="zh-CN"/>
                    </w:rPr>
                    <w:t>80%</w:t>
                  </w:r>
                </w:p>
              </w:tc>
            </w:tr>
          </w:tbl>
          <w:p w14:paraId="318EF2DB">
            <w:pPr>
              <w:pStyle w:val="16"/>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20" w:firstLineChars="200"/>
              <w:jc w:val="both"/>
              <w:textAlignment w:val="auto"/>
              <w:rPr>
                <w:rFonts w:hint="eastAsia" w:ascii="宋体" w:hAnsi="宋体" w:eastAsia="宋体" w:cs="宋体"/>
                <w:b w:val="0"/>
                <w:bCs w:val="0"/>
                <w:color w:val="auto"/>
                <w:sz w:val="21"/>
                <w:szCs w:val="21"/>
                <w:highlight w:val="none"/>
                <w:lang w:val="en-US" w:eastAsia="zh-CN"/>
              </w:rPr>
            </w:pPr>
            <w:r>
              <w:rPr>
                <w:rFonts w:hint="eastAsia"/>
                <w:b w:val="0"/>
                <w:bCs/>
                <w:color w:val="auto"/>
                <w:sz w:val="21"/>
                <w:szCs w:val="21"/>
                <w:highlight w:val="none"/>
                <w:lang w:val="en-US" w:eastAsia="zh-CN"/>
              </w:rPr>
              <w:t>根据上表可知，现有项目排气筒排放的污染物浓度可满足相应排放标准要求。</w:t>
            </w:r>
          </w:p>
          <w:p w14:paraId="07FDA65B">
            <w:pPr>
              <w:pStyle w:val="15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Lines="0" w:beforeAutospacing="0" w:after="0" w:afterLines="0" w:afterAutospacing="0"/>
              <w:ind w:left="0" w:right="0" w:firstLine="422" w:firstLineChars="200"/>
              <w:textAlignment w:val="auto"/>
              <w:rPr>
                <w:rFonts w:hint="default"/>
                <w:b/>
                <w:color w:val="auto"/>
                <w:highlight w:val="none"/>
                <w:lang w:val="en-US"/>
              </w:rPr>
            </w:pPr>
            <w:r>
              <w:rPr>
                <w:rFonts w:hint="eastAsia" w:ascii="宋体" w:hAnsi="宋体" w:eastAsia="宋体" w:cs="宋体"/>
                <w:b/>
                <w:bCs/>
                <w:color w:val="auto"/>
                <w:sz w:val="21"/>
                <w:szCs w:val="21"/>
                <w:highlight w:val="none"/>
                <w:lang w:val="en-US" w:eastAsia="zh-CN"/>
              </w:rPr>
              <w:t>②</w:t>
            </w:r>
            <w:r>
              <w:rPr>
                <w:rFonts w:hint="eastAsia" w:ascii="宋体" w:cs="宋体"/>
                <w:b/>
                <w:bCs/>
                <w:color w:val="auto"/>
                <w:sz w:val="21"/>
                <w:szCs w:val="21"/>
                <w:highlight w:val="none"/>
                <w:lang w:val="en-US" w:eastAsia="zh-CN"/>
              </w:rPr>
              <w:t>无组织废气</w:t>
            </w:r>
          </w:p>
          <w:p w14:paraId="0AA748EF">
            <w:pPr>
              <w:keepNext w:val="0"/>
              <w:keepLines w:val="0"/>
              <w:pageBreakBefore w:val="0"/>
              <w:widowControl w:val="0"/>
              <w:numPr>
                <w:ilvl w:val="0"/>
                <w:numId w:val="4"/>
              </w:numPr>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b/>
                <w:color w:val="auto"/>
                <w:highlight w:val="none"/>
              </w:rPr>
            </w:pPr>
            <w:r>
              <w:rPr>
                <w:rFonts w:hint="eastAsia"/>
                <w:b/>
                <w:color w:val="auto"/>
                <w:highlight w:val="none"/>
              </w:rPr>
              <w:t>现有项</w:t>
            </w:r>
            <w:r>
              <w:rPr>
                <w:b/>
                <w:color w:val="auto"/>
                <w:highlight w:val="none"/>
              </w:rPr>
              <w:t>目</w:t>
            </w:r>
            <w:r>
              <w:rPr>
                <w:rFonts w:hint="eastAsia"/>
                <w:b/>
                <w:color w:val="auto"/>
                <w:highlight w:val="none"/>
              </w:rPr>
              <w:t>无组织废气排放情况</w:t>
            </w:r>
          </w:p>
          <w:tbl>
            <w:tblPr>
              <w:tblStyle w:val="41"/>
              <w:tblW w:w="4999"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07"/>
              <w:gridCol w:w="4933"/>
            </w:tblGrid>
            <w:tr w14:paraId="1253454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2145" w:type="pct"/>
                  <w:vMerge w:val="restart"/>
                  <w:tcBorders>
                    <w:tl2br w:val="nil"/>
                    <w:tr2bl w:val="nil"/>
                  </w:tcBorders>
                  <w:noWrap w:val="0"/>
                  <w:vAlign w:val="center"/>
                </w:tcPr>
                <w:p w14:paraId="37297E37">
                  <w:pPr>
                    <w:keepNext w:val="0"/>
                    <w:keepLines w:val="0"/>
                    <w:suppressLineNumbers w:val="0"/>
                    <w:spacing w:before="0" w:beforeAutospacing="0" w:after="0" w:afterAutospacing="0"/>
                    <w:ind w:left="0" w:right="0"/>
                    <w:jc w:val="center"/>
                    <w:rPr>
                      <w:rFonts w:ascii="Times New Roman" w:hAnsi="Times New Roman" w:eastAsia="宋体" w:cs="Times New Roman"/>
                      <w:b/>
                      <w:color w:val="auto"/>
                      <w:szCs w:val="21"/>
                      <w:highlight w:val="none"/>
                    </w:rPr>
                  </w:pPr>
                  <w:r>
                    <w:rPr>
                      <w:rFonts w:hint="eastAsia" w:ascii="Times New Roman" w:hAnsi="Times New Roman" w:eastAsia="宋体" w:cs="Times New Roman"/>
                      <w:b/>
                      <w:color w:val="auto"/>
                      <w:szCs w:val="21"/>
                      <w:highlight w:val="none"/>
                    </w:rPr>
                    <w:t>检</w:t>
                  </w:r>
                  <w:r>
                    <w:rPr>
                      <w:rFonts w:ascii="Times New Roman" w:hAnsi="Times New Roman" w:eastAsia="宋体" w:cs="Times New Roman"/>
                      <w:b/>
                      <w:color w:val="auto"/>
                      <w:szCs w:val="21"/>
                      <w:highlight w:val="none"/>
                    </w:rPr>
                    <w:t>测点位</w:t>
                  </w:r>
                </w:p>
              </w:tc>
              <w:tc>
                <w:tcPr>
                  <w:tcW w:w="2854" w:type="pct"/>
                  <w:tcBorders>
                    <w:tl2br w:val="nil"/>
                    <w:tr2bl w:val="nil"/>
                  </w:tcBorders>
                  <w:noWrap w:val="0"/>
                  <w:vAlign w:val="center"/>
                </w:tcPr>
                <w:p w14:paraId="0B831FA6">
                  <w:pPr>
                    <w:keepNext w:val="0"/>
                    <w:keepLines w:val="0"/>
                    <w:suppressLineNumbers w:val="0"/>
                    <w:spacing w:before="0" w:beforeAutospacing="0" w:after="0" w:afterAutospacing="0"/>
                    <w:ind w:left="0" w:right="0"/>
                    <w:jc w:val="center"/>
                    <w:rPr>
                      <w:rFonts w:ascii="Times New Roman" w:hAnsi="Times New Roman" w:eastAsia="宋体" w:cs="Times New Roman"/>
                      <w:b/>
                      <w:color w:val="auto"/>
                      <w:szCs w:val="21"/>
                      <w:highlight w:val="none"/>
                    </w:rPr>
                  </w:pPr>
                  <w:r>
                    <w:rPr>
                      <w:rFonts w:ascii="Times New Roman" w:hAnsi="Times New Roman" w:eastAsia="宋体" w:cs="Times New Roman"/>
                      <w:b/>
                      <w:color w:val="auto"/>
                      <w:szCs w:val="21"/>
                      <w:highlight w:val="none"/>
                    </w:rPr>
                    <w:t>检测项目及检测结果(mg/m</w:t>
                  </w:r>
                  <w:r>
                    <w:rPr>
                      <w:rFonts w:ascii="Times New Roman" w:hAnsi="Times New Roman" w:eastAsia="宋体" w:cs="Times New Roman"/>
                      <w:b/>
                      <w:color w:val="auto"/>
                      <w:szCs w:val="21"/>
                      <w:highlight w:val="none"/>
                      <w:vertAlign w:val="superscript"/>
                    </w:rPr>
                    <w:t>3</w:t>
                  </w:r>
                  <w:r>
                    <w:rPr>
                      <w:rFonts w:ascii="Times New Roman" w:hAnsi="Times New Roman" w:eastAsia="宋体" w:cs="Times New Roman"/>
                      <w:b/>
                      <w:color w:val="auto"/>
                      <w:szCs w:val="21"/>
                      <w:highlight w:val="none"/>
                    </w:rPr>
                    <w:t>)</w:t>
                  </w:r>
                </w:p>
              </w:tc>
            </w:tr>
            <w:tr w14:paraId="7E78CB5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 w:hRule="atLeast"/>
                <w:jc w:val="center"/>
              </w:trPr>
              <w:tc>
                <w:tcPr>
                  <w:tcW w:w="2145" w:type="pct"/>
                  <w:vMerge w:val="continue"/>
                  <w:tcBorders>
                    <w:tl2br w:val="nil"/>
                    <w:tr2bl w:val="nil"/>
                  </w:tcBorders>
                  <w:noWrap w:val="0"/>
                  <w:vAlign w:val="center"/>
                </w:tcPr>
                <w:p w14:paraId="6B750F21">
                  <w:pPr>
                    <w:keepNext w:val="0"/>
                    <w:keepLines w:val="0"/>
                    <w:suppressLineNumbers w:val="0"/>
                    <w:spacing w:before="0" w:beforeAutospacing="0" w:after="0" w:afterAutospacing="0"/>
                    <w:ind w:left="0" w:right="0"/>
                    <w:jc w:val="center"/>
                    <w:rPr>
                      <w:rFonts w:ascii="Times New Roman" w:hAnsi="Times New Roman" w:eastAsia="宋体" w:cs="Times New Roman"/>
                      <w:b/>
                      <w:color w:val="auto"/>
                      <w:szCs w:val="21"/>
                      <w:highlight w:val="none"/>
                    </w:rPr>
                  </w:pPr>
                </w:p>
              </w:tc>
              <w:tc>
                <w:tcPr>
                  <w:tcW w:w="2854" w:type="pct"/>
                  <w:tcBorders>
                    <w:tl2br w:val="nil"/>
                    <w:tr2bl w:val="nil"/>
                  </w:tcBorders>
                  <w:noWrap w:val="0"/>
                  <w:vAlign w:val="center"/>
                </w:tcPr>
                <w:p w14:paraId="5892E661">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Cs w:val="21"/>
                      <w:highlight w:val="none"/>
                      <w:lang w:val="en-US" w:eastAsia="zh-CN"/>
                    </w:rPr>
                  </w:pPr>
                  <w:r>
                    <w:rPr>
                      <w:rFonts w:hint="eastAsia" w:ascii="Times New Roman" w:hAnsi="Times New Roman" w:eastAsia="宋体" w:cs="Times New Roman"/>
                      <w:b/>
                      <w:color w:val="auto"/>
                      <w:szCs w:val="21"/>
                      <w:highlight w:val="none"/>
                      <w:lang w:val="en-US" w:eastAsia="zh-CN"/>
                    </w:rPr>
                    <w:t>VOCs</w:t>
                  </w:r>
                </w:p>
              </w:tc>
            </w:tr>
            <w:tr w14:paraId="1C86EF4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2145" w:type="pct"/>
                  <w:tcBorders>
                    <w:tl2br w:val="nil"/>
                    <w:tr2bl w:val="nil"/>
                  </w:tcBorders>
                  <w:noWrap w:val="0"/>
                  <w:vAlign w:val="center"/>
                </w:tcPr>
                <w:p w14:paraId="15AE980F">
                  <w:pPr>
                    <w:keepNext w:val="0"/>
                    <w:keepLines w:val="0"/>
                    <w:widowControl/>
                    <w:suppressLineNumbers w:val="0"/>
                    <w:spacing w:before="0" w:beforeAutospacing="0" w:after="0" w:afterAutospacing="0"/>
                    <w:ind w:left="0" w:right="0"/>
                    <w:jc w:val="center"/>
                    <w:rPr>
                      <w:rFonts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厂</w:t>
                  </w:r>
                  <w:r>
                    <w:rPr>
                      <w:rFonts w:ascii="Times New Roman" w:hAnsi="Times New Roman" w:eastAsia="宋体" w:cs="Times New Roman"/>
                      <w:color w:val="auto"/>
                      <w:kern w:val="0"/>
                      <w:szCs w:val="21"/>
                      <w:highlight w:val="none"/>
                    </w:rPr>
                    <w:t>界上风向参照点</w:t>
                  </w:r>
                  <w:r>
                    <w:rPr>
                      <w:rFonts w:hint="eastAsia" w:ascii="Times New Roman" w:hAnsi="Times New Roman" w:eastAsia="宋体" w:cs="Times New Roman"/>
                      <w:color w:val="auto"/>
                      <w:kern w:val="0"/>
                      <w:szCs w:val="21"/>
                      <w:highlight w:val="none"/>
                    </w:rPr>
                    <w:t>1</w:t>
                  </w:r>
                  <w:r>
                    <w:rPr>
                      <w:rFonts w:ascii="Times New Roman" w:hAnsi="Times New Roman" w:eastAsia="宋体" w:cs="Times New Roman"/>
                      <w:color w:val="auto"/>
                      <w:kern w:val="0"/>
                      <w:szCs w:val="21"/>
                      <w:highlight w:val="none"/>
                    </w:rPr>
                    <w:t>#</w:t>
                  </w:r>
                </w:p>
              </w:tc>
              <w:tc>
                <w:tcPr>
                  <w:tcW w:w="2854" w:type="pct"/>
                  <w:tcBorders>
                    <w:tl2br w:val="nil"/>
                    <w:tr2bl w:val="nil"/>
                  </w:tcBorders>
                  <w:noWrap w:val="0"/>
                  <w:vAlign w:val="center"/>
                </w:tcPr>
                <w:p w14:paraId="783794F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0.14</w:t>
                  </w:r>
                </w:p>
              </w:tc>
            </w:tr>
            <w:tr w14:paraId="38C7AAD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2145" w:type="pct"/>
                  <w:tcBorders>
                    <w:tl2br w:val="nil"/>
                    <w:tr2bl w:val="nil"/>
                  </w:tcBorders>
                  <w:noWrap w:val="0"/>
                  <w:vAlign w:val="center"/>
                </w:tcPr>
                <w:p w14:paraId="47A4AD62">
                  <w:pPr>
                    <w:keepNext w:val="0"/>
                    <w:keepLines w:val="0"/>
                    <w:widowControl/>
                    <w:suppressLineNumbers w:val="0"/>
                    <w:spacing w:before="0" w:beforeAutospacing="0" w:after="0" w:afterAutospacing="0"/>
                    <w:ind w:left="0" w:right="0"/>
                    <w:jc w:val="center"/>
                    <w:rPr>
                      <w:rFonts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厂</w:t>
                  </w:r>
                  <w:r>
                    <w:rPr>
                      <w:rFonts w:ascii="Times New Roman" w:hAnsi="Times New Roman" w:eastAsia="宋体" w:cs="Times New Roman"/>
                      <w:color w:val="auto"/>
                      <w:kern w:val="0"/>
                      <w:szCs w:val="21"/>
                      <w:highlight w:val="none"/>
                    </w:rPr>
                    <w:t>界</w:t>
                  </w:r>
                  <w:r>
                    <w:rPr>
                      <w:rFonts w:hint="eastAsia" w:ascii="Times New Roman" w:hAnsi="Times New Roman" w:eastAsia="宋体" w:cs="Times New Roman"/>
                      <w:color w:val="auto"/>
                      <w:kern w:val="0"/>
                      <w:szCs w:val="21"/>
                      <w:highlight w:val="none"/>
                    </w:rPr>
                    <w:t>下</w:t>
                  </w:r>
                  <w:r>
                    <w:rPr>
                      <w:rFonts w:ascii="Times New Roman" w:hAnsi="Times New Roman" w:eastAsia="宋体" w:cs="Times New Roman"/>
                      <w:color w:val="auto"/>
                      <w:kern w:val="0"/>
                      <w:szCs w:val="21"/>
                      <w:highlight w:val="none"/>
                    </w:rPr>
                    <w:t>风向</w:t>
                  </w:r>
                  <w:r>
                    <w:rPr>
                      <w:rFonts w:hint="eastAsia" w:ascii="Times New Roman" w:hAnsi="Times New Roman" w:eastAsia="宋体" w:cs="Times New Roman"/>
                      <w:color w:val="auto"/>
                      <w:kern w:val="0"/>
                      <w:szCs w:val="21"/>
                      <w:highlight w:val="none"/>
                    </w:rPr>
                    <w:t>监测</w:t>
                  </w:r>
                  <w:r>
                    <w:rPr>
                      <w:rFonts w:ascii="Times New Roman" w:hAnsi="Times New Roman" w:eastAsia="宋体" w:cs="Times New Roman"/>
                      <w:color w:val="auto"/>
                      <w:kern w:val="0"/>
                      <w:szCs w:val="21"/>
                      <w:highlight w:val="none"/>
                    </w:rPr>
                    <w:t>点2#</w:t>
                  </w:r>
                </w:p>
              </w:tc>
              <w:tc>
                <w:tcPr>
                  <w:tcW w:w="2854" w:type="pct"/>
                  <w:tcBorders>
                    <w:tl2br w:val="nil"/>
                    <w:tr2bl w:val="nil"/>
                  </w:tcBorders>
                  <w:noWrap w:val="0"/>
                  <w:vAlign w:val="center"/>
                </w:tcPr>
                <w:p w14:paraId="70ACF9E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0.23</w:t>
                  </w:r>
                </w:p>
              </w:tc>
            </w:tr>
            <w:tr w14:paraId="7791100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2145" w:type="pct"/>
                  <w:tcBorders>
                    <w:tl2br w:val="nil"/>
                    <w:tr2bl w:val="nil"/>
                  </w:tcBorders>
                  <w:noWrap w:val="0"/>
                  <w:vAlign w:val="center"/>
                </w:tcPr>
                <w:p w14:paraId="4E18DA8B">
                  <w:pPr>
                    <w:keepNext w:val="0"/>
                    <w:keepLines w:val="0"/>
                    <w:widowControl/>
                    <w:suppressLineNumbers w:val="0"/>
                    <w:spacing w:before="0" w:beforeAutospacing="0" w:after="0" w:afterAutospacing="0"/>
                    <w:ind w:left="0" w:right="0"/>
                    <w:jc w:val="center"/>
                    <w:rPr>
                      <w:rFonts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厂</w:t>
                  </w:r>
                  <w:r>
                    <w:rPr>
                      <w:rFonts w:ascii="Times New Roman" w:hAnsi="Times New Roman" w:eastAsia="宋体" w:cs="Times New Roman"/>
                      <w:color w:val="auto"/>
                      <w:kern w:val="0"/>
                      <w:szCs w:val="21"/>
                      <w:highlight w:val="none"/>
                    </w:rPr>
                    <w:t>界</w:t>
                  </w:r>
                  <w:r>
                    <w:rPr>
                      <w:rFonts w:hint="eastAsia" w:ascii="Times New Roman" w:hAnsi="Times New Roman" w:eastAsia="宋体" w:cs="Times New Roman"/>
                      <w:color w:val="auto"/>
                      <w:kern w:val="0"/>
                      <w:szCs w:val="21"/>
                      <w:highlight w:val="none"/>
                    </w:rPr>
                    <w:t>下</w:t>
                  </w:r>
                  <w:r>
                    <w:rPr>
                      <w:rFonts w:ascii="Times New Roman" w:hAnsi="Times New Roman" w:eastAsia="宋体" w:cs="Times New Roman"/>
                      <w:color w:val="auto"/>
                      <w:kern w:val="0"/>
                      <w:szCs w:val="21"/>
                      <w:highlight w:val="none"/>
                    </w:rPr>
                    <w:t>风向</w:t>
                  </w:r>
                  <w:r>
                    <w:rPr>
                      <w:rFonts w:hint="eastAsia" w:ascii="Times New Roman" w:hAnsi="Times New Roman" w:eastAsia="宋体" w:cs="Times New Roman"/>
                      <w:color w:val="auto"/>
                      <w:kern w:val="0"/>
                      <w:szCs w:val="21"/>
                      <w:highlight w:val="none"/>
                    </w:rPr>
                    <w:t>监测</w:t>
                  </w:r>
                  <w:r>
                    <w:rPr>
                      <w:rFonts w:ascii="Times New Roman" w:hAnsi="Times New Roman" w:eastAsia="宋体" w:cs="Times New Roman"/>
                      <w:color w:val="auto"/>
                      <w:kern w:val="0"/>
                      <w:szCs w:val="21"/>
                      <w:highlight w:val="none"/>
                    </w:rPr>
                    <w:t>点3#</w:t>
                  </w:r>
                </w:p>
              </w:tc>
              <w:tc>
                <w:tcPr>
                  <w:tcW w:w="2854" w:type="pct"/>
                  <w:tcBorders>
                    <w:tl2br w:val="nil"/>
                    <w:tr2bl w:val="nil"/>
                  </w:tcBorders>
                  <w:noWrap w:val="0"/>
                  <w:vAlign w:val="center"/>
                </w:tcPr>
                <w:p w14:paraId="3232A1C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0.44</w:t>
                  </w:r>
                </w:p>
              </w:tc>
            </w:tr>
            <w:tr w14:paraId="592A523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2145" w:type="pct"/>
                  <w:tcBorders>
                    <w:tl2br w:val="nil"/>
                    <w:tr2bl w:val="nil"/>
                  </w:tcBorders>
                  <w:noWrap w:val="0"/>
                  <w:vAlign w:val="center"/>
                </w:tcPr>
                <w:p w14:paraId="4E1BC483">
                  <w:pPr>
                    <w:keepNext w:val="0"/>
                    <w:keepLines w:val="0"/>
                    <w:widowControl/>
                    <w:suppressLineNumbers w:val="0"/>
                    <w:spacing w:before="0" w:beforeAutospacing="0" w:after="0" w:afterAutospacing="0"/>
                    <w:ind w:left="0" w:right="0"/>
                    <w:jc w:val="center"/>
                    <w:rPr>
                      <w:rFonts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rPr>
                    <w:t>厂</w:t>
                  </w:r>
                  <w:r>
                    <w:rPr>
                      <w:rFonts w:ascii="Times New Roman" w:hAnsi="Times New Roman" w:eastAsia="宋体" w:cs="Times New Roman"/>
                      <w:color w:val="auto"/>
                      <w:kern w:val="0"/>
                      <w:szCs w:val="21"/>
                      <w:highlight w:val="none"/>
                    </w:rPr>
                    <w:t>界</w:t>
                  </w:r>
                  <w:r>
                    <w:rPr>
                      <w:rFonts w:hint="eastAsia" w:ascii="Times New Roman" w:hAnsi="Times New Roman" w:eastAsia="宋体" w:cs="Times New Roman"/>
                      <w:color w:val="auto"/>
                      <w:kern w:val="0"/>
                      <w:szCs w:val="21"/>
                      <w:highlight w:val="none"/>
                    </w:rPr>
                    <w:t>下</w:t>
                  </w:r>
                  <w:r>
                    <w:rPr>
                      <w:rFonts w:ascii="Times New Roman" w:hAnsi="Times New Roman" w:eastAsia="宋体" w:cs="Times New Roman"/>
                      <w:color w:val="auto"/>
                      <w:kern w:val="0"/>
                      <w:szCs w:val="21"/>
                      <w:highlight w:val="none"/>
                    </w:rPr>
                    <w:t>风向</w:t>
                  </w:r>
                  <w:r>
                    <w:rPr>
                      <w:rFonts w:hint="eastAsia" w:ascii="Times New Roman" w:hAnsi="Times New Roman" w:eastAsia="宋体" w:cs="Times New Roman"/>
                      <w:color w:val="auto"/>
                      <w:kern w:val="0"/>
                      <w:szCs w:val="21"/>
                      <w:highlight w:val="none"/>
                    </w:rPr>
                    <w:t>监测</w:t>
                  </w:r>
                  <w:r>
                    <w:rPr>
                      <w:rFonts w:ascii="Times New Roman" w:hAnsi="Times New Roman" w:eastAsia="宋体" w:cs="Times New Roman"/>
                      <w:color w:val="auto"/>
                      <w:kern w:val="0"/>
                      <w:szCs w:val="21"/>
                      <w:highlight w:val="none"/>
                    </w:rPr>
                    <w:t>点4#</w:t>
                  </w:r>
                </w:p>
              </w:tc>
              <w:tc>
                <w:tcPr>
                  <w:tcW w:w="2854" w:type="pct"/>
                  <w:tcBorders>
                    <w:tl2br w:val="nil"/>
                    <w:tr2bl w:val="nil"/>
                  </w:tcBorders>
                  <w:noWrap w:val="0"/>
                  <w:vAlign w:val="center"/>
                </w:tcPr>
                <w:p w14:paraId="7B8169E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0.40</w:t>
                  </w:r>
                </w:p>
              </w:tc>
            </w:tr>
            <w:tr w14:paraId="56CAAA8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2145" w:type="pct"/>
                  <w:tcBorders>
                    <w:tl2br w:val="nil"/>
                    <w:tr2bl w:val="nil"/>
                  </w:tcBorders>
                  <w:noWrap w:val="0"/>
                  <w:vAlign w:val="center"/>
                </w:tcPr>
                <w:p w14:paraId="75BF80A2">
                  <w:pPr>
                    <w:keepNext w:val="0"/>
                    <w:keepLines w:val="0"/>
                    <w:widowControl/>
                    <w:suppressLineNumbers w:val="0"/>
                    <w:spacing w:before="0" w:beforeAutospacing="0" w:after="0" w:afterAutospacing="0"/>
                    <w:ind w:left="0" w:right="0"/>
                    <w:jc w:val="center"/>
                    <w:rPr>
                      <w:rFonts w:ascii="Times New Roman" w:hAnsi="Times New Roman" w:eastAsia="宋体" w:cs="Times New Roman"/>
                      <w:color w:val="auto"/>
                      <w:kern w:val="0"/>
                      <w:szCs w:val="21"/>
                      <w:highlight w:val="none"/>
                    </w:rPr>
                  </w:pPr>
                  <w:r>
                    <w:rPr>
                      <w:rFonts w:ascii="Times New Roman" w:hAnsi="Times New Roman" w:eastAsia="宋体" w:cs="Times New Roman"/>
                      <w:color w:val="auto"/>
                      <w:kern w:val="0"/>
                      <w:szCs w:val="21"/>
                      <w:highlight w:val="none"/>
                    </w:rPr>
                    <w:t>排放限值</w:t>
                  </w:r>
                </w:p>
              </w:tc>
              <w:tc>
                <w:tcPr>
                  <w:tcW w:w="2854" w:type="pct"/>
                  <w:tcBorders>
                    <w:tl2br w:val="nil"/>
                    <w:tr2bl w:val="nil"/>
                  </w:tcBorders>
                  <w:noWrap w:val="0"/>
                  <w:vAlign w:val="center"/>
                </w:tcPr>
                <w:p w14:paraId="74E47C9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2.0</w:t>
                  </w:r>
                </w:p>
              </w:tc>
            </w:tr>
          </w:tbl>
          <w:p w14:paraId="09C6C0EC">
            <w:pPr>
              <w:pStyle w:val="16"/>
              <w:keepNext w:val="0"/>
              <w:keepLines w:val="0"/>
              <w:suppressLineNumbers w:val="0"/>
              <w:spacing w:before="120" w:beforeLines="50" w:beforeAutospacing="0" w:after="0" w:afterAutospacing="0" w:line="360" w:lineRule="auto"/>
              <w:ind w:left="0" w:right="0" w:firstLine="420" w:firstLineChars="200"/>
              <w:jc w:val="both"/>
              <w:rPr>
                <w:rFonts w:hint="eastAsia" w:ascii="Times New Roman" w:hAnsi="Times New Roman" w:eastAsia="宋体" w:cs="Times New Roman"/>
                <w:color w:val="auto"/>
                <w:sz w:val="21"/>
                <w:szCs w:val="16"/>
                <w:highlight w:val="none"/>
                <w:lang w:val="en-US" w:eastAsia="zh-CN"/>
              </w:rPr>
            </w:pPr>
            <w:r>
              <w:rPr>
                <w:color w:val="auto"/>
                <w:sz w:val="21"/>
                <w:szCs w:val="16"/>
                <w:highlight w:val="none"/>
              </w:rPr>
              <w:t>根据监测结果可知，现有项目</w:t>
            </w:r>
            <w:r>
              <w:rPr>
                <w:rFonts w:hint="eastAsia"/>
                <w:color w:val="auto"/>
                <w:sz w:val="21"/>
                <w:szCs w:val="16"/>
                <w:highlight w:val="none"/>
                <w:lang w:val="en-US" w:eastAsia="zh-CN"/>
              </w:rPr>
              <w:t>吸塑</w:t>
            </w:r>
            <w:r>
              <w:rPr>
                <w:color w:val="auto"/>
                <w:sz w:val="21"/>
                <w:szCs w:val="16"/>
                <w:highlight w:val="none"/>
              </w:rPr>
              <w:t>工序排放的非甲</w:t>
            </w:r>
            <w:r>
              <w:rPr>
                <w:rFonts w:hint="eastAsia" w:ascii="Times New Roman" w:hAnsi="Times New Roman" w:eastAsia="宋体" w:cs="Times New Roman"/>
                <w:color w:val="auto"/>
                <w:sz w:val="21"/>
                <w:szCs w:val="16"/>
                <w:highlight w:val="none"/>
                <w:lang w:val="en-US" w:eastAsia="zh-CN"/>
              </w:rPr>
              <w:t>烷总烃（DA001）可以达到</w:t>
            </w:r>
            <w:r>
              <w:rPr>
                <w:rFonts w:hint="default" w:ascii="Times New Roman" w:hAnsi="Times New Roman" w:eastAsia="宋体" w:cs="Times New Roman"/>
                <w:color w:val="auto"/>
                <w:sz w:val="21"/>
                <w:szCs w:val="16"/>
                <w:highlight w:val="none"/>
                <w:lang w:val="en-US" w:eastAsia="zh-CN"/>
              </w:rPr>
              <w:t>《合成树脂工业污染物排放标准》（GB31572-2015，含2024年修改单）中表5大气污染物特别排放限值</w:t>
            </w:r>
            <w:r>
              <w:rPr>
                <w:rFonts w:hint="eastAsia" w:ascii="Times New Roman" w:hAnsi="Times New Roman" w:eastAsia="宋体" w:cs="Times New Roman"/>
                <w:color w:val="auto"/>
                <w:sz w:val="21"/>
                <w:szCs w:val="16"/>
                <w:highlight w:val="none"/>
                <w:lang w:val="en-US" w:eastAsia="zh-CN"/>
              </w:rPr>
              <w:t>要求，油墨印刷</w:t>
            </w:r>
            <w:r>
              <w:rPr>
                <w:rFonts w:hint="default" w:ascii="Times New Roman" w:hAnsi="Times New Roman" w:eastAsia="宋体" w:cs="Times New Roman"/>
                <w:color w:val="auto"/>
                <w:sz w:val="21"/>
                <w:szCs w:val="16"/>
                <w:highlight w:val="none"/>
                <w:lang w:val="en-US" w:eastAsia="zh-CN"/>
              </w:rPr>
              <w:t>工序排放的</w:t>
            </w:r>
            <w:r>
              <w:rPr>
                <w:rFonts w:hint="eastAsia" w:ascii="Times New Roman" w:hAnsi="Times New Roman" w:eastAsia="宋体" w:cs="Times New Roman"/>
                <w:color w:val="auto"/>
                <w:sz w:val="21"/>
                <w:szCs w:val="16"/>
                <w:highlight w:val="none"/>
                <w:lang w:val="en-US" w:eastAsia="zh-CN"/>
              </w:rPr>
              <w:t>总VOCs</w:t>
            </w:r>
            <w:r>
              <w:rPr>
                <w:rFonts w:hint="default" w:ascii="Times New Roman" w:hAnsi="Times New Roman" w:eastAsia="宋体" w:cs="Times New Roman"/>
                <w:color w:val="auto"/>
                <w:sz w:val="21"/>
                <w:szCs w:val="16"/>
                <w:highlight w:val="none"/>
                <w:lang w:val="en-US" w:eastAsia="zh-CN"/>
              </w:rPr>
              <w:t>（DA00</w:t>
            </w:r>
            <w:r>
              <w:rPr>
                <w:rFonts w:hint="eastAsia" w:ascii="Times New Roman" w:hAnsi="Times New Roman" w:eastAsia="宋体" w:cs="Times New Roman"/>
                <w:color w:val="auto"/>
                <w:sz w:val="21"/>
                <w:szCs w:val="16"/>
                <w:highlight w:val="none"/>
                <w:lang w:val="en-US" w:eastAsia="zh-CN"/>
              </w:rPr>
              <w:t>2</w:t>
            </w:r>
            <w:r>
              <w:rPr>
                <w:rFonts w:hint="default" w:ascii="Times New Roman" w:hAnsi="Times New Roman" w:eastAsia="宋体" w:cs="Times New Roman"/>
                <w:color w:val="auto"/>
                <w:sz w:val="21"/>
                <w:szCs w:val="16"/>
                <w:highlight w:val="none"/>
                <w:lang w:val="en-US" w:eastAsia="zh-CN"/>
              </w:rPr>
              <w:t>）可以达到《印刷行业挥发性有机化合物排放标准》（DB44/815-2010）表2</w:t>
            </w:r>
            <w:r>
              <w:rPr>
                <w:rFonts w:hint="eastAsia" w:ascii="Times New Roman" w:hAnsi="Times New Roman" w:eastAsia="宋体" w:cs="Times New Roman"/>
                <w:color w:val="auto"/>
                <w:sz w:val="21"/>
                <w:szCs w:val="16"/>
                <w:highlight w:val="none"/>
                <w:lang w:val="en-US" w:eastAsia="zh-CN"/>
              </w:rPr>
              <w:t>“</w:t>
            </w:r>
            <w:r>
              <w:rPr>
                <w:rFonts w:hint="default" w:ascii="Times New Roman" w:hAnsi="Times New Roman" w:eastAsia="宋体" w:cs="Times New Roman"/>
                <w:color w:val="auto"/>
                <w:sz w:val="21"/>
                <w:szCs w:val="16"/>
                <w:highlight w:val="none"/>
                <w:lang w:val="en-US" w:eastAsia="zh-CN"/>
              </w:rPr>
              <w:t>平版印刷（不含以金属、陶瓷、玻璃为承印物的平版印刷）、柔性版印刷</w:t>
            </w:r>
            <w:r>
              <w:rPr>
                <w:rFonts w:hint="eastAsia" w:ascii="Times New Roman" w:hAnsi="Times New Roman" w:eastAsia="宋体" w:cs="Times New Roman"/>
                <w:color w:val="auto"/>
                <w:sz w:val="21"/>
                <w:szCs w:val="16"/>
                <w:highlight w:val="none"/>
                <w:lang w:val="en-US" w:eastAsia="zh-CN"/>
              </w:rPr>
              <w:t>”</w:t>
            </w:r>
            <w:r>
              <w:rPr>
                <w:rFonts w:hint="default" w:ascii="Times New Roman" w:hAnsi="Times New Roman" w:eastAsia="宋体" w:cs="Times New Roman"/>
                <w:color w:val="auto"/>
                <w:sz w:val="21"/>
                <w:szCs w:val="16"/>
                <w:highlight w:val="none"/>
                <w:lang w:val="en-US" w:eastAsia="zh-CN"/>
              </w:rPr>
              <w:t>Ⅱ时段排放限值</w:t>
            </w:r>
            <w:r>
              <w:rPr>
                <w:rFonts w:hint="eastAsia" w:ascii="Times New Roman" w:hAnsi="Times New Roman" w:eastAsia="宋体" w:cs="Times New Roman"/>
                <w:color w:val="auto"/>
                <w:sz w:val="21"/>
                <w:szCs w:val="16"/>
                <w:highlight w:val="none"/>
                <w:lang w:val="en-US" w:eastAsia="zh-CN"/>
              </w:rPr>
              <w:t>要求。</w:t>
            </w:r>
          </w:p>
          <w:p w14:paraId="3EB37208">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ascii="Times New Roman" w:hAnsi="Times New Roman" w:eastAsia="宋体" w:cs="Times New Roman"/>
                <w:color w:val="auto"/>
                <w:sz w:val="21"/>
                <w:szCs w:val="16"/>
                <w:highlight w:val="none"/>
              </w:rPr>
            </w:pPr>
            <w:r>
              <w:rPr>
                <w:color w:val="auto"/>
                <w:sz w:val="21"/>
                <w:szCs w:val="16"/>
                <w:highlight w:val="none"/>
              </w:rPr>
              <w:t>现</w:t>
            </w:r>
            <w:r>
              <w:rPr>
                <w:rFonts w:ascii="Times New Roman" w:hAnsi="Times New Roman" w:eastAsia="宋体" w:cs="Times New Roman"/>
                <w:color w:val="auto"/>
                <w:sz w:val="21"/>
                <w:szCs w:val="16"/>
                <w:highlight w:val="none"/>
              </w:rPr>
              <w:t>有项目无组织排放的</w:t>
            </w:r>
            <w:r>
              <w:rPr>
                <w:rFonts w:hint="eastAsia" w:ascii="Times New Roman" w:hAnsi="Times New Roman" w:eastAsia="宋体" w:cs="Times New Roman"/>
                <w:color w:val="auto"/>
                <w:sz w:val="21"/>
                <w:szCs w:val="16"/>
                <w:highlight w:val="none"/>
                <w:lang w:val="en-US" w:eastAsia="zh-CN"/>
              </w:rPr>
              <w:t>总VOCs</w:t>
            </w:r>
            <w:r>
              <w:rPr>
                <w:rFonts w:ascii="Times New Roman" w:hAnsi="Times New Roman" w:eastAsia="宋体" w:cs="Times New Roman"/>
                <w:color w:val="auto"/>
                <w:sz w:val="21"/>
                <w:szCs w:val="16"/>
                <w:highlight w:val="none"/>
              </w:rPr>
              <w:t>可达到</w:t>
            </w:r>
            <w:r>
              <w:rPr>
                <w:rFonts w:hint="eastAsia" w:ascii="Times New Roman" w:hAnsi="Times New Roman" w:eastAsia="宋体" w:cs="Times New Roman"/>
                <w:color w:val="auto"/>
                <w:sz w:val="21"/>
                <w:szCs w:val="16"/>
                <w:highlight w:val="none"/>
                <w:lang w:val="en-US" w:eastAsia="zh-CN"/>
              </w:rPr>
              <w:t>《家具制造行业挥发性有机化合物排放标准》（DB44/814-2010）表2无组织排放监控点浓度限值与《印刷行业挥发性有机化合物排放标准》（DB44/815-2010）表3无组织排放监控点浓度限值两者较严值要求</w:t>
            </w:r>
            <w:r>
              <w:rPr>
                <w:rFonts w:hint="eastAsia" w:ascii="Times New Roman" w:hAnsi="Times New Roman" w:eastAsia="宋体" w:cs="Times New Roman"/>
                <w:color w:val="auto"/>
                <w:sz w:val="21"/>
                <w:szCs w:val="16"/>
                <w:highlight w:val="none"/>
              </w:rPr>
              <w:t>，</w:t>
            </w:r>
            <w:r>
              <w:rPr>
                <w:rFonts w:ascii="Times New Roman" w:hAnsi="Times New Roman" w:eastAsia="宋体" w:cs="Times New Roman"/>
                <w:color w:val="auto"/>
                <w:sz w:val="21"/>
                <w:szCs w:val="16"/>
                <w:highlight w:val="none"/>
              </w:rPr>
              <w:t>对周围环境影响较小。</w:t>
            </w:r>
          </w:p>
          <w:p w14:paraId="79957CA7">
            <w:pPr>
              <w:pStyle w:val="16"/>
              <w:keepNext w:val="0"/>
              <w:keepLines w:val="0"/>
              <w:suppressLineNumbers w:val="0"/>
              <w:spacing w:before="0" w:beforeAutospacing="0" w:after="0" w:afterAutospacing="0" w:line="360" w:lineRule="auto"/>
              <w:ind w:left="0" w:right="0" w:firstLine="422" w:firstLineChars="200"/>
              <w:jc w:val="both"/>
              <w:rPr>
                <w:rFonts w:hint="eastAsia"/>
                <w:b/>
                <w:bCs/>
                <w:color w:val="auto"/>
                <w:sz w:val="21"/>
                <w:szCs w:val="16"/>
                <w:highlight w:val="none"/>
                <w:lang w:val="en-US" w:eastAsia="zh-CN"/>
              </w:rPr>
            </w:pPr>
            <w:r>
              <w:rPr>
                <w:rFonts w:hint="eastAsia" w:ascii="宋体" w:hAnsi="宋体" w:eastAsia="宋体" w:cs="宋体"/>
                <w:b/>
                <w:bCs/>
                <w:color w:val="auto"/>
                <w:sz w:val="21"/>
                <w:szCs w:val="21"/>
                <w:highlight w:val="none"/>
                <w:lang w:val="en-US" w:eastAsia="zh-CN"/>
              </w:rPr>
              <w:t>③</w:t>
            </w:r>
            <w:r>
              <w:rPr>
                <w:rFonts w:hint="eastAsia"/>
                <w:b/>
                <w:bCs/>
                <w:color w:val="auto"/>
                <w:sz w:val="21"/>
                <w:szCs w:val="16"/>
                <w:highlight w:val="none"/>
                <w:lang w:val="en-US" w:eastAsia="zh-CN"/>
              </w:rPr>
              <w:t>现有项目废气污染物源强核算</w:t>
            </w:r>
          </w:p>
          <w:p w14:paraId="04580DA6">
            <w:pPr>
              <w:keepNext w:val="0"/>
              <w:keepLines w:val="0"/>
              <w:pageBreakBefore w:val="0"/>
              <w:widowControl w:val="0"/>
              <w:numPr>
                <w:ilvl w:val="0"/>
                <w:numId w:val="4"/>
              </w:numPr>
              <w:suppressLineNumbers w:val="0"/>
              <w:kinsoku/>
              <w:wordWrap/>
              <w:overflowPunct/>
              <w:topLinePunct w:val="0"/>
              <w:autoSpaceDE/>
              <w:autoSpaceDN/>
              <w:bidi w:val="0"/>
              <w:adjustRightInd w:val="0"/>
              <w:snapToGrid w:val="0"/>
              <w:spacing w:before="0" w:beforeAutospacing="0" w:after="157" w:afterLines="50" w:afterAutospacing="0" w:line="240" w:lineRule="auto"/>
              <w:ind w:left="0" w:right="0"/>
              <w:jc w:val="center"/>
              <w:textAlignment w:val="auto"/>
              <w:rPr>
                <w:rFonts w:hint="default"/>
                <w:b/>
                <w:bCs/>
                <w:color w:val="auto"/>
                <w:sz w:val="21"/>
                <w:szCs w:val="21"/>
                <w:highlight w:val="none"/>
                <w:lang w:val="en-US" w:eastAsia="zh-CN"/>
              </w:rPr>
            </w:pPr>
            <w:r>
              <w:rPr>
                <w:rFonts w:hint="eastAsia"/>
                <w:b/>
                <w:bCs/>
                <w:color w:val="auto"/>
                <w:sz w:val="21"/>
                <w:szCs w:val="21"/>
                <w:highlight w:val="none"/>
                <w:lang w:val="en-US" w:eastAsia="zh-CN"/>
              </w:rPr>
              <w:t>现有项目废气量核算一览表</w:t>
            </w:r>
          </w:p>
          <w:p w14:paraId="3BE93484">
            <w:pPr>
              <w:pStyle w:val="34"/>
              <w:keepNext w:val="0"/>
              <w:keepLines w:val="0"/>
              <w:pageBreakBefore w:val="0"/>
              <w:widowControl w:val="0"/>
              <w:suppressLineNumbers w:val="0"/>
              <w:kinsoku/>
              <w:wordWrap/>
              <w:overflowPunct/>
              <w:topLinePunct w:val="0"/>
              <w:autoSpaceDE/>
              <w:autoSpaceDN/>
              <w:bidi w:val="0"/>
              <w:adjustRightInd w:val="0"/>
              <w:spacing w:before="0" w:beforeAutospacing="0" w:after="0" w:afterAutospacing="0" w:line="240" w:lineRule="auto"/>
              <w:ind w:left="0" w:leftChars="0" w:right="0"/>
              <w:jc w:val="center"/>
              <w:rPr>
                <w:rFonts w:hint="default"/>
                <w:b/>
                <w:bCs/>
                <w:color w:val="auto"/>
                <w:sz w:val="21"/>
                <w:szCs w:val="21"/>
                <w:highlight w:val="none"/>
                <w:lang w:val="en-US" w:eastAsia="zh-CN"/>
              </w:rPr>
            </w:pPr>
            <w:r>
              <w:rPr>
                <w:rFonts w:hint="eastAsia"/>
                <w:b/>
                <w:color w:val="auto"/>
                <w:sz w:val="21"/>
                <w:szCs w:val="21"/>
                <w:highlight w:val="none"/>
              </w:rPr>
              <w:t>（单位</w:t>
            </w:r>
            <w:r>
              <w:rPr>
                <w:rFonts w:hint="default"/>
                <w:b/>
                <w:color w:val="auto"/>
                <w:sz w:val="21"/>
                <w:szCs w:val="21"/>
                <w:highlight w:val="none"/>
              </w:rPr>
              <w:t>：</w:t>
            </w:r>
            <w:r>
              <w:rPr>
                <w:rFonts w:hint="eastAsia"/>
                <w:b/>
                <w:color w:val="auto"/>
                <w:sz w:val="21"/>
                <w:szCs w:val="21"/>
                <w:highlight w:val="none"/>
                <w:lang w:val="en-US" w:eastAsia="zh-CN"/>
              </w:rPr>
              <w:t>标干流量：m</w:t>
            </w:r>
            <w:r>
              <w:rPr>
                <w:rFonts w:hint="eastAsia"/>
                <w:b/>
                <w:color w:val="auto"/>
                <w:sz w:val="21"/>
                <w:szCs w:val="21"/>
                <w:highlight w:val="none"/>
                <w:vertAlign w:val="superscript"/>
                <w:lang w:val="en-US" w:eastAsia="zh-CN"/>
              </w:rPr>
              <w:t>3</w:t>
            </w:r>
            <w:r>
              <w:rPr>
                <w:rFonts w:hint="eastAsia"/>
                <w:b/>
                <w:color w:val="auto"/>
                <w:sz w:val="21"/>
                <w:szCs w:val="21"/>
                <w:highlight w:val="none"/>
                <w:lang w:val="en-US" w:eastAsia="zh-CN"/>
              </w:rPr>
              <w:t>/h、</w:t>
            </w:r>
            <w:r>
              <w:rPr>
                <w:rFonts w:hint="default"/>
                <w:b/>
                <w:color w:val="auto"/>
                <w:sz w:val="21"/>
                <w:szCs w:val="21"/>
                <w:highlight w:val="none"/>
              </w:rPr>
              <w:t>浓度</w:t>
            </w:r>
            <w:r>
              <w:rPr>
                <w:rFonts w:hint="eastAsia"/>
                <w:b/>
                <w:color w:val="auto"/>
                <w:sz w:val="21"/>
                <w:szCs w:val="21"/>
                <w:highlight w:val="none"/>
              </w:rPr>
              <w:t>：</w:t>
            </w:r>
            <w:r>
              <w:rPr>
                <w:rFonts w:hint="eastAsia"/>
                <w:b/>
                <w:bCs/>
                <w:color w:val="auto"/>
                <w:sz w:val="21"/>
                <w:szCs w:val="21"/>
                <w:highlight w:val="none"/>
              </w:rPr>
              <w:t>mg/m</w:t>
            </w:r>
            <w:r>
              <w:rPr>
                <w:rFonts w:hint="eastAsia"/>
                <w:b/>
                <w:bCs/>
                <w:color w:val="auto"/>
                <w:sz w:val="21"/>
                <w:szCs w:val="21"/>
                <w:highlight w:val="none"/>
                <w:vertAlign w:val="superscript"/>
              </w:rPr>
              <w:t>3</w:t>
            </w:r>
            <w:r>
              <w:rPr>
                <w:rFonts w:hint="eastAsia" w:cs="宋体"/>
                <w:b/>
                <w:color w:val="auto"/>
                <w:sz w:val="21"/>
                <w:szCs w:val="21"/>
                <w:highlight w:val="none"/>
              </w:rPr>
              <w:t>、</w:t>
            </w:r>
            <w:r>
              <w:rPr>
                <w:rFonts w:hint="default"/>
                <w:b/>
                <w:color w:val="auto"/>
                <w:sz w:val="21"/>
                <w:szCs w:val="21"/>
                <w:highlight w:val="none"/>
              </w:rPr>
              <w:t>速率</w:t>
            </w:r>
            <w:r>
              <w:rPr>
                <w:rFonts w:hint="eastAsia"/>
                <w:b/>
                <w:color w:val="auto"/>
                <w:sz w:val="21"/>
                <w:szCs w:val="21"/>
                <w:highlight w:val="none"/>
              </w:rPr>
              <w:t>：</w:t>
            </w:r>
            <w:r>
              <w:rPr>
                <w:rFonts w:hint="default"/>
                <w:b/>
                <w:color w:val="auto"/>
                <w:sz w:val="21"/>
                <w:szCs w:val="21"/>
                <w:highlight w:val="none"/>
              </w:rPr>
              <w:t>kg/h）</w:t>
            </w:r>
          </w:p>
          <w:tbl>
            <w:tblPr>
              <w:tblStyle w:val="42"/>
              <w:tblW w:w="5000" w:type="pct"/>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
              <w:gridCol w:w="1029"/>
              <w:gridCol w:w="855"/>
              <w:gridCol w:w="785"/>
              <w:gridCol w:w="1547"/>
              <w:gridCol w:w="690"/>
              <w:gridCol w:w="659"/>
              <w:gridCol w:w="728"/>
              <w:gridCol w:w="773"/>
              <w:gridCol w:w="747"/>
            </w:tblGrid>
            <w:tr w14:paraId="5CEEF5C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0" w:type="pct"/>
                  <w:tcBorders>
                    <w:tl2br w:val="nil"/>
                    <w:tr2bl w:val="nil"/>
                  </w:tcBorders>
                  <w:vAlign w:val="center"/>
                </w:tcPr>
                <w:p w14:paraId="2646EA2E">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ascii="Times New Roman" w:hAnsi="Times New Roman" w:eastAsia="宋体" w:cs="Times New Roman"/>
                      <w:b/>
                      <w:color w:val="auto"/>
                      <w:sz w:val="18"/>
                      <w:szCs w:val="18"/>
                      <w:highlight w:val="none"/>
                      <w:vertAlign w:val="baseline"/>
                      <w:lang w:val="en-US" w:eastAsia="zh-CN"/>
                    </w:rPr>
                  </w:pPr>
                  <w:r>
                    <w:rPr>
                      <w:rFonts w:hint="default" w:ascii="Times New Roman" w:hAnsi="Times New Roman" w:cs="Times New Roman"/>
                      <w:b/>
                      <w:color w:val="auto"/>
                      <w:sz w:val="18"/>
                      <w:szCs w:val="18"/>
                      <w:highlight w:val="none"/>
                      <w:vertAlign w:val="baseline"/>
                      <w:lang w:val="en-US" w:eastAsia="zh-CN"/>
                    </w:rPr>
                    <w:t>采样点位</w:t>
                  </w:r>
                </w:p>
              </w:tc>
              <w:tc>
                <w:tcPr>
                  <w:tcW w:w="596" w:type="pct"/>
                  <w:tcBorders>
                    <w:tl2br w:val="nil"/>
                    <w:tr2bl w:val="nil"/>
                  </w:tcBorders>
                  <w:vAlign w:val="center"/>
                </w:tcPr>
                <w:p w14:paraId="1C7B5A3A">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ascii="Times New Roman" w:hAnsi="Times New Roman" w:eastAsia="宋体" w:cs="Times New Roman"/>
                      <w:b/>
                      <w:color w:val="auto"/>
                      <w:sz w:val="18"/>
                      <w:szCs w:val="18"/>
                      <w:highlight w:val="none"/>
                      <w:vertAlign w:val="baseline"/>
                      <w:lang w:val="en-US" w:eastAsia="zh-CN"/>
                    </w:rPr>
                  </w:pPr>
                  <w:r>
                    <w:rPr>
                      <w:rFonts w:hint="default" w:ascii="Times New Roman" w:hAnsi="Times New Roman" w:cs="Times New Roman"/>
                      <w:b/>
                      <w:color w:val="auto"/>
                      <w:sz w:val="18"/>
                      <w:szCs w:val="18"/>
                      <w:highlight w:val="none"/>
                      <w:vertAlign w:val="baseline"/>
                      <w:lang w:val="en-US" w:eastAsia="zh-CN"/>
                    </w:rPr>
                    <w:t>采样日期</w:t>
                  </w:r>
                </w:p>
              </w:tc>
              <w:tc>
                <w:tcPr>
                  <w:tcW w:w="495" w:type="pct"/>
                  <w:tcBorders>
                    <w:tl2br w:val="nil"/>
                    <w:tr2bl w:val="nil"/>
                  </w:tcBorders>
                  <w:vAlign w:val="center"/>
                </w:tcPr>
                <w:p w14:paraId="6876D2CB">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ascii="Times New Roman" w:hAnsi="Times New Roman" w:cs="Times New Roman"/>
                      <w:b/>
                      <w:color w:val="auto"/>
                      <w:sz w:val="18"/>
                      <w:szCs w:val="18"/>
                      <w:highlight w:val="none"/>
                      <w:vertAlign w:val="baseline"/>
                      <w:lang w:val="en-US" w:eastAsia="zh-CN"/>
                    </w:rPr>
                  </w:pPr>
                  <w:r>
                    <w:rPr>
                      <w:rFonts w:hint="default" w:ascii="Times New Roman" w:hAnsi="Times New Roman" w:cs="Times New Roman"/>
                      <w:b/>
                      <w:color w:val="auto"/>
                      <w:sz w:val="18"/>
                      <w:szCs w:val="18"/>
                      <w:highlight w:val="none"/>
                      <w:vertAlign w:val="baseline"/>
                      <w:lang w:val="en-US" w:eastAsia="zh-CN"/>
                    </w:rPr>
                    <w:t>监测项目</w:t>
                  </w:r>
                </w:p>
              </w:tc>
              <w:tc>
                <w:tcPr>
                  <w:tcW w:w="454" w:type="pct"/>
                  <w:tcBorders>
                    <w:tl2br w:val="nil"/>
                    <w:tr2bl w:val="nil"/>
                  </w:tcBorders>
                  <w:vAlign w:val="center"/>
                </w:tcPr>
                <w:p w14:paraId="2E3A0115">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ascii="Times New Roman" w:hAnsi="Times New Roman" w:eastAsia="宋体" w:cs="Times New Roman"/>
                      <w:b/>
                      <w:color w:val="auto"/>
                      <w:sz w:val="18"/>
                      <w:szCs w:val="18"/>
                      <w:highlight w:val="none"/>
                      <w:vertAlign w:val="baseline"/>
                      <w:lang w:val="en-US" w:eastAsia="zh-CN"/>
                    </w:rPr>
                  </w:pPr>
                  <w:r>
                    <w:rPr>
                      <w:rFonts w:hint="eastAsia" w:cs="Times New Roman"/>
                      <w:b/>
                      <w:color w:val="auto"/>
                      <w:sz w:val="18"/>
                      <w:szCs w:val="18"/>
                      <w:highlight w:val="none"/>
                      <w:vertAlign w:val="baseline"/>
                      <w:lang w:val="en-US" w:eastAsia="zh-CN"/>
                    </w:rPr>
                    <w:t>有组织排放量</w:t>
                  </w:r>
                </w:p>
              </w:tc>
              <w:tc>
                <w:tcPr>
                  <w:tcW w:w="895" w:type="pct"/>
                  <w:tcBorders>
                    <w:tl2br w:val="nil"/>
                    <w:tr2bl w:val="nil"/>
                  </w:tcBorders>
                  <w:vAlign w:val="center"/>
                </w:tcPr>
                <w:p w14:paraId="239CDF29">
                  <w:pPr>
                    <w:keepNext w:val="0"/>
                    <w:keepLines w:val="0"/>
                    <w:numPr>
                      <w:ilvl w:val="0"/>
                      <w:numId w:val="0"/>
                    </w:numPr>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
                      <w:color w:val="auto"/>
                      <w:sz w:val="18"/>
                      <w:szCs w:val="18"/>
                      <w:highlight w:val="none"/>
                      <w:vertAlign w:val="baseline"/>
                      <w:lang w:val="en-US" w:eastAsia="zh-CN"/>
                    </w:rPr>
                  </w:pPr>
                  <w:r>
                    <w:rPr>
                      <w:rFonts w:hint="default" w:ascii="Times New Roman" w:hAnsi="Times New Roman" w:cs="Times New Roman"/>
                      <w:b/>
                      <w:color w:val="auto"/>
                      <w:sz w:val="18"/>
                      <w:szCs w:val="18"/>
                      <w:highlight w:val="none"/>
                      <w:vertAlign w:val="baseline"/>
                      <w:lang w:val="en-US" w:eastAsia="zh-CN"/>
                    </w:rPr>
                    <w:t>收集及治理措施</w:t>
                  </w:r>
                </w:p>
              </w:tc>
              <w:tc>
                <w:tcPr>
                  <w:tcW w:w="399" w:type="pct"/>
                  <w:tcBorders>
                    <w:tl2br w:val="nil"/>
                    <w:tr2bl w:val="nil"/>
                  </w:tcBorders>
                  <w:vAlign w:val="center"/>
                </w:tcPr>
                <w:p w14:paraId="4D6BC6CD">
                  <w:pPr>
                    <w:keepNext w:val="0"/>
                    <w:keepLines w:val="0"/>
                    <w:numPr>
                      <w:ilvl w:val="0"/>
                      <w:numId w:val="0"/>
                    </w:numPr>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
                      <w:color w:val="auto"/>
                      <w:sz w:val="18"/>
                      <w:szCs w:val="18"/>
                      <w:highlight w:val="none"/>
                      <w:vertAlign w:val="baseline"/>
                      <w:lang w:val="en-US" w:eastAsia="zh-CN"/>
                    </w:rPr>
                  </w:pPr>
                  <w:r>
                    <w:rPr>
                      <w:rFonts w:hint="default" w:ascii="Times New Roman" w:hAnsi="Times New Roman" w:cs="Times New Roman"/>
                      <w:b/>
                      <w:color w:val="auto"/>
                      <w:sz w:val="18"/>
                      <w:szCs w:val="18"/>
                      <w:highlight w:val="none"/>
                      <w:vertAlign w:val="baseline"/>
                      <w:lang w:val="en-US" w:eastAsia="zh-CN"/>
                    </w:rPr>
                    <w:t>收集效率/%</w:t>
                  </w:r>
                </w:p>
              </w:tc>
              <w:tc>
                <w:tcPr>
                  <w:tcW w:w="381" w:type="pct"/>
                  <w:tcBorders>
                    <w:tl2br w:val="nil"/>
                    <w:tr2bl w:val="nil"/>
                  </w:tcBorders>
                  <w:vAlign w:val="center"/>
                </w:tcPr>
                <w:p w14:paraId="783AD4B4">
                  <w:pPr>
                    <w:keepNext w:val="0"/>
                    <w:keepLines w:val="0"/>
                    <w:numPr>
                      <w:ilvl w:val="0"/>
                      <w:numId w:val="0"/>
                    </w:numPr>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cs="Times New Roman"/>
                      <w:b/>
                      <w:color w:val="auto"/>
                      <w:sz w:val="18"/>
                      <w:szCs w:val="18"/>
                      <w:highlight w:val="none"/>
                      <w:vertAlign w:val="baseline"/>
                      <w:lang w:val="en-US" w:eastAsia="zh-CN"/>
                    </w:rPr>
                  </w:pPr>
                  <w:r>
                    <w:rPr>
                      <w:rFonts w:hint="eastAsia" w:cs="Times New Roman"/>
                      <w:b/>
                      <w:color w:val="auto"/>
                      <w:sz w:val="18"/>
                      <w:szCs w:val="18"/>
                      <w:highlight w:val="none"/>
                      <w:vertAlign w:val="baseline"/>
                      <w:lang w:val="en-US" w:eastAsia="zh-CN"/>
                    </w:rPr>
                    <w:t>处理</w:t>
                  </w:r>
                  <w:r>
                    <w:rPr>
                      <w:rFonts w:hint="default" w:ascii="Times New Roman" w:hAnsi="Times New Roman" w:cs="Times New Roman"/>
                      <w:b/>
                      <w:color w:val="auto"/>
                      <w:sz w:val="18"/>
                      <w:szCs w:val="18"/>
                      <w:highlight w:val="none"/>
                      <w:vertAlign w:val="baseline"/>
                      <w:lang w:val="en-US" w:eastAsia="zh-CN"/>
                    </w:rPr>
                    <w:t>效率/%</w:t>
                  </w:r>
                </w:p>
              </w:tc>
              <w:tc>
                <w:tcPr>
                  <w:tcW w:w="421" w:type="pct"/>
                  <w:tcBorders>
                    <w:tl2br w:val="nil"/>
                    <w:tr2bl w:val="nil"/>
                  </w:tcBorders>
                  <w:vAlign w:val="center"/>
                </w:tcPr>
                <w:p w14:paraId="44BA580D">
                  <w:pPr>
                    <w:keepNext w:val="0"/>
                    <w:keepLines w:val="0"/>
                    <w:numPr>
                      <w:ilvl w:val="0"/>
                      <w:numId w:val="0"/>
                    </w:numPr>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cs="Times New Roman"/>
                      <w:b/>
                      <w:color w:val="auto"/>
                      <w:sz w:val="18"/>
                      <w:szCs w:val="18"/>
                      <w:highlight w:val="none"/>
                      <w:vertAlign w:val="baseline"/>
                      <w:lang w:val="en-US" w:eastAsia="zh-CN"/>
                    </w:rPr>
                  </w:pPr>
                  <w:r>
                    <w:rPr>
                      <w:rFonts w:hint="eastAsia" w:cs="Times New Roman"/>
                      <w:b/>
                      <w:color w:val="auto"/>
                      <w:sz w:val="18"/>
                      <w:szCs w:val="18"/>
                      <w:highlight w:val="none"/>
                      <w:vertAlign w:val="baseline"/>
                      <w:lang w:val="en-US" w:eastAsia="zh-CN"/>
                    </w:rPr>
                    <w:t>废气产生量</w:t>
                  </w:r>
                  <w:r>
                    <w:rPr>
                      <w:rFonts w:hint="default" w:ascii="Times New Roman" w:hAnsi="Times New Roman" w:cs="Times New Roman"/>
                      <w:b/>
                      <w:color w:val="auto"/>
                      <w:sz w:val="18"/>
                      <w:szCs w:val="18"/>
                      <w:highlight w:val="none"/>
                      <w:vertAlign w:val="baseline"/>
                      <w:lang w:val="en-US" w:eastAsia="zh-CN"/>
                    </w:rPr>
                    <w:t>/t</w:t>
                  </w:r>
                </w:p>
              </w:tc>
              <w:tc>
                <w:tcPr>
                  <w:tcW w:w="447" w:type="pct"/>
                  <w:tcBorders>
                    <w:tl2br w:val="nil"/>
                    <w:tr2bl w:val="nil"/>
                  </w:tcBorders>
                  <w:vAlign w:val="center"/>
                </w:tcPr>
                <w:p w14:paraId="0408127C">
                  <w:pPr>
                    <w:keepNext w:val="0"/>
                    <w:keepLines w:val="0"/>
                    <w:numPr>
                      <w:ilvl w:val="0"/>
                      <w:numId w:val="0"/>
                    </w:numPr>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cs="Times New Roman"/>
                      <w:b/>
                      <w:color w:val="auto"/>
                      <w:sz w:val="18"/>
                      <w:szCs w:val="18"/>
                      <w:highlight w:val="none"/>
                      <w:vertAlign w:val="baseline"/>
                      <w:lang w:val="en-US" w:eastAsia="zh-CN"/>
                    </w:rPr>
                  </w:pPr>
                  <w:r>
                    <w:rPr>
                      <w:rFonts w:hint="eastAsia" w:cs="Times New Roman"/>
                      <w:b/>
                      <w:color w:val="auto"/>
                      <w:sz w:val="18"/>
                      <w:szCs w:val="18"/>
                      <w:highlight w:val="none"/>
                      <w:vertAlign w:val="baseline"/>
                      <w:lang w:val="en-US" w:eastAsia="zh-CN"/>
                    </w:rPr>
                    <w:t>无组织排放量</w:t>
                  </w:r>
                  <w:r>
                    <w:rPr>
                      <w:rFonts w:hint="default" w:ascii="Times New Roman" w:hAnsi="Times New Roman" w:cs="Times New Roman"/>
                      <w:b/>
                      <w:color w:val="auto"/>
                      <w:sz w:val="18"/>
                      <w:szCs w:val="18"/>
                      <w:highlight w:val="none"/>
                      <w:vertAlign w:val="baseline"/>
                      <w:lang w:val="en-US" w:eastAsia="zh-CN"/>
                    </w:rPr>
                    <w:t>/t</w:t>
                  </w:r>
                </w:p>
              </w:tc>
              <w:tc>
                <w:tcPr>
                  <w:tcW w:w="429" w:type="pct"/>
                  <w:tcBorders>
                    <w:tl2br w:val="nil"/>
                    <w:tr2bl w:val="nil"/>
                  </w:tcBorders>
                  <w:vAlign w:val="center"/>
                </w:tcPr>
                <w:p w14:paraId="7AB6E241">
                  <w:pPr>
                    <w:keepNext w:val="0"/>
                    <w:keepLines w:val="0"/>
                    <w:numPr>
                      <w:ilvl w:val="0"/>
                      <w:numId w:val="0"/>
                    </w:numPr>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cs="Times New Roman"/>
                      <w:b/>
                      <w:color w:val="auto"/>
                      <w:sz w:val="18"/>
                      <w:szCs w:val="18"/>
                      <w:highlight w:val="none"/>
                      <w:vertAlign w:val="baseline"/>
                      <w:lang w:val="en-US" w:eastAsia="zh-CN"/>
                    </w:rPr>
                  </w:pPr>
                  <w:r>
                    <w:rPr>
                      <w:rFonts w:hint="eastAsia" w:cs="Times New Roman"/>
                      <w:b/>
                      <w:color w:val="auto"/>
                      <w:sz w:val="18"/>
                      <w:szCs w:val="18"/>
                      <w:highlight w:val="none"/>
                      <w:vertAlign w:val="baseline"/>
                      <w:lang w:val="en-US" w:eastAsia="zh-CN"/>
                    </w:rPr>
                    <w:t>排放总量</w:t>
                  </w:r>
                  <w:r>
                    <w:rPr>
                      <w:rFonts w:hint="default" w:ascii="Times New Roman" w:hAnsi="Times New Roman" w:cs="Times New Roman"/>
                      <w:b/>
                      <w:color w:val="auto"/>
                      <w:sz w:val="18"/>
                      <w:szCs w:val="18"/>
                      <w:highlight w:val="none"/>
                      <w:vertAlign w:val="baseline"/>
                      <w:lang w:val="en-US" w:eastAsia="zh-CN"/>
                    </w:rPr>
                    <w:t>/t</w:t>
                  </w:r>
                </w:p>
              </w:tc>
            </w:tr>
            <w:tr w14:paraId="2AB276E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0" w:type="pct"/>
                  <w:tcBorders>
                    <w:tl2br w:val="nil"/>
                    <w:tr2bl w:val="nil"/>
                  </w:tcBorders>
                  <w:vAlign w:val="center"/>
                </w:tcPr>
                <w:p w14:paraId="3C7BEAE9">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ascii="Times New Roman" w:hAnsi="Times New Roman" w:eastAsia="宋体" w:cs="Times New Roman"/>
                      <w:b w:val="0"/>
                      <w:bCs/>
                      <w:color w:val="auto"/>
                      <w:sz w:val="18"/>
                      <w:szCs w:val="18"/>
                      <w:highlight w:val="none"/>
                      <w:vertAlign w:val="baseline"/>
                      <w:lang w:val="en-US" w:eastAsia="zh-CN"/>
                    </w:rPr>
                  </w:pPr>
                  <w:r>
                    <w:rPr>
                      <w:rFonts w:hint="default" w:ascii="Times New Roman" w:hAnsi="Times New Roman" w:cs="Times New Roman"/>
                      <w:b w:val="0"/>
                      <w:bCs/>
                      <w:color w:val="auto"/>
                      <w:sz w:val="18"/>
                      <w:szCs w:val="18"/>
                      <w:highlight w:val="none"/>
                      <w:vertAlign w:val="baseline"/>
                      <w:lang w:val="en-US" w:eastAsia="zh-CN"/>
                    </w:rPr>
                    <w:t>DA001</w:t>
                  </w:r>
                </w:p>
              </w:tc>
              <w:tc>
                <w:tcPr>
                  <w:tcW w:w="596" w:type="pct"/>
                  <w:tcBorders>
                    <w:tl2br w:val="nil"/>
                    <w:tr2bl w:val="nil"/>
                  </w:tcBorders>
                  <w:vAlign w:val="center"/>
                </w:tcPr>
                <w:p w14:paraId="3FC8E54E">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ascii="Times New Roman" w:hAnsi="Times New Roman" w:eastAsia="宋体" w:cs="Times New Roman"/>
                      <w:b w:val="0"/>
                      <w:bCs/>
                      <w:color w:val="auto"/>
                      <w:sz w:val="18"/>
                      <w:szCs w:val="18"/>
                      <w:highlight w:val="none"/>
                      <w:vertAlign w:val="baseline"/>
                      <w:lang w:val="en-US" w:eastAsia="zh-CN"/>
                    </w:rPr>
                  </w:pPr>
                  <w:r>
                    <w:rPr>
                      <w:rFonts w:hint="eastAsia" w:ascii="Times New Roman" w:hAnsi="Times New Roman" w:eastAsia="宋体" w:cs="Times New Roman"/>
                      <w:b w:val="0"/>
                      <w:bCs/>
                      <w:color w:val="auto"/>
                      <w:sz w:val="18"/>
                      <w:szCs w:val="18"/>
                      <w:highlight w:val="none"/>
                      <w:vertAlign w:val="baseline"/>
                      <w:lang w:val="en-US" w:eastAsia="zh-CN"/>
                    </w:rPr>
                    <w:t>2016年12月17日</w:t>
                  </w:r>
                </w:p>
              </w:tc>
              <w:tc>
                <w:tcPr>
                  <w:tcW w:w="495" w:type="pct"/>
                  <w:tcBorders>
                    <w:tl2br w:val="nil"/>
                    <w:tr2bl w:val="nil"/>
                  </w:tcBorders>
                  <w:vAlign w:val="center"/>
                </w:tcPr>
                <w:p w14:paraId="09CAD333">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ascii="Times New Roman" w:hAnsi="Times New Roman" w:eastAsia="宋体" w:cs="Times New Roman"/>
                      <w:b w:val="0"/>
                      <w:bCs/>
                      <w:color w:val="auto"/>
                      <w:sz w:val="18"/>
                      <w:szCs w:val="18"/>
                      <w:highlight w:val="none"/>
                      <w:vertAlign w:val="baseline"/>
                      <w:lang w:val="en-US" w:eastAsia="zh-CN"/>
                    </w:rPr>
                  </w:pPr>
                  <w:r>
                    <w:rPr>
                      <w:rFonts w:hint="eastAsia" w:ascii="Times New Roman" w:hAnsi="Times New Roman" w:eastAsia="宋体" w:cs="Times New Roman"/>
                      <w:b w:val="0"/>
                      <w:bCs/>
                      <w:color w:val="auto"/>
                      <w:sz w:val="18"/>
                      <w:szCs w:val="18"/>
                      <w:highlight w:val="none"/>
                      <w:vertAlign w:val="baseline"/>
                      <w:lang w:val="en-US" w:eastAsia="zh-CN"/>
                    </w:rPr>
                    <w:t>非甲烷总烃</w:t>
                  </w:r>
                </w:p>
              </w:tc>
              <w:tc>
                <w:tcPr>
                  <w:tcW w:w="454" w:type="pct"/>
                  <w:tcBorders>
                    <w:tl2br w:val="nil"/>
                    <w:tr2bl w:val="nil"/>
                  </w:tcBorders>
                  <w:vAlign w:val="center"/>
                </w:tcPr>
                <w:p w14:paraId="1CF4D7DB">
                  <w:pPr>
                    <w:keepNext w:val="0"/>
                    <w:keepLines w:val="0"/>
                    <w:numPr>
                      <w:ilvl w:val="0"/>
                      <w:numId w:val="0"/>
                    </w:numPr>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 w:val="0"/>
                      <w:bCs/>
                      <w:color w:val="auto"/>
                      <w:sz w:val="18"/>
                      <w:szCs w:val="18"/>
                      <w:highlight w:val="none"/>
                      <w:vertAlign w:val="baseline"/>
                      <w:lang w:val="en-US" w:eastAsia="zh-CN"/>
                    </w:rPr>
                  </w:pPr>
                  <w:r>
                    <w:rPr>
                      <w:rFonts w:hint="eastAsia" w:ascii="Times New Roman" w:hAnsi="Times New Roman" w:eastAsia="宋体" w:cs="Times New Roman"/>
                      <w:b w:val="0"/>
                      <w:bCs/>
                      <w:color w:val="auto"/>
                      <w:sz w:val="18"/>
                      <w:szCs w:val="18"/>
                      <w:highlight w:val="none"/>
                      <w:vertAlign w:val="baseline"/>
                      <w:lang w:val="en-US" w:eastAsia="zh-CN"/>
                    </w:rPr>
                    <w:t>0.1015</w:t>
                  </w:r>
                </w:p>
              </w:tc>
              <w:tc>
                <w:tcPr>
                  <w:tcW w:w="895" w:type="pct"/>
                  <w:tcBorders>
                    <w:tl2br w:val="nil"/>
                    <w:tr2bl w:val="nil"/>
                  </w:tcBorders>
                  <w:vAlign w:val="center"/>
                </w:tcPr>
                <w:p w14:paraId="5DBFB19E">
                  <w:pPr>
                    <w:keepNext w:val="0"/>
                    <w:keepLines w:val="0"/>
                    <w:numPr>
                      <w:ilvl w:val="0"/>
                      <w:numId w:val="0"/>
                    </w:numPr>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 w:val="0"/>
                      <w:bCs/>
                      <w:color w:val="auto"/>
                      <w:sz w:val="18"/>
                      <w:szCs w:val="18"/>
                      <w:highlight w:val="none"/>
                      <w:vertAlign w:val="baseline"/>
                      <w:lang w:val="en-US" w:eastAsia="zh-CN"/>
                    </w:rPr>
                  </w:pPr>
                  <w:r>
                    <w:rPr>
                      <w:rFonts w:hint="eastAsia" w:eastAsia="宋体" w:cs="Times New Roman"/>
                      <w:b w:val="0"/>
                      <w:bCs/>
                      <w:color w:val="auto"/>
                      <w:sz w:val="18"/>
                      <w:szCs w:val="18"/>
                      <w:highlight w:val="none"/>
                      <w:vertAlign w:val="baseline"/>
                      <w:lang w:val="en-US" w:eastAsia="zh-CN"/>
                    </w:rPr>
                    <w:t>半</w:t>
                  </w:r>
                  <w:r>
                    <w:rPr>
                      <w:rFonts w:hint="default" w:ascii="Times New Roman" w:hAnsi="Times New Roman" w:eastAsia="宋体" w:cs="Times New Roman"/>
                      <w:b w:val="0"/>
                      <w:bCs/>
                      <w:color w:val="auto"/>
                      <w:sz w:val="18"/>
                      <w:szCs w:val="18"/>
                      <w:highlight w:val="none"/>
                      <w:vertAlign w:val="baseline"/>
                      <w:lang w:val="en-US" w:eastAsia="zh-CN"/>
                    </w:rPr>
                    <w:t>密闭</w:t>
                  </w:r>
                  <w:r>
                    <w:rPr>
                      <w:rFonts w:hint="eastAsia" w:eastAsia="宋体" w:cs="Times New Roman"/>
                      <w:b w:val="0"/>
                      <w:bCs/>
                      <w:color w:val="auto"/>
                      <w:sz w:val="18"/>
                      <w:szCs w:val="18"/>
                      <w:highlight w:val="none"/>
                      <w:vertAlign w:val="baseline"/>
                      <w:lang w:val="en-US" w:eastAsia="zh-CN"/>
                    </w:rPr>
                    <w:t>集气罩</w:t>
                  </w:r>
                  <w:r>
                    <w:rPr>
                      <w:rFonts w:hint="default" w:ascii="Times New Roman" w:hAnsi="Times New Roman" w:eastAsia="宋体" w:cs="Times New Roman"/>
                      <w:b w:val="0"/>
                      <w:bCs/>
                      <w:color w:val="auto"/>
                      <w:sz w:val="18"/>
                      <w:szCs w:val="18"/>
                      <w:highlight w:val="none"/>
                      <w:vertAlign w:val="baseline"/>
                      <w:lang w:val="en-US" w:eastAsia="zh-CN"/>
                    </w:rPr>
                    <w:t>+活性炭吸附装置</w:t>
                  </w:r>
                </w:p>
              </w:tc>
              <w:tc>
                <w:tcPr>
                  <w:tcW w:w="399" w:type="pct"/>
                  <w:tcBorders>
                    <w:tl2br w:val="nil"/>
                    <w:tr2bl w:val="nil"/>
                  </w:tcBorders>
                  <w:vAlign w:val="center"/>
                </w:tcPr>
                <w:p w14:paraId="3871E4EF">
                  <w:pPr>
                    <w:keepNext w:val="0"/>
                    <w:keepLines w:val="0"/>
                    <w:numPr>
                      <w:ilvl w:val="0"/>
                      <w:numId w:val="0"/>
                    </w:numPr>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 w:val="0"/>
                      <w:bCs/>
                      <w:color w:val="auto"/>
                      <w:sz w:val="18"/>
                      <w:szCs w:val="18"/>
                      <w:highlight w:val="none"/>
                      <w:vertAlign w:val="baseline"/>
                      <w:lang w:val="en-US" w:eastAsia="zh-CN"/>
                    </w:rPr>
                  </w:pPr>
                  <w:r>
                    <w:rPr>
                      <w:rFonts w:hint="eastAsia" w:eastAsia="宋体" w:cs="Times New Roman"/>
                      <w:b w:val="0"/>
                      <w:bCs/>
                      <w:color w:val="auto"/>
                      <w:sz w:val="18"/>
                      <w:szCs w:val="18"/>
                      <w:highlight w:val="none"/>
                      <w:vertAlign w:val="baseline"/>
                      <w:lang w:val="en-US" w:eastAsia="zh-CN"/>
                    </w:rPr>
                    <w:t>65</w:t>
                  </w:r>
                </w:p>
              </w:tc>
              <w:tc>
                <w:tcPr>
                  <w:tcW w:w="381" w:type="pct"/>
                  <w:tcBorders>
                    <w:tl2br w:val="nil"/>
                    <w:tr2bl w:val="nil"/>
                  </w:tcBorders>
                  <w:vAlign w:val="center"/>
                </w:tcPr>
                <w:p w14:paraId="7E2FD73A">
                  <w:pPr>
                    <w:keepNext w:val="0"/>
                    <w:keepLines w:val="0"/>
                    <w:numPr>
                      <w:ilvl w:val="0"/>
                      <w:numId w:val="0"/>
                    </w:numPr>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 w:val="0"/>
                      <w:bCs/>
                      <w:color w:val="auto"/>
                      <w:sz w:val="18"/>
                      <w:szCs w:val="18"/>
                      <w:highlight w:val="none"/>
                      <w:vertAlign w:val="baseline"/>
                      <w:lang w:val="en-US" w:eastAsia="zh-CN"/>
                    </w:rPr>
                  </w:pPr>
                  <w:r>
                    <w:rPr>
                      <w:rFonts w:hint="eastAsia" w:eastAsia="宋体" w:cs="Times New Roman"/>
                      <w:b w:val="0"/>
                      <w:bCs/>
                      <w:color w:val="auto"/>
                      <w:sz w:val="18"/>
                      <w:szCs w:val="18"/>
                      <w:highlight w:val="none"/>
                      <w:vertAlign w:val="baseline"/>
                      <w:lang w:val="en-US" w:eastAsia="zh-CN"/>
                    </w:rPr>
                    <w:t>75</w:t>
                  </w:r>
                </w:p>
              </w:tc>
              <w:tc>
                <w:tcPr>
                  <w:tcW w:w="421" w:type="pct"/>
                  <w:tcBorders>
                    <w:tl2br w:val="nil"/>
                    <w:tr2bl w:val="nil"/>
                  </w:tcBorders>
                  <w:vAlign w:val="center"/>
                </w:tcPr>
                <w:p w14:paraId="26673A85">
                  <w:pPr>
                    <w:keepNext w:val="0"/>
                    <w:keepLines w:val="0"/>
                    <w:numPr>
                      <w:ilvl w:val="0"/>
                      <w:numId w:val="0"/>
                    </w:numPr>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 w:val="0"/>
                      <w:bCs/>
                      <w:color w:val="auto"/>
                      <w:sz w:val="18"/>
                      <w:szCs w:val="18"/>
                      <w:highlight w:val="none"/>
                      <w:vertAlign w:val="baseline"/>
                      <w:lang w:val="en-US" w:eastAsia="zh-CN"/>
                    </w:rPr>
                  </w:pPr>
                  <w:r>
                    <w:rPr>
                      <w:rFonts w:hint="eastAsia" w:eastAsia="宋体" w:cs="Times New Roman"/>
                      <w:b w:val="0"/>
                      <w:bCs/>
                      <w:color w:val="auto"/>
                      <w:sz w:val="18"/>
                      <w:szCs w:val="18"/>
                      <w:highlight w:val="none"/>
                      <w:vertAlign w:val="baseline"/>
                      <w:lang w:val="en-US" w:eastAsia="zh-CN"/>
                    </w:rPr>
                    <w:t>0.2082</w:t>
                  </w:r>
                </w:p>
              </w:tc>
              <w:tc>
                <w:tcPr>
                  <w:tcW w:w="447" w:type="pct"/>
                  <w:tcBorders>
                    <w:tl2br w:val="nil"/>
                    <w:tr2bl w:val="nil"/>
                  </w:tcBorders>
                  <w:vAlign w:val="center"/>
                </w:tcPr>
                <w:p w14:paraId="751F6639">
                  <w:pPr>
                    <w:keepNext w:val="0"/>
                    <w:keepLines w:val="0"/>
                    <w:numPr>
                      <w:ilvl w:val="0"/>
                      <w:numId w:val="0"/>
                    </w:numPr>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 w:val="0"/>
                      <w:bCs/>
                      <w:color w:val="auto"/>
                      <w:sz w:val="18"/>
                      <w:szCs w:val="18"/>
                      <w:highlight w:val="none"/>
                      <w:vertAlign w:val="baseline"/>
                      <w:lang w:val="en-US" w:eastAsia="zh-CN"/>
                    </w:rPr>
                  </w:pPr>
                  <w:r>
                    <w:rPr>
                      <w:rFonts w:hint="eastAsia" w:eastAsia="宋体" w:cs="Times New Roman"/>
                      <w:b w:val="0"/>
                      <w:bCs/>
                      <w:color w:val="auto"/>
                      <w:sz w:val="18"/>
                      <w:szCs w:val="18"/>
                      <w:highlight w:val="none"/>
                      <w:vertAlign w:val="baseline"/>
                      <w:lang w:val="en-US" w:eastAsia="zh-CN"/>
                    </w:rPr>
                    <w:t>0.0729</w:t>
                  </w:r>
                </w:p>
              </w:tc>
              <w:tc>
                <w:tcPr>
                  <w:tcW w:w="429" w:type="pct"/>
                  <w:tcBorders>
                    <w:tl2br w:val="nil"/>
                    <w:tr2bl w:val="nil"/>
                  </w:tcBorders>
                  <w:vAlign w:val="center"/>
                </w:tcPr>
                <w:p w14:paraId="2B3E9D89">
                  <w:pPr>
                    <w:keepNext w:val="0"/>
                    <w:keepLines w:val="0"/>
                    <w:numPr>
                      <w:ilvl w:val="0"/>
                      <w:numId w:val="0"/>
                    </w:numPr>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 w:val="0"/>
                      <w:bCs/>
                      <w:color w:val="auto"/>
                      <w:sz w:val="18"/>
                      <w:szCs w:val="18"/>
                      <w:highlight w:val="none"/>
                      <w:vertAlign w:val="baseline"/>
                      <w:lang w:val="en-US" w:eastAsia="zh-CN"/>
                    </w:rPr>
                  </w:pPr>
                  <w:r>
                    <w:rPr>
                      <w:rFonts w:hint="eastAsia" w:eastAsia="宋体" w:cs="Times New Roman"/>
                      <w:b w:val="0"/>
                      <w:bCs/>
                      <w:color w:val="auto"/>
                      <w:sz w:val="18"/>
                      <w:szCs w:val="18"/>
                      <w:highlight w:val="none"/>
                      <w:vertAlign w:val="baseline"/>
                      <w:lang w:val="en-US" w:eastAsia="zh-CN"/>
                    </w:rPr>
                    <w:t>0.1744</w:t>
                  </w:r>
                </w:p>
              </w:tc>
            </w:tr>
            <w:tr w14:paraId="1ED29D6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0" w:type="pct"/>
                  <w:tcBorders>
                    <w:tl2br w:val="nil"/>
                    <w:tr2bl w:val="nil"/>
                  </w:tcBorders>
                  <w:vAlign w:val="center"/>
                </w:tcPr>
                <w:p w14:paraId="644A3F5F">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ascii="Times New Roman" w:hAnsi="Times New Roman" w:eastAsia="宋体" w:cs="Times New Roman"/>
                      <w:b w:val="0"/>
                      <w:bCs/>
                      <w:color w:val="auto"/>
                      <w:sz w:val="18"/>
                      <w:szCs w:val="18"/>
                      <w:highlight w:val="none"/>
                      <w:vertAlign w:val="baseline"/>
                      <w:lang w:val="en-US" w:eastAsia="zh-CN"/>
                    </w:rPr>
                  </w:pPr>
                  <w:r>
                    <w:rPr>
                      <w:rFonts w:hint="default" w:ascii="Times New Roman" w:hAnsi="Times New Roman" w:cs="Times New Roman"/>
                      <w:b w:val="0"/>
                      <w:bCs/>
                      <w:color w:val="auto"/>
                      <w:sz w:val="18"/>
                      <w:szCs w:val="18"/>
                      <w:highlight w:val="none"/>
                      <w:vertAlign w:val="baseline"/>
                      <w:lang w:val="en-US" w:eastAsia="zh-CN"/>
                    </w:rPr>
                    <w:t>DA002</w:t>
                  </w:r>
                </w:p>
              </w:tc>
              <w:tc>
                <w:tcPr>
                  <w:tcW w:w="596" w:type="pct"/>
                  <w:tcBorders>
                    <w:tl2br w:val="nil"/>
                    <w:tr2bl w:val="nil"/>
                  </w:tcBorders>
                  <w:vAlign w:val="center"/>
                </w:tcPr>
                <w:p w14:paraId="594028C1">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ascii="Times New Roman" w:hAnsi="Times New Roman" w:eastAsia="宋体" w:cs="Times New Roman"/>
                      <w:b w:val="0"/>
                      <w:bCs/>
                      <w:color w:val="auto"/>
                      <w:sz w:val="18"/>
                      <w:szCs w:val="18"/>
                      <w:highlight w:val="none"/>
                      <w:vertAlign w:val="baseline"/>
                      <w:lang w:val="en-US" w:eastAsia="zh-CN"/>
                    </w:rPr>
                  </w:pPr>
                  <w:r>
                    <w:rPr>
                      <w:rFonts w:hint="eastAsia" w:ascii="Times New Roman" w:hAnsi="Times New Roman" w:eastAsia="宋体" w:cs="Times New Roman"/>
                      <w:b w:val="0"/>
                      <w:bCs/>
                      <w:color w:val="auto"/>
                      <w:sz w:val="18"/>
                      <w:szCs w:val="18"/>
                      <w:highlight w:val="none"/>
                      <w:vertAlign w:val="baseline"/>
                      <w:lang w:val="en-US" w:eastAsia="zh-CN"/>
                    </w:rPr>
                    <w:t>2023年9月28日</w:t>
                  </w:r>
                </w:p>
              </w:tc>
              <w:tc>
                <w:tcPr>
                  <w:tcW w:w="495" w:type="pct"/>
                  <w:tcBorders>
                    <w:tl2br w:val="nil"/>
                    <w:tr2bl w:val="nil"/>
                  </w:tcBorders>
                  <w:vAlign w:val="center"/>
                </w:tcPr>
                <w:p w14:paraId="24888194">
                  <w:pPr>
                    <w:keepNext w:val="0"/>
                    <w:keepLines w:val="0"/>
                    <w:numPr>
                      <w:ilvl w:val="0"/>
                      <w:numId w:val="0"/>
                    </w:numPr>
                    <w:suppressLineNumbers w:val="0"/>
                    <w:adjustRightInd w:val="0"/>
                    <w:snapToGrid w:val="0"/>
                    <w:spacing w:before="0" w:beforeAutospacing="0" w:after="0" w:afterAutospacing="0"/>
                    <w:ind w:left="0" w:right="0" w:rightChars="0"/>
                    <w:jc w:val="center"/>
                    <w:rPr>
                      <w:rFonts w:hint="default" w:ascii="Times New Roman" w:hAnsi="Times New Roman" w:eastAsia="宋体" w:cs="Times New Roman"/>
                      <w:b w:val="0"/>
                      <w:bCs/>
                      <w:color w:val="auto"/>
                      <w:sz w:val="18"/>
                      <w:szCs w:val="18"/>
                      <w:highlight w:val="none"/>
                      <w:vertAlign w:val="baseline"/>
                      <w:lang w:val="en-US" w:eastAsia="zh-CN"/>
                    </w:rPr>
                  </w:pPr>
                  <w:r>
                    <w:rPr>
                      <w:rFonts w:hint="eastAsia" w:ascii="Times New Roman" w:hAnsi="Times New Roman" w:eastAsia="宋体" w:cs="Times New Roman"/>
                      <w:b w:val="0"/>
                      <w:bCs/>
                      <w:color w:val="auto"/>
                      <w:sz w:val="18"/>
                      <w:szCs w:val="18"/>
                      <w:highlight w:val="none"/>
                      <w:vertAlign w:val="baseline"/>
                      <w:lang w:val="en-US" w:eastAsia="zh-CN"/>
                    </w:rPr>
                    <w:t>总VOCs</w:t>
                  </w:r>
                </w:p>
              </w:tc>
              <w:tc>
                <w:tcPr>
                  <w:tcW w:w="454" w:type="pct"/>
                  <w:tcBorders>
                    <w:tl2br w:val="nil"/>
                    <w:tr2bl w:val="nil"/>
                  </w:tcBorders>
                  <w:vAlign w:val="center"/>
                </w:tcPr>
                <w:p w14:paraId="1FCE2CB0">
                  <w:pPr>
                    <w:keepNext w:val="0"/>
                    <w:keepLines w:val="0"/>
                    <w:numPr>
                      <w:ilvl w:val="0"/>
                      <w:numId w:val="0"/>
                    </w:numPr>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 w:val="0"/>
                      <w:bCs/>
                      <w:color w:val="auto"/>
                      <w:sz w:val="18"/>
                      <w:szCs w:val="18"/>
                      <w:highlight w:val="none"/>
                      <w:vertAlign w:val="baseline"/>
                      <w:lang w:val="en-US" w:eastAsia="zh-CN"/>
                    </w:rPr>
                  </w:pPr>
                  <w:r>
                    <w:rPr>
                      <w:rFonts w:hint="eastAsia" w:ascii="Times New Roman" w:hAnsi="Times New Roman" w:eastAsia="宋体" w:cs="Times New Roman"/>
                      <w:b w:val="0"/>
                      <w:bCs/>
                      <w:color w:val="auto"/>
                      <w:sz w:val="18"/>
                      <w:szCs w:val="18"/>
                      <w:highlight w:val="none"/>
                      <w:vertAlign w:val="baseline"/>
                      <w:lang w:val="en-US" w:eastAsia="zh-CN"/>
                    </w:rPr>
                    <w:t>0.0630</w:t>
                  </w:r>
                </w:p>
              </w:tc>
              <w:tc>
                <w:tcPr>
                  <w:tcW w:w="895" w:type="pct"/>
                  <w:tcBorders>
                    <w:tl2br w:val="nil"/>
                    <w:tr2bl w:val="nil"/>
                  </w:tcBorders>
                  <w:vAlign w:val="center"/>
                </w:tcPr>
                <w:p w14:paraId="740A4F46">
                  <w:pPr>
                    <w:keepNext w:val="0"/>
                    <w:keepLines w:val="0"/>
                    <w:numPr>
                      <w:ilvl w:val="0"/>
                      <w:numId w:val="0"/>
                    </w:numPr>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 w:val="0"/>
                      <w:bCs/>
                      <w:color w:val="auto"/>
                      <w:sz w:val="18"/>
                      <w:szCs w:val="18"/>
                      <w:highlight w:val="none"/>
                      <w:vertAlign w:val="baseline"/>
                      <w:lang w:val="en-US" w:eastAsia="zh-CN"/>
                    </w:rPr>
                  </w:pPr>
                  <w:r>
                    <w:rPr>
                      <w:rFonts w:hint="eastAsia" w:eastAsia="宋体" w:cs="Times New Roman"/>
                      <w:b w:val="0"/>
                      <w:bCs/>
                      <w:color w:val="auto"/>
                      <w:sz w:val="18"/>
                      <w:szCs w:val="18"/>
                      <w:highlight w:val="none"/>
                      <w:vertAlign w:val="baseline"/>
                      <w:lang w:val="en-US" w:eastAsia="zh-CN"/>
                    </w:rPr>
                    <w:t>半</w:t>
                  </w:r>
                  <w:r>
                    <w:rPr>
                      <w:rFonts w:hint="default" w:ascii="Times New Roman" w:hAnsi="Times New Roman" w:eastAsia="宋体" w:cs="Times New Roman"/>
                      <w:b w:val="0"/>
                      <w:bCs/>
                      <w:color w:val="auto"/>
                      <w:sz w:val="18"/>
                      <w:szCs w:val="18"/>
                      <w:highlight w:val="none"/>
                      <w:vertAlign w:val="baseline"/>
                      <w:lang w:val="en-US" w:eastAsia="zh-CN"/>
                    </w:rPr>
                    <w:t>密闭</w:t>
                  </w:r>
                  <w:r>
                    <w:rPr>
                      <w:rFonts w:hint="eastAsia" w:eastAsia="宋体" w:cs="Times New Roman"/>
                      <w:b w:val="0"/>
                      <w:bCs/>
                      <w:color w:val="auto"/>
                      <w:sz w:val="18"/>
                      <w:szCs w:val="18"/>
                      <w:highlight w:val="none"/>
                      <w:vertAlign w:val="baseline"/>
                      <w:lang w:val="en-US" w:eastAsia="zh-CN"/>
                    </w:rPr>
                    <w:t>集气罩</w:t>
                  </w:r>
                  <w:r>
                    <w:rPr>
                      <w:rFonts w:hint="default" w:ascii="Times New Roman" w:hAnsi="Times New Roman" w:eastAsia="宋体" w:cs="Times New Roman"/>
                      <w:b w:val="0"/>
                      <w:bCs/>
                      <w:color w:val="auto"/>
                      <w:sz w:val="18"/>
                      <w:szCs w:val="18"/>
                      <w:highlight w:val="none"/>
                      <w:vertAlign w:val="baseline"/>
                      <w:lang w:val="en-US" w:eastAsia="zh-CN"/>
                    </w:rPr>
                    <w:t>+活性炭吸附装置</w:t>
                  </w:r>
                </w:p>
              </w:tc>
              <w:tc>
                <w:tcPr>
                  <w:tcW w:w="399" w:type="pct"/>
                  <w:tcBorders>
                    <w:tl2br w:val="nil"/>
                    <w:tr2bl w:val="nil"/>
                  </w:tcBorders>
                  <w:vAlign w:val="center"/>
                </w:tcPr>
                <w:p w14:paraId="7C97DFCA">
                  <w:pPr>
                    <w:keepNext w:val="0"/>
                    <w:keepLines w:val="0"/>
                    <w:numPr>
                      <w:ilvl w:val="0"/>
                      <w:numId w:val="0"/>
                    </w:numPr>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 w:val="0"/>
                      <w:bCs/>
                      <w:color w:val="auto"/>
                      <w:sz w:val="18"/>
                      <w:szCs w:val="18"/>
                      <w:highlight w:val="none"/>
                      <w:vertAlign w:val="baseline"/>
                      <w:lang w:val="en-US" w:eastAsia="zh-CN"/>
                    </w:rPr>
                  </w:pPr>
                  <w:r>
                    <w:rPr>
                      <w:rFonts w:hint="eastAsia" w:eastAsia="宋体" w:cs="Times New Roman"/>
                      <w:b w:val="0"/>
                      <w:bCs/>
                      <w:color w:val="auto"/>
                      <w:sz w:val="18"/>
                      <w:szCs w:val="18"/>
                      <w:highlight w:val="none"/>
                      <w:vertAlign w:val="baseline"/>
                      <w:lang w:val="en-US" w:eastAsia="zh-CN"/>
                    </w:rPr>
                    <w:t>65</w:t>
                  </w:r>
                </w:p>
              </w:tc>
              <w:tc>
                <w:tcPr>
                  <w:tcW w:w="381" w:type="pct"/>
                  <w:tcBorders>
                    <w:tl2br w:val="nil"/>
                    <w:tr2bl w:val="nil"/>
                  </w:tcBorders>
                  <w:vAlign w:val="center"/>
                </w:tcPr>
                <w:p w14:paraId="7A941616">
                  <w:pPr>
                    <w:keepNext w:val="0"/>
                    <w:keepLines w:val="0"/>
                    <w:numPr>
                      <w:ilvl w:val="0"/>
                      <w:numId w:val="0"/>
                    </w:numPr>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 w:val="0"/>
                      <w:bCs/>
                      <w:color w:val="auto"/>
                      <w:sz w:val="18"/>
                      <w:szCs w:val="18"/>
                      <w:highlight w:val="none"/>
                      <w:vertAlign w:val="baseline"/>
                      <w:lang w:val="en-US" w:eastAsia="zh-CN"/>
                    </w:rPr>
                  </w:pPr>
                  <w:r>
                    <w:rPr>
                      <w:rFonts w:hint="eastAsia" w:eastAsia="宋体" w:cs="Times New Roman"/>
                      <w:b w:val="0"/>
                      <w:bCs/>
                      <w:color w:val="auto"/>
                      <w:sz w:val="18"/>
                      <w:szCs w:val="18"/>
                      <w:highlight w:val="none"/>
                      <w:vertAlign w:val="baseline"/>
                      <w:lang w:val="en-US" w:eastAsia="zh-CN"/>
                    </w:rPr>
                    <w:t>75</w:t>
                  </w:r>
                </w:p>
              </w:tc>
              <w:tc>
                <w:tcPr>
                  <w:tcW w:w="421" w:type="pct"/>
                  <w:tcBorders>
                    <w:tl2br w:val="nil"/>
                    <w:tr2bl w:val="nil"/>
                  </w:tcBorders>
                  <w:vAlign w:val="center"/>
                </w:tcPr>
                <w:p w14:paraId="26D03397">
                  <w:pPr>
                    <w:keepNext w:val="0"/>
                    <w:keepLines w:val="0"/>
                    <w:numPr>
                      <w:ilvl w:val="0"/>
                      <w:numId w:val="0"/>
                    </w:numPr>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 w:val="0"/>
                      <w:bCs/>
                      <w:color w:val="auto"/>
                      <w:sz w:val="18"/>
                      <w:szCs w:val="18"/>
                      <w:highlight w:val="none"/>
                      <w:vertAlign w:val="baseline"/>
                      <w:lang w:val="en-US" w:eastAsia="zh-CN"/>
                    </w:rPr>
                  </w:pPr>
                  <w:r>
                    <w:rPr>
                      <w:rFonts w:hint="eastAsia" w:eastAsia="宋体" w:cs="Times New Roman"/>
                      <w:b w:val="0"/>
                      <w:bCs/>
                      <w:color w:val="auto"/>
                      <w:sz w:val="18"/>
                      <w:szCs w:val="18"/>
                      <w:highlight w:val="none"/>
                      <w:vertAlign w:val="baseline"/>
                      <w:lang w:val="en-US" w:eastAsia="zh-CN"/>
                    </w:rPr>
                    <w:t>0.1292</w:t>
                  </w:r>
                </w:p>
              </w:tc>
              <w:tc>
                <w:tcPr>
                  <w:tcW w:w="447" w:type="pct"/>
                  <w:tcBorders>
                    <w:tl2br w:val="nil"/>
                    <w:tr2bl w:val="nil"/>
                  </w:tcBorders>
                  <w:vAlign w:val="center"/>
                </w:tcPr>
                <w:p w14:paraId="58B9ADC1">
                  <w:pPr>
                    <w:keepNext w:val="0"/>
                    <w:keepLines w:val="0"/>
                    <w:numPr>
                      <w:ilvl w:val="0"/>
                      <w:numId w:val="0"/>
                    </w:numPr>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 w:val="0"/>
                      <w:bCs/>
                      <w:color w:val="auto"/>
                      <w:sz w:val="18"/>
                      <w:szCs w:val="18"/>
                      <w:highlight w:val="none"/>
                      <w:vertAlign w:val="baseline"/>
                      <w:lang w:val="en-US" w:eastAsia="zh-CN"/>
                    </w:rPr>
                  </w:pPr>
                  <w:r>
                    <w:rPr>
                      <w:rFonts w:hint="eastAsia" w:eastAsia="宋体" w:cs="Times New Roman"/>
                      <w:b w:val="0"/>
                      <w:bCs/>
                      <w:color w:val="auto"/>
                      <w:sz w:val="18"/>
                      <w:szCs w:val="18"/>
                      <w:highlight w:val="none"/>
                      <w:vertAlign w:val="baseline"/>
                      <w:lang w:val="en-US" w:eastAsia="zh-CN"/>
                    </w:rPr>
                    <w:t>0.0452</w:t>
                  </w:r>
                </w:p>
              </w:tc>
              <w:tc>
                <w:tcPr>
                  <w:tcW w:w="429" w:type="pct"/>
                  <w:tcBorders>
                    <w:tl2br w:val="nil"/>
                    <w:tr2bl w:val="nil"/>
                  </w:tcBorders>
                  <w:vAlign w:val="center"/>
                </w:tcPr>
                <w:p w14:paraId="6A98EF44">
                  <w:pPr>
                    <w:keepNext w:val="0"/>
                    <w:keepLines w:val="0"/>
                    <w:numPr>
                      <w:ilvl w:val="0"/>
                      <w:numId w:val="0"/>
                    </w:numPr>
                    <w:suppressLineNumbers w:val="0"/>
                    <w:adjustRightInd w:val="0"/>
                    <w:snapToGrid w:val="0"/>
                    <w:spacing w:before="0" w:beforeAutospacing="0" w:after="0" w:afterAutospacing="0"/>
                    <w:ind w:left="0" w:leftChars="0" w:right="0" w:rightChars="0" w:firstLine="0" w:firstLineChars="0"/>
                    <w:jc w:val="center"/>
                    <w:rPr>
                      <w:rFonts w:hint="default" w:ascii="Times New Roman" w:hAnsi="Times New Roman" w:eastAsia="宋体" w:cs="Times New Roman"/>
                      <w:b w:val="0"/>
                      <w:bCs/>
                      <w:color w:val="auto"/>
                      <w:sz w:val="18"/>
                      <w:szCs w:val="18"/>
                      <w:highlight w:val="none"/>
                      <w:vertAlign w:val="baseline"/>
                      <w:lang w:val="en-US" w:eastAsia="zh-CN"/>
                    </w:rPr>
                  </w:pPr>
                  <w:r>
                    <w:rPr>
                      <w:rFonts w:hint="eastAsia" w:eastAsia="宋体" w:cs="Times New Roman"/>
                      <w:b w:val="0"/>
                      <w:bCs/>
                      <w:color w:val="auto"/>
                      <w:sz w:val="18"/>
                      <w:szCs w:val="18"/>
                      <w:highlight w:val="none"/>
                      <w:vertAlign w:val="baseline"/>
                      <w:lang w:val="en-US" w:eastAsia="zh-CN"/>
                    </w:rPr>
                    <w:t>0.1082</w:t>
                  </w:r>
                </w:p>
              </w:tc>
            </w:tr>
            <w:tr w14:paraId="007CBE2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10"/>
                  <w:tcBorders>
                    <w:tl2br w:val="nil"/>
                    <w:tr2bl w:val="nil"/>
                  </w:tcBorders>
                  <w:vAlign w:val="center"/>
                </w:tcPr>
                <w:p w14:paraId="25A223B5">
                  <w:pPr>
                    <w:keepNext w:val="0"/>
                    <w:keepLines w:val="0"/>
                    <w:numPr>
                      <w:ilvl w:val="0"/>
                      <w:numId w:val="0"/>
                    </w:numPr>
                    <w:suppressLineNumbers w:val="0"/>
                    <w:adjustRightInd w:val="0"/>
                    <w:snapToGrid w:val="0"/>
                    <w:spacing w:before="0" w:beforeAutospacing="0" w:after="0" w:afterAutospacing="0"/>
                    <w:ind w:left="0" w:right="0" w:rightChars="0"/>
                    <w:jc w:val="both"/>
                    <w:rPr>
                      <w:rFonts w:hint="eastAsia" w:ascii="Times New Roman" w:hAnsi="Times New Roman" w:eastAsia="宋体" w:cs="Times New Roman"/>
                      <w:b w:val="0"/>
                      <w:bCs/>
                      <w:color w:val="auto"/>
                      <w:sz w:val="18"/>
                      <w:szCs w:val="18"/>
                      <w:highlight w:val="none"/>
                      <w:vertAlign w:val="baseline"/>
                      <w:lang w:eastAsia="zh-CN"/>
                    </w:rPr>
                  </w:pPr>
                  <w:r>
                    <w:rPr>
                      <w:rFonts w:hint="default" w:ascii="Times New Roman" w:hAnsi="Times New Roman" w:cs="Times New Roman"/>
                      <w:b w:val="0"/>
                      <w:bCs/>
                      <w:color w:val="auto"/>
                      <w:sz w:val="18"/>
                      <w:szCs w:val="18"/>
                      <w:highlight w:val="none"/>
                      <w:vertAlign w:val="baseline"/>
                    </w:rPr>
                    <w:t>注：1.废气收集效率取值说明：现有项目废</w:t>
                  </w:r>
                  <w:r>
                    <w:rPr>
                      <w:rFonts w:hint="default" w:ascii="Times New Roman" w:hAnsi="Times New Roman" w:eastAsia="宋体" w:cs="Times New Roman"/>
                      <w:b w:val="0"/>
                      <w:bCs/>
                      <w:color w:val="auto"/>
                      <w:sz w:val="18"/>
                      <w:szCs w:val="18"/>
                      <w:highlight w:val="none"/>
                      <w:vertAlign w:val="baseline"/>
                    </w:rPr>
                    <w:t>气收集效率参考《广东省工业源挥发性有机物减排量核算方法》（2023年修订版）中表3.3-2废气收集集气效率参考值</w:t>
                  </w:r>
                  <w:r>
                    <w:rPr>
                      <w:rFonts w:hint="eastAsia" w:eastAsia="宋体" w:cs="Times New Roman"/>
                      <w:b w:val="0"/>
                      <w:bCs/>
                      <w:color w:val="auto"/>
                      <w:sz w:val="18"/>
                      <w:szCs w:val="18"/>
                      <w:highlight w:val="none"/>
                      <w:vertAlign w:val="baseline"/>
                      <w:lang w:eastAsia="zh-CN"/>
                    </w:rPr>
                    <w:t>；</w:t>
                  </w:r>
                </w:p>
                <w:p w14:paraId="1EF319C0">
                  <w:pPr>
                    <w:keepNext w:val="0"/>
                    <w:keepLines w:val="0"/>
                    <w:numPr>
                      <w:ilvl w:val="0"/>
                      <w:numId w:val="0"/>
                    </w:numPr>
                    <w:suppressLineNumbers w:val="0"/>
                    <w:adjustRightInd w:val="0"/>
                    <w:snapToGrid w:val="0"/>
                    <w:spacing w:before="0" w:beforeAutospacing="0" w:after="0" w:afterAutospacing="0"/>
                    <w:ind w:left="0" w:right="0" w:rightChars="0"/>
                    <w:jc w:val="both"/>
                    <w:rPr>
                      <w:rFonts w:hint="eastAsia" w:ascii="Times New Roman" w:hAnsi="Times New Roman" w:eastAsia="宋体" w:cs="Times New Roman"/>
                      <w:b w:val="0"/>
                      <w:bCs/>
                      <w:color w:val="auto"/>
                      <w:sz w:val="18"/>
                      <w:szCs w:val="18"/>
                      <w:highlight w:val="none"/>
                      <w:vertAlign w:val="baseline"/>
                      <w:lang w:eastAsia="zh-CN"/>
                    </w:rPr>
                  </w:pPr>
                  <w:r>
                    <w:rPr>
                      <w:rFonts w:hint="eastAsia" w:eastAsia="宋体" w:cs="Times New Roman"/>
                      <w:b w:val="0"/>
                      <w:bCs/>
                      <w:color w:val="auto"/>
                      <w:sz w:val="18"/>
                      <w:szCs w:val="18"/>
                      <w:highlight w:val="none"/>
                      <w:vertAlign w:val="baseline"/>
                      <w:lang w:val="en-US" w:eastAsia="zh-CN"/>
                    </w:rPr>
                    <w:t>2.</w:t>
                  </w:r>
                  <w:r>
                    <w:rPr>
                      <w:rFonts w:hint="eastAsia" w:ascii="Times New Roman" w:hAnsi="Times New Roman" w:eastAsia="宋体" w:cs="Times New Roman"/>
                      <w:b w:val="0"/>
                      <w:bCs/>
                      <w:color w:val="auto"/>
                      <w:sz w:val="18"/>
                      <w:szCs w:val="18"/>
                      <w:highlight w:val="none"/>
                      <w:vertAlign w:val="baseline"/>
                    </w:rPr>
                    <w:t>二级活性炭对非甲烷总烃、总VOCs处理效率按</w:t>
                  </w:r>
                  <w:r>
                    <w:rPr>
                      <w:rFonts w:hint="eastAsia" w:eastAsia="宋体" w:cs="Times New Roman"/>
                      <w:b w:val="0"/>
                      <w:bCs/>
                      <w:color w:val="auto"/>
                      <w:sz w:val="18"/>
                      <w:szCs w:val="18"/>
                      <w:highlight w:val="none"/>
                      <w:vertAlign w:val="baseline"/>
                      <w:lang w:val="en-US" w:eastAsia="zh-CN"/>
                    </w:rPr>
                    <w:t>75</w:t>
                  </w:r>
                  <w:r>
                    <w:rPr>
                      <w:rFonts w:hint="eastAsia" w:ascii="Times New Roman" w:hAnsi="Times New Roman" w:eastAsia="宋体" w:cs="Times New Roman"/>
                      <w:b w:val="0"/>
                      <w:bCs/>
                      <w:color w:val="auto"/>
                      <w:sz w:val="18"/>
                      <w:szCs w:val="18"/>
                      <w:highlight w:val="none"/>
                      <w:vertAlign w:val="baseline"/>
                    </w:rPr>
                    <w:t>%计</w:t>
                  </w:r>
                  <w:r>
                    <w:rPr>
                      <w:rFonts w:hint="eastAsia" w:eastAsia="宋体" w:cs="Times New Roman"/>
                      <w:b w:val="0"/>
                      <w:bCs/>
                      <w:color w:val="auto"/>
                      <w:sz w:val="18"/>
                      <w:szCs w:val="18"/>
                      <w:highlight w:val="none"/>
                      <w:vertAlign w:val="baseline"/>
                      <w:lang w:eastAsia="zh-CN"/>
                    </w:rPr>
                    <w:t>；</w:t>
                  </w:r>
                </w:p>
                <w:p w14:paraId="537D727C">
                  <w:pPr>
                    <w:keepNext w:val="0"/>
                    <w:keepLines w:val="0"/>
                    <w:widowControl/>
                    <w:suppressLineNumbers w:val="0"/>
                    <w:spacing w:before="0" w:beforeAutospacing="0" w:after="0" w:afterAutospacing="0"/>
                    <w:ind w:left="0" w:right="0"/>
                    <w:jc w:val="both"/>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cs="Times New Roman"/>
                      <w:b w:val="0"/>
                      <w:bCs/>
                      <w:color w:val="auto"/>
                      <w:sz w:val="18"/>
                      <w:szCs w:val="18"/>
                      <w:highlight w:val="none"/>
                      <w:vertAlign w:val="baseline"/>
                      <w:lang w:val="en-US" w:eastAsia="zh-CN"/>
                    </w:rPr>
                    <w:t>3.</w:t>
                  </w:r>
                  <w:r>
                    <w:rPr>
                      <w:rFonts w:hint="default" w:ascii="Times New Roman" w:hAnsi="Times New Roman" w:cs="Times New Roman"/>
                      <w:b w:val="0"/>
                      <w:bCs/>
                      <w:color w:val="auto"/>
                      <w:sz w:val="18"/>
                      <w:szCs w:val="18"/>
                      <w:highlight w:val="none"/>
                      <w:vertAlign w:val="baseline"/>
                    </w:rPr>
                    <w:t>根据监测值核算排放源强。</w:t>
                  </w:r>
                </w:p>
              </w:tc>
            </w:tr>
          </w:tbl>
          <w:p w14:paraId="61720B12">
            <w:pPr>
              <w:pStyle w:val="155"/>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Lines="0" w:afterAutospacing="0"/>
              <w:ind w:left="0" w:right="0" w:firstLine="422" w:firstLineChars="200"/>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（3）</w:t>
            </w:r>
            <w:r>
              <w:rPr>
                <w:rFonts w:hint="default" w:ascii="Times New Roman" w:hAnsi="Times New Roman" w:eastAsia="宋体" w:cs="Times New Roman"/>
                <w:b/>
                <w:bCs/>
                <w:color w:val="auto"/>
                <w:sz w:val="21"/>
                <w:szCs w:val="21"/>
                <w:highlight w:val="none"/>
                <w:lang w:val="en-US" w:eastAsia="zh-CN"/>
              </w:rPr>
              <w:t>噪声</w:t>
            </w:r>
            <w:r>
              <w:rPr>
                <w:rFonts w:hint="eastAsia" w:ascii="Times New Roman" w:hAnsi="Times New Roman" w:cs="Times New Roman"/>
                <w:b/>
                <w:bCs/>
                <w:color w:val="auto"/>
                <w:sz w:val="21"/>
                <w:szCs w:val="21"/>
                <w:highlight w:val="none"/>
                <w:lang w:val="en-US" w:eastAsia="zh-CN"/>
              </w:rPr>
              <w:t>排放达标情况分析</w:t>
            </w:r>
          </w:p>
          <w:p w14:paraId="6864412A">
            <w:pPr>
              <w:pStyle w:val="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both"/>
              <w:textAlignment w:val="auto"/>
              <w:rPr>
                <w:rFonts w:hint="eastAsia"/>
                <w:color w:val="auto"/>
                <w:sz w:val="21"/>
                <w:szCs w:val="16"/>
                <w:highlight w:val="none"/>
              </w:rPr>
            </w:pPr>
            <w:r>
              <w:rPr>
                <w:rFonts w:hint="eastAsia"/>
                <w:color w:val="auto"/>
                <w:sz w:val="21"/>
                <w:szCs w:val="16"/>
                <w:highlight w:val="none"/>
              </w:rPr>
              <w:t>现有项目主要噪声源来自各种生产设备，由现场调查可知，机械运作产生的噪声级可达</w:t>
            </w:r>
            <w:r>
              <w:rPr>
                <w:color w:val="auto"/>
                <w:sz w:val="21"/>
                <w:szCs w:val="16"/>
                <w:highlight w:val="none"/>
              </w:rPr>
              <w:t>65</w:t>
            </w:r>
            <w:r>
              <w:rPr>
                <w:rFonts w:hint="eastAsia"/>
                <w:color w:val="auto"/>
                <w:sz w:val="21"/>
                <w:szCs w:val="16"/>
                <w:highlight w:val="none"/>
              </w:rPr>
              <w:t>-</w:t>
            </w:r>
            <w:r>
              <w:rPr>
                <w:color w:val="auto"/>
                <w:sz w:val="21"/>
                <w:szCs w:val="16"/>
                <w:highlight w:val="none"/>
              </w:rPr>
              <w:t>90</w:t>
            </w:r>
            <w:r>
              <w:rPr>
                <w:rFonts w:hint="eastAsia"/>
                <w:color w:val="auto"/>
                <w:sz w:val="21"/>
                <w:szCs w:val="16"/>
                <w:highlight w:val="none"/>
              </w:rPr>
              <w:t>dB（A），建设单位已采取减震和墙体隔声等降噪措施。</w:t>
            </w:r>
            <w:r>
              <w:rPr>
                <w:rFonts w:hint="eastAsia" w:cs="Times New Roman"/>
                <w:color w:val="auto"/>
                <w:sz w:val="21"/>
                <w:szCs w:val="21"/>
                <w:highlight w:val="none"/>
                <w:lang w:val="en-US" w:eastAsia="zh-CN"/>
              </w:rPr>
              <w:t>根据现有项目的验收检测报告（附件5，报告编号：</w:t>
            </w:r>
            <w:r>
              <w:rPr>
                <w:rFonts w:hint="default" w:ascii="Times New Roman" w:hAnsi="Times New Roman" w:eastAsia="宋体" w:cs="Times New Roman"/>
                <w:color w:val="auto"/>
                <w:sz w:val="21"/>
                <w:szCs w:val="21"/>
                <w:highlight w:val="none"/>
                <w:lang w:val="en-US" w:eastAsia="zh-CN"/>
              </w:rPr>
              <w:t>博环监验字（2016）第091号</w:t>
            </w:r>
            <w:r>
              <w:rPr>
                <w:rFonts w:hint="eastAsia" w:cs="Times New Roman"/>
                <w:color w:val="auto"/>
                <w:sz w:val="21"/>
                <w:szCs w:val="21"/>
                <w:highlight w:val="none"/>
                <w:lang w:val="en-US" w:eastAsia="zh-CN"/>
              </w:rPr>
              <w:t>，2016年12月19日）</w:t>
            </w:r>
            <w:r>
              <w:rPr>
                <w:rFonts w:hint="eastAsia"/>
                <w:color w:val="auto"/>
                <w:sz w:val="21"/>
                <w:szCs w:val="16"/>
                <w:highlight w:val="none"/>
              </w:rPr>
              <w:t>，厂界噪声监测结果详见下表。</w:t>
            </w:r>
          </w:p>
          <w:p w14:paraId="3A90282A">
            <w:pPr>
              <w:keepNext w:val="0"/>
              <w:keepLines w:val="0"/>
              <w:numPr>
                <w:ilvl w:val="0"/>
                <w:numId w:val="4"/>
              </w:numPr>
              <w:suppressLineNumbers w:val="0"/>
              <w:adjustRightInd w:val="0"/>
              <w:snapToGrid w:val="0"/>
              <w:spacing w:before="0" w:beforeAutospacing="0" w:after="0" w:afterAutospacing="0" w:line="360" w:lineRule="auto"/>
              <w:ind w:left="322" w:right="0"/>
              <w:jc w:val="center"/>
              <w:rPr>
                <w:b/>
                <w:color w:val="auto"/>
                <w:highlight w:val="none"/>
              </w:rPr>
            </w:pPr>
            <w:r>
              <w:rPr>
                <w:b/>
                <w:color w:val="auto"/>
                <w:highlight w:val="none"/>
              </w:rPr>
              <w:t>噪声监测数据</w:t>
            </w:r>
            <w:r>
              <w:rPr>
                <w:rFonts w:hint="eastAsia"/>
                <w:b/>
                <w:color w:val="auto"/>
                <w:highlight w:val="none"/>
              </w:rPr>
              <w:t xml:space="preserve">  </w:t>
            </w:r>
            <w:r>
              <w:rPr>
                <w:b/>
                <w:color w:val="auto"/>
                <w:highlight w:val="none"/>
              </w:rPr>
              <w:t>单位</w:t>
            </w:r>
            <w:r>
              <w:rPr>
                <w:rFonts w:hint="eastAsia"/>
                <w:b/>
                <w:color w:val="auto"/>
                <w:highlight w:val="none"/>
              </w:rPr>
              <w:t>：</w:t>
            </w:r>
            <w:r>
              <w:rPr>
                <w:b/>
                <w:color w:val="auto"/>
                <w:highlight w:val="none"/>
              </w:rPr>
              <w:t>dB（A）</w:t>
            </w:r>
          </w:p>
          <w:tbl>
            <w:tblPr>
              <w:tblStyle w:val="41"/>
              <w:tblW w:w="4997"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1"/>
              <w:gridCol w:w="1757"/>
              <w:gridCol w:w="1759"/>
              <w:gridCol w:w="1759"/>
              <w:gridCol w:w="1761"/>
            </w:tblGrid>
            <w:tr w14:paraId="626B69D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927" w:type="pct"/>
                  <w:tcBorders>
                    <w:tl2br w:val="nil"/>
                    <w:tr2bl w:val="nil"/>
                  </w:tcBorders>
                  <w:noWrap w:val="0"/>
                  <w:vAlign w:val="center"/>
                  <mc:AlternateContent>
                    <mc:Choice Requires="wpsCustomData">
                      <wpsCustomData:diagonals>
                        <wpsCustomData:diagonal from="30000" to="10000">
                          <wpsCustomData:border w:val="single" w:color="auto" w:sz="4" w:space="0"/>
                        </wpsCustomData:diagonal>
                      </wpsCustomData:diagonals>
                    </mc:Choice>
                  </mc:AlternateContent>
                </w:tcPr>
                <w:p w14:paraId="2B5A0353">
                  <w:pPr>
                    <w:keepNext w:val="0"/>
                    <w:keepLines w:val="0"/>
                    <w:suppressLineNumbers w:val="0"/>
                    <w:snapToGrid w:val="0"/>
                    <w:spacing w:before="0" w:beforeAutospacing="0" w:after="0" w:afterAutospacing="0" w:line="240" w:lineRule="auto"/>
                    <w:ind w:left="0" w:right="0"/>
                    <w:jc w:val="center"/>
                    <w:rPr>
                      <w:rFonts w:hint="eastAsia" w:hAnsi="宋体"/>
                      <w:b/>
                      <w:color w:val="auto"/>
                      <w:sz w:val="21"/>
                      <w:szCs w:val="24"/>
                      <w:highlight w:val="none"/>
                    </w:rPr>
                  </w:pPr>
                </w:p>
                <w:p w14:paraId="76774276">
                  <w:pPr>
                    <w:keepNext w:val="0"/>
                    <w:keepLines w:val="0"/>
                    <w:suppressLineNumbers w:val="0"/>
                    <w:snapToGrid w:val="0"/>
                    <w:spacing w:before="0" w:beforeAutospacing="0" w:after="0" w:afterAutospacing="0" w:line="240" w:lineRule="auto"/>
                    <w:ind w:left="0" w:right="0"/>
                    <w:jc w:val="both"/>
                    <mc:AlternateContent>
                      <mc:Choice Requires="wpsCustomData">
                        <wpsCustomData:diagonalParaType/>
                      </mc:Choice>
                    </mc:AlternateContent>
                    <w:rPr>
                      <w:rFonts w:hAnsi="宋体"/>
                      <w:b/>
                      <w:color w:val="auto"/>
                      <w:sz w:val="21"/>
                      <w:szCs w:val="24"/>
                      <w:highlight w:val="none"/>
                    </w:rPr>
                  </w:pPr>
                  <w:r>
                    <w:rPr>
                      <w:rFonts w:hint="eastAsia" w:hAnsi="宋体"/>
                      <w:b/>
                      <w:color w:val="auto"/>
                      <w:sz w:val="21"/>
                      <w:szCs w:val="24"/>
                      <w:highlight w:val="none"/>
                    </w:rPr>
                    <w:t>监测时间</w:t>
                  </w:r>
                </w:p>
                <w:p w14:paraId="600689D0">
                  <w:pPr>
                    <w:keepNext w:val="0"/>
                    <w:keepLines w:val="0"/>
                    <w:suppressLineNumbers w:val="0"/>
                    <w:spacing w:before="0" w:beforeAutospacing="0" w:after="0" w:afterAutospacing="0" w:line="0" w:lineRule="atLeast"/>
                    <w:ind w:left="0" w:right="0"/>
                    <w:jc w:val="center"/>
                    <w:rPr>
                      <w:rFonts w:hint="default" w:hAnsi="宋体" w:eastAsia="宋体"/>
                      <w:b/>
                      <w:color w:val="auto"/>
                      <w:sz w:val="21"/>
                      <w:szCs w:val="24"/>
                      <w:highlight w:val="none"/>
                      <w:lang w:val="en-US" w:eastAsia="zh-CN"/>
                    </w:rPr>
                  </w:pPr>
                  <w:r>
                    <w:rPr>
                      <w:rFonts w:hint="eastAsia" w:hAnsi="宋体"/>
                      <w:b/>
                      <w:color w:val="auto"/>
                      <w:sz w:val="21"/>
                      <w:szCs w:val="24"/>
                      <w:highlight w:val="none"/>
                      <w:lang w:val="en-US" w:eastAsia="zh-CN"/>
                    </w:rPr>
                    <w:t>监测点位</w:t>
                  </w:r>
                </w:p>
              </w:tc>
              <w:tc>
                <w:tcPr>
                  <w:tcW w:w="1017" w:type="pct"/>
                  <w:tcBorders>
                    <w:tl2br w:val="nil"/>
                    <w:tr2bl w:val="nil"/>
                  </w:tcBorders>
                  <w:noWrap w:val="0"/>
                  <w:vAlign w:val="center"/>
                </w:tcPr>
                <w:p w14:paraId="73EE3463">
                  <w:pPr>
                    <w:keepNext w:val="0"/>
                    <w:keepLines w:val="0"/>
                    <w:suppressLineNumbers w:val="0"/>
                    <w:spacing w:before="0" w:beforeAutospacing="0" w:after="0" w:afterAutospacing="0" w:line="0" w:lineRule="atLeast"/>
                    <w:ind w:left="0" w:right="0"/>
                    <w:jc w:val="center"/>
                    <w:rPr>
                      <w:rFonts w:hint="default" w:eastAsia="宋体"/>
                      <w:b/>
                      <w:color w:val="auto"/>
                      <w:sz w:val="21"/>
                      <w:szCs w:val="24"/>
                      <w:highlight w:val="none"/>
                      <w:lang w:val="en-US" w:eastAsia="zh-CN"/>
                    </w:rPr>
                  </w:pPr>
                  <w:r>
                    <w:rPr>
                      <w:rFonts w:hint="eastAsia"/>
                      <w:b/>
                      <w:color w:val="auto"/>
                      <w:sz w:val="21"/>
                      <w:szCs w:val="24"/>
                      <w:highlight w:val="none"/>
                      <w:lang w:val="en-US" w:eastAsia="zh-CN"/>
                    </w:rPr>
                    <w:t>1#</w:t>
                  </w:r>
                </w:p>
              </w:tc>
              <w:tc>
                <w:tcPr>
                  <w:tcW w:w="1018" w:type="pct"/>
                  <w:tcBorders>
                    <w:tl2br w:val="nil"/>
                    <w:tr2bl w:val="nil"/>
                  </w:tcBorders>
                  <w:noWrap w:val="0"/>
                  <w:vAlign w:val="center"/>
                </w:tcPr>
                <w:p w14:paraId="60AAB2FD">
                  <w:pPr>
                    <w:keepNext w:val="0"/>
                    <w:keepLines w:val="0"/>
                    <w:suppressLineNumbers w:val="0"/>
                    <w:spacing w:before="0" w:beforeAutospacing="0" w:after="0" w:afterAutospacing="0" w:line="0" w:lineRule="atLeast"/>
                    <w:ind w:left="0" w:right="0"/>
                    <w:jc w:val="center"/>
                    <w:rPr>
                      <w:rFonts w:hint="default" w:hAnsi="宋体" w:eastAsia="宋体"/>
                      <w:b/>
                      <w:color w:val="auto"/>
                      <w:sz w:val="21"/>
                      <w:szCs w:val="24"/>
                      <w:highlight w:val="none"/>
                      <w:lang w:val="en-US" w:eastAsia="zh-CN"/>
                    </w:rPr>
                  </w:pPr>
                  <w:r>
                    <w:rPr>
                      <w:rFonts w:hint="eastAsia" w:hAnsi="宋体"/>
                      <w:b/>
                      <w:color w:val="auto"/>
                      <w:sz w:val="21"/>
                      <w:szCs w:val="24"/>
                      <w:highlight w:val="none"/>
                      <w:lang w:val="en-US" w:eastAsia="zh-CN"/>
                    </w:rPr>
                    <w:t>2#</w:t>
                  </w:r>
                </w:p>
              </w:tc>
              <w:tc>
                <w:tcPr>
                  <w:tcW w:w="1018" w:type="pct"/>
                  <w:tcBorders>
                    <w:tl2br w:val="nil"/>
                    <w:tr2bl w:val="nil"/>
                  </w:tcBorders>
                  <w:noWrap w:val="0"/>
                  <w:vAlign w:val="center"/>
                </w:tcPr>
                <w:p w14:paraId="2A9B67ED">
                  <w:pPr>
                    <w:keepNext w:val="0"/>
                    <w:keepLines w:val="0"/>
                    <w:suppressLineNumbers w:val="0"/>
                    <w:spacing w:before="0" w:beforeAutospacing="0" w:after="0" w:afterAutospacing="0" w:line="0" w:lineRule="atLeast"/>
                    <w:ind w:left="0" w:right="0"/>
                    <w:jc w:val="center"/>
                    <w:rPr>
                      <w:rFonts w:hAnsi="宋体"/>
                      <w:b/>
                      <w:color w:val="auto"/>
                      <w:sz w:val="21"/>
                      <w:szCs w:val="24"/>
                      <w:highlight w:val="none"/>
                    </w:rPr>
                  </w:pPr>
                  <w:r>
                    <w:rPr>
                      <w:rFonts w:hint="eastAsia" w:hAnsi="宋体"/>
                      <w:b/>
                      <w:color w:val="auto"/>
                      <w:sz w:val="21"/>
                      <w:szCs w:val="24"/>
                      <w:highlight w:val="none"/>
                      <w:lang w:val="en-US" w:eastAsia="zh-CN"/>
                    </w:rPr>
                    <w:t>3#</w:t>
                  </w:r>
                </w:p>
              </w:tc>
              <w:tc>
                <w:tcPr>
                  <w:tcW w:w="1018" w:type="pct"/>
                  <w:tcBorders>
                    <w:tl2br w:val="nil"/>
                    <w:tr2bl w:val="nil"/>
                  </w:tcBorders>
                  <w:noWrap w:val="0"/>
                  <w:vAlign w:val="center"/>
                </w:tcPr>
                <w:p w14:paraId="38D441A4">
                  <w:pPr>
                    <w:keepNext w:val="0"/>
                    <w:keepLines w:val="0"/>
                    <w:suppressLineNumbers w:val="0"/>
                    <w:spacing w:before="0" w:beforeAutospacing="0" w:after="0" w:afterAutospacing="0" w:line="0" w:lineRule="atLeast"/>
                    <w:ind w:left="0" w:right="0"/>
                    <w:jc w:val="center"/>
                    <w:rPr>
                      <w:rFonts w:hint="eastAsia" w:hAnsi="宋体"/>
                      <w:b/>
                      <w:color w:val="auto"/>
                      <w:sz w:val="21"/>
                      <w:szCs w:val="24"/>
                      <w:highlight w:val="none"/>
                    </w:rPr>
                  </w:pPr>
                  <w:r>
                    <w:rPr>
                      <w:rFonts w:hint="eastAsia" w:hAnsi="宋体"/>
                      <w:b/>
                      <w:color w:val="auto"/>
                      <w:sz w:val="21"/>
                      <w:szCs w:val="24"/>
                      <w:highlight w:val="none"/>
                      <w:lang w:val="en-US" w:eastAsia="zh-CN"/>
                    </w:rPr>
                    <w:t>4#</w:t>
                  </w:r>
                </w:p>
              </w:tc>
            </w:tr>
            <w:tr w14:paraId="25B539E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7" w:type="pct"/>
                  <w:tcBorders>
                    <w:tl2br w:val="nil"/>
                    <w:tr2bl w:val="nil"/>
                  </w:tcBorders>
                  <w:noWrap w:val="0"/>
                  <w:vAlign w:val="center"/>
                </w:tcPr>
                <w:p w14:paraId="600BFBCC">
                  <w:pPr>
                    <w:keepNext w:val="0"/>
                    <w:keepLines w:val="0"/>
                    <w:suppressLineNumbers w:val="0"/>
                    <w:snapToGrid w:val="0"/>
                    <w:spacing w:before="0" w:beforeAutospacing="0" w:after="0" w:afterAutospacing="0"/>
                    <w:ind w:left="0" w:right="0"/>
                    <w:jc w:val="center"/>
                    <w:rPr>
                      <w:rFonts w:hint="default" w:eastAsia="宋体"/>
                      <w:color w:val="auto"/>
                      <w:sz w:val="21"/>
                      <w:szCs w:val="32"/>
                      <w:highlight w:val="none"/>
                      <w:lang w:val="en-US" w:eastAsia="zh-CN"/>
                    </w:rPr>
                  </w:pPr>
                  <w:r>
                    <w:rPr>
                      <w:rFonts w:hint="eastAsia"/>
                      <w:color w:val="auto"/>
                      <w:sz w:val="21"/>
                      <w:szCs w:val="32"/>
                      <w:highlight w:val="none"/>
                      <w:lang w:val="en-US" w:eastAsia="zh-CN"/>
                    </w:rPr>
                    <w:t>2016.11.21（昼间）</w:t>
                  </w:r>
                </w:p>
              </w:tc>
              <w:tc>
                <w:tcPr>
                  <w:tcW w:w="1017" w:type="pct"/>
                  <w:tcBorders>
                    <w:tl2br w:val="nil"/>
                    <w:tr2bl w:val="nil"/>
                  </w:tcBorders>
                  <w:noWrap w:val="0"/>
                  <w:vAlign w:val="center"/>
                </w:tcPr>
                <w:p w14:paraId="7DC71F79">
                  <w:pPr>
                    <w:keepNext w:val="0"/>
                    <w:keepLines w:val="0"/>
                    <w:suppressLineNumbers w:val="0"/>
                    <w:snapToGrid w:val="0"/>
                    <w:spacing w:before="0" w:beforeAutospacing="0" w:after="0" w:afterAutospacing="0"/>
                    <w:ind w:left="0" w:right="0"/>
                    <w:jc w:val="center"/>
                    <w:rPr>
                      <w:rFonts w:hint="default" w:eastAsia="宋体"/>
                      <w:color w:val="auto"/>
                      <w:sz w:val="21"/>
                      <w:szCs w:val="24"/>
                      <w:highlight w:val="none"/>
                      <w:lang w:val="en-US" w:eastAsia="zh-CN"/>
                    </w:rPr>
                  </w:pPr>
                  <w:r>
                    <w:rPr>
                      <w:rFonts w:hint="eastAsia"/>
                      <w:color w:val="auto"/>
                      <w:sz w:val="21"/>
                      <w:szCs w:val="24"/>
                      <w:highlight w:val="none"/>
                      <w:lang w:val="en-US" w:eastAsia="zh-CN"/>
                    </w:rPr>
                    <w:t>52.7</w:t>
                  </w:r>
                </w:p>
              </w:tc>
              <w:tc>
                <w:tcPr>
                  <w:tcW w:w="1018" w:type="pct"/>
                  <w:tcBorders>
                    <w:tl2br w:val="nil"/>
                    <w:tr2bl w:val="nil"/>
                  </w:tcBorders>
                  <w:noWrap w:val="0"/>
                  <w:vAlign w:val="center"/>
                </w:tcPr>
                <w:p w14:paraId="33649839">
                  <w:pPr>
                    <w:keepNext w:val="0"/>
                    <w:keepLines w:val="0"/>
                    <w:suppressLineNumbers w:val="0"/>
                    <w:spacing w:before="0" w:beforeAutospacing="0" w:after="0" w:afterAutospacing="0"/>
                    <w:ind w:left="0" w:right="0"/>
                    <w:jc w:val="center"/>
                    <w:rPr>
                      <w:rFonts w:hint="default" w:eastAsia="宋体"/>
                      <w:color w:val="auto"/>
                      <w:sz w:val="21"/>
                      <w:szCs w:val="24"/>
                      <w:highlight w:val="none"/>
                      <w:lang w:val="en-US" w:eastAsia="zh-CN"/>
                    </w:rPr>
                  </w:pPr>
                  <w:r>
                    <w:rPr>
                      <w:rFonts w:hint="eastAsia"/>
                      <w:color w:val="auto"/>
                      <w:sz w:val="21"/>
                      <w:szCs w:val="24"/>
                      <w:highlight w:val="none"/>
                      <w:lang w:val="en-US" w:eastAsia="zh-CN"/>
                    </w:rPr>
                    <w:t>56.4</w:t>
                  </w:r>
                </w:p>
              </w:tc>
              <w:tc>
                <w:tcPr>
                  <w:tcW w:w="1018" w:type="pct"/>
                  <w:tcBorders>
                    <w:tl2br w:val="nil"/>
                    <w:tr2bl w:val="nil"/>
                  </w:tcBorders>
                  <w:noWrap w:val="0"/>
                  <w:vAlign w:val="center"/>
                </w:tcPr>
                <w:p w14:paraId="54E685DC">
                  <w:pPr>
                    <w:keepNext w:val="0"/>
                    <w:keepLines w:val="0"/>
                    <w:suppressLineNumbers w:val="0"/>
                    <w:spacing w:before="0" w:beforeAutospacing="0" w:after="0" w:afterAutospacing="0" w:line="0" w:lineRule="atLeast"/>
                    <w:ind w:left="0" w:right="0"/>
                    <w:jc w:val="center"/>
                    <w:rPr>
                      <w:rFonts w:hint="default" w:eastAsia="宋体"/>
                      <w:color w:val="auto"/>
                      <w:sz w:val="21"/>
                      <w:szCs w:val="24"/>
                      <w:highlight w:val="none"/>
                      <w:lang w:val="en-US" w:eastAsia="zh-CN"/>
                    </w:rPr>
                  </w:pPr>
                  <w:r>
                    <w:rPr>
                      <w:rFonts w:hint="eastAsia"/>
                      <w:color w:val="auto"/>
                      <w:sz w:val="21"/>
                      <w:szCs w:val="24"/>
                      <w:highlight w:val="none"/>
                      <w:lang w:val="en-US" w:eastAsia="zh-CN"/>
                    </w:rPr>
                    <w:t>59.0</w:t>
                  </w:r>
                </w:p>
              </w:tc>
              <w:tc>
                <w:tcPr>
                  <w:tcW w:w="1018" w:type="pct"/>
                  <w:tcBorders>
                    <w:tl2br w:val="nil"/>
                    <w:tr2bl w:val="nil"/>
                  </w:tcBorders>
                  <w:noWrap w:val="0"/>
                  <w:vAlign w:val="center"/>
                </w:tcPr>
                <w:p w14:paraId="030E060F">
                  <w:pPr>
                    <w:keepNext w:val="0"/>
                    <w:keepLines w:val="0"/>
                    <w:suppressLineNumbers w:val="0"/>
                    <w:spacing w:before="0" w:beforeAutospacing="0" w:after="0" w:afterAutospacing="0" w:line="0" w:lineRule="atLeast"/>
                    <w:ind w:left="0" w:right="0"/>
                    <w:jc w:val="center"/>
                    <w:rPr>
                      <w:rFonts w:hint="default" w:eastAsia="宋体"/>
                      <w:color w:val="auto"/>
                      <w:sz w:val="21"/>
                      <w:szCs w:val="24"/>
                      <w:highlight w:val="none"/>
                      <w:lang w:val="en-US" w:eastAsia="zh-CN"/>
                    </w:rPr>
                  </w:pPr>
                  <w:r>
                    <w:rPr>
                      <w:rFonts w:hint="eastAsia"/>
                      <w:color w:val="auto"/>
                      <w:sz w:val="21"/>
                      <w:szCs w:val="24"/>
                      <w:highlight w:val="none"/>
                      <w:lang w:val="en-US" w:eastAsia="zh-CN"/>
                    </w:rPr>
                    <w:t>55.6</w:t>
                  </w:r>
                </w:p>
              </w:tc>
            </w:tr>
            <w:tr w14:paraId="6A0AC60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7" w:type="pct"/>
                  <w:tcBorders>
                    <w:tl2br w:val="nil"/>
                    <w:tr2bl w:val="nil"/>
                  </w:tcBorders>
                  <w:noWrap w:val="0"/>
                  <w:vAlign w:val="center"/>
                </w:tcPr>
                <w:p w14:paraId="40171FDA">
                  <w:pPr>
                    <w:keepNext w:val="0"/>
                    <w:keepLines w:val="0"/>
                    <w:suppressLineNumbers w:val="0"/>
                    <w:snapToGrid w:val="0"/>
                    <w:spacing w:before="0" w:beforeAutospacing="0" w:after="0" w:afterAutospacing="0"/>
                    <w:ind w:left="0" w:right="0"/>
                    <w:jc w:val="center"/>
                    <w:rPr>
                      <w:color w:val="auto"/>
                      <w:sz w:val="21"/>
                      <w:szCs w:val="32"/>
                      <w:highlight w:val="none"/>
                    </w:rPr>
                  </w:pPr>
                  <w:r>
                    <w:rPr>
                      <w:rFonts w:hint="eastAsia"/>
                      <w:color w:val="auto"/>
                      <w:sz w:val="21"/>
                      <w:szCs w:val="32"/>
                      <w:highlight w:val="none"/>
                      <w:lang w:val="en-US" w:eastAsia="zh-CN"/>
                    </w:rPr>
                    <w:t>2016.11.22（昼间）</w:t>
                  </w:r>
                </w:p>
              </w:tc>
              <w:tc>
                <w:tcPr>
                  <w:tcW w:w="1017" w:type="pct"/>
                  <w:tcBorders>
                    <w:tl2br w:val="nil"/>
                    <w:tr2bl w:val="nil"/>
                  </w:tcBorders>
                  <w:noWrap w:val="0"/>
                  <w:vAlign w:val="center"/>
                </w:tcPr>
                <w:p w14:paraId="38B88E62">
                  <w:pPr>
                    <w:keepNext w:val="0"/>
                    <w:keepLines w:val="0"/>
                    <w:suppressLineNumbers w:val="0"/>
                    <w:snapToGrid w:val="0"/>
                    <w:spacing w:before="0" w:beforeAutospacing="0" w:after="0" w:afterAutospacing="0"/>
                    <w:ind w:left="0" w:right="0"/>
                    <w:jc w:val="center"/>
                    <w:rPr>
                      <w:rFonts w:hint="default" w:eastAsia="宋体"/>
                      <w:color w:val="auto"/>
                      <w:sz w:val="21"/>
                      <w:szCs w:val="32"/>
                      <w:highlight w:val="none"/>
                      <w:lang w:val="en-US" w:eastAsia="zh-CN"/>
                    </w:rPr>
                  </w:pPr>
                  <w:r>
                    <w:rPr>
                      <w:rFonts w:hint="eastAsia"/>
                      <w:color w:val="auto"/>
                      <w:sz w:val="21"/>
                      <w:szCs w:val="32"/>
                      <w:highlight w:val="none"/>
                      <w:lang w:val="en-US" w:eastAsia="zh-CN"/>
                    </w:rPr>
                    <w:t>56.2</w:t>
                  </w:r>
                </w:p>
              </w:tc>
              <w:tc>
                <w:tcPr>
                  <w:tcW w:w="1018" w:type="pct"/>
                  <w:tcBorders>
                    <w:tl2br w:val="nil"/>
                    <w:tr2bl w:val="nil"/>
                  </w:tcBorders>
                  <w:noWrap w:val="0"/>
                  <w:vAlign w:val="center"/>
                </w:tcPr>
                <w:p w14:paraId="54D8ECD2">
                  <w:pPr>
                    <w:keepNext w:val="0"/>
                    <w:keepLines w:val="0"/>
                    <w:suppressLineNumbers w:val="0"/>
                    <w:spacing w:before="0" w:beforeAutospacing="0" w:after="0" w:afterAutospacing="0"/>
                    <w:ind w:left="0" w:right="0"/>
                    <w:jc w:val="center"/>
                    <w:rPr>
                      <w:rFonts w:hint="default" w:eastAsia="宋体"/>
                      <w:color w:val="auto"/>
                      <w:sz w:val="21"/>
                      <w:szCs w:val="24"/>
                      <w:highlight w:val="none"/>
                      <w:lang w:val="en-US" w:eastAsia="zh-CN"/>
                    </w:rPr>
                  </w:pPr>
                  <w:r>
                    <w:rPr>
                      <w:rFonts w:hint="eastAsia"/>
                      <w:color w:val="auto"/>
                      <w:sz w:val="21"/>
                      <w:szCs w:val="24"/>
                      <w:highlight w:val="none"/>
                      <w:lang w:val="en-US" w:eastAsia="zh-CN"/>
                    </w:rPr>
                    <w:t>49.8</w:t>
                  </w:r>
                </w:p>
              </w:tc>
              <w:tc>
                <w:tcPr>
                  <w:tcW w:w="1018" w:type="pct"/>
                  <w:tcBorders>
                    <w:tl2br w:val="nil"/>
                    <w:tr2bl w:val="nil"/>
                  </w:tcBorders>
                  <w:noWrap w:val="0"/>
                  <w:vAlign w:val="center"/>
                </w:tcPr>
                <w:p w14:paraId="4F4717AA">
                  <w:pPr>
                    <w:keepNext w:val="0"/>
                    <w:keepLines w:val="0"/>
                    <w:suppressLineNumbers w:val="0"/>
                    <w:spacing w:before="0" w:beforeAutospacing="0" w:after="0" w:afterAutospacing="0" w:line="0" w:lineRule="atLeast"/>
                    <w:ind w:left="0" w:right="0"/>
                    <w:jc w:val="center"/>
                    <w:rPr>
                      <w:rFonts w:hint="default" w:eastAsia="宋体"/>
                      <w:color w:val="auto"/>
                      <w:sz w:val="21"/>
                      <w:szCs w:val="24"/>
                      <w:highlight w:val="none"/>
                      <w:lang w:val="en-US" w:eastAsia="zh-CN"/>
                    </w:rPr>
                  </w:pPr>
                  <w:r>
                    <w:rPr>
                      <w:rFonts w:hint="eastAsia"/>
                      <w:color w:val="auto"/>
                      <w:sz w:val="21"/>
                      <w:szCs w:val="24"/>
                      <w:highlight w:val="none"/>
                      <w:lang w:val="en-US" w:eastAsia="zh-CN"/>
                    </w:rPr>
                    <w:t>57.3</w:t>
                  </w:r>
                </w:p>
              </w:tc>
              <w:tc>
                <w:tcPr>
                  <w:tcW w:w="1018" w:type="pct"/>
                  <w:tcBorders>
                    <w:tl2br w:val="nil"/>
                    <w:tr2bl w:val="nil"/>
                  </w:tcBorders>
                  <w:noWrap w:val="0"/>
                  <w:vAlign w:val="center"/>
                </w:tcPr>
                <w:p w14:paraId="28B5BAAE">
                  <w:pPr>
                    <w:keepNext w:val="0"/>
                    <w:keepLines w:val="0"/>
                    <w:suppressLineNumbers w:val="0"/>
                    <w:spacing w:before="0" w:beforeAutospacing="0" w:after="0" w:afterAutospacing="0" w:line="0" w:lineRule="atLeast"/>
                    <w:ind w:left="0" w:right="0"/>
                    <w:jc w:val="center"/>
                    <w:rPr>
                      <w:rFonts w:hint="default" w:eastAsia="宋体"/>
                      <w:color w:val="auto"/>
                      <w:sz w:val="21"/>
                      <w:szCs w:val="24"/>
                      <w:highlight w:val="none"/>
                      <w:lang w:val="en-US" w:eastAsia="zh-CN"/>
                    </w:rPr>
                  </w:pPr>
                  <w:r>
                    <w:rPr>
                      <w:rFonts w:hint="eastAsia"/>
                      <w:color w:val="auto"/>
                      <w:sz w:val="21"/>
                      <w:szCs w:val="24"/>
                      <w:highlight w:val="none"/>
                      <w:lang w:val="en-US" w:eastAsia="zh-CN"/>
                    </w:rPr>
                    <w:t>55.5</w:t>
                  </w:r>
                </w:p>
              </w:tc>
            </w:tr>
            <w:tr w14:paraId="21B105A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7" w:type="pct"/>
                  <w:tcBorders>
                    <w:tl2br w:val="nil"/>
                    <w:tr2bl w:val="nil"/>
                  </w:tcBorders>
                  <w:noWrap w:val="0"/>
                  <w:vAlign w:val="center"/>
                </w:tcPr>
                <w:p w14:paraId="18ACAA8D">
                  <w:pPr>
                    <w:keepNext w:val="0"/>
                    <w:keepLines w:val="0"/>
                    <w:suppressLineNumbers w:val="0"/>
                    <w:snapToGrid w:val="0"/>
                    <w:spacing w:before="0" w:beforeAutospacing="0" w:after="0" w:afterAutospacing="0"/>
                    <w:ind w:left="0" w:right="0"/>
                    <w:jc w:val="center"/>
                    <w:rPr>
                      <w:color w:val="auto"/>
                      <w:sz w:val="21"/>
                      <w:szCs w:val="24"/>
                      <w:highlight w:val="none"/>
                    </w:rPr>
                  </w:pPr>
                  <w:r>
                    <w:rPr>
                      <w:rFonts w:hint="eastAsia"/>
                      <w:color w:val="auto"/>
                      <w:sz w:val="21"/>
                      <w:szCs w:val="24"/>
                      <w:highlight w:val="none"/>
                    </w:rPr>
                    <w:t>执行标准</w:t>
                  </w:r>
                </w:p>
              </w:tc>
              <w:tc>
                <w:tcPr>
                  <w:tcW w:w="4072" w:type="pct"/>
                  <w:gridSpan w:val="4"/>
                  <w:tcBorders>
                    <w:tl2br w:val="nil"/>
                    <w:tr2bl w:val="nil"/>
                  </w:tcBorders>
                  <w:noWrap w:val="0"/>
                  <w:vAlign w:val="center"/>
                </w:tcPr>
                <w:p w14:paraId="6517CBEE">
                  <w:pPr>
                    <w:keepNext w:val="0"/>
                    <w:keepLines w:val="0"/>
                    <w:suppressLineNumbers w:val="0"/>
                    <w:spacing w:before="0" w:beforeAutospacing="0" w:after="0" w:afterAutospacing="0" w:line="0" w:lineRule="atLeast"/>
                    <w:ind w:left="0" w:right="0"/>
                    <w:jc w:val="center"/>
                    <w:rPr>
                      <w:rFonts w:hint="default" w:hAnsi="宋体" w:eastAsia="宋体"/>
                      <w:color w:val="auto"/>
                      <w:sz w:val="21"/>
                      <w:szCs w:val="24"/>
                      <w:highlight w:val="none"/>
                      <w:lang w:val="en-US" w:eastAsia="zh-CN"/>
                    </w:rPr>
                  </w:pPr>
                  <w:r>
                    <w:rPr>
                      <w:rFonts w:hint="eastAsia" w:hAnsi="宋体"/>
                      <w:color w:val="auto"/>
                      <w:sz w:val="21"/>
                      <w:szCs w:val="24"/>
                      <w:highlight w:val="none"/>
                      <w:lang w:val="en-US" w:eastAsia="zh-CN"/>
                    </w:rPr>
                    <w:t>监测结果执行</w:t>
                  </w:r>
                  <w:r>
                    <w:rPr>
                      <w:rFonts w:hint="eastAsia" w:hAnsi="宋体"/>
                      <w:color w:val="auto"/>
                      <w:sz w:val="21"/>
                      <w:szCs w:val="24"/>
                      <w:highlight w:val="none"/>
                    </w:rPr>
                    <w:t>《工业企业厂界环境噪声排放标准》（GB12348-2008）</w:t>
                  </w:r>
                  <w:r>
                    <w:rPr>
                      <w:rFonts w:hint="eastAsia" w:hAnsi="宋体"/>
                      <w:color w:val="auto"/>
                      <w:sz w:val="21"/>
                      <w:szCs w:val="24"/>
                      <w:highlight w:val="none"/>
                      <w:lang w:val="en-US" w:eastAsia="zh-CN"/>
                    </w:rPr>
                    <w:t>2</w:t>
                  </w:r>
                  <w:r>
                    <w:rPr>
                      <w:rFonts w:hint="eastAsia" w:hAnsi="宋体"/>
                      <w:color w:val="auto"/>
                      <w:sz w:val="21"/>
                      <w:szCs w:val="24"/>
                      <w:highlight w:val="none"/>
                    </w:rPr>
                    <w:t>类标准</w:t>
                  </w:r>
                  <w:r>
                    <w:rPr>
                      <w:rFonts w:hint="eastAsia" w:hAnsi="宋体"/>
                      <w:color w:val="auto"/>
                      <w:sz w:val="21"/>
                      <w:szCs w:val="24"/>
                      <w:highlight w:val="none"/>
                      <w:lang w:eastAsia="zh-CN"/>
                    </w:rPr>
                    <w:t>（</w:t>
                  </w:r>
                  <w:r>
                    <w:rPr>
                      <w:rFonts w:hint="eastAsia" w:hAnsi="宋体"/>
                      <w:color w:val="auto"/>
                      <w:sz w:val="21"/>
                      <w:szCs w:val="24"/>
                      <w:highlight w:val="none"/>
                      <w:lang w:val="en-US" w:eastAsia="zh-CN"/>
                    </w:rPr>
                    <w:t>昼间：60分贝）标准</w:t>
                  </w:r>
                </w:p>
              </w:tc>
            </w:tr>
            <w:tr w14:paraId="61FE313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27" w:type="pct"/>
                  <w:tcBorders>
                    <w:tl2br w:val="nil"/>
                    <w:tr2bl w:val="nil"/>
                  </w:tcBorders>
                  <w:noWrap w:val="0"/>
                  <w:vAlign w:val="center"/>
                </w:tcPr>
                <w:p w14:paraId="339E1E3C">
                  <w:pPr>
                    <w:keepNext w:val="0"/>
                    <w:keepLines w:val="0"/>
                    <w:suppressLineNumbers w:val="0"/>
                    <w:snapToGrid w:val="0"/>
                    <w:spacing w:before="0" w:beforeAutospacing="0" w:after="0" w:afterAutospacing="0"/>
                    <w:ind w:left="0" w:right="0"/>
                    <w:jc w:val="center"/>
                    <w:rPr>
                      <w:rFonts w:hint="default" w:eastAsia="宋体"/>
                      <w:color w:val="auto"/>
                      <w:sz w:val="21"/>
                      <w:szCs w:val="24"/>
                      <w:highlight w:val="none"/>
                      <w:lang w:val="en-US" w:eastAsia="zh-CN"/>
                    </w:rPr>
                  </w:pPr>
                  <w:r>
                    <w:rPr>
                      <w:rFonts w:hint="eastAsia"/>
                      <w:color w:val="auto"/>
                      <w:sz w:val="21"/>
                      <w:szCs w:val="24"/>
                      <w:highlight w:val="none"/>
                      <w:lang w:val="en-US" w:eastAsia="zh-CN"/>
                    </w:rPr>
                    <w:t>达标情况</w:t>
                  </w:r>
                </w:p>
              </w:tc>
              <w:tc>
                <w:tcPr>
                  <w:tcW w:w="4072" w:type="pct"/>
                  <w:gridSpan w:val="4"/>
                  <w:tcBorders>
                    <w:tl2br w:val="nil"/>
                    <w:tr2bl w:val="nil"/>
                  </w:tcBorders>
                  <w:noWrap w:val="0"/>
                  <w:vAlign w:val="center"/>
                </w:tcPr>
                <w:p w14:paraId="64D432D1">
                  <w:pPr>
                    <w:keepNext w:val="0"/>
                    <w:keepLines w:val="0"/>
                    <w:suppressLineNumbers w:val="0"/>
                    <w:spacing w:before="0" w:beforeAutospacing="0" w:after="0" w:afterAutospacing="0" w:line="0" w:lineRule="atLeast"/>
                    <w:ind w:left="0" w:right="0"/>
                    <w:jc w:val="center"/>
                    <w:rPr>
                      <w:rFonts w:hint="eastAsia" w:hAnsi="宋体"/>
                      <w:color w:val="auto"/>
                      <w:sz w:val="21"/>
                      <w:szCs w:val="24"/>
                      <w:highlight w:val="none"/>
                    </w:rPr>
                  </w:pPr>
                  <w:r>
                    <w:rPr>
                      <w:rFonts w:hint="eastAsia" w:hAnsi="宋体"/>
                      <w:color w:val="auto"/>
                      <w:sz w:val="21"/>
                      <w:szCs w:val="24"/>
                      <w:highlight w:val="none"/>
                      <w:lang w:val="en-US" w:eastAsia="zh-CN"/>
                    </w:rPr>
                    <w:t>全部达标</w:t>
                  </w:r>
                </w:p>
              </w:tc>
            </w:tr>
          </w:tbl>
          <w:p w14:paraId="39BF0CE8">
            <w:pPr>
              <w:pStyle w:val="16"/>
              <w:keepNext w:val="0"/>
              <w:keepLines w:val="0"/>
              <w:suppressLineNumbers w:val="0"/>
              <w:spacing w:before="120" w:beforeLines="50" w:beforeAutospacing="0" w:after="0" w:afterAutospacing="0" w:line="360" w:lineRule="auto"/>
              <w:ind w:left="0" w:right="0" w:firstLine="420" w:firstLineChars="200"/>
              <w:jc w:val="both"/>
              <w:rPr>
                <w:color w:val="auto"/>
                <w:sz w:val="21"/>
                <w:szCs w:val="16"/>
                <w:highlight w:val="none"/>
              </w:rPr>
            </w:pPr>
            <w:r>
              <w:rPr>
                <w:rFonts w:hint="eastAsia"/>
                <w:color w:val="auto"/>
                <w:sz w:val="21"/>
                <w:szCs w:val="16"/>
                <w:highlight w:val="none"/>
              </w:rPr>
              <w:t>根据监测结果，现有项目厂界噪声符合《工业企业厂界环境噪声排放标准》（GB 12348-2008）</w:t>
            </w:r>
            <w:r>
              <w:rPr>
                <w:rFonts w:hint="eastAsia"/>
                <w:color w:val="auto"/>
                <w:sz w:val="21"/>
                <w:szCs w:val="16"/>
                <w:highlight w:val="none"/>
                <w:lang w:val="en-US" w:eastAsia="zh-CN"/>
              </w:rPr>
              <w:t>2</w:t>
            </w:r>
            <w:r>
              <w:rPr>
                <w:rFonts w:hint="eastAsia"/>
                <w:color w:val="auto"/>
                <w:sz w:val="21"/>
                <w:szCs w:val="16"/>
                <w:highlight w:val="none"/>
              </w:rPr>
              <w:t>类标准，对环境影响不大。</w:t>
            </w:r>
          </w:p>
          <w:p w14:paraId="34DE1C1B">
            <w:pPr>
              <w:keepNext w:val="0"/>
              <w:keepLines w:val="0"/>
              <w:suppressLineNumbers w:val="0"/>
              <w:spacing w:before="0" w:beforeAutospacing="0" w:after="0" w:afterAutospacing="0" w:line="360" w:lineRule="auto"/>
              <w:ind w:left="0" w:right="0" w:firstLine="422" w:firstLineChars="200"/>
              <w:rPr>
                <w:b/>
                <w:bCs/>
                <w:color w:val="auto"/>
                <w:szCs w:val="21"/>
                <w:highlight w:val="none"/>
              </w:rPr>
            </w:pPr>
            <w:r>
              <w:rPr>
                <w:rFonts w:hint="eastAsia"/>
                <w:b/>
                <w:bCs/>
                <w:color w:val="auto"/>
                <w:szCs w:val="21"/>
                <w:highlight w:val="none"/>
                <w:lang w:eastAsia="zh-CN"/>
              </w:rPr>
              <w:t>（</w:t>
            </w:r>
            <w:r>
              <w:rPr>
                <w:rFonts w:hint="eastAsia"/>
                <w:b/>
                <w:bCs/>
                <w:color w:val="auto"/>
                <w:szCs w:val="21"/>
                <w:highlight w:val="none"/>
                <w:lang w:val="en-US" w:eastAsia="zh-CN"/>
              </w:rPr>
              <w:t>4）</w:t>
            </w:r>
            <w:r>
              <w:rPr>
                <w:rFonts w:hint="eastAsia"/>
                <w:b/>
                <w:bCs/>
                <w:color w:val="auto"/>
                <w:szCs w:val="21"/>
                <w:highlight w:val="none"/>
              </w:rPr>
              <w:t>固体废物</w:t>
            </w:r>
          </w:p>
          <w:p w14:paraId="16AAE6DC">
            <w:pPr>
              <w:pStyle w:val="169"/>
              <w:keepNext w:val="0"/>
              <w:keepLines w:val="0"/>
              <w:suppressLineNumbers w:val="0"/>
              <w:autoSpaceDE/>
              <w:autoSpaceDN/>
              <w:snapToGrid w:val="0"/>
              <w:spacing w:before="0" w:beforeAutospacing="0" w:after="0" w:afterAutospacing="0" w:line="360" w:lineRule="auto"/>
              <w:ind w:left="0" w:right="0" w:firstLine="420" w:firstLineChars="200"/>
              <w:rPr>
                <w:rFonts w:hAnsi="Times New Roman"/>
                <w:color w:val="auto"/>
                <w:spacing w:val="0"/>
                <w:kern w:val="0"/>
                <w:position w:val="0"/>
                <w:sz w:val="21"/>
                <w:szCs w:val="16"/>
                <w:highlight w:val="none"/>
              </w:rPr>
            </w:pPr>
            <w:r>
              <w:rPr>
                <w:rFonts w:hint="eastAsia" w:hAnsi="Times New Roman"/>
                <w:color w:val="auto"/>
                <w:spacing w:val="0"/>
                <w:kern w:val="0"/>
                <w:position w:val="0"/>
                <w:sz w:val="21"/>
                <w:szCs w:val="16"/>
                <w:highlight w:val="none"/>
              </w:rPr>
              <w:t>现有项目产生的固体废物主要为生活垃圾、一般工业固体废物和</w:t>
            </w:r>
            <w:r>
              <w:rPr>
                <w:rFonts w:hAnsi="Times New Roman"/>
                <w:color w:val="auto"/>
                <w:spacing w:val="0"/>
                <w:kern w:val="0"/>
                <w:position w:val="0"/>
                <w:sz w:val="21"/>
                <w:szCs w:val="16"/>
                <w:highlight w:val="none"/>
              </w:rPr>
              <w:t>危险废物</w:t>
            </w:r>
            <w:r>
              <w:rPr>
                <w:rFonts w:hint="eastAsia" w:hAnsi="Times New Roman"/>
                <w:color w:val="auto"/>
                <w:spacing w:val="0"/>
                <w:kern w:val="0"/>
                <w:position w:val="0"/>
                <w:sz w:val="21"/>
                <w:szCs w:val="16"/>
                <w:highlight w:val="none"/>
              </w:rPr>
              <w:t>。</w:t>
            </w:r>
          </w:p>
          <w:p w14:paraId="185BEF32">
            <w:pPr>
              <w:pStyle w:val="169"/>
              <w:keepNext w:val="0"/>
              <w:keepLines w:val="0"/>
              <w:suppressLineNumbers w:val="0"/>
              <w:autoSpaceDE/>
              <w:autoSpaceDN/>
              <w:snapToGrid w:val="0"/>
              <w:spacing w:before="0" w:beforeAutospacing="0" w:after="0" w:afterAutospacing="0" w:line="360" w:lineRule="auto"/>
              <w:ind w:left="0" w:right="0" w:firstLine="416" w:firstLineChars="200"/>
              <w:rPr>
                <w:rFonts w:hAnsi="Times New Roman"/>
                <w:color w:val="auto"/>
                <w:spacing w:val="0"/>
                <w:kern w:val="0"/>
                <w:position w:val="0"/>
                <w:sz w:val="21"/>
                <w:szCs w:val="16"/>
                <w:highlight w:val="none"/>
              </w:rPr>
            </w:pPr>
            <w:r>
              <w:rPr>
                <w:rFonts w:hint="eastAsia"/>
                <w:color w:val="auto"/>
                <w:sz w:val="21"/>
                <w:szCs w:val="21"/>
                <w:highlight w:val="none"/>
              </w:rPr>
              <w:t>员工生活垃圾经分类收集后，交由环卫部门统一清运处理。</w:t>
            </w:r>
            <w:r>
              <w:rPr>
                <w:rFonts w:hint="eastAsia"/>
                <w:color w:val="auto"/>
                <w:sz w:val="21"/>
                <w:szCs w:val="21"/>
                <w:highlight w:val="none"/>
                <w:lang w:val="en-US" w:eastAsia="zh-CN"/>
              </w:rPr>
              <w:t>塑料边角料</w:t>
            </w:r>
            <w:r>
              <w:rPr>
                <w:rFonts w:hint="eastAsia"/>
                <w:color w:val="auto"/>
                <w:sz w:val="21"/>
                <w:szCs w:val="21"/>
                <w:highlight w:val="none"/>
              </w:rPr>
              <w:t>、</w:t>
            </w:r>
            <w:r>
              <w:rPr>
                <w:rFonts w:hint="eastAsia"/>
                <w:color w:val="auto"/>
                <w:sz w:val="21"/>
                <w:szCs w:val="21"/>
                <w:highlight w:val="none"/>
                <w:lang w:val="en-US" w:eastAsia="zh-CN"/>
              </w:rPr>
              <w:t>包装纸边角料</w:t>
            </w:r>
            <w:r>
              <w:rPr>
                <w:rFonts w:hint="eastAsia"/>
                <w:color w:val="auto"/>
                <w:sz w:val="21"/>
                <w:szCs w:val="21"/>
                <w:highlight w:val="none"/>
              </w:rPr>
              <w:t>分类收集后交由专业回收公司回收；</w:t>
            </w:r>
            <w:r>
              <w:rPr>
                <w:rFonts w:hint="eastAsia"/>
                <w:color w:val="auto"/>
                <w:sz w:val="21"/>
                <w:szCs w:val="21"/>
                <w:highlight w:val="none"/>
                <w:lang w:val="en-US" w:eastAsia="zh-CN"/>
              </w:rPr>
              <w:t>水性油墨桶、废活性炭</w:t>
            </w:r>
            <w:r>
              <w:rPr>
                <w:rFonts w:hint="eastAsia"/>
                <w:color w:val="auto"/>
                <w:sz w:val="21"/>
                <w:szCs w:val="21"/>
                <w:highlight w:val="none"/>
              </w:rPr>
              <w:t>等危险废物分类收集后委托有资质单位处理。</w:t>
            </w:r>
            <w:r>
              <w:rPr>
                <w:rFonts w:hint="eastAsia" w:hAnsi="Times New Roman"/>
                <w:color w:val="auto"/>
                <w:spacing w:val="0"/>
                <w:kern w:val="0"/>
                <w:position w:val="0"/>
                <w:sz w:val="21"/>
                <w:szCs w:val="16"/>
                <w:highlight w:val="none"/>
              </w:rPr>
              <w:t>经上述措施处理后，现有项目固体废物对周围环境不产生直接影响。</w:t>
            </w:r>
          </w:p>
          <w:p w14:paraId="2DBD6039">
            <w:pPr>
              <w:pStyle w:val="169"/>
              <w:keepNext w:val="0"/>
              <w:keepLines w:val="0"/>
              <w:suppressLineNumbers w:val="0"/>
              <w:autoSpaceDE/>
              <w:autoSpaceDN/>
              <w:snapToGrid w:val="0"/>
              <w:spacing w:before="0" w:beforeAutospacing="0" w:after="0" w:afterAutospacing="0" w:line="360" w:lineRule="auto"/>
              <w:ind w:left="0" w:right="0" w:firstLine="420" w:firstLineChars="200"/>
              <w:rPr>
                <w:rFonts w:hint="default"/>
                <w:color w:val="auto"/>
                <w:sz w:val="21"/>
                <w:szCs w:val="16"/>
                <w:highlight w:val="none"/>
                <w:lang w:val="en-US" w:eastAsia="zh-CN"/>
              </w:rPr>
            </w:pPr>
            <w:r>
              <w:rPr>
                <w:rFonts w:hint="eastAsia" w:hAnsi="Times New Roman"/>
                <w:color w:val="auto"/>
                <w:spacing w:val="0"/>
                <w:kern w:val="0"/>
                <w:position w:val="0"/>
                <w:sz w:val="21"/>
                <w:szCs w:val="16"/>
                <w:highlight w:val="none"/>
              </w:rPr>
              <w:t>现有</w:t>
            </w:r>
            <w:r>
              <w:rPr>
                <w:rFonts w:hAnsi="Times New Roman"/>
                <w:color w:val="auto"/>
                <w:spacing w:val="0"/>
                <w:kern w:val="0"/>
                <w:position w:val="0"/>
                <w:sz w:val="21"/>
                <w:szCs w:val="16"/>
                <w:highlight w:val="none"/>
              </w:rPr>
              <w:t>项目污染物产排情况见下表。</w:t>
            </w:r>
          </w:p>
          <w:p w14:paraId="1F9C4EB2">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lang w:val="en-US" w:eastAsia="zh-CN"/>
              </w:rPr>
              <w:t>现有</w:t>
            </w:r>
            <w:r>
              <w:rPr>
                <w:rFonts w:hint="default" w:ascii="Times New Roman" w:hAnsi="Times New Roman" w:eastAsia="宋体" w:cs="Times New Roman"/>
                <w:b/>
                <w:bCs/>
                <w:color w:val="auto"/>
                <w:sz w:val="21"/>
                <w:szCs w:val="21"/>
                <w:highlight w:val="none"/>
              </w:rPr>
              <w:t>项目污染物排放及防治措施</w:t>
            </w:r>
          </w:p>
          <w:tbl>
            <w:tblPr>
              <w:tblStyle w:val="41"/>
              <w:tblW w:w="4998"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2"/>
              <w:gridCol w:w="1255"/>
              <w:gridCol w:w="894"/>
              <w:gridCol w:w="1039"/>
              <w:gridCol w:w="1004"/>
              <w:gridCol w:w="1132"/>
              <w:gridCol w:w="593"/>
              <w:gridCol w:w="2010"/>
            </w:tblGrid>
            <w:tr w14:paraId="0EEB121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jc w:val="center"/>
              </w:trPr>
              <w:tc>
                <w:tcPr>
                  <w:tcW w:w="412" w:type="pct"/>
                  <w:tcBorders>
                    <w:tl2br w:val="nil"/>
                    <w:tr2bl w:val="nil"/>
                  </w:tcBorders>
                  <w:noWrap w:val="0"/>
                  <w:vAlign w:val="center"/>
                </w:tcPr>
                <w:p w14:paraId="34380B0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类型内容</w:t>
                  </w:r>
                </w:p>
              </w:tc>
              <w:tc>
                <w:tcPr>
                  <w:tcW w:w="726" w:type="pct"/>
                  <w:tcBorders>
                    <w:tl2br w:val="nil"/>
                    <w:tr2bl w:val="nil"/>
                  </w:tcBorders>
                  <w:noWrap w:val="0"/>
                  <w:vAlign w:val="center"/>
                </w:tcPr>
                <w:p w14:paraId="3A6A3BE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排放源</w:t>
                  </w:r>
                </w:p>
              </w:tc>
              <w:tc>
                <w:tcPr>
                  <w:tcW w:w="517" w:type="pct"/>
                  <w:tcBorders>
                    <w:tl2br w:val="nil"/>
                    <w:tr2bl w:val="nil"/>
                  </w:tcBorders>
                  <w:noWrap w:val="0"/>
                  <w:vAlign w:val="center"/>
                </w:tcPr>
                <w:p w14:paraId="0829A85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污染物名称</w:t>
                  </w:r>
                </w:p>
              </w:tc>
              <w:tc>
                <w:tcPr>
                  <w:tcW w:w="1182" w:type="pct"/>
                  <w:gridSpan w:val="2"/>
                  <w:tcBorders>
                    <w:tl2br w:val="nil"/>
                    <w:tr2bl w:val="nil"/>
                  </w:tcBorders>
                  <w:noWrap w:val="0"/>
                  <w:vAlign w:val="center"/>
                </w:tcPr>
                <w:p w14:paraId="493F45D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排放浓度及排放量</w:t>
                  </w:r>
                </w:p>
              </w:tc>
              <w:tc>
                <w:tcPr>
                  <w:tcW w:w="654" w:type="pct"/>
                  <w:tcBorders>
                    <w:tl2br w:val="nil"/>
                    <w:tr2bl w:val="nil"/>
                  </w:tcBorders>
                  <w:noWrap w:val="0"/>
                  <w:vAlign w:val="center"/>
                </w:tcPr>
                <w:p w14:paraId="06FC526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污染防治措施</w:t>
                  </w:r>
                </w:p>
              </w:tc>
              <w:tc>
                <w:tcPr>
                  <w:tcW w:w="343" w:type="pct"/>
                  <w:tcBorders>
                    <w:tl2br w:val="nil"/>
                    <w:tr2bl w:val="nil"/>
                  </w:tcBorders>
                  <w:noWrap w:val="0"/>
                  <w:vAlign w:val="center"/>
                </w:tcPr>
                <w:p w14:paraId="549BDAE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达标情况</w:t>
                  </w:r>
                </w:p>
              </w:tc>
              <w:tc>
                <w:tcPr>
                  <w:tcW w:w="1163" w:type="pct"/>
                  <w:tcBorders>
                    <w:tl2br w:val="nil"/>
                    <w:tr2bl w:val="nil"/>
                  </w:tcBorders>
                  <w:noWrap w:val="0"/>
                  <w:vAlign w:val="center"/>
                </w:tcPr>
                <w:p w14:paraId="06EE814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执行标准</w:t>
                  </w:r>
                </w:p>
              </w:tc>
            </w:tr>
            <w:tr w14:paraId="08F8F29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412" w:type="pct"/>
                  <w:vMerge w:val="restart"/>
                  <w:tcBorders>
                    <w:tl2br w:val="nil"/>
                    <w:tr2bl w:val="nil"/>
                  </w:tcBorders>
                  <w:noWrap w:val="0"/>
                  <w:vAlign w:val="center"/>
                </w:tcPr>
                <w:p w14:paraId="4EB6BA8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水污染物</w:t>
                  </w:r>
                </w:p>
              </w:tc>
              <w:tc>
                <w:tcPr>
                  <w:tcW w:w="726" w:type="pct"/>
                  <w:vMerge w:val="restart"/>
                  <w:tcBorders>
                    <w:tl2br w:val="nil"/>
                    <w:tr2bl w:val="nil"/>
                  </w:tcBorders>
                  <w:noWrap w:val="0"/>
                  <w:vAlign w:val="center"/>
                </w:tcPr>
                <w:p w14:paraId="40E71C4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生活污水</w:t>
                  </w:r>
                </w:p>
              </w:tc>
              <w:tc>
                <w:tcPr>
                  <w:tcW w:w="517" w:type="pct"/>
                  <w:tcBorders>
                    <w:tl2br w:val="nil"/>
                    <w:tr2bl w:val="nil"/>
                  </w:tcBorders>
                  <w:noWrap w:val="0"/>
                  <w:vAlign w:val="center"/>
                </w:tcPr>
                <w:p w14:paraId="0C5DA35D">
                  <w:pPr>
                    <w:pStyle w:val="128"/>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position w:val="0"/>
                      <w:sz w:val="21"/>
                      <w:szCs w:val="21"/>
                      <w:highlight w:val="none"/>
                    </w:rPr>
                    <w:t>CODc</w:t>
                  </w:r>
                  <w:r>
                    <w:rPr>
                      <w:rFonts w:hint="default" w:ascii="Times New Roman" w:hAnsi="Times New Roman" w:eastAsia="宋体" w:cs="Times New Roman"/>
                      <w:color w:val="auto"/>
                      <w:position w:val="0"/>
                      <w:sz w:val="21"/>
                      <w:szCs w:val="21"/>
                      <w:highlight w:val="none"/>
                      <w:vertAlign w:val="subscript"/>
                    </w:rPr>
                    <w:t>r</w:t>
                  </w:r>
                </w:p>
              </w:tc>
              <w:tc>
                <w:tcPr>
                  <w:tcW w:w="601" w:type="pct"/>
                  <w:tcBorders>
                    <w:tl2br w:val="nil"/>
                    <w:tr2bl w:val="nil"/>
                  </w:tcBorders>
                  <w:noWrap w:val="0"/>
                  <w:vAlign w:val="center"/>
                </w:tcPr>
                <w:p w14:paraId="7792151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40mg/L</w:t>
                  </w:r>
                </w:p>
              </w:tc>
              <w:tc>
                <w:tcPr>
                  <w:tcW w:w="581" w:type="pct"/>
                  <w:tcBorders>
                    <w:tl2br w:val="nil"/>
                    <w:tr2bl w:val="nil"/>
                  </w:tcBorders>
                  <w:noWrap w:val="0"/>
                  <w:vAlign w:val="center"/>
                </w:tcPr>
                <w:p w14:paraId="001BC00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w:t>
                  </w:r>
                  <w:r>
                    <w:rPr>
                      <w:rFonts w:hint="eastAsia" w:cs="Times New Roman"/>
                      <w:color w:val="auto"/>
                      <w:sz w:val="21"/>
                      <w:szCs w:val="21"/>
                      <w:highlight w:val="none"/>
                      <w:lang w:val="en-US" w:eastAsia="zh-CN"/>
                    </w:rPr>
                    <w:t>0300</w:t>
                  </w:r>
                  <w:r>
                    <w:rPr>
                      <w:rFonts w:hint="default" w:ascii="Times New Roman" w:hAnsi="Times New Roman" w:eastAsia="宋体" w:cs="Times New Roman"/>
                      <w:color w:val="auto"/>
                      <w:sz w:val="21"/>
                      <w:szCs w:val="21"/>
                      <w:highlight w:val="none"/>
                    </w:rPr>
                    <w:t>t/a</w:t>
                  </w:r>
                </w:p>
              </w:tc>
              <w:tc>
                <w:tcPr>
                  <w:tcW w:w="654" w:type="pct"/>
                  <w:vMerge w:val="restart"/>
                  <w:tcBorders>
                    <w:tl2br w:val="nil"/>
                    <w:tr2bl w:val="nil"/>
                  </w:tcBorders>
                  <w:noWrap w:val="0"/>
                  <w:vAlign w:val="center"/>
                </w:tcPr>
                <w:p w14:paraId="4514004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经三级化粪池、隔油隔渣池预处理后排入市政管网</w:t>
                  </w:r>
                </w:p>
              </w:tc>
              <w:tc>
                <w:tcPr>
                  <w:tcW w:w="343" w:type="pct"/>
                  <w:tcBorders>
                    <w:tl2br w:val="nil"/>
                    <w:tr2bl w:val="nil"/>
                  </w:tcBorders>
                  <w:noWrap w:val="0"/>
                  <w:vAlign w:val="center"/>
                </w:tcPr>
                <w:p w14:paraId="59EE7EF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163" w:type="pct"/>
                  <w:vMerge w:val="restart"/>
                  <w:tcBorders>
                    <w:tl2br w:val="nil"/>
                    <w:tr2bl w:val="nil"/>
                  </w:tcBorders>
                  <w:noWrap w:val="0"/>
                  <w:vAlign w:val="center"/>
                </w:tcPr>
                <w:p w14:paraId="586BEFF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2"/>
                      <w:sz w:val="21"/>
                      <w:szCs w:val="21"/>
                      <w:highlight w:val="none"/>
                    </w:rPr>
                    <w:t>广东省《水污染物排放限值》</w:t>
                  </w:r>
                  <w:r>
                    <w:rPr>
                      <w:rFonts w:hint="default" w:ascii="Times New Roman" w:hAnsi="Times New Roman" w:eastAsia="宋体" w:cs="Times New Roman"/>
                      <w:color w:val="auto"/>
                      <w:spacing w:val="2"/>
                      <w:sz w:val="21"/>
                      <w:szCs w:val="21"/>
                      <w:highlight w:val="none"/>
                    </w:rPr>
                    <w:t>（</w:t>
                  </w:r>
                  <w:r>
                    <w:rPr>
                      <w:rFonts w:hint="default" w:ascii="Times New Roman" w:hAnsi="Times New Roman" w:eastAsia="宋体" w:cs="Times New Roman"/>
                      <w:color w:val="auto"/>
                      <w:sz w:val="21"/>
                      <w:szCs w:val="21"/>
                      <w:highlight w:val="none"/>
                    </w:rPr>
                    <w:t>DB</w:t>
                  </w:r>
                  <w:r>
                    <w:rPr>
                      <w:rFonts w:hint="default" w:ascii="Times New Roman" w:hAnsi="Times New Roman" w:eastAsia="宋体" w:cs="Times New Roman"/>
                      <w:color w:val="auto"/>
                      <w:spacing w:val="2"/>
                      <w:sz w:val="21"/>
                      <w:szCs w:val="21"/>
                      <w:highlight w:val="none"/>
                    </w:rPr>
                    <w:t>44/26-2001）中第二时段三级排放标准</w:t>
                  </w:r>
                </w:p>
              </w:tc>
            </w:tr>
            <w:tr w14:paraId="04C10A7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412" w:type="pct"/>
                  <w:vMerge w:val="continue"/>
                  <w:tcBorders>
                    <w:tl2br w:val="nil"/>
                    <w:tr2bl w:val="nil"/>
                  </w:tcBorders>
                  <w:noWrap w:val="0"/>
                  <w:vAlign w:val="center"/>
                </w:tcPr>
                <w:p w14:paraId="42A8F75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726" w:type="pct"/>
                  <w:vMerge w:val="continue"/>
                  <w:tcBorders>
                    <w:tl2br w:val="nil"/>
                    <w:tr2bl w:val="nil"/>
                  </w:tcBorders>
                  <w:noWrap w:val="0"/>
                  <w:vAlign w:val="center"/>
                </w:tcPr>
                <w:p w14:paraId="7EF68AE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517" w:type="pct"/>
                  <w:tcBorders>
                    <w:tl2br w:val="nil"/>
                    <w:tr2bl w:val="nil"/>
                  </w:tcBorders>
                  <w:noWrap w:val="0"/>
                  <w:vAlign w:val="center"/>
                </w:tcPr>
                <w:p w14:paraId="6578B4B7">
                  <w:pPr>
                    <w:pStyle w:val="106"/>
                    <w:keepNext w:val="0"/>
                    <w:keepLines w:val="0"/>
                    <w:suppressLineNumbers w:val="0"/>
                    <w:autoSpaceDE/>
                    <w:autoSpaceDN/>
                    <w:adjustRightInd/>
                    <w:spacing w:before="0" w:beforeAutospacing="0" w:after="0" w:afterAutospacing="0"/>
                    <w:ind w:left="0" w:right="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BOD</w:t>
                  </w:r>
                  <w:r>
                    <w:rPr>
                      <w:rFonts w:hint="default" w:ascii="Times New Roman" w:hAnsi="Times New Roman" w:eastAsia="宋体" w:cs="Times New Roman"/>
                      <w:color w:val="auto"/>
                      <w:sz w:val="21"/>
                      <w:szCs w:val="21"/>
                      <w:highlight w:val="none"/>
                      <w:vertAlign w:val="subscript"/>
                    </w:rPr>
                    <w:t>5</w:t>
                  </w:r>
                </w:p>
              </w:tc>
              <w:tc>
                <w:tcPr>
                  <w:tcW w:w="601" w:type="pct"/>
                  <w:tcBorders>
                    <w:tl2br w:val="nil"/>
                    <w:tr2bl w:val="nil"/>
                  </w:tcBorders>
                  <w:noWrap w:val="0"/>
                  <w:vAlign w:val="center"/>
                </w:tcPr>
                <w:p w14:paraId="5D935DD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10mg/L</w:t>
                  </w:r>
                </w:p>
              </w:tc>
              <w:tc>
                <w:tcPr>
                  <w:tcW w:w="581" w:type="pct"/>
                  <w:tcBorders>
                    <w:tl2br w:val="nil"/>
                    <w:tr2bl w:val="nil"/>
                  </w:tcBorders>
                  <w:noWrap w:val="0"/>
                  <w:vAlign w:val="center"/>
                </w:tcPr>
                <w:p w14:paraId="6C7BE1D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w:t>
                  </w:r>
                  <w:r>
                    <w:rPr>
                      <w:rFonts w:hint="eastAsia" w:cs="Times New Roman"/>
                      <w:color w:val="auto"/>
                      <w:sz w:val="21"/>
                      <w:szCs w:val="21"/>
                      <w:highlight w:val="none"/>
                      <w:lang w:val="en-US" w:eastAsia="zh-CN"/>
                    </w:rPr>
                    <w:t>074</w:t>
                  </w:r>
                  <w:r>
                    <w:rPr>
                      <w:rFonts w:hint="default" w:ascii="Times New Roman" w:hAnsi="Times New Roman" w:eastAsia="宋体" w:cs="Times New Roman"/>
                      <w:color w:val="auto"/>
                      <w:sz w:val="21"/>
                      <w:szCs w:val="21"/>
                      <w:highlight w:val="none"/>
                    </w:rPr>
                    <w:t>t/a</w:t>
                  </w:r>
                </w:p>
              </w:tc>
              <w:tc>
                <w:tcPr>
                  <w:tcW w:w="654" w:type="pct"/>
                  <w:vMerge w:val="continue"/>
                  <w:tcBorders>
                    <w:tl2br w:val="nil"/>
                    <w:tr2bl w:val="nil"/>
                  </w:tcBorders>
                  <w:noWrap w:val="0"/>
                  <w:vAlign w:val="center"/>
                </w:tcPr>
                <w:p w14:paraId="326C8B1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343" w:type="pct"/>
                  <w:tcBorders>
                    <w:tl2br w:val="nil"/>
                    <w:tr2bl w:val="nil"/>
                  </w:tcBorders>
                  <w:noWrap w:val="0"/>
                  <w:vAlign w:val="center"/>
                </w:tcPr>
                <w:p w14:paraId="7C01096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163" w:type="pct"/>
                  <w:vMerge w:val="continue"/>
                  <w:tcBorders>
                    <w:tl2br w:val="nil"/>
                    <w:tr2bl w:val="nil"/>
                  </w:tcBorders>
                  <w:noWrap w:val="0"/>
                  <w:vAlign w:val="center"/>
                </w:tcPr>
                <w:p w14:paraId="54E0045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r>
            <w:tr w14:paraId="573027C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412" w:type="pct"/>
                  <w:vMerge w:val="continue"/>
                  <w:tcBorders>
                    <w:tl2br w:val="nil"/>
                    <w:tr2bl w:val="nil"/>
                  </w:tcBorders>
                  <w:noWrap w:val="0"/>
                  <w:vAlign w:val="center"/>
                </w:tcPr>
                <w:p w14:paraId="416726E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726" w:type="pct"/>
                  <w:vMerge w:val="continue"/>
                  <w:tcBorders>
                    <w:tl2br w:val="nil"/>
                    <w:tr2bl w:val="nil"/>
                  </w:tcBorders>
                  <w:noWrap w:val="0"/>
                  <w:vAlign w:val="center"/>
                </w:tcPr>
                <w:p w14:paraId="3DAF664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517" w:type="pct"/>
                  <w:tcBorders>
                    <w:tl2br w:val="nil"/>
                    <w:tr2bl w:val="nil"/>
                  </w:tcBorders>
                  <w:noWrap w:val="0"/>
                  <w:vAlign w:val="center"/>
                </w:tcPr>
                <w:p w14:paraId="6EAEEAAE">
                  <w:pPr>
                    <w:pStyle w:val="106"/>
                    <w:keepNext w:val="0"/>
                    <w:keepLines w:val="0"/>
                    <w:suppressLineNumbers w:val="0"/>
                    <w:autoSpaceDE/>
                    <w:autoSpaceDN/>
                    <w:adjustRightInd/>
                    <w:spacing w:before="0" w:beforeAutospacing="0" w:after="0" w:afterAutospacing="0"/>
                    <w:ind w:left="0" w:right="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SS</w:t>
                  </w:r>
                </w:p>
              </w:tc>
              <w:tc>
                <w:tcPr>
                  <w:tcW w:w="601" w:type="pct"/>
                  <w:tcBorders>
                    <w:tl2br w:val="nil"/>
                    <w:tr2bl w:val="nil"/>
                  </w:tcBorders>
                  <w:noWrap w:val="0"/>
                  <w:vAlign w:val="center"/>
                </w:tcPr>
                <w:p w14:paraId="5AD9730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10mg/L</w:t>
                  </w:r>
                </w:p>
              </w:tc>
              <w:tc>
                <w:tcPr>
                  <w:tcW w:w="581" w:type="pct"/>
                  <w:tcBorders>
                    <w:tl2br w:val="nil"/>
                    <w:tr2bl w:val="nil"/>
                  </w:tcBorders>
                  <w:noWrap w:val="0"/>
                  <w:vAlign w:val="center"/>
                </w:tcPr>
                <w:p w14:paraId="7B046AC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w:t>
                  </w:r>
                  <w:r>
                    <w:rPr>
                      <w:rFonts w:hint="eastAsia" w:cs="Times New Roman"/>
                      <w:color w:val="auto"/>
                      <w:sz w:val="21"/>
                      <w:szCs w:val="21"/>
                      <w:highlight w:val="none"/>
                      <w:lang w:val="en-US" w:eastAsia="zh-CN"/>
                    </w:rPr>
                    <w:t>074</w:t>
                  </w:r>
                  <w:r>
                    <w:rPr>
                      <w:rFonts w:hint="default" w:ascii="Times New Roman" w:hAnsi="Times New Roman" w:eastAsia="宋体" w:cs="Times New Roman"/>
                      <w:color w:val="auto"/>
                      <w:sz w:val="21"/>
                      <w:szCs w:val="21"/>
                      <w:highlight w:val="none"/>
                    </w:rPr>
                    <w:t>t/a</w:t>
                  </w:r>
                </w:p>
              </w:tc>
              <w:tc>
                <w:tcPr>
                  <w:tcW w:w="654" w:type="pct"/>
                  <w:vMerge w:val="continue"/>
                  <w:tcBorders>
                    <w:tl2br w:val="nil"/>
                    <w:tr2bl w:val="nil"/>
                  </w:tcBorders>
                  <w:noWrap w:val="0"/>
                  <w:vAlign w:val="center"/>
                </w:tcPr>
                <w:p w14:paraId="30BC94A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343" w:type="pct"/>
                  <w:tcBorders>
                    <w:tl2br w:val="nil"/>
                    <w:tr2bl w:val="nil"/>
                  </w:tcBorders>
                  <w:noWrap w:val="0"/>
                  <w:vAlign w:val="center"/>
                </w:tcPr>
                <w:p w14:paraId="0FB5AA9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163" w:type="pct"/>
                  <w:vMerge w:val="continue"/>
                  <w:tcBorders>
                    <w:tl2br w:val="nil"/>
                    <w:tr2bl w:val="nil"/>
                  </w:tcBorders>
                  <w:noWrap w:val="0"/>
                  <w:vAlign w:val="center"/>
                </w:tcPr>
                <w:p w14:paraId="1D5FE41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r>
            <w:tr w14:paraId="48651EA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412" w:type="pct"/>
                  <w:vMerge w:val="continue"/>
                  <w:tcBorders>
                    <w:tl2br w:val="nil"/>
                    <w:tr2bl w:val="nil"/>
                  </w:tcBorders>
                  <w:noWrap w:val="0"/>
                  <w:vAlign w:val="center"/>
                </w:tcPr>
                <w:p w14:paraId="52DE30B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726" w:type="pct"/>
                  <w:vMerge w:val="continue"/>
                  <w:tcBorders>
                    <w:tl2br w:val="nil"/>
                    <w:tr2bl w:val="nil"/>
                  </w:tcBorders>
                  <w:noWrap w:val="0"/>
                  <w:vAlign w:val="center"/>
                </w:tcPr>
                <w:p w14:paraId="6DEFB7A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517" w:type="pct"/>
                  <w:tcBorders>
                    <w:tl2br w:val="nil"/>
                    <w:tr2bl w:val="nil"/>
                  </w:tcBorders>
                  <w:noWrap w:val="0"/>
                  <w:vAlign w:val="center"/>
                </w:tcPr>
                <w:p w14:paraId="530E2184">
                  <w:pPr>
                    <w:pStyle w:val="106"/>
                    <w:keepNext w:val="0"/>
                    <w:keepLines w:val="0"/>
                    <w:suppressLineNumbers w:val="0"/>
                    <w:autoSpaceDE/>
                    <w:autoSpaceDN/>
                    <w:adjustRightInd/>
                    <w:spacing w:before="0" w:beforeAutospacing="0" w:after="0" w:afterAutospacing="0"/>
                    <w:ind w:left="0" w:right="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NH</w:t>
                  </w:r>
                  <w:r>
                    <w:rPr>
                      <w:rFonts w:hint="default" w:ascii="Times New Roman" w:hAnsi="Times New Roman" w:eastAsia="宋体" w:cs="Times New Roman"/>
                      <w:color w:val="auto"/>
                      <w:sz w:val="21"/>
                      <w:szCs w:val="21"/>
                      <w:highlight w:val="none"/>
                      <w:vertAlign w:val="subscript"/>
                    </w:rPr>
                    <w:t>3</w:t>
                  </w:r>
                  <w:r>
                    <w:rPr>
                      <w:rFonts w:hint="default" w:ascii="Times New Roman" w:hAnsi="Times New Roman" w:eastAsia="宋体" w:cs="Times New Roman"/>
                      <w:color w:val="auto"/>
                      <w:sz w:val="21"/>
                      <w:szCs w:val="21"/>
                      <w:highlight w:val="none"/>
                    </w:rPr>
                    <w:t>-N</w:t>
                  </w:r>
                </w:p>
              </w:tc>
              <w:tc>
                <w:tcPr>
                  <w:tcW w:w="601" w:type="pct"/>
                  <w:tcBorders>
                    <w:tl2br w:val="nil"/>
                    <w:tr2bl w:val="nil"/>
                  </w:tcBorders>
                  <w:noWrap w:val="0"/>
                  <w:vAlign w:val="center"/>
                </w:tcPr>
                <w:p w14:paraId="56BDA52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rPr>
                    <w:t>mg/L</w:t>
                  </w:r>
                </w:p>
              </w:tc>
              <w:tc>
                <w:tcPr>
                  <w:tcW w:w="581" w:type="pct"/>
                  <w:tcBorders>
                    <w:tl2br w:val="nil"/>
                    <w:tr2bl w:val="nil"/>
                  </w:tcBorders>
                  <w:noWrap w:val="0"/>
                  <w:vAlign w:val="center"/>
                </w:tcPr>
                <w:p w14:paraId="39596AD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w:t>
                  </w:r>
                  <w:r>
                    <w:rPr>
                      <w:rFonts w:hint="eastAsia" w:cs="Times New Roman"/>
                      <w:color w:val="auto"/>
                      <w:sz w:val="21"/>
                      <w:szCs w:val="21"/>
                      <w:highlight w:val="none"/>
                      <w:lang w:val="en-US" w:eastAsia="zh-CN"/>
                    </w:rPr>
                    <w:t>015</w:t>
                  </w:r>
                  <w:r>
                    <w:rPr>
                      <w:rFonts w:hint="default" w:ascii="Times New Roman" w:hAnsi="Times New Roman" w:eastAsia="宋体" w:cs="Times New Roman"/>
                      <w:color w:val="auto"/>
                      <w:sz w:val="21"/>
                      <w:szCs w:val="21"/>
                      <w:highlight w:val="none"/>
                    </w:rPr>
                    <w:t>t/a</w:t>
                  </w:r>
                </w:p>
              </w:tc>
              <w:tc>
                <w:tcPr>
                  <w:tcW w:w="654" w:type="pct"/>
                  <w:vMerge w:val="continue"/>
                  <w:tcBorders>
                    <w:tl2br w:val="nil"/>
                    <w:tr2bl w:val="nil"/>
                  </w:tcBorders>
                  <w:noWrap w:val="0"/>
                  <w:vAlign w:val="center"/>
                </w:tcPr>
                <w:p w14:paraId="12B39A2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343" w:type="pct"/>
                  <w:tcBorders>
                    <w:tl2br w:val="nil"/>
                    <w:tr2bl w:val="nil"/>
                  </w:tcBorders>
                  <w:noWrap w:val="0"/>
                  <w:vAlign w:val="center"/>
                </w:tcPr>
                <w:p w14:paraId="4C47D80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163" w:type="pct"/>
                  <w:vMerge w:val="continue"/>
                  <w:tcBorders>
                    <w:tl2br w:val="nil"/>
                    <w:tr2bl w:val="nil"/>
                  </w:tcBorders>
                  <w:noWrap w:val="0"/>
                  <w:vAlign w:val="center"/>
                </w:tcPr>
                <w:p w14:paraId="09B4113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r>
            <w:tr w14:paraId="3868D6F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412" w:type="pct"/>
                  <w:vMerge w:val="continue"/>
                  <w:tcBorders>
                    <w:tl2br w:val="nil"/>
                    <w:tr2bl w:val="nil"/>
                  </w:tcBorders>
                  <w:noWrap w:val="0"/>
                  <w:vAlign w:val="center"/>
                </w:tcPr>
                <w:p w14:paraId="732C47E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726" w:type="pct"/>
                  <w:vMerge w:val="continue"/>
                  <w:tcBorders>
                    <w:tl2br w:val="nil"/>
                    <w:tr2bl w:val="nil"/>
                  </w:tcBorders>
                  <w:noWrap w:val="0"/>
                  <w:vAlign w:val="center"/>
                </w:tcPr>
                <w:p w14:paraId="66C1C8EC">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517" w:type="pct"/>
                  <w:tcBorders>
                    <w:tl2br w:val="nil"/>
                    <w:tr2bl w:val="nil"/>
                  </w:tcBorders>
                  <w:noWrap w:val="0"/>
                  <w:vAlign w:val="center"/>
                </w:tcPr>
                <w:p w14:paraId="36F985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bidi="ar"/>
                    </w:rPr>
                    <w:t>LAS</w:t>
                  </w:r>
                </w:p>
              </w:tc>
              <w:tc>
                <w:tcPr>
                  <w:tcW w:w="601" w:type="pct"/>
                  <w:tcBorders>
                    <w:tl2br w:val="nil"/>
                    <w:tr2bl w:val="nil"/>
                  </w:tcBorders>
                  <w:noWrap w:val="0"/>
                  <w:vAlign w:val="center"/>
                </w:tcPr>
                <w:p w14:paraId="262E2BA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10mg/L</w:t>
                  </w:r>
                </w:p>
              </w:tc>
              <w:tc>
                <w:tcPr>
                  <w:tcW w:w="581" w:type="pct"/>
                  <w:tcBorders>
                    <w:tl2br w:val="nil"/>
                    <w:tr2bl w:val="nil"/>
                  </w:tcBorders>
                  <w:noWrap w:val="0"/>
                  <w:vAlign w:val="center"/>
                </w:tcPr>
                <w:p w14:paraId="0D22F9E6">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snapToGrid w:val="0"/>
                      <w:color w:val="auto"/>
                      <w:kern w:val="21"/>
                      <w:sz w:val="21"/>
                      <w:szCs w:val="21"/>
                      <w:highlight w:val="none"/>
                    </w:rPr>
                  </w:pPr>
                  <w:r>
                    <w:rPr>
                      <w:rFonts w:hint="default" w:ascii="Times New Roman" w:hAnsi="Times New Roman" w:eastAsia="宋体" w:cs="Times New Roman"/>
                      <w:color w:val="auto"/>
                      <w:sz w:val="21"/>
                      <w:szCs w:val="21"/>
                      <w:highlight w:val="none"/>
                    </w:rPr>
                    <w:t>0.0</w:t>
                  </w:r>
                  <w:r>
                    <w:rPr>
                      <w:rFonts w:hint="eastAsia" w:cs="Times New Roman"/>
                      <w:color w:val="auto"/>
                      <w:sz w:val="21"/>
                      <w:szCs w:val="21"/>
                      <w:highlight w:val="none"/>
                      <w:lang w:val="en-US" w:eastAsia="zh-CN"/>
                    </w:rPr>
                    <w:t>074</w:t>
                  </w:r>
                  <w:r>
                    <w:rPr>
                      <w:rFonts w:hint="default" w:ascii="Times New Roman" w:hAnsi="Times New Roman" w:eastAsia="宋体" w:cs="Times New Roman"/>
                      <w:color w:val="auto"/>
                      <w:sz w:val="21"/>
                      <w:szCs w:val="21"/>
                      <w:highlight w:val="none"/>
                    </w:rPr>
                    <w:t>t/a</w:t>
                  </w:r>
                </w:p>
              </w:tc>
              <w:tc>
                <w:tcPr>
                  <w:tcW w:w="654" w:type="pct"/>
                  <w:vMerge w:val="continue"/>
                  <w:tcBorders>
                    <w:tl2br w:val="nil"/>
                    <w:tr2bl w:val="nil"/>
                  </w:tcBorders>
                  <w:noWrap w:val="0"/>
                  <w:vAlign w:val="center"/>
                </w:tcPr>
                <w:p w14:paraId="6F9C42F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343" w:type="pct"/>
                  <w:tcBorders>
                    <w:tl2br w:val="nil"/>
                    <w:tr2bl w:val="nil"/>
                  </w:tcBorders>
                  <w:noWrap w:val="0"/>
                  <w:vAlign w:val="center"/>
                </w:tcPr>
                <w:p w14:paraId="5559F2E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163" w:type="pct"/>
                  <w:vMerge w:val="continue"/>
                  <w:tcBorders>
                    <w:tl2br w:val="nil"/>
                    <w:tr2bl w:val="nil"/>
                  </w:tcBorders>
                  <w:noWrap w:val="0"/>
                  <w:vAlign w:val="center"/>
                </w:tcPr>
                <w:p w14:paraId="2922B36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r>
            <w:tr w14:paraId="25F05EC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412" w:type="pct"/>
                  <w:vMerge w:val="continue"/>
                  <w:tcBorders>
                    <w:tl2br w:val="nil"/>
                    <w:tr2bl w:val="nil"/>
                  </w:tcBorders>
                  <w:noWrap w:val="0"/>
                  <w:vAlign w:val="center"/>
                </w:tcPr>
                <w:p w14:paraId="6DB226F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726" w:type="pct"/>
                  <w:vMerge w:val="continue"/>
                  <w:tcBorders>
                    <w:tl2br w:val="nil"/>
                    <w:tr2bl w:val="nil"/>
                  </w:tcBorders>
                  <w:noWrap w:val="0"/>
                  <w:vAlign w:val="center"/>
                </w:tcPr>
                <w:p w14:paraId="3E2BF55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517" w:type="pct"/>
                  <w:tcBorders>
                    <w:tl2br w:val="nil"/>
                    <w:tr2bl w:val="nil"/>
                  </w:tcBorders>
                  <w:noWrap w:val="0"/>
                  <w:vAlign w:val="center"/>
                </w:tcPr>
                <w:p w14:paraId="0F95209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sz w:val="21"/>
                      <w:szCs w:val="21"/>
                      <w:highlight w:val="none"/>
                      <w:lang w:bidi="ar"/>
                    </w:rPr>
                    <w:t>TP</w:t>
                  </w:r>
                </w:p>
              </w:tc>
              <w:tc>
                <w:tcPr>
                  <w:tcW w:w="601" w:type="pct"/>
                  <w:tcBorders>
                    <w:tl2br w:val="nil"/>
                    <w:tr2bl w:val="nil"/>
                  </w:tcBorders>
                  <w:noWrap w:val="0"/>
                  <w:vAlign w:val="center"/>
                </w:tcPr>
                <w:p w14:paraId="37C51F77">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0.4</w:t>
                  </w:r>
                  <w:r>
                    <w:rPr>
                      <w:rFonts w:hint="default" w:ascii="Times New Roman" w:hAnsi="Times New Roman" w:eastAsia="宋体" w:cs="Times New Roman"/>
                      <w:color w:val="auto"/>
                      <w:sz w:val="21"/>
                      <w:szCs w:val="21"/>
                      <w:highlight w:val="none"/>
                    </w:rPr>
                    <w:t>mg/L</w:t>
                  </w:r>
                </w:p>
              </w:tc>
              <w:tc>
                <w:tcPr>
                  <w:tcW w:w="581" w:type="pct"/>
                  <w:tcBorders>
                    <w:tl2br w:val="nil"/>
                    <w:tr2bl w:val="nil"/>
                  </w:tcBorders>
                  <w:noWrap w:val="0"/>
                  <w:vAlign w:val="center"/>
                </w:tcPr>
                <w:p w14:paraId="69413DA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 w:val="21"/>
                      <w:szCs w:val="21"/>
                      <w:highlight w:val="none"/>
                      <w:lang w:eastAsia="zh-CN"/>
                    </w:rPr>
                  </w:pPr>
                  <w:r>
                    <w:rPr>
                      <w:rFonts w:hint="default" w:ascii="Times New Roman" w:hAnsi="Times New Roman" w:eastAsia="宋体" w:cs="Times New Roman"/>
                      <w:color w:val="auto"/>
                      <w:kern w:val="0"/>
                      <w:sz w:val="21"/>
                      <w:szCs w:val="21"/>
                      <w:highlight w:val="none"/>
                      <w:lang w:bidi="ar"/>
                    </w:rPr>
                    <w:t>0.0</w:t>
                  </w:r>
                  <w:r>
                    <w:rPr>
                      <w:rFonts w:hint="eastAsia" w:cs="Times New Roman"/>
                      <w:color w:val="auto"/>
                      <w:kern w:val="0"/>
                      <w:sz w:val="21"/>
                      <w:szCs w:val="21"/>
                      <w:highlight w:val="none"/>
                      <w:lang w:val="en-US" w:eastAsia="zh-CN" w:bidi="ar"/>
                    </w:rPr>
                    <w:t>003</w:t>
                  </w:r>
                  <w:r>
                    <w:rPr>
                      <w:rFonts w:hint="default" w:ascii="Times New Roman" w:hAnsi="Times New Roman" w:eastAsia="宋体" w:cs="Times New Roman"/>
                      <w:color w:val="auto"/>
                      <w:sz w:val="21"/>
                      <w:szCs w:val="21"/>
                      <w:highlight w:val="none"/>
                    </w:rPr>
                    <w:t>t/a</w:t>
                  </w:r>
                </w:p>
              </w:tc>
              <w:tc>
                <w:tcPr>
                  <w:tcW w:w="654" w:type="pct"/>
                  <w:vMerge w:val="continue"/>
                  <w:tcBorders>
                    <w:tl2br w:val="nil"/>
                    <w:tr2bl w:val="nil"/>
                  </w:tcBorders>
                  <w:noWrap w:val="0"/>
                  <w:vAlign w:val="center"/>
                </w:tcPr>
                <w:p w14:paraId="6BF4FAD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343" w:type="pct"/>
                  <w:tcBorders>
                    <w:tl2br w:val="nil"/>
                    <w:tr2bl w:val="nil"/>
                  </w:tcBorders>
                  <w:noWrap w:val="0"/>
                  <w:vAlign w:val="center"/>
                </w:tcPr>
                <w:p w14:paraId="1ED7519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163" w:type="pct"/>
                  <w:vMerge w:val="continue"/>
                  <w:tcBorders>
                    <w:tl2br w:val="nil"/>
                    <w:tr2bl w:val="nil"/>
                  </w:tcBorders>
                  <w:noWrap w:val="0"/>
                  <w:vAlign w:val="center"/>
                </w:tcPr>
                <w:p w14:paraId="30B75FF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r>
            <w:tr w14:paraId="5FE666C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412" w:type="pct"/>
                  <w:vMerge w:val="continue"/>
                  <w:tcBorders>
                    <w:tl2br w:val="nil"/>
                    <w:tr2bl w:val="nil"/>
                  </w:tcBorders>
                  <w:noWrap w:val="0"/>
                  <w:vAlign w:val="center"/>
                </w:tcPr>
                <w:p w14:paraId="7572509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726" w:type="pct"/>
                  <w:vMerge w:val="continue"/>
                  <w:tcBorders>
                    <w:tl2br w:val="nil"/>
                    <w:tr2bl w:val="nil"/>
                  </w:tcBorders>
                  <w:noWrap w:val="0"/>
                  <w:vAlign w:val="center"/>
                </w:tcPr>
                <w:p w14:paraId="137BD95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517" w:type="pct"/>
                  <w:tcBorders>
                    <w:tl2br w:val="nil"/>
                    <w:tr2bl w:val="nil"/>
                  </w:tcBorders>
                  <w:noWrap w:val="0"/>
                  <w:vAlign w:val="center"/>
                </w:tcPr>
                <w:p w14:paraId="5CD2E7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bidi="ar"/>
                    </w:rPr>
                    <w:t>动植物油</w:t>
                  </w:r>
                </w:p>
              </w:tc>
              <w:tc>
                <w:tcPr>
                  <w:tcW w:w="601" w:type="pct"/>
                  <w:tcBorders>
                    <w:tl2br w:val="nil"/>
                    <w:tr2bl w:val="nil"/>
                  </w:tcBorders>
                  <w:noWrap w:val="0"/>
                  <w:vAlign w:val="center"/>
                </w:tcPr>
                <w:p w14:paraId="041DE665">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rPr>
                    <w:t>mg/L</w:t>
                  </w:r>
                </w:p>
              </w:tc>
              <w:tc>
                <w:tcPr>
                  <w:tcW w:w="581" w:type="pct"/>
                  <w:tcBorders>
                    <w:tl2br w:val="nil"/>
                    <w:tr2bl w:val="nil"/>
                  </w:tcBorders>
                  <w:noWrap w:val="0"/>
                  <w:vAlign w:val="center"/>
                </w:tcPr>
                <w:p w14:paraId="457E31D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 w:val="21"/>
                      <w:szCs w:val="21"/>
                      <w:highlight w:val="none"/>
                      <w:lang w:eastAsia="zh-CN"/>
                    </w:rPr>
                  </w:pPr>
                  <w:r>
                    <w:rPr>
                      <w:rFonts w:hint="default" w:ascii="Times New Roman" w:hAnsi="Times New Roman" w:eastAsia="宋体" w:cs="Times New Roman"/>
                      <w:color w:val="auto"/>
                      <w:kern w:val="0"/>
                      <w:sz w:val="21"/>
                      <w:szCs w:val="21"/>
                      <w:highlight w:val="none"/>
                      <w:lang w:bidi="ar"/>
                    </w:rPr>
                    <w:t>0.</w:t>
                  </w:r>
                  <w:r>
                    <w:rPr>
                      <w:rFonts w:hint="eastAsia" w:cs="Times New Roman"/>
                      <w:color w:val="auto"/>
                      <w:kern w:val="0"/>
                      <w:sz w:val="21"/>
                      <w:szCs w:val="21"/>
                      <w:highlight w:val="none"/>
                      <w:lang w:val="en-US" w:eastAsia="zh-CN" w:bidi="ar"/>
                    </w:rPr>
                    <w:t>0007</w:t>
                  </w:r>
                  <w:r>
                    <w:rPr>
                      <w:rFonts w:hint="default" w:ascii="Times New Roman" w:hAnsi="Times New Roman" w:eastAsia="宋体" w:cs="Times New Roman"/>
                      <w:color w:val="auto"/>
                      <w:sz w:val="21"/>
                      <w:szCs w:val="21"/>
                      <w:highlight w:val="none"/>
                    </w:rPr>
                    <w:t>t/a</w:t>
                  </w:r>
                </w:p>
              </w:tc>
              <w:tc>
                <w:tcPr>
                  <w:tcW w:w="654" w:type="pct"/>
                  <w:vMerge w:val="continue"/>
                  <w:tcBorders>
                    <w:tl2br w:val="nil"/>
                    <w:tr2bl w:val="nil"/>
                  </w:tcBorders>
                  <w:noWrap w:val="0"/>
                  <w:vAlign w:val="center"/>
                </w:tcPr>
                <w:p w14:paraId="35E8816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343" w:type="pct"/>
                  <w:tcBorders>
                    <w:tl2br w:val="nil"/>
                    <w:tr2bl w:val="nil"/>
                  </w:tcBorders>
                  <w:noWrap w:val="0"/>
                  <w:vAlign w:val="center"/>
                </w:tcPr>
                <w:p w14:paraId="612ED6C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163" w:type="pct"/>
                  <w:vMerge w:val="continue"/>
                  <w:tcBorders>
                    <w:tl2br w:val="nil"/>
                    <w:tr2bl w:val="nil"/>
                  </w:tcBorders>
                  <w:noWrap w:val="0"/>
                  <w:vAlign w:val="center"/>
                </w:tcPr>
                <w:p w14:paraId="680510A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r>
            <w:tr w14:paraId="1101905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jc w:val="center"/>
              </w:trPr>
              <w:tc>
                <w:tcPr>
                  <w:tcW w:w="412" w:type="pct"/>
                  <w:vMerge w:val="restart"/>
                  <w:tcBorders>
                    <w:tl2br w:val="nil"/>
                    <w:tr2bl w:val="nil"/>
                  </w:tcBorders>
                  <w:noWrap w:val="0"/>
                  <w:vAlign w:val="center"/>
                </w:tcPr>
                <w:p w14:paraId="57C45DA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大气污染物</w:t>
                  </w:r>
                </w:p>
              </w:tc>
              <w:tc>
                <w:tcPr>
                  <w:tcW w:w="726" w:type="pct"/>
                  <w:tcBorders>
                    <w:tl2br w:val="nil"/>
                    <w:tr2bl w:val="nil"/>
                  </w:tcBorders>
                  <w:noWrap w:val="0"/>
                  <w:vAlign w:val="center"/>
                </w:tcPr>
                <w:p w14:paraId="2FBA726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吸塑有机废气（DA001）</w:t>
                  </w:r>
                </w:p>
              </w:tc>
              <w:tc>
                <w:tcPr>
                  <w:tcW w:w="517" w:type="pct"/>
                  <w:tcBorders>
                    <w:tl2br w:val="nil"/>
                    <w:tr2bl w:val="nil"/>
                  </w:tcBorders>
                  <w:noWrap w:val="0"/>
                  <w:vAlign w:val="center"/>
                </w:tcPr>
                <w:p w14:paraId="6FAB7758">
                  <w:pPr>
                    <w:pStyle w:val="106"/>
                    <w:keepNext w:val="0"/>
                    <w:keepLines w:val="0"/>
                    <w:suppressLineNumbers w:val="0"/>
                    <w:autoSpaceDE/>
                    <w:autoSpaceDN/>
                    <w:adjustRightInd/>
                    <w:spacing w:before="0" w:beforeAutospacing="0" w:after="0" w:afterAutospacing="0"/>
                    <w:ind w:left="0" w:right="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非甲烷总烃</w:t>
                  </w:r>
                </w:p>
              </w:tc>
              <w:tc>
                <w:tcPr>
                  <w:tcW w:w="1182" w:type="pct"/>
                  <w:gridSpan w:val="2"/>
                  <w:tcBorders>
                    <w:tl2br w:val="nil"/>
                    <w:tr2bl w:val="nil"/>
                  </w:tcBorders>
                  <w:noWrap w:val="0"/>
                  <w:vAlign w:val="center"/>
                </w:tcPr>
                <w:p w14:paraId="73E50401">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0.1744</w:t>
                  </w:r>
                  <w:r>
                    <w:rPr>
                      <w:rFonts w:hint="default" w:ascii="Times New Roman" w:hAnsi="Times New Roman" w:eastAsia="宋体" w:cs="Times New Roman"/>
                      <w:color w:val="auto"/>
                      <w:sz w:val="21"/>
                      <w:szCs w:val="21"/>
                      <w:highlight w:val="none"/>
                    </w:rPr>
                    <w:t>t/a</w:t>
                  </w:r>
                </w:p>
              </w:tc>
              <w:tc>
                <w:tcPr>
                  <w:tcW w:w="654" w:type="pct"/>
                  <w:tcBorders>
                    <w:tl2br w:val="nil"/>
                    <w:tr2bl w:val="nil"/>
                  </w:tcBorders>
                  <w:noWrap w:val="0"/>
                  <w:vAlign w:val="center"/>
                </w:tcPr>
                <w:p w14:paraId="1705F03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收集后经</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活性炭吸附装置</w:t>
                  </w:r>
                  <w:r>
                    <w:rPr>
                      <w:rFonts w:hint="eastAsia" w:ascii="宋体" w:hAnsi="宋体" w:eastAsia="宋体" w:cs="宋体"/>
                      <w:color w:val="auto"/>
                      <w:sz w:val="21"/>
                      <w:szCs w:val="21"/>
                      <w:highlight w:val="none"/>
                    </w:rPr>
                    <w:t>”处</w:t>
                  </w:r>
                  <w:r>
                    <w:rPr>
                      <w:rFonts w:hint="default" w:ascii="Times New Roman" w:hAnsi="Times New Roman" w:eastAsia="宋体" w:cs="Times New Roman"/>
                      <w:color w:val="auto"/>
                      <w:sz w:val="21"/>
                      <w:szCs w:val="21"/>
                      <w:highlight w:val="none"/>
                    </w:rPr>
                    <w:t>理后引至</w:t>
                  </w:r>
                  <w:r>
                    <w:rPr>
                      <w:rFonts w:hint="eastAsia" w:cs="Times New Roman"/>
                      <w:color w:val="auto"/>
                      <w:sz w:val="21"/>
                      <w:szCs w:val="21"/>
                      <w:highlight w:val="none"/>
                      <w:lang w:val="en-US" w:eastAsia="zh-CN"/>
                    </w:rPr>
                    <w:t>15</w:t>
                  </w:r>
                  <w:r>
                    <w:rPr>
                      <w:rFonts w:hint="default" w:ascii="Times New Roman" w:hAnsi="Times New Roman" w:eastAsia="宋体" w:cs="Times New Roman"/>
                      <w:color w:val="auto"/>
                      <w:sz w:val="21"/>
                      <w:szCs w:val="21"/>
                      <w:highlight w:val="none"/>
                    </w:rPr>
                    <w:t>米高排气筒（编号</w:t>
                  </w:r>
                  <w:r>
                    <w:rPr>
                      <w:rFonts w:hint="eastAsia" w:cs="Times New Roman"/>
                      <w:color w:val="auto"/>
                      <w:sz w:val="21"/>
                      <w:szCs w:val="21"/>
                      <w:highlight w:val="none"/>
                      <w:lang w:val="en-US" w:eastAsia="zh-CN"/>
                    </w:rPr>
                    <w:t>DA001</w:t>
                  </w:r>
                  <w:r>
                    <w:rPr>
                      <w:rFonts w:hint="default" w:ascii="Times New Roman" w:hAnsi="Times New Roman" w:eastAsia="宋体" w:cs="Times New Roman"/>
                      <w:color w:val="auto"/>
                      <w:sz w:val="21"/>
                      <w:szCs w:val="21"/>
                      <w:highlight w:val="none"/>
                    </w:rPr>
                    <w:t>）排放</w:t>
                  </w:r>
                </w:p>
              </w:tc>
              <w:tc>
                <w:tcPr>
                  <w:tcW w:w="343" w:type="pct"/>
                  <w:tcBorders>
                    <w:tl2br w:val="nil"/>
                    <w:tr2bl w:val="nil"/>
                  </w:tcBorders>
                  <w:noWrap w:val="0"/>
                  <w:vAlign w:val="center"/>
                </w:tcPr>
                <w:p w14:paraId="316D27F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163" w:type="pct"/>
                  <w:tcBorders>
                    <w:tl2br w:val="nil"/>
                    <w:tr2bl w:val="nil"/>
                  </w:tcBorders>
                  <w:noWrap w:val="0"/>
                  <w:vAlign w:val="center"/>
                </w:tcPr>
                <w:p w14:paraId="022CC9A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16"/>
                      <w:highlight w:val="none"/>
                      <w:lang w:val="en-US" w:eastAsia="zh-CN"/>
                    </w:rPr>
                    <w:t>《合成树脂工业污染物排放标准》（GB31572-2015，含2024年修改单）中表5</w:t>
                  </w:r>
                  <w:r>
                    <w:rPr>
                      <w:rFonts w:hint="eastAsia" w:cs="Times New Roman"/>
                      <w:color w:val="auto"/>
                      <w:sz w:val="21"/>
                      <w:szCs w:val="16"/>
                      <w:highlight w:val="none"/>
                      <w:lang w:val="en-US" w:eastAsia="zh-CN"/>
                    </w:rPr>
                    <w:t>、表9</w:t>
                  </w:r>
                  <w:r>
                    <w:rPr>
                      <w:rFonts w:hint="default" w:ascii="Times New Roman" w:hAnsi="Times New Roman" w:eastAsia="宋体" w:cs="Times New Roman"/>
                      <w:color w:val="auto"/>
                      <w:sz w:val="21"/>
                      <w:szCs w:val="16"/>
                      <w:highlight w:val="none"/>
                      <w:lang w:val="en-US" w:eastAsia="zh-CN"/>
                    </w:rPr>
                    <w:t>大气污染物特别排放限值</w:t>
                  </w:r>
                </w:p>
              </w:tc>
            </w:tr>
            <w:tr w14:paraId="14DDBCD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jc w:val="center"/>
              </w:trPr>
              <w:tc>
                <w:tcPr>
                  <w:tcW w:w="412" w:type="pct"/>
                  <w:vMerge w:val="continue"/>
                  <w:tcBorders>
                    <w:tl2br w:val="nil"/>
                    <w:tr2bl w:val="nil"/>
                  </w:tcBorders>
                  <w:noWrap w:val="0"/>
                  <w:vAlign w:val="center"/>
                </w:tcPr>
                <w:p w14:paraId="577B511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726" w:type="pct"/>
                  <w:tcBorders>
                    <w:tl2br w:val="nil"/>
                    <w:tr2bl w:val="nil"/>
                  </w:tcBorders>
                  <w:noWrap w:val="0"/>
                  <w:vAlign w:val="center"/>
                </w:tcPr>
                <w:p w14:paraId="2FE6630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印刷油墨废气（DA002）</w:t>
                  </w:r>
                </w:p>
              </w:tc>
              <w:tc>
                <w:tcPr>
                  <w:tcW w:w="517" w:type="pct"/>
                  <w:tcBorders>
                    <w:tl2br w:val="nil"/>
                    <w:tr2bl w:val="nil"/>
                  </w:tcBorders>
                  <w:noWrap w:val="0"/>
                  <w:vAlign w:val="center"/>
                </w:tcPr>
                <w:p w14:paraId="44CD446A">
                  <w:pPr>
                    <w:pStyle w:val="106"/>
                    <w:keepNext w:val="0"/>
                    <w:keepLines w:val="0"/>
                    <w:suppressLineNumbers w:val="0"/>
                    <w:autoSpaceDE/>
                    <w:autoSpaceDN/>
                    <w:adjustRightInd/>
                    <w:spacing w:before="0" w:beforeAutospacing="0" w:after="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总VOCs</w:t>
                  </w:r>
                </w:p>
              </w:tc>
              <w:tc>
                <w:tcPr>
                  <w:tcW w:w="1182" w:type="pct"/>
                  <w:gridSpan w:val="2"/>
                  <w:tcBorders>
                    <w:tl2br w:val="nil"/>
                    <w:tr2bl w:val="nil"/>
                  </w:tcBorders>
                  <w:noWrap w:val="0"/>
                  <w:vAlign w:val="center"/>
                </w:tcPr>
                <w:p w14:paraId="06417AB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w:t>
                  </w:r>
                  <w:r>
                    <w:rPr>
                      <w:rFonts w:hint="eastAsia" w:cs="Times New Roman"/>
                      <w:color w:val="auto"/>
                      <w:sz w:val="21"/>
                      <w:szCs w:val="21"/>
                      <w:highlight w:val="none"/>
                      <w:lang w:val="en-US" w:eastAsia="zh-CN"/>
                    </w:rPr>
                    <w:t>1082</w:t>
                  </w:r>
                  <w:r>
                    <w:rPr>
                      <w:rFonts w:hint="default" w:ascii="Times New Roman" w:hAnsi="Times New Roman" w:eastAsia="宋体" w:cs="Times New Roman"/>
                      <w:color w:val="auto"/>
                      <w:sz w:val="21"/>
                      <w:szCs w:val="21"/>
                      <w:highlight w:val="none"/>
                    </w:rPr>
                    <w:t>t/a</w:t>
                  </w:r>
                </w:p>
              </w:tc>
              <w:tc>
                <w:tcPr>
                  <w:tcW w:w="654" w:type="pct"/>
                  <w:tcBorders>
                    <w:tl2br w:val="nil"/>
                    <w:tr2bl w:val="nil"/>
                  </w:tcBorders>
                  <w:noWrap w:val="0"/>
                  <w:vAlign w:val="center"/>
                </w:tcPr>
                <w:p w14:paraId="1AF8091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收集后经</w:t>
                  </w:r>
                  <w:r>
                    <w:rPr>
                      <w:rFonts w:hint="eastAsia" w:ascii="宋体" w:hAnsi="宋体" w:eastAsia="宋体" w:cs="宋体"/>
                      <w:color w:val="auto"/>
                      <w:sz w:val="21"/>
                      <w:szCs w:val="21"/>
                      <w:highlight w:val="none"/>
                    </w:rPr>
                    <w:t>“活性炭吸附”处</w:t>
                  </w:r>
                  <w:r>
                    <w:rPr>
                      <w:rFonts w:hint="default" w:ascii="Times New Roman" w:hAnsi="Times New Roman" w:eastAsia="宋体" w:cs="Times New Roman"/>
                      <w:color w:val="auto"/>
                      <w:sz w:val="21"/>
                      <w:szCs w:val="21"/>
                      <w:highlight w:val="none"/>
                    </w:rPr>
                    <w:t>理后引至</w:t>
                  </w:r>
                  <w:r>
                    <w:rPr>
                      <w:rFonts w:hint="eastAsia" w:cs="Times New Roman"/>
                      <w:color w:val="auto"/>
                      <w:sz w:val="21"/>
                      <w:szCs w:val="21"/>
                      <w:highlight w:val="none"/>
                      <w:lang w:val="en-US" w:eastAsia="zh-CN"/>
                    </w:rPr>
                    <w:t>15</w:t>
                  </w:r>
                  <w:r>
                    <w:rPr>
                      <w:rFonts w:hint="default" w:ascii="Times New Roman" w:hAnsi="Times New Roman" w:eastAsia="宋体" w:cs="Times New Roman"/>
                      <w:color w:val="auto"/>
                      <w:sz w:val="21"/>
                      <w:szCs w:val="21"/>
                      <w:highlight w:val="none"/>
                    </w:rPr>
                    <w:t>米高排气筒（编号</w:t>
                  </w:r>
                  <w:r>
                    <w:rPr>
                      <w:rFonts w:hint="eastAsia" w:cs="Times New Roman"/>
                      <w:color w:val="auto"/>
                      <w:sz w:val="21"/>
                      <w:szCs w:val="21"/>
                      <w:highlight w:val="none"/>
                      <w:lang w:val="en-US" w:eastAsia="zh-CN"/>
                    </w:rPr>
                    <w:t>DA002</w:t>
                  </w:r>
                  <w:r>
                    <w:rPr>
                      <w:rFonts w:hint="default" w:ascii="Times New Roman" w:hAnsi="Times New Roman" w:eastAsia="宋体" w:cs="Times New Roman"/>
                      <w:color w:val="auto"/>
                      <w:sz w:val="21"/>
                      <w:szCs w:val="21"/>
                      <w:highlight w:val="none"/>
                    </w:rPr>
                    <w:t>）排放</w:t>
                  </w:r>
                </w:p>
              </w:tc>
              <w:tc>
                <w:tcPr>
                  <w:tcW w:w="343" w:type="pct"/>
                  <w:tcBorders>
                    <w:tl2br w:val="nil"/>
                    <w:tr2bl w:val="nil"/>
                  </w:tcBorders>
                  <w:noWrap w:val="0"/>
                  <w:vAlign w:val="center"/>
                </w:tcPr>
                <w:p w14:paraId="4006341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163" w:type="pct"/>
                  <w:tcBorders>
                    <w:tl2br w:val="nil"/>
                    <w:tr2bl w:val="nil"/>
                  </w:tcBorders>
                  <w:noWrap w:val="0"/>
                  <w:vAlign w:val="center"/>
                </w:tcPr>
                <w:p w14:paraId="140D06A7">
                  <w:pPr>
                    <w:keepNext w:val="0"/>
                    <w:keepLines w:val="0"/>
                    <w:suppressLineNumbers w:val="0"/>
                    <w:snapToGrid w:val="0"/>
                    <w:spacing w:before="0" w:beforeAutospacing="0" w:after="0" w:afterAutospacing="0"/>
                    <w:ind w:left="0" w:right="0"/>
                    <w:jc w:val="center"/>
                    <w:rPr>
                      <w:rFonts w:hint="default"/>
                      <w:color w:val="auto"/>
                      <w:highlight w:val="none"/>
                      <w:lang w:val="en-US"/>
                    </w:rPr>
                  </w:pPr>
                  <w:r>
                    <w:rPr>
                      <w:rFonts w:hint="eastAsia"/>
                      <w:color w:val="auto"/>
                      <w:highlight w:val="none"/>
                      <w:lang w:val="en-US" w:eastAsia="zh-CN"/>
                    </w:rPr>
                    <w:t>有组织排放执行</w:t>
                  </w:r>
                  <w:r>
                    <w:rPr>
                      <w:rFonts w:hint="default" w:ascii="Times New Roman" w:hAnsi="Times New Roman" w:eastAsia="宋体" w:cs="Times New Roman"/>
                      <w:color w:val="auto"/>
                      <w:sz w:val="21"/>
                      <w:szCs w:val="16"/>
                      <w:highlight w:val="none"/>
                      <w:lang w:val="en-US" w:eastAsia="zh-CN"/>
                    </w:rPr>
                    <w:t>《印刷行业挥发性有机化合物排放标准》（DB44/815-2010）表2</w:t>
                  </w:r>
                  <w:r>
                    <w:rPr>
                      <w:rFonts w:hint="eastAsia" w:ascii="Times New Roman" w:hAnsi="Times New Roman" w:eastAsia="宋体" w:cs="Times New Roman"/>
                      <w:color w:val="auto"/>
                      <w:sz w:val="21"/>
                      <w:szCs w:val="16"/>
                      <w:highlight w:val="none"/>
                      <w:lang w:val="en-US" w:eastAsia="zh-CN"/>
                    </w:rPr>
                    <w:t>“</w:t>
                  </w:r>
                  <w:r>
                    <w:rPr>
                      <w:rFonts w:hint="default" w:ascii="Times New Roman" w:hAnsi="Times New Roman" w:eastAsia="宋体" w:cs="Times New Roman"/>
                      <w:color w:val="auto"/>
                      <w:sz w:val="21"/>
                      <w:szCs w:val="16"/>
                      <w:highlight w:val="none"/>
                      <w:lang w:val="en-US" w:eastAsia="zh-CN"/>
                    </w:rPr>
                    <w:t>平版印刷（不含以金属、陶瓷、玻璃为承印物的平版印刷）、柔性版印刷</w:t>
                  </w:r>
                  <w:r>
                    <w:rPr>
                      <w:rFonts w:hint="eastAsia" w:ascii="Times New Roman" w:hAnsi="Times New Roman" w:eastAsia="宋体" w:cs="Times New Roman"/>
                      <w:color w:val="auto"/>
                      <w:sz w:val="21"/>
                      <w:szCs w:val="16"/>
                      <w:highlight w:val="none"/>
                      <w:lang w:val="en-US" w:eastAsia="zh-CN"/>
                    </w:rPr>
                    <w:t>”</w:t>
                  </w:r>
                  <w:r>
                    <w:rPr>
                      <w:rFonts w:hint="default" w:ascii="Times New Roman" w:hAnsi="Times New Roman" w:eastAsia="宋体" w:cs="Times New Roman"/>
                      <w:color w:val="auto"/>
                      <w:sz w:val="21"/>
                      <w:szCs w:val="16"/>
                      <w:highlight w:val="none"/>
                      <w:lang w:val="en-US" w:eastAsia="zh-CN"/>
                    </w:rPr>
                    <w:t>Ⅱ时段排放限值</w:t>
                  </w:r>
                  <w:r>
                    <w:rPr>
                      <w:rFonts w:hint="eastAsia" w:cs="Times New Roman"/>
                      <w:color w:val="auto"/>
                      <w:sz w:val="21"/>
                      <w:szCs w:val="16"/>
                      <w:highlight w:val="none"/>
                      <w:lang w:val="en-US" w:eastAsia="zh-CN"/>
                    </w:rPr>
                    <w:t>；无组织排放执行</w:t>
                  </w:r>
                </w:p>
                <w:p w14:paraId="53EAB9EE">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rPr>
                  </w:pPr>
                  <w:r>
                    <w:rPr>
                      <w:rFonts w:hint="eastAsia" w:ascii="Times New Roman" w:hAnsi="Times New Roman" w:eastAsia="宋体" w:cs="Times New Roman"/>
                      <w:color w:val="auto"/>
                      <w:sz w:val="21"/>
                      <w:szCs w:val="16"/>
                      <w:highlight w:val="none"/>
                      <w:lang w:val="en-US" w:eastAsia="zh-CN"/>
                    </w:rPr>
                    <w:t>《家具制造行业挥发性有机化合物排放标准》（DB44/814-2010）表2无组织排放监控点浓度限值与《印刷行业挥发性有机化合物排放标准》（DB44/815-2010）表3无组织排放监控点浓度限值两者较严值</w:t>
                  </w:r>
                </w:p>
              </w:tc>
            </w:tr>
            <w:tr w14:paraId="2AE2B4E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412" w:type="pct"/>
                  <w:vMerge w:val="restart"/>
                  <w:tcBorders>
                    <w:tl2br w:val="nil"/>
                    <w:tr2bl w:val="nil"/>
                  </w:tcBorders>
                  <w:noWrap w:val="0"/>
                  <w:vAlign w:val="center"/>
                </w:tcPr>
                <w:p w14:paraId="74CD932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固体废物</w:t>
                  </w:r>
                </w:p>
              </w:tc>
              <w:tc>
                <w:tcPr>
                  <w:tcW w:w="726" w:type="pct"/>
                  <w:tcBorders>
                    <w:tl2br w:val="nil"/>
                    <w:tr2bl w:val="nil"/>
                  </w:tcBorders>
                  <w:noWrap w:val="0"/>
                  <w:vAlign w:val="center"/>
                </w:tcPr>
                <w:p w14:paraId="47E50D0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员工生活</w:t>
                  </w:r>
                </w:p>
              </w:tc>
              <w:tc>
                <w:tcPr>
                  <w:tcW w:w="517" w:type="pct"/>
                  <w:tcBorders>
                    <w:tl2br w:val="nil"/>
                    <w:tr2bl w:val="nil"/>
                  </w:tcBorders>
                  <w:noWrap w:val="0"/>
                  <w:vAlign w:val="center"/>
                </w:tcPr>
                <w:p w14:paraId="04310F0E">
                  <w:pPr>
                    <w:pStyle w:val="106"/>
                    <w:keepNext w:val="0"/>
                    <w:keepLines w:val="0"/>
                    <w:suppressLineNumbers w:val="0"/>
                    <w:autoSpaceDE/>
                    <w:autoSpaceDN/>
                    <w:adjustRightInd/>
                    <w:spacing w:before="0" w:beforeAutospacing="0" w:after="0" w:afterAutospacing="0"/>
                    <w:ind w:left="0" w:right="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生活垃圾</w:t>
                  </w:r>
                </w:p>
              </w:tc>
              <w:tc>
                <w:tcPr>
                  <w:tcW w:w="1182" w:type="pct"/>
                  <w:gridSpan w:val="2"/>
                  <w:tcBorders>
                    <w:tl2br w:val="nil"/>
                    <w:tr2bl w:val="nil"/>
                  </w:tcBorders>
                  <w:noWrap w:val="0"/>
                  <w:vAlign w:val="center"/>
                </w:tcPr>
                <w:p w14:paraId="097FCE8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4.221</w:t>
                  </w:r>
                  <w:r>
                    <w:rPr>
                      <w:rFonts w:hint="default" w:ascii="Times New Roman" w:hAnsi="Times New Roman" w:eastAsia="宋体" w:cs="Times New Roman"/>
                      <w:color w:val="auto"/>
                      <w:sz w:val="21"/>
                      <w:szCs w:val="21"/>
                      <w:highlight w:val="none"/>
                    </w:rPr>
                    <w:t>t/a</w:t>
                  </w:r>
                </w:p>
              </w:tc>
              <w:tc>
                <w:tcPr>
                  <w:tcW w:w="654" w:type="pct"/>
                  <w:tcBorders>
                    <w:tl2br w:val="nil"/>
                    <w:tr2bl w:val="nil"/>
                  </w:tcBorders>
                  <w:noWrap w:val="0"/>
                  <w:vAlign w:val="center"/>
                </w:tcPr>
                <w:p w14:paraId="576C39D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交环卫部门</w:t>
                  </w:r>
                </w:p>
              </w:tc>
              <w:tc>
                <w:tcPr>
                  <w:tcW w:w="343" w:type="pct"/>
                  <w:tcBorders>
                    <w:tl2br w:val="nil"/>
                    <w:tr2bl w:val="nil"/>
                  </w:tcBorders>
                  <w:noWrap w:val="0"/>
                  <w:vAlign w:val="center"/>
                </w:tcPr>
                <w:p w14:paraId="45E9D02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163" w:type="pct"/>
                  <w:tcBorders>
                    <w:tl2br w:val="nil"/>
                    <w:tr2bl w:val="nil"/>
                  </w:tcBorders>
                  <w:noWrap w:val="0"/>
                  <w:vAlign w:val="center"/>
                </w:tcPr>
                <w:p w14:paraId="2A6D58A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符合环保要求</w:t>
                  </w:r>
                </w:p>
              </w:tc>
            </w:tr>
            <w:tr w14:paraId="7820C1B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412" w:type="pct"/>
                  <w:vMerge w:val="continue"/>
                  <w:tcBorders>
                    <w:tl2br w:val="nil"/>
                    <w:tr2bl w:val="nil"/>
                  </w:tcBorders>
                  <w:noWrap w:val="0"/>
                  <w:vAlign w:val="center"/>
                </w:tcPr>
                <w:p w14:paraId="13FBBF9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726" w:type="pct"/>
                  <w:vMerge w:val="restart"/>
                  <w:tcBorders>
                    <w:tl2br w:val="nil"/>
                    <w:tr2bl w:val="nil"/>
                  </w:tcBorders>
                  <w:noWrap w:val="0"/>
                  <w:vAlign w:val="center"/>
                </w:tcPr>
                <w:p w14:paraId="4616F2A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生产过程</w:t>
                  </w:r>
                </w:p>
              </w:tc>
              <w:tc>
                <w:tcPr>
                  <w:tcW w:w="517" w:type="pct"/>
                  <w:tcBorders>
                    <w:tl2br w:val="nil"/>
                    <w:tr2bl w:val="nil"/>
                  </w:tcBorders>
                  <w:noWrap w:val="0"/>
                  <w:vAlign w:val="center"/>
                </w:tcPr>
                <w:p w14:paraId="54CBCCF6">
                  <w:pPr>
                    <w:pStyle w:val="106"/>
                    <w:keepNext w:val="0"/>
                    <w:keepLines w:val="0"/>
                    <w:suppressLineNumbers w:val="0"/>
                    <w:autoSpaceDE/>
                    <w:autoSpaceDN/>
                    <w:adjustRightInd/>
                    <w:spacing w:before="0" w:beforeAutospacing="0" w:after="0" w:afterAutospacing="0"/>
                    <w:ind w:left="0" w:right="0"/>
                    <w:textAlignment w:val="auto"/>
                    <w:rPr>
                      <w:rFonts w:hint="default" w:ascii="Times New Roman" w:hAnsi="Times New Roman" w:eastAsia="宋体" w:cs="Times New Roman"/>
                      <w:color w:val="auto"/>
                      <w:sz w:val="21"/>
                      <w:szCs w:val="21"/>
                      <w:highlight w:val="none"/>
                    </w:rPr>
                  </w:pPr>
                  <w:r>
                    <w:rPr>
                      <w:rFonts w:hint="eastAsia"/>
                      <w:color w:val="auto"/>
                      <w:sz w:val="21"/>
                      <w:szCs w:val="21"/>
                      <w:highlight w:val="none"/>
                      <w:lang w:val="en-US" w:eastAsia="zh-CN"/>
                    </w:rPr>
                    <w:t>塑料边角料</w:t>
                  </w:r>
                </w:p>
              </w:tc>
              <w:tc>
                <w:tcPr>
                  <w:tcW w:w="1182" w:type="pct"/>
                  <w:gridSpan w:val="2"/>
                  <w:tcBorders>
                    <w:tl2br w:val="nil"/>
                    <w:tr2bl w:val="nil"/>
                  </w:tcBorders>
                  <w:noWrap w:val="0"/>
                  <w:vAlign w:val="center"/>
                </w:tcPr>
                <w:p w14:paraId="2BF7B859">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rPr>
                    <w:t>t/a</w:t>
                  </w:r>
                </w:p>
              </w:tc>
              <w:tc>
                <w:tcPr>
                  <w:tcW w:w="654" w:type="pct"/>
                  <w:vMerge w:val="restart"/>
                  <w:tcBorders>
                    <w:tl2br w:val="nil"/>
                    <w:tr2bl w:val="nil"/>
                  </w:tcBorders>
                  <w:noWrap w:val="0"/>
                  <w:vAlign w:val="center"/>
                </w:tcPr>
                <w:p w14:paraId="7810D4A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交专业公司回收处理</w:t>
                  </w:r>
                </w:p>
              </w:tc>
              <w:tc>
                <w:tcPr>
                  <w:tcW w:w="343" w:type="pct"/>
                  <w:tcBorders>
                    <w:tl2br w:val="nil"/>
                    <w:tr2bl w:val="nil"/>
                  </w:tcBorders>
                  <w:noWrap w:val="0"/>
                  <w:vAlign w:val="center"/>
                </w:tcPr>
                <w:p w14:paraId="5D9EBF5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163" w:type="pct"/>
                  <w:tcBorders>
                    <w:tl2br w:val="nil"/>
                    <w:tr2bl w:val="nil"/>
                  </w:tcBorders>
                  <w:noWrap w:val="0"/>
                  <w:vAlign w:val="center"/>
                </w:tcPr>
                <w:p w14:paraId="7E313A6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符合环保要求</w:t>
                  </w:r>
                </w:p>
              </w:tc>
            </w:tr>
            <w:tr w14:paraId="135AA15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2" w:type="pct"/>
                  <w:vMerge w:val="continue"/>
                  <w:tcBorders>
                    <w:tl2br w:val="nil"/>
                    <w:tr2bl w:val="nil"/>
                  </w:tcBorders>
                  <w:noWrap w:val="0"/>
                  <w:vAlign w:val="center"/>
                </w:tcPr>
                <w:p w14:paraId="36648CC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726" w:type="pct"/>
                  <w:vMerge w:val="continue"/>
                  <w:tcBorders>
                    <w:tl2br w:val="nil"/>
                    <w:tr2bl w:val="nil"/>
                  </w:tcBorders>
                  <w:noWrap w:val="0"/>
                  <w:vAlign w:val="center"/>
                </w:tcPr>
                <w:p w14:paraId="0981918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517" w:type="pct"/>
                  <w:tcBorders>
                    <w:tl2br w:val="nil"/>
                    <w:tr2bl w:val="nil"/>
                  </w:tcBorders>
                  <w:noWrap w:val="0"/>
                  <w:vAlign w:val="center"/>
                </w:tcPr>
                <w:p w14:paraId="0E3D9D49">
                  <w:pPr>
                    <w:pStyle w:val="106"/>
                    <w:keepNext w:val="0"/>
                    <w:keepLines w:val="0"/>
                    <w:suppressLineNumbers w:val="0"/>
                    <w:autoSpaceDE/>
                    <w:autoSpaceDN/>
                    <w:adjustRightInd/>
                    <w:spacing w:before="0" w:beforeAutospacing="0" w:after="0" w:afterAutospacing="0"/>
                    <w:ind w:left="0" w:right="0"/>
                    <w:textAlignment w:val="auto"/>
                    <w:rPr>
                      <w:rFonts w:hint="default" w:ascii="Times New Roman" w:hAnsi="Times New Roman" w:eastAsia="宋体" w:cs="Times New Roman"/>
                      <w:color w:val="auto"/>
                      <w:sz w:val="21"/>
                      <w:szCs w:val="21"/>
                      <w:highlight w:val="none"/>
                    </w:rPr>
                  </w:pPr>
                  <w:r>
                    <w:rPr>
                      <w:rFonts w:hint="eastAsia"/>
                      <w:color w:val="auto"/>
                      <w:sz w:val="21"/>
                      <w:szCs w:val="21"/>
                      <w:highlight w:val="none"/>
                      <w:lang w:val="en-US" w:eastAsia="zh-CN"/>
                    </w:rPr>
                    <w:t>包装纸边角料</w:t>
                  </w:r>
                </w:p>
              </w:tc>
              <w:tc>
                <w:tcPr>
                  <w:tcW w:w="1182" w:type="pct"/>
                  <w:gridSpan w:val="2"/>
                  <w:tcBorders>
                    <w:tl2br w:val="nil"/>
                    <w:tr2bl w:val="nil"/>
                  </w:tcBorders>
                  <w:noWrap w:val="0"/>
                  <w:vAlign w:val="center"/>
                </w:tcPr>
                <w:p w14:paraId="388C0CB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t/a</w:t>
                  </w:r>
                </w:p>
              </w:tc>
              <w:tc>
                <w:tcPr>
                  <w:tcW w:w="654" w:type="pct"/>
                  <w:vMerge w:val="continue"/>
                  <w:tcBorders>
                    <w:tl2br w:val="nil"/>
                    <w:tr2bl w:val="nil"/>
                  </w:tcBorders>
                  <w:noWrap w:val="0"/>
                  <w:vAlign w:val="center"/>
                </w:tcPr>
                <w:p w14:paraId="5A0FB98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343" w:type="pct"/>
                  <w:tcBorders>
                    <w:tl2br w:val="nil"/>
                    <w:tr2bl w:val="nil"/>
                  </w:tcBorders>
                  <w:noWrap w:val="0"/>
                  <w:vAlign w:val="center"/>
                </w:tcPr>
                <w:p w14:paraId="5D4279E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163" w:type="pct"/>
                  <w:tcBorders>
                    <w:tl2br w:val="nil"/>
                    <w:tr2bl w:val="nil"/>
                  </w:tcBorders>
                  <w:noWrap w:val="0"/>
                  <w:vAlign w:val="center"/>
                </w:tcPr>
                <w:p w14:paraId="7A54F1F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符合环保要求</w:t>
                  </w:r>
                </w:p>
              </w:tc>
            </w:tr>
            <w:tr w14:paraId="7CF3A4F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12" w:type="pct"/>
                  <w:vMerge w:val="continue"/>
                  <w:tcBorders>
                    <w:tl2br w:val="nil"/>
                    <w:tr2bl w:val="nil"/>
                  </w:tcBorders>
                  <w:noWrap w:val="0"/>
                  <w:vAlign w:val="center"/>
                </w:tcPr>
                <w:p w14:paraId="20AFD3A4">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726" w:type="pct"/>
                  <w:vMerge w:val="continue"/>
                  <w:tcBorders>
                    <w:tl2br w:val="nil"/>
                    <w:tr2bl w:val="nil"/>
                  </w:tcBorders>
                  <w:noWrap w:val="0"/>
                  <w:vAlign w:val="center"/>
                </w:tcPr>
                <w:p w14:paraId="26AAC9F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517" w:type="pct"/>
                  <w:tcBorders>
                    <w:tl2br w:val="nil"/>
                    <w:tr2bl w:val="nil"/>
                  </w:tcBorders>
                  <w:noWrap w:val="0"/>
                  <w:vAlign w:val="center"/>
                </w:tcPr>
                <w:p w14:paraId="71DAD289">
                  <w:pPr>
                    <w:pStyle w:val="106"/>
                    <w:keepNext w:val="0"/>
                    <w:keepLines w:val="0"/>
                    <w:suppressLineNumbers w:val="0"/>
                    <w:autoSpaceDE/>
                    <w:autoSpaceDN/>
                    <w:adjustRightInd/>
                    <w:spacing w:before="0" w:beforeAutospacing="0" w:after="0" w:afterAutospacing="0"/>
                    <w:ind w:left="0" w:right="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废活性炭</w:t>
                  </w:r>
                </w:p>
              </w:tc>
              <w:tc>
                <w:tcPr>
                  <w:tcW w:w="1182" w:type="pct"/>
                  <w:gridSpan w:val="2"/>
                  <w:tcBorders>
                    <w:tl2br w:val="nil"/>
                    <w:tr2bl w:val="nil"/>
                  </w:tcBorders>
                  <w:noWrap w:val="0"/>
                  <w:vAlign w:val="center"/>
                </w:tcPr>
                <w:p w14:paraId="14099FD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0.0151</w:t>
                  </w:r>
                  <w:r>
                    <w:rPr>
                      <w:rFonts w:hint="default" w:ascii="Times New Roman" w:hAnsi="Times New Roman" w:eastAsia="宋体" w:cs="Times New Roman"/>
                      <w:color w:val="auto"/>
                      <w:sz w:val="21"/>
                      <w:szCs w:val="21"/>
                      <w:highlight w:val="none"/>
                    </w:rPr>
                    <w:t>t/a</w:t>
                  </w:r>
                </w:p>
              </w:tc>
              <w:tc>
                <w:tcPr>
                  <w:tcW w:w="654" w:type="pct"/>
                  <w:vMerge w:val="restart"/>
                  <w:tcBorders>
                    <w:tl2br w:val="nil"/>
                    <w:tr2bl w:val="nil"/>
                  </w:tcBorders>
                  <w:noWrap w:val="0"/>
                  <w:vAlign w:val="center"/>
                </w:tcPr>
                <w:p w14:paraId="436BF31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交有危废资质单位处理</w:t>
                  </w:r>
                </w:p>
              </w:tc>
              <w:tc>
                <w:tcPr>
                  <w:tcW w:w="343" w:type="pct"/>
                  <w:vMerge w:val="restart"/>
                  <w:tcBorders>
                    <w:tl2br w:val="nil"/>
                    <w:tr2bl w:val="nil"/>
                  </w:tcBorders>
                  <w:noWrap w:val="0"/>
                  <w:vAlign w:val="center"/>
                </w:tcPr>
                <w:p w14:paraId="6536785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163" w:type="pct"/>
                  <w:vMerge w:val="restart"/>
                  <w:tcBorders>
                    <w:tl2br w:val="nil"/>
                    <w:tr2bl w:val="nil"/>
                  </w:tcBorders>
                  <w:noWrap w:val="0"/>
                  <w:vAlign w:val="center"/>
                </w:tcPr>
                <w:p w14:paraId="3CA4053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符合环保要求</w:t>
                  </w:r>
                </w:p>
              </w:tc>
            </w:tr>
            <w:tr w14:paraId="4F602A6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412" w:type="pct"/>
                  <w:vMerge w:val="continue"/>
                  <w:tcBorders>
                    <w:tl2br w:val="nil"/>
                    <w:tr2bl w:val="nil"/>
                  </w:tcBorders>
                  <w:noWrap w:val="0"/>
                  <w:vAlign w:val="center"/>
                </w:tcPr>
                <w:p w14:paraId="242F4C7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726" w:type="pct"/>
                  <w:vMerge w:val="continue"/>
                  <w:tcBorders>
                    <w:tl2br w:val="nil"/>
                    <w:tr2bl w:val="nil"/>
                  </w:tcBorders>
                  <w:noWrap w:val="0"/>
                  <w:vAlign w:val="center"/>
                </w:tcPr>
                <w:p w14:paraId="75C9EBE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517" w:type="pct"/>
                  <w:tcBorders>
                    <w:tl2br w:val="nil"/>
                    <w:tr2bl w:val="nil"/>
                  </w:tcBorders>
                  <w:noWrap w:val="0"/>
                  <w:vAlign w:val="center"/>
                </w:tcPr>
                <w:p w14:paraId="4AD4AC4B">
                  <w:pPr>
                    <w:pStyle w:val="106"/>
                    <w:keepNext w:val="0"/>
                    <w:keepLines w:val="0"/>
                    <w:suppressLineNumbers w:val="0"/>
                    <w:autoSpaceDE/>
                    <w:autoSpaceDN/>
                    <w:adjustRightInd/>
                    <w:spacing w:before="0" w:beforeAutospacing="0" w:after="0" w:afterAutospacing="0"/>
                    <w:ind w:left="0" w:right="0"/>
                    <w:textAlignment w:val="auto"/>
                    <w:rPr>
                      <w:rFonts w:hint="default" w:ascii="Times New Roman" w:hAnsi="Times New Roman" w:eastAsia="宋体" w:cs="Times New Roman"/>
                      <w:color w:val="auto"/>
                      <w:sz w:val="21"/>
                      <w:szCs w:val="21"/>
                      <w:highlight w:val="none"/>
                    </w:rPr>
                  </w:pPr>
                  <w:r>
                    <w:rPr>
                      <w:rFonts w:hint="eastAsia"/>
                      <w:color w:val="auto"/>
                      <w:sz w:val="21"/>
                      <w:szCs w:val="21"/>
                      <w:highlight w:val="none"/>
                      <w:lang w:val="en-US" w:eastAsia="zh-CN"/>
                    </w:rPr>
                    <w:t>水性油墨桶</w:t>
                  </w:r>
                </w:p>
              </w:tc>
              <w:tc>
                <w:tcPr>
                  <w:tcW w:w="1182" w:type="pct"/>
                  <w:gridSpan w:val="2"/>
                  <w:tcBorders>
                    <w:tl2br w:val="nil"/>
                    <w:tr2bl w:val="nil"/>
                  </w:tcBorders>
                  <w:noWrap w:val="0"/>
                  <w:vAlign w:val="center"/>
                </w:tcPr>
                <w:p w14:paraId="5B43AFA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8个（0.004t/a）</w:t>
                  </w:r>
                </w:p>
              </w:tc>
              <w:tc>
                <w:tcPr>
                  <w:tcW w:w="654" w:type="pct"/>
                  <w:vMerge w:val="continue"/>
                  <w:tcBorders>
                    <w:tl2br w:val="nil"/>
                    <w:tr2bl w:val="nil"/>
                  </w:tcBorders>
                  <w:noWrap w:val="0"/>
                  <w:vAlign w:val="center"/>
                </w:tcPr>
                <w:p w14:paraId="3DB02377">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343" w:type="pct"/>
                  <w:vMerge w:val="continue"/>
                  <w:tcBorders>
                    <w:tl2br w:val="nil"/>
                    <w:tr2bl w:val="nil"/>
                  </w:tcBorders>
                  <w:noWrap w:val="0"/>
                  <w:vAlign w:val="center"/>
                </w:tcPr>
                <w:p w14:paraId="6B3E6A9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1163" w:type="pct"/>
                  <w:vMerge w:val="continue"/>
                  <w:tcBorders>
                    <w:tl2br w:val="nil"/>
                    <w:tr2bl w:val="nil"/>
                  </w:tcBorders>
                  <w:noWrap w:val="0"/>
                  <w:vAlign w:val="center"/>
                </w:tcPr>
                <w:p w14:paraId="4E03138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r>
            <w:tr w14:paraId="26C03F8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jc w:val="center"/>
              </w:trPr>
              <w:tc>
                <w:tcPr>
                  <w:tcW w:w="412" w:type="pct"/>
                  <w:tcBorders>
                    <w:tl2br w:val="nil"/>
                    <w:tr2bl w:val="nil"/>
                  </w:tcBorders>
                  <w:noWrap w:val="0"/>
                  <w:vAlign w:val="center"/>
                </w:tcPr>
                <w:p w14:paraId="4167812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w:t>
                  </w:r>
                </w:p>
              </w:tc>
              <w:tc>
                <w:tcPr>
                  <w:tcW w:w="3080" w:type="pct"/>
                  <w:gridSpan w:val="5"/>
                  <w:tcBorders>
                    <w:tl2br w:val="nil"/>
                    <w:tr2bl w:val="nil"/>
                  </w:tcBorders>
                  <w:noWrap w:val="0"/>
                  <w:vAlign w:val="center"/>
                </w:tcPr>
                <w:p w14:paraId="79FADF7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zh-CN"/>
                    </w:rPr>
                    <w:t>合理布局，选用低噪声设备，并采取必要的隔声、减震等措施，使边界噪声符合《工业企业厂界环境噪声排放标准》（</w:t>
                  </w:r>
                  <w:r>
                    <w:rPr>
                      <w:rFonts w:hint="default" w:ascii="Times New Roman" w:hAnsi="Times New Roman" w:eastAsia="宋体" w:cs="Times New Roman"/>
                      <w:color w:val="auto"/>
                      <w:sz w:val="21"/>
                      <w:szCs w:val="21"/>
                      <w:highlight w:val="none"/>
                    </w:rPr>
                    <w:t>GB12348-2008</w:t>
                  </w:r>
                  <w:r>
                    <w:rPr>
                      <w:rFonts w:hint="default" w:ascii="Times New Roman" w:hAnsi="Times New Roman" w:eastAsia="宋体" w:cs="Times New Roman"/>
                      <w:color w:val="auto"/>
                      <w:sz w:val="21"/>
                      <w:szCs w:val="21"/>
                      <w:highlight w:val="none"/>
                      <w:lang w:val="zh-CN"/>
                    </w:rPr>
                    <w:t>）</w:t>
                  </w:r>
                  <w:r>
                    <w:rPr>
                      <w:rFonts w:hint="eastAsia"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zh-CN"/>
                    </w:rPr>
                    <w:t>类标准的要求</w:t>
                  </w:r>
                </w:p>
              </w:tc>
              <w:tc>
                <w:tcPr>
                  <w:tcW w:w="343" w:type="pct"/>
                  <w:tcBorders>
                    <w:tl2br w:val="nil"/>
                    <w:tr2bl w:val="nil"/>
                  </w:tcBorders>
                  <w:noWrap w:val="0"/>
                  <w:vAlign w:val="center"/>
                </w:tcPr>
                <w:p w14:paraId="2EB3F9E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是</w:t>
                  </w:r>
                </w:p>
              </w:tc>
              <w:tc>
                <w:tcPr>
                  <w:tcW w:w="1163" w:type="pct"/>
                  <w:tcBorders>
                    <w:tl2br w:val="nil"/>
                    <w:tr2bl w:val="nil"/>
                  </w:tcBorders>
                  <w:noWrap w:val="0"/>
                  <w:vAlign w:val="center"/>
                </w:tcPr>
                <w:p w14:paraId="6B36941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zh-CN"/>
                    </w:rPr>
                    <w:t>《工业企业厂界环境噪声排放标准》（</w:t>
                  </w:r>
                  <w:r>
                    <w:rPr>
                      <w:rFonts w:hint="default" w:ascii="Times New Roman" w:hAnsi="Times New Roman" w:eastAsia="宋体" w:cs="Times New Roman"/>
                      <w:color w:val="auto"/>
                      <w:sz w:val="21"/>
                      <w:szCs w:val="21"/>
                      <w:highlight w:val="none"/>
                    </w:rPr>
                    <w:t>GB12348-2008</w:t>
                  </w:r>
                  <w:r>
                    <w:rPr>
                      <w:rFonts w:hint="default" w:ascii="Times New Roman" w:hAnsi="Times New Roman" w:eastAsia="宋体" w:cs="Times New Roman"/>
                      <w:color w:val="auto"/>
                      <w:sz w:val="21"/>
                      <w:szCs w:val="21"/>
                      <w:highlight w:val="none"/>
                      <w:lang w:val="zh-CN"/>
                    </w:rPr>
                    <w:t>）</w:t>
                  </w:r>
                  <w:r>
                    <w:rPr>
                      <w:rFonts w:hint="eastAsia"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zh-CN"/>
                    </w:rPr>
                    <w:t>类标准</w:t>
                  </w:r>
                </w:p>
              </w:tc>
            </w:tr>
          </w:tbl>
          <w:p w14:paraId="4D75C248">
            <w:pPr>
              <w:keepNext w:val="0"/>
              <w:keepLines w:val="0"/>
              <w:suppressLineNumbers w:val="0"/>
              <w:adjustRightInd w:val="0"/>
              <w:snapToGrid w:val="0"/>
              <w:spacing w:before="120" w:beforeLines="50" w:beforeAutospacing="0" w:after="0" w:afterAutospacing="0" w:line="360" w:lineRule="auto"/>
              <w:ind w:left="0" w:right="0" w:firstLine="422" w:firstLineChars="200"/>
              <w:rPr>
                <w:b/>
                <w:bCs/>
                <w:color w:val="auto"/>
                <w:szCs w:val="21"/>
                <w:highlight w:val="none"/>
              </w:rPr>
            </w:pPr>
            <w:r>
              <w:rPr>
                <w:rFonts w:hint="eastAsia"/>
                <w:b/>
                <w:bCs/>
                <w:color w:val="auto"/>
                <w:szCs w:val="21"/>
                <w:highlight w:val="none"/>
              </w:rPr>
              <w:t>四、现有</w:t>
            </w:r>
            <w:r>
              <w:rPr>
                <w:b/>
                <w:bCs/>
                <w:color w:val="auto"/>
                <w:szCs w:val="21"/>
                <w:highlight w:val="none"/>
              </w:rPr>
              <w:t>项目污染物排放总量分析</w:t>
            </w:r>
          </w:p>
          <w:p w14:paraId="6ACFB6C3">
            <w:pPr>
              <w:pStyle w:val="170"/>
              <w:keepNext w:val="0"/>
              <w:keepLines w:val="0"/>
              <w:widowControl/>
              <w:suppressLineNumbers w:val="0"/>
              <w:adjustRightInd w:val="0"/>
              <w:snapToGrid w:val="0"/>
              <w:spacing w:before="0" w:beforeAutospacing="0" w:after="0" w:afterAutospacing="0" w:line="360" w:lineRule="auto"/>
              <w:ind w:left="0" w:right="0" w:firstLine="420" w:firstLineChars="200"/>
              <w:rPr>
                <w:snapToGrid w:val="0"/>
                <w:color w:val="auto"/>
                <w:kern w:val="0"/>
                <w:highlight w:val="none"/>
              </w:rPr>
            </w:pPr>
            <w:r>
              <w:rPr>
                <w:rFonts w:hint="eastAsia"/>
                <w:snapToGrid w:val="0"/>
                <w:color w:val="auto"/>
                <w:kern w:val="0"/>
                <w:highlight w:val="none"/>
              </w:rPr>
              <w:t>现有项</w:t>
            </w:r>
            <w:r>
              <w:rPr>
                <w:snapToGrid w:val="0"/>
                <w:color w:val="auto"/>
                <w:kern w:val="0"/>
                <w:highlight w:val="none"/>
              </w:rPr>
              <w:t>目</w:t>
            </w:r>
            <w:r>
              <w:rPr>
                <w:rFonts w:hint="eastAsia"/>
                <w:snapToGrid w:val="0"/>
                <w:color w:val="auto"/>
                <w:kern w:val="0"/>
                <w:highlight w:val="none"/>
              </w:rPr>
              <w:t>生活</w:t>
            </w:r>
            <w:r>
              <w:rPr>
                <w:snapToGrid w:val="0"/>
                <w:color w:val="auto"/>
                <w:kern w:val="0"/>
                <w:highlight w:val="none"/>
              </w:rPr>
              <w:t>污水</w:t>
            </w:r>
            <w:r>
              <w:rPr>
                <w:rFonts w:hint="eastAsia"/>
                <w:snapToGrid w:val="0"/>
                <w:color w:val="auto"/>
                <w:kern w:val="0"/>
                <w:highlight w:val="none"/>
              </w:rPr>
              <w:t>经</w:t>
            </w:r>
            <w:r>
              <w:rPr>
                <w:rFonts w:hint="eastAsia"/>
                <w:color w:val="auto"/>
                <w:highlight w:val="none"/>
              </w:rPr>
              <w:t>三级化粪池预处理后</w:t>
            </w:r>
            <w:r>
              <w:rPr>
                <w:snapToGrid w:val="0"/>
                <w:color w:val="auto"/>
                <w:kern w:val="0"/>
                <w:highlight w:val="none"/>
              </w:rPr>
              <w:t>通过市政管网排入</w:t>
            </w:r>
            <w:r>
              <w:rPr>
                <w:rFonts w:hint="default" w:hAnsi="Times New Roman" w:cs="Times New Roman"/>
                <w:color w:val="auto"/>
                <w:sz w:val="21"/>
                <w:szCs w:val="21"/>
                <w:highlight w:val="none"/>
                <w:lang w:val="en-US" w:eastAsia="zh-CN"/>
              </w:rPr>
              <w:t>博罗县城生活污水处理厂</w:t>
            </w:r>
            <w:r>
              <w:rPr>
                <w:snapToGrid w:val="0"/>
                <w:color w:val="auto"/>
                <w:kern w:val="0"/>
                <w:highlight w:val="none"/>
              </w:rPr>
              <w:t>进行深度处理，不另占总量指标</w:t>
            </w:r>
            <w:r>
              <w:rPr>
                <w:rFonts w:hint="eastAsia"/>
                <w:snapToGrid w:val="0"/>
                <w:color w:val="auto"/>
                <w:kern w:val="0"/>
                <w:highlight w:val="none"/>
              </w:rPr>
              <w:t>。现有项目未批复</w:t>
            </w:r>
            <w:r>
              <w:rPr>
                <w:snapToGrid w:val="0"/>
                <w:color w:val="auto"/>
                <w:kern w:val="0"/>
                <w:highlight w:val="none"/>
              </w:rPr>
              <w:t>大气污染物总量控制指标</w:t>
            </w:r>
            <w:r>
              <w:rPr>
                <w:rFonts w:hint="eastAsia"/>
                <w:color w:val="auto"/>
                <w:highlight w:val="none"/>
              </w:rPr>
              <w:t>，</w:t>
            </w:r>
            <w:r>
              <w:rPr>
                <w:color w:val="auto"/>
                <w:highlight w:val="none"/>
              </w:rPr>
              <w:t>根据</w:t>
            </w:r>
            <w:r>
              <w:rPr>
                <w:rFonts w:hint="eastAsia"/>
                <w:color w:val="auto"/>
                <w:highlight w:val="none"/>
              </w:rPr>
              <w:t>现有</w:t>
            </w:r>
            <w:r>
              <w:rPr>
                <w:color w:val="auto"/>
                <w:highlight w:val="none"/>
              </w:rPr>
              <w:t>项目</w:t>
            </w:r>
            <w:r>
              <w:rPr>
                <w:rFonts w:hint="eastAsia"/>
                <w:color w:val="auto"/>
                <w:highlight w:val="none"/>
              </w:rPr>
              <w:t>检测</w:t>
            </w:r>
            <w:r>
              <w:rPr>
                <w:color w:val="auto"/>
                <w:highlight w:val="none"/>
              </w:rPr>
              <w:t>报告</w:t>
            </w:r>
            <w:r>
              <w:rPr>
                <w:rFonts w:hint="eastAsia"/>
                <w:color w:val="auto"/>
                <w:highlight w:val="none"/>
              </w:rPr>
              <w:t>计算</w:t>
            </w:r>
            <w:r>
              <w:rPr>
                <w:color w:val="auto"/>
                <w:highlight w:val="none"/>
              </w:rPr>
              <w:t>可得，</w:t>
            </w:r>
            <w:r>
              <w:rPr>
                <w:rFonts w:hint="eastAsia"/>
                <w:color w:val="auto"/>
                <w:highlight w:val="none"/>
              </w:rPr>
              <w:t>现有</w:t>
            </w:r>
            <w:r>
              <w:rPr>
                <w:color w:val="auto"/>
                <w:highlight w:val="none"/>
              </w:rPr>
              <w:t>项目</w:t>
            </w:r>
            <w:r>
              <w:rPr>
                <w:rFonts w:hint="eastAsia"/>
                <w:color w:val="auto"/>
                <w:highlight w:val="none"/>
              </w:rPr>
              <w:t>挥</w:t>
            </w:r>
            <w:r>
              <w:rPr>
                <w:color w:val="auto"/>
                <w:highlight w:val="none"/>
              </w:rPr>
              <w:t>发性有机物</w:t>
            </w:r>
            <w:r>
              <w:rPr>
                <w:rFonts w:hint="eastAsia"/>
                <w:color w:val="auto"/>
                <w:highlight w:val="none"/>
              </w:rPr>
              <w:t>全厂</w:t>
            </w:r>
            <w:r>
              <w:rPr>
                <w:color w:val="auto"/>
                <w:highlight w:val="none"/>
              </w:rPr>
              <w:t>排放量</w:t>
            </w:r>
            <w:r>
              <w:rPr>
                <w:rFonts w:hint="eastAsia"/>
                <w:color w:val="auto"/>
                <w:highlight w:val="none"/>
              </w:rPr>
              <w:t>为</w:t>
            </w:r>
            <w:r>
              <w:rPr>
                <w:color w:val="auto"/>
                <w:highlight w:val="none"/>
              </w:rPr>
              <w:t>0.1</w:t>
            </w:r>
            <w:r>
              <w:rPr>
                <w:rFonts w:hint="eastAsia"/>
                <w:color w:val="auto"/>
                <w:highlight w:val="none"/>
                <w:lang w:val="en-US" w:eastAsia="zh-CN"/>
              </w:rPr>
              <w:t>645</w:t>
            </w:r>
            <w:r>
              <w:rPr>
                <w:rFonts w:hint="eastAsia"/>
                <w:color w:val="auto"/>
                <w:highlight w:val="none"/>
              </w:rPr>
              <w:t>t/a</w:t>
            </w:r>
            <w:r>
              <w:rPr>
                <w:color w:val="auto"/>
                <w:highlight w:val="none"/>
              </w:rPr>
              <w:t>。</w:t>
            </w:r>
          </w:p>
          <w:p w14:paraId="7814C627">
            <w:pPr>
              <w:keepNext w:val="0"/>
              <w:keepLines w:val="0"/>
              <w:suppressLineNumbers w:val="0"/>
              <w:adjustRightInd w:val="0"/>
              <w:snapToGrid w:val="0"/>
              <w:spacing w:before="0" w:beforeAutospacing="0" w:after="0" w:afterAutospacing="0" w:line="360" w:lineRule="auto"/>
              <w:ind w:left="0" w:right="0" w:firstLine="422" w:firstLineChars="200"/>
              <w:rPr>
                <w:b/>
                <w:bCs/>
                <w:color w:val="auto"/>
                <w:szCs w:val="21"/>
                <w:highlight w:val="none"/>
              </w:rPr>
            </w:pPr>
            <w:r>
              <w:rPr>
                <w:rFonts w:hint="eastAsia"/>
                <w:b/>
                <w:bCs/>
                <w:color w:val="auto"/>
                <w:szCs w:val="21"/>
                <w:highlight w:val="none"/>
              </w:rPr>
              <w:t>五</w:t>
            </w:r>
            <w:r>
              <w:rPr>
                <w:b/>
                <w:bCs/>
                <w:color w:val="auto"/>
                <w:szCs w:val="21"/>
                <w:highlight w:val="none"/>
              </w:rPr>
              <w:t>、</w:t>
            </w:r>
            <w:r>
              <w:rPr>
                <w:rFonts w:hint="eastAsia"/>
                <w:b/>
                <w:bCs/>
                <w:color w:val="auto"/>
                <w:szCs w:val="21"/>
                <w:highlight w:val="none"/>
              </w:rPr>
              <w:t>现有</w:t>
            </w:r>
            <w:r>
              <w:rPr>
                <w:b/>
                <w:bCs/>
                <w:color w:val="auto"/>
                <w:szCs w:val="21"/>
                <w:highlight w:val="none"/>
              </w:rPr>
              <w:t>项目环境管理情况</w:t>
            </w:r>
          </w:p>
          <w:p w14:paraId="752AB02A">
            <w:pPr>
              <w:pStyle w:val="146"/>
              <w:keepNext w:val="0"/>
              <w:keepLines w:val="0"/>
              <w:suppressLineNumbers w:val="0"/>
              <w:spacing w:before="0" w:beforeAutospacing="0" w:after="0" w:afterAutospacing="0" w:line="336" w:lineRule="auto"/>
              <w:ind w:left="0" w:right="0" w:firstLine="480"/>
              <w:jc w:val="both"/>
              <w:rPr>
                <w:rFonts w:hint="default" w:ascii="Times New Roman" w:hAnsi="Times New Roman" w:eastAsia="宋体" w:cs="Times New Roman"/>
                <w:color w:val="auto"/>
                <w:sz w:val="21"/>
                <w:szCs w:val="21"/>
                <w:highlight w:val="none"/>
              </w:rPr>
            </w:pPr>
            <w:r>
              <w:rPr>
                <w:rFonts w:hint="eastAsia"/>
                <w:color w:val="auto"/>
                <w:sz w:val="21"/>
                <w:szCs w:val="21"/>
                <w:highlight w:val="none"/>
              </w:rPr>
              <w:t>现有</w:t>
            </w:r>
            <w:r>
              <w:rPr>
                <w:color w:val="auto"/>
                <w:sz w:val="21"/>
                <w:szCs w:val="21"/>
                <w:highlight w:val="none"/>
              </w:rPr>
              <w:t>项目自建设以来，不断完善和加强厂区的环境管理，并配备相应的环保管理人员负责全厂的环境管理工作，建立了环保管理制度等。自建厂至今，</w:t>
            </w:r>
            <w:r>
              <w:rPr>
                <w:rFonts w:hint="eastAsia"/>
                <w:color w:val="auto"/>
                <w:sz w:val="21"/>
                <w:szCs w:val="21"/>
                <w:highlight w:val="none"/>
              </w:rPr>
              <w:t>现有</w:t>
            </w:r>
            <w:r>
              <w:rPr>
                <w:color w:val="auto"/>
                <w:sz w:val="21"/>
                <w:szCs w:val="21"/>
                <w:highlight w:val="none"/>
              </w:rPr>
              <w:t>项目未受到环保方面的处罚，没有发生污染事故、突发环境事件、居民投诉等问题。</w:t>
            </w:r>
          </w:p>
        </w:tc>
      </w:tr>
    </w:tbl>
    <w:p w14:paraId="701351F0">
      <w:pPr>
        <w:pStyle w:val="37"/>
        <w:jc w:val="both"/>
        <w:outlineLvl w:val="0"/>
        <w:rPr>
          <w:rFonts w:ascii="Times New Roman" w:hAnsi="Times New Roman" w:eastAsia="宋体"/>
          <w:snapToGrid w:val="0"/>
          <w:color w:val="auto"/>
          <w:sz w:val="30"/>
          <w:szCs w:val="30"/>
          <w:highlight w:val="none"/>
        </w:rPr>
        <w:sectPr>
          <w:pgSz w:w="11907" w:h="16840"/>
          <w:pgMar w:top="1361" w:right="1417" w:bottom="1361" w:left="1417" w:header="851" w:footer="851" w:gutter="0"/>
          <w:pgBorders>
            <w:top w:val="none" w:sz="0" w:space="0"/>
            <w:left w:val="none" w:sz="0" w:space="0"/>
            <w:bottom w:val="none" w:sz="0" w:space="0"/>
            <w:right w:val="none" w:sz="0" w:space="0"/>
          </w:pgBorders>
          <w:cols w:space="720" w:num="1"/>
          <w:docGrid w:linePitch="312" w:charSpace="0"/>
        </w:sectPr>
      </w:pPr>
    </w:p>
    <w:p w14:paraId="3C74E8BA">
      <w:pPr>
        <w:pStyle w:val="37"/>
        <w:jc w:val="center"/>
        <w:outlineLvl w:val="0"/>
        <w:rPr>
          <w:rFonts w:ascii="Times New Roman" w:hAnsi="Times New Roman" w:eastAsia="宋体"/>
          <w:snapToGrid w:val="0"/>
          <w:color w:val="auto"/>
          <w:sz w:val="30"/>
          <w:szCs w:val="30"/>
          <w:highlight w:val="none"/>
        </w:rPr>
      </w:pPr>
      <w:r>
        <w:rPr>
          <w:rFonts w:ascii="Times New Roman" w:hAnsi="Times New Roman" w:eastAsia="宋体"/>
          <w:snapToGrid w:val="0"/>
          <w:color w:val="auto"/>
          <w:sz w:val="30"/>
          <w:szCs w:val="30"/>
          <w:highlight w:val="none"/>
        </w:rPr>
        <w:t>三、区域环境质量现状、环境保护目标及评价标准</w:t>
      </w:r>
    </w:p>
    <w:tbl>
      <w:tblPr>
        <w:tblStyle w:val="41"/>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8863"/>
      </w:tblGrid>
      <w:tr w14:paraId="0A60B7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422" w:type="dxa"/>
            <w:noWrap w:val="0"/>
            <w:vAlign w:val="center"/>
          </w:tcPr>
          <w:p w14:paraId="4F0391F4">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kern w:val="0"/>
                <w:sz w:val="21"/>
                <w:szCs w:val="21"/>
                <w:highlight w:val="none"/>
              </w:rPr>
            </w:pPr>
            <w:r>
              <w:rPr>
                <w:rFonts w:ascii="Times New Roman" w:hAnsi="Times New Roman" w:eastAsia="宋体" w:cs="Times New Roman"/>
                <w:color w:val="auto"/>
                <w:kern w:val="0"/>
                <w:sz w:val="21"/>
                <w:szCs w:val="21"/>
                <w:highlight w:val="none"/>
              </w:rPr>
              <w:t>区域</w:t>
            </w:r>
          </w:p>
          <w:p w14:paraId="2680E3A8">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kern w:val="0"/>
                <w:sz w:val="21"/>
                <w:szCs w:val="21"/>
                <w:highlight w:val="none"/>
              </w:rPr>
            </w:pPr>
            <w:r>
              <w:rPr>
                <w:rFonts w:ascii="Times New Roman" w:hAnsi="Times New Roman" w:eastAsia="宋体" w:cs="Times New Roman"/>
                <w:color w:val="auto"/>
                <w:kern w:val="0"/>
                <w:sz w:val="21"/>
                <w:szCs w:val="21"/>
                <w:highlight w:val="none"/>
              </w:rPr>
              <w:t>环境</w:t>
            </w:r>
          </w:p>
          <w:p w14:paraId="2794276F">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kern w:val="0"/>
                <w:sz w:val="21"/>
                <w:szCs w:val="21"/>
                <w:highlight w:val="none"/>
              </w:rPr>
            </w:pPr>
            <w:r>
              <w:rPr>
                <w:rFonts w:ascii="Times New Roman" w:hAnsi="Times New Roman" w:eastAsia="宋体" w:cs="Times New Roman"/>
                <w:color w:val="auto"/>
                <w:kern w:val="0"/>
                <w:sz w:val="21"/>
                <w:szCs w:val="21"/>
                <w:highlight w:val="none"/>
              </w:rPr>
              <w:t>质量</w:t>
            </w:r>
          </w:p>
          <w:p w14:paraId="44B97443">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kern w:val="0"/>
                <w:sz w:val="21"/>
                <w:szCs w:val="21"/>
                <w:highlight w:val="none"/>
              </w:rPr>
            </w:pPr>
            <w:r>
              <w:rPr>
                <w:rFonts w:ascii="Times New Roman" w:hAnsi="Times New Roman" w:eastAsia="宋体" w:cs="Times New Roman"/>
                <w:color w:val="auto"/>
                <w:kern w:val="0"/>
                <w:sz w:val="21"/>
                <w:szCs w:val="21"/>
                <w:highlight w:val="none"/>
              </w:rPr>
              <w:t>现状</w:t>
            </w:r>
          </w:p>
        </w:tc>
        <w:tc>
          <w:tcPr>
            <w:tcW w:w="8865" w:type="dxa"/>
            <w:noWrap w:val="0"/>
            <w:vAlign w:val="center"/>
          </w:tcPr>
          <w:p w14:paraId="46D9219E">
            <w:pPr>
              <w:keepNext w:val="0"/>
              <w:keepLines w:val="0"/>
              <w:suppressLineNumbers w:val="0"/>
              <w:tabs>
                <w:tab w:val="left" w:pos="452"/>
              </w:tabs>
              <w:adjustRightInd w:val="0"/>
              <w:snapToGrid w:val="0"/>
              <w:spacing w:before="0" w:beforeAutospacing="0" w:after="0" w:afterAutospacing="0" w:line="360" w:lineRule="auto"/>
              <w:ind w:left="0" w:right="0" w:firstLine="422" w:firstLineChars="200"/>
              <w:rPr>
                <w:rFonts w:hint="eastAsia" w:ascii="Times New Roman" w:hAnsi="Times New Roman" w:eastAsia="宋体" w:cs="Times New Roman"/>
                <w:b/>
                <w:color w:val="auto"/>
                <w:sz w:val="21"/>
                <w:szCs w:val="21"/>
                <w:highlight w:val="none"/>
              </w:rPr>
            </w:pPr>
            <w:r>
              <w:rPr>
                <w:rFonts w:hint="eastAsia" w:ascii="Times New Roman" w:hAnsi="Times New Roman" w:eastAsia="宋体" w:cs="Times New Roman"/>
                <w:b/>
                <w:color w:val="auto"/>
                <w:sz w:val="21"/>
                <w:szCs w:val="21"/>
                <w:highlight w:val="none"/>
              </w:rPr>
              <w:t>一、大气环境</w:t>
            </w:r>
          </w:p>
          <w:p w14:paraId="5A4492FA">
            <w:pPr>
              <w:keepNext w:val="0"/>
              <w:keepLines w:val="0"/>
              <w:suppressLineNumbers w:val="0"/>
              <w:tabs>
                <w:tab w:val="left" w:pos="452"/>
              </w:tabs>
              <w:adjustRightInd w:val="0"/>
              <w:snapToGrid w:val="0"/>
              <w:spacing w:before="0" w:beforeAutospacing="0" w:after="0" w:afterAutospacing="0" w:line="360" w:lineRule="auto"/>
              <w:ind w:left="0" w:right="0" w:firstLine="420" w:firstLineChars="200"/>
              <w:rPr>
                <w:rFonts w:ascii="Times New Roman" w:hAnsi="Times New Roman" w:eastAsia="宋体" w:cs="Times New Roman"/>
                <w:b w:val="0"/>
                <w:bCs/>
                <w:color w:val="auto"/>
                <w:sz w:val="21"/>
                <w:szCs w:val="21"/>
                <w:highlight w:val="none"/>
              </w:rPr>
            </w:pPr>
            <w:r>
              <w:rPr>
                <w:rFonts w:hint="eastAsia" w:ascii="Times New Roman" w:hAnsi="Times New Roman" w:eastAsia="宋体" w:cs="Times New Roman"/>
                <w:b w:val="0"/>
                <w:bCs/>
                <w:color w:val="auto"/>
                <w:sz w:val="21"/>
                <w:szCs w:val="21"/>
                <w:highlight w:val="none"/>
              </w:rPr>
              <w:t>根据《惠州市环境空气质量功能区划（2024年修订）》（惠市环[2024]16号），本项目所在地属环境空气质量功能区的二类区，环境空气质量应执行《环境空气质量标准》（GB3095-2012）中规定的二级标准。</w:t>
            </w:r>
          </w:p>
          <w:p w14:paraId="6BB528B9">
            <w:pPr>
              <w:keepNext w:val="0"/>
              <w:keepLines w:val="0"/>
              <w:suppressLineNumbers w:val="0"/>
              <w:tabs>
                <w:tab w:val="left" w:pos="452"/>
              </w:tabs>
              <w:adjustRightInd w:val="0"/>
              <w:snapToGrid w:val="0"/>
              <w:spacing w:before="0" w:beforeAutospacing="0" w:after="0" w:afterAutospacing="0" w:line="360" w:lineRule="auto"/>
              <w:ind w:left="0" w:right="0" w:firstLine="422" w:firstLineChars="200"/>
              <w:rPr>
                <w:rFonts w:hint="eastAsia" w:ascii="Times New Roman" w:hAnsi="Times New Roman" w:eastAsia="宋体" w:cs="Times New Roman"/>
                <w:b/>
                <w:color w:val="auto"/>
                <w:sz w:val="21"/>
                <w:szCs w:val="21"/>
                <w:highlight w:val="none"/>
              </w:rPr>
            </w:pPr>
            <w:r>
              <w:rPr>
                <w:rFonts w:hint="eastAsia" w:ascii="Times New Roman" w:hAnsi="Times New Roman" w:eastAsia="宋体" w:cs="Times New Roman"/>
                <w:b/>
                <w:color w:val="auto"/>
                <w:sz w:val="21"/>
                <w:szCs w:val="21"/>
                <w:highlight w:val="none"/>
              </w:rPr>
              <w:t>1、生态环境主管部门公开发布的质量数据</w:t>
            </w:r>
          </w:p>
          <w:p w14:paraId="62B27713">
            <w:pPr>
              <w:keepNext w:val="0"/>
              <w:keepLines w:val="0"/>
              <w:suppressLineNumbers w:val="0"/>
              <w:tabs>
                <w:tab w:val="left" w:pos="452"/>
              </w:tabs>
              <w:adjustRightInd w:val="0"/>
              <w:snapToGrid w:val="0"/>
              <w:spacing w:before="0" w:beforeAutospacing="0" w:after="0" w:afterAutospacing="0" w:line="360" w:lineRule="auto"/>
              <w:ind w:left="0" w:right="0" w:firstLine="420" w:firstLineChars="200"/>
              <w:rPr>
                <w:rFonts w:hint="eastAsia" w:ascii="Times New Roman" w:hAnsi="Times New Roman" w:eastAsia="宋体" w:cs="Times New Roman"/>
                <w:b w:val="0"/>
                <w:bCs/>
                <w:color w:val="auto"/>
                <w:sz w:val="21"/>
                <w:szCs w:val="21"/>
                <w:highlight w:val="none"/>
              </w:rPr>
            </w:pPr>
            <w:r>
              <w:rPr>
                <w:rFonts w:hint="eastAsia" w:ascii="Times New Roman" w:hAnsi="Times New Roman" w:eastAsia="宋体" w:cs="Times New Roman"/>
                <w:b w:val="0"/>
                <w:bCs/>
                <w:color w:val="auto"/>
                <w:sz w:val="21"/>
                <w:szCs w:val="21"/>
                <w:highlight w:val="none"/>
              </w:rPr>
              <w:t>根据《2023年惠州市生态环境状况公报》，区域环境空气质量现状如下：</w:t>
            </w:r>
          </w:p>
          <w:p w14:paraId="3C5F8149">
            <w:pPr>
              <w:keepNext w:val="0"/>
              <w:keepLines w:val="0"/>
              <w:suppressLineNumbers w:val="0"/>
              <w:tabs>
                <w:tab w:val="left" w:pos="452"/>
              </w:tabs>
              <w:adjustRightInd w:val="0"/>
              <w:snapToGrid w:val="0"/>
              <w:spacing w:before="0" w:beforeAutospacing="0" w:after="0" w:afterAutospacing="0" w:line="360" w:lineRule="auto"/>
              <w:ind w:left="0" w:right="0" w:firstLine="422" w:firstLineChars="200"/>
              <w:rPr>
                <w:rFonts w:hint="eastAsia" w:ascii="Times New Roman" w:hAnsi="Times New Roman" w:eastAsia="宋体" w:cs="Times New Roman"/>
                <w:b w:val="0"/>
                <w:bCs/>
                <w:color w:val="auto"/>
                <w:sz w:val="21"/>
                <w:szCs w:val="21"/>
                <w:highlight w:val="none"/>
              </w:rPr>
            </w:pPr>
            <w:r>
              <w:rPr>
                <w:rFonts w:hint="eastAsia" w:ascii="Times New Roman" w:hAnsi="Times New Roman" w:eastAsia="宋体" w:cs="Times New Roman"/>
                <w:b/>
                <w:bCs w:val="0"/>
                <w:color w:val="auto"/>
                <w:sz w:val="21"/>
                <w:szCs w:val="21"/>
                <w:highlight w:val="none"/>
              </w:rPr>
              <w:t>县区空气质量：</w:t>
            </w:r>
            <w:r>
              <w:rPr>
                <w:rFonts w:hint="eastAsia" w:ascii="Times New Roman" w:hAnsi="Times New Roman" w:eastAsia="宋体" w:cs="Times New Roman"/>
                <w:b w:val="0"/>
                <w:bCs/>
                <w:color w:val="auto"/>
                <w:sz w:val="21"/>
                <w:szCs w:val="21"/>
                <w:highlight w:val="none"/>
              </w:rPr>
              <w:t>2023年，各县区环境空气质量总体优良。六项污染物年评价浓度均达标，综合指数2.06（龙门县）～2.75（博罗县），AQI达标率94.4%（仲恺区）～99.5%（大亚湾区），超标污染物均为臭氧。按环境空气质量综合指数排名，由好到差依次为龙门县、大亚湾区、惠东县、惠阳区、仲恺区、惠城区、博罗县。与2022年相比，惠东县、大亚湾区、博罗县空气质量略微变差，其余县区空气质量略有改善。</w:t>
            </w:r>
          </w:p>
          <w:p w14:paraId="1628CE11">
            <w:pPr>
              <w:keepNext w:val="0"/>
              <w:keepLines w:val="0"/>
              <w:suppressLineNumbers w:val="0"/>
              <w:tabs>
                <w:tab w:val="left" w:pos="452"/>
              </w:tabs>
              <w:adjustRightInd w:val="0"/>
              <w:snapToGrid w:val="0"/>
              <w:spacing w:before="0" w:beforeAutospacing="0" w:after="0" w:afterAutospacing="0" w:line="360" w:lineRule="auto"/>
              <w:ind w:left="0" w:right="0"/>
              <w:jc w:val="center"/>
              <w:rPr>
                <w:rFonts w:hint="default" w:ascii="Times New Roman" w:hAnsi="Times New Roman" w:eastAsia="宋体" w:cs="Times New Roman"/>
                <w:b/>
                <w:bCs/>
                <w:color w:val="auto"/>
                <w:highlight w:val="none"/>
                <w:lang w:eastAsia="zh-CN"/>
              </w:rPr>
            </w:pPr>
            <w:r>
              <w:rPr>
                <w:rFonts w:hint="default" w:ascii="Times New Roman" w:hAnsi="Times New Roman" w:eastAsia="宋体" w:cs="Times New Roman"/>
                <w:b/>
                <w:bCs/>
                <w:color w:val="auto"/>
                <w:highlight w:val="none"/>
                <w:lang w:eastAsia="zh-CN"/>
              </w:rPr>
              <w:drawing>
                <wp:inline distT="0" distB="0" distL="114300" distR="114300">
                  <wp:extent cx="4338955" cy="3597910"/>
                  <wp:effectExtent l="0" t="0" r="4445" b="13970"/>
                  <wp:docPr id="211" name="图片 589" descr="1718950935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589" descr="1718950935991"/>
                          <pic:cNvPicPr>
                            <a:picLocks noChangeAspect="1"/>
                          </pic:cNvPicPr>
                        </pic:nvPicPr>
                        <pic:blipFill>
                          <a:blip r:embed="rId12"/>
                          <a:stretch>
                            <a:fillRect/>
                          </a:stretch>
                        </pic:blipFill>
                        <pic:spPr>
                          <a:xfrm>
                            <a:off x="0" y="0"/>
                            <a:ext cx="4338955" cy="3597910"/>
                          </a:xfrm>
                          <a:prstGeom prst="rect">
                            <a:avLst/>
                          </a:prstGeom>
                          <a:noFill/>
                          <a:ln>
                            <a:noFill/>
                          </a:ln>
                        </pic:spPr>
                      </pic:pic>
                    </a:graphicData>
                  </a:graphic>
                </wp:inline>
              </w:drawing>
            </w:r>
          </w:p>
          <w:p w14:paraId="5B40767E">
            <w:pPr>
              <w:keepNext w:val="0"/>
              <w:keepLines w:val="0"/>
              <w:suppressLineNumbers w:val="0"/>
              <w:tabs>
                <w:tab w:val="left" w:pos="452"/>
              </w:tabs>
              <w:adjustRightInd w:val="0"/>
              <w:snapToGrid w:val="0"/>
              <w:spacing w:before="0" w:beforeAutospacing="0" w:after="0" w:afterAutospacing="0" w:line="360" w:lineRule="auto"/>
              <w:ind w:left="0" w:right="0"/>
              <w:jc w:val="center"/>
              <w:rPr>
                <w:rFonts w:hint="default"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highlight w:val="none"/>
                <w:lang w:val="en-US" w:eastAsia="zh-CN"/>
              </w:rPr>
              <w:t>图3-1</w:t>
            </w:r>
            <w:r>
              <w:rPr>
                <w:rFonts w:hint="eastAsia" w:cs="Times New Roman"/>
                <w:b/>
                <w:bCs/>
                <w:color w:val="auto"/>
                <w:highlight w:val="none"/>
                <w:lang w:val="en-US" w:eastAsia="zh-CN"/>
              </w:rPr>
              <w:t xml:space="preserve"> </w:t>
            </w:r>
            <w:r>
              <w:rPr>
                <w:rFonts w:hint="eastAsia" w:ascii="Times New Roman" w:hAnsi="Times New Roman" w:eastAsia="宋体" w:cs="Times New Roman"/>
                <w:b/>
                <w:bCs/>
                <w:color w:val="auto"/>
                <w:highlight w:val="none"/>
                <w:lang w:val="en-US" w:eastAsia="zh-CN"/>
              </w:rPr>
              <w:t>2023年惠州市生态环境状况公报截图</w:t>
            </w:r>
          </w:p>
          <w:p w14:paraId="3D9084CF">
            <w:pPr>
              <w:keepNext w:val="0"/>
              <w:keepLines w:val="0"/>
              <w:suppressLineNumbers w:val="0"/>
              <w:tabs>
                <w:tab w:val="left" w:pos="452"/>
              </w:tabs>
              <w:adjustRightInd w:val="0"/>
              <w:snapToGrid w:val="0"/>
              <w:spacing w:before="0" w:beforeAutospacing="0" w:after="0" w:afterAutospacing="0" w:line="360" w:lineRule="auto"/>
              <w:ind w:left="0" w:right="0" w:firstLine="420" w:firstLineChars="200"/>
              <w:rPr>
                <w:rFonts w:ascii="Times New Roman" w:hAnsi="Times New Roman" w:eastAsia="宋体" w:cs="Times New Roman"/>
                <w:b w:val="0"/>
                <w:bCs/>
                <w:color w:val="auto"/>
                <w:sz w:val="21"/>
                <w:szCs w:val="21"/>
                <w:highlight w:val="none"/>
              </w:rPr>
            </w:pPr>
            <w:r>
              <w:rPr>
                <w:rFonts w:hint="eastAsia" w:ascii="Times New Roman" w:hAnsi="Times New Roman" w:eastAsia="宋体" w:cs="Times New Roman"/>
                <w:b w:val="0"/>
                <w:bCs/>
                <w:color w:val="auto"/>
                <w:sz w:val="21"/>
                <w:szCs w:val="21"/>
                <w:highlight w:val="none"/>
              </w:rPr>
              <w:t>综上，项目所在区域环境空气质量良好，满足《环境空气质量标准》（GB3095-2012）及2018年修改单中的二级标准。项目所在区域属于大气环境达标区。</w:t>
            </w:r>
          </w:p>
          <w:p w14:paraId="4F22B4C0">
            <w:pPr>
              <w:keepNext w:val="0"/>
              <w:keepLines w:val="0"/>
              <w:suppressLineNumbers w:val="0"/>
              <w:tabs>
                <w:tab w:val="left" w:pos="452"/>
              </w:tabs>
              <w:adjustRightInd w:val="0"/>
              <w:snapToGrid w:val="0"/>
              <w:spacing w:before="0" w:beforeAutospacing="0" w:after="0" w:afterAutospacing="0" w:line="360" w:lineRule="auto"/>
              <w:ind w:left="0" w:right="0" w:firstLine="422" w:firstLineChars="200"/>
              <w:rPr>
                <w:rFonts w:hint="default" w:ascii="Times New Roman" w:hAnsi="Times New Roman" w:eastAsia="宋体" w:cs="Times New Roman"/>
                <w:b/>
                <w:color w:val="auto"/>
                <w:sz w:val="21"/>
                <w:szCs w:val="21"/>
                <w:highlight w:val="none"/>
                <w:lang w:val="en-US" w:eastAsia="zh-CN"/>
              </w:rPr>
            </w:pPr>
            <w:r>
              <w:rPr>
                <w:rFonts w:hint="eastAsia" w:ascii="Times New Roman" w:hAnsi="Times New Roman" w:eastAsia="宋体" w:cs="Times New Roman"/>
                <w:b/>
                <w:color w:val="auto"/>
                <w:sz w:val="21"/>
                <w:szCs w:val="21"/>
                <w:highlight w:val="none"/>
                <w:lang w:val="en-US" w:eastAsia="zh-CN"/>
              </w:rPr>
              <w:t>2</w:t>
            </w:r>
            <w:r>
              <w:rPr>
                <w:rFonts w:ascii="Times New Roman" w:hAnsi="Times New Roman" w:eastAsia="宋体" w:cs="Times New Roman"/>
                <w:b/>
                <w:color w:val="auto"/>
                <w:sz w:val="21"/>
                <w:szCs w:val="21"/>
                <w:highlight w:val="none"/>
              </w:rPr>
              <w:t>、</w:t>
            </w:r>
            <w:r>
              <w:rPr>
                <w:rFonts w:hint="eastAsia" w:ascii="Times New Roman" w:hAnsi="Times New Roman" w:eastAsia="宋体" w:cs="Times New Roman"/>
                <w:b/>
                <w:color w:val="auto"/>
                <w:sz w:val="21"/>
                <w:szCs w:val="21"/>
                <w:highlight w:val="none"/>
                <w:lang w:val="en-US" w:eastAsia="zh-CN"/>
              </w:rPr>
              <w:t>引用的监测数据</w:t>
            </w:r>
          </w:p>
          <w:p w14:paraId="009A1205">
            <w:pPr>
              <w:pStyle w:val="154"/>
              <w:keepNext w:val="0"/>
              <w:keepLines w:val="0"/>
              <w:suppressLineNumbers w:val="0"/>
              <w:spacing w:before="0" w:beforeAutospacing="0" w:after="0" w:afterAutospacing="0" w:line="360" w:lineRule="auto"/>
              <w:ind w:left="0" w:right="0" w:firstLine="428" w:firstLineChars="200"/>
              <w:rPr>
                <w:rFonts w:ascii="Times New Roman" w:hAnsi="Times New Roman" w:eastAsia="宋体"/>
                <w:color w:val="auto"/>
                <w:spacing w:val="2"/>
                <w:sz w:val="21"/>
                <w:szCs w:val="21"/>
                <w:highlight w:val="none"/>
                <w:lang w:eastAsia="zh-CN"/>
              </w:rPr>
            </w:pPr>
            <w:r>
              <w:rPr>
                <w:rFonts w:hint="eastAsia" w:ascii="Times New Roman" w:hAnsi="Times New Roman" w:eastAsia="宋体"/>
                <w:color w:val="auto"/>
                <w:spacing w:val="2"/>
                <w:sz w:val="21"/>
                <w:szCs w:val="21"/>
                <w:highlight w:val="none"/>
                <w:lang w:eastAsia="zh-CN"/>
              </w:rPr>
              <w:t>为了解项目所在地特征因子非甲烷总烃、TVOC的现状，本报告引用《惠州市技冠五金制品有限公司扩建项目》中建设单位委托广东骥祥检测技术有限公司进行现状监测的监测数据（报告编号：JXH4C124），监测时间为2024年12月19~25日，引用的监测点位G1黎村位于本项目西南侧约1960m处＜5000m，根据《建设项目环境影响报告表编制技术指南》（污染影响类）（试行）相关要求，特征污染物环境质量现状引用的数据应为建设项目周边5千米范围内近3年的现有监测数据，因此本报告引用该监测数据具有合理性。监测点位见下图5。具体数据见下表：</w:t>
            </w:r>
          </w:p>
          <w:p w14:paraId="1DCDF2F4">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default" w:ascii="Times New Roman" w:hAnsi="宋体" w:eastAsia="宋体" w:cs="Times New Roman"/>
                <w:b/>
                <w:bCs/>
                <w:color w:val="auto"/>
                <w:szCs w:val="21"/>
                <w:highlight w:val="none"/>
              </w:rPr>
            </w:pPr>
            <w:r>
              <w:rPr>
                <w:rFonts w:hint="eastAsia" w:ascii="Times New Roman" w:hAnsi="宋体" w:eastAsia="宋体" w:cs="Times New Roman"/>
                <w:b/>
                <w:bCs/>
                <w:color w:val="auto"/>
                <w:szCs w:val="21"/>
                <w:highlight w:val="none"/>
                <w:lang w:val="en-US" w:eastAsia="zh-CN"/>
              </w:rPr>
              <w:t>引用的其他污染物补充监测点位基本信息</w:t>
            </w:r>
          </w:p>
          <w:tbl>
            <w:tblPr>
              <w:tblStyle w:val="41"/>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6"/>
              <w:gridCol w:w="1823"/>
              <w:gridCol w:w="2001"/>
              <w:gridCol w:w="1813"/>
              <w:gridCol w:w="2044"/>
            </w:tblGrid>
            <w:tr w14:paraId="796C321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3" w:type="pct"/>
                  <w:tcBorders>
                    <w:tl2br w:val="nil"/>
                    <w:tr2bl w:val="nil"/>
                  </w:tcBorders>
                  <w:noWrap w:val="0"/>
                  <w:vAlign w:val="center"/>
                </w:tcPr>
                <w:p w14:paraId="7C743D06">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Cs w:val="21"/>
                      <w:highlight w:val="none"/>
                      <w:lang w:val="en-US" w:eastAsia="zh-CN"/>
                    </w:rPr>
                  </w:pPr>
                  <w:r>
                    <w:rPr>
                      <w:rFonts w:hint="eastAsia" w:ascii="Times New Roman" w:hAnsi="Times New Roman" w:eastAsia="宋体" w:cs="Times New Roman"/>
                      <w:b/>
                      <w:color w:val="auto"/>
                      <w:szCs w:val="21"/>
                      <w:highlight w:val="none"/>
                      <w:lang w:val="en-US" w:eastAsia="zh-CN"/>
                    </w:rPr>
                    <w:t>监测点位</w:t>
                  </w:r>
                </w:p>
              </w:tc>
              <w:tc>
                <w:tcPr>
                  <w:tcW w:w="1055" w:type="pct"/>
                  <w:tcBorders>
                    <w:tl2br w:val="nil"/>
                    <w:tr2bl w:val="nil"/>
                  </w:tcBorders>
                  <w:noWrap w:val="0"/>
                  <w:vAlign w:val="center"/>
                </w:tcPr>
                <w:p w14:paraId="7FD0D411">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Cs w:val="21"/>
                      <w:highlight w:val="none"/>
                      <w:lang w:val="en-US" w:eastAsia="zh-CN"/>
                    </w:rPr>
                  </w:pPr>
                  <w:r>
                    <w:rPr>
                      <w:rFonts w:hint="eastAsia" w:ascii="Times New Roman" w:hAnsi="Times New Roman" w:eastAsia="宋体" w:cs="Times New Roman"/>
                      <w:b/>
                      <w:color w:val="auto"/>
                      <w:szCs w:val="21"/>
                      <w:highlight w:val="none"/>
                      <w:lang w:val="en-US" w:eastAsia="zh-CN"/>
                    </w:rPr>
                    <w:t>监测因子</w:t>
                  </w:r>
                </w:p>
              </w:tc>
              <w:tc>
                <w:tcPr>
                  <w:tcW w:w="1158" w:type="pct"/>
                  <w:tcBorders>
                    <w:tl2br w:val="nil"/>
                    <w:tr2bl w:val="nil"/>
                  </w:tcBorders>
                  <w:noWrap w:val="0"/>
                  <w:vAlign w:val="center"/>
                </w:tcPr>
                <w:p w14:paraId="411C7691">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auto"/>
                      <w:szCs w:val="21"/>
                      <w:highlight w:val="none"/>
                      <w:lang w:val="en-US" w:eastAsia="zh-CN"/>
                    </w:rPr>
                  </w:pPr>
                  <w:r>
                    <w:rPr>
                      <w:rFonts w:hint="eastAsia" w:ascii="Times New Roman" w:hAnsi="Times New Roman" w:eastAsia="宋体" w:cs="Times New Roman"/>
                      <w:b/>
                      <w:bCs w:val="0"/>
                      <w:color w:val="auto"/>
                      <w:szCs w:val="21"/>
                      <w:highlight w:val="none"/>
                      <w:lang w:val="en-US" w:eastAsia="zh-CN"/>
                    </w:rPr>
                    <w:t>监测时段</w:t>
                  </w:r>
                </w:p>
              </w:tc>
              <w:tc>
                <w:tcPr>
                  <w:tcW w:w="1049" w:type="pct"/>
                  <w:tcBorders>
                    <w:tl2br w:val="nil"/>
                    <w:tr2bl w:val="nil"/>
                  </w:tcBorders>
                  <w:noWrap w:val="0"/>
                  <w:vAlign w:val="center"/>
                </w:tcPr>
                <w:p w14:paraId="0D06FECA">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Cs w:val="21"/>
                      <w:highlight w:val="none"/>
                      <w:lang w:val="en-US" w:eastAsia="zh-CN"/>
                    </w:rPr>
                  </w:pPr>
                  <w:r>
                    <w:rPr>
                      <w:rFonts w:hint="eastAsia" w:ascii="Times New Roman" w:hAnsi="Times New Roman" w:eastAsia="宋体" w:cs="Times New Roman"/>
                      <w:b/>
                      <w:color w:val="auto"/>
                      <w:szCs w:val="21"/>
                      <w:highlight w:val="none"/>
                      <w:lang w:val="en-US" w:eastAsia="zh-CN"/>
                    </w:rPr>
                    <w:t>相对本项目厂址方位</w:t>
                  </w:r>
                </w:p>
              </w:tc>
              <w:tc>
                <w:tcPr>
                  <w:tcW w:w="1182" w:type="pct"/>
                  <w:tcBorders>
                    <w:tl2br w:val="nil"/>
                    <w:tr2bl w:val="nil"/>
                  </w:tcBorders>
                  <w:noWrap w:val="0"/>
                  <w:vAlign w:val="center"/>
                </w:tcPr>
                <w:p w14:paraId="67C418BB">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Cs w:val="21"/>
                      <w:highlight w:val="none"/>
                      <w:lang w:val="en-US" w:eastAsia="zh-CN"/>
                    </w:rPr>
                  </w:pPr>
                  <w:r>
                    <w:rPr>
                      <w:rFonts w:hint="eastAsia" w:ascii="Times New Roman" w:hAnsi="Times New Roman" w:eastAsia="宋体" w:cs="Times New Roman"/>
                      <w:b/>
                      <w:color w:val="auto"/>
                      <w:szCs w:val="21"/>
                      <w:highlight w:val="none"/>
                      <w:lang w:val="en-US" w:eastAsia="zh-CN"/>
                    </w:rPr>
                    <w:t>相对本项目厂界距离/m</w:t>
                  </w:r>
                </w:p>
              </w:tc>
            </w:tr>
            <w:tr w14:paraId="43D1E38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553" w:type="pct"/>
                  <w:tcBorders>
                    <w:tl2br w:val="nil"/>
                    <w:tr2bl w:val="nil"/>
                  </w:tcBorders>
                  <w:noWrap w:val="0"/>
                  <w:vAlign w:val="center"/>
                </w:tcPr>
                <w:p w14:paraId="73632C7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黎村G1</w:t>
                  </w:r>
                </w:p>
              </w:tc>
              <w:tc>
                <w:tcPr>
                  <w:tcW w:w="1055" w:type="pct"/>
                  <w:tcBorders>
                    <w:tl2br w:val="nil"/>
                    <w:tr2bl w:val="nil"/>
                  </w:tcBorders>
                  <w:noWrap w:val="0"/>
                  <w:vAlign w:val="center"/>
                </w:tcPr>
                <w:p w14:paraId="654FFBB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非甲烷总烃、TVOC</w:t>
                  </w:r>
                </w:p>
              </w:tc>
              <w:tc>
                <w:tcPr>
                  <w:tcW w:w="1158" w:type="pct"/>
                  <w:tcBorders>
                    <w:tl2br w:val="nil"/>
                    <w:tr2bl w:val="nil"/>
                  </w:tcBorders>
                  <w:noWrap w:val="0"/>
                  <w:vAlign w:val="center"/>
                </w:tcPr>
                <w:p w14:paraId="74F9C89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2024年12月19~25日</w:t>
                  </w:r>
                </w:p>
              </w:tc>
              <w:tc>
                <w:tcPr>
                  <w:tcW w:w="1049" w:type="pct"/>
                  <w:tcBorders>
                    <w:tl2br w:val="nil"/>
                    <w:tr2bl w:val="nil"/>
                  </w:tcBorders>
                  <w:noWrap w:val="0"/>
                  <w:vAlign w:val="center"/>
                </w:tcPr>
                <w:p w14:paraId="13670DC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西南</w:t>
                  </w:r>
                </w:p>
              </w:tc>
              <w:tc>
                <w:tcPr>
                  <w:tcW w:w="1182" w:type="pct"/>
                  <w:tcBorders>
                    <w:tl2br w:val="nil"/>
                    <w:tr2bl w:val="nil"/>
                  </w:tcBorders>
                  <w:noWrap w:val="0"/>
                  <w:vAlign w:val="center"/>
                </w:tcPr>
                <w:p w14:paraId="1899BC9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1960</w:t>
                  </w:r>
                </w:p>
              </w:tc>
            </w:tr>
          </w:tbl>
          <w:p w14:paraId="47B2F6C7">
            <w:pPr>
              <w:keepNext w:val="0"/>
              <w:keepLines w:val="0"/>
              <w:pageBreakBefore w:val="0"/>
              <w:widowControl/>
              <w:numPr>
                <w:ilvl w:val="0"/>
                <w:numId w:val="4"/>
              </w:numPr>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0"/>
              <w:jc w:val="center"/>
              <w:textAlignment w:val="auto"/>
              <w:rPr>
                <w:rFonts w:hint="default" w:ascii="Calibri" w:hAnsi="宋体" w:eastAsia="宋体" w:cs="Times New Roman"/>
                <w:b/>
                <w:bCs/>
                <w:color w:val="auto"/>
                <w:szCs w:val="21"/>
                <w:highlight w:val="none"/>
              </w:rPr>
            </w:pPr>
            <w:r>
              <w:rPr>
                <w:rFonts w:hint="eastAsia" w:ascii="Calibri" w:hAnsi="宋体" w:eastAsia="宋体" w:cs="Times New Roman"/>
                <w:b/>
                <w:bCs/>
                <w:color w:val="auto"/>
                <w:szCs w:val="21"/>
                <w:highlight w:val="none"/>
                <w:lang w:val="en-US" w:eastAsia="zh-CN"/>
              </w:rPr>
              <w:t>引用的环境质量现状监测结果表</w:t>
            </w:r>
          </w:p>
          <w:tbl>
            <w:tblPr>
              <w:tblStyle w:val="41"/>
              <w:tblW w:w="4997"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7"/>
              <w:gridCol w:w="1075"/>
              <w:gridCol w:w="1196"/>
              <w:gridCol w:w="1253"/>
              <w:gridCol w:w="1275"/>
              <w:gridCol w:w="1065"/>
              <w:gridCol w:w="1066"/>
              <w:gridCol w:w="1225"/>
            </w:tblGrid>
            <w:tr w14:paraId="376EA18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8" w:type="pct"/>
                  <w:tcBorders>
                    <w:tl2br w:val="nil"/>
                    <w:tr2bl w:val="nil"/>
                  </w:tcBorders>
                  <w:noWrap w:val="0"/>
                  <w:vAlign w:val="center"/>
                </w:tcPr>
                <w:p w14:paraId="13C9AAA8">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Cs w:val="21"/>
                      <w:highlight w:val="none"/>
                      <w:lang w:val="en-US" w:eastAsia="zh-CN"/>
                    </w:rPr>
                  </w:pPr>
                  <w:r>
                    <w:rPr>
                      <w:rFonts w:hint="eastAsia" w:ascii="Times New Roman" w:hAnsi="Times New Roman" w:eastAsia="宋体" w:cs="Times New Roman"/>
                      <w:b/>
                      <w:color w:val="auto"/>
                      <w:szCs w:val="21"/>
                      <w:highlight w:val="none"/>
                      <w:lang w:val="en-US" w:eastAsia="zh-CN"/>
                    </w:rPr>
                    <w:t>监测点位</w:t>
                  </w:r>
                </w:p>
              </w:tc>
              <w:tc>
                <w:tcPr>
                  <w:tcW w:w="624" w:type="pct"/>
                  <w:tcBorders>
                    <w:tl2br w:val="nil"/>
                    <w:tr2bl w:val="nil"/>
                  </w:tcBorders>
                  <w:noWrap w:val="0"/>
                  <w:vAlign w:val="center"/>
                </w:tcPr>
                <w:p w14:paraId="2F1C170A">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Cs w:val="21"/>
                      <w:highlight w:val="none"/>
                      <w:lang w:val="en-US" w:eastAsia="zh-CN"/>
                    </w:rPr>
                  </w:pPr>
                  <w:r>
                    <w:rPr>
                      <w:rFonts w:hint="eastAsia" w:ascii="Times New Roman" w:hAnsi="Times New Roman" w:eastAsia="宋体" w:cs="Times New Roman"/>
                      <w:b/>
                      <w:color w:val="auto"/>
                      <w:szCs w:val="21"/>
                      <w:highlight w:val="none"/>
                      <w:lang w:val="en-US" w:eastAsia="zh-CN"/>
                    </w:rPr>
                    <w:t>污染物</w:t>
                  </w:r>
                </w:p>
              </w:tc>
              <w:tc>
                <w:tcPr>
                  <w:tcW w:w="694" w:type="pct"/>
                  <w:tcBorders>
                    <w:tl2br w:val="nil"/>
                    <w:tr2bl w:val="nil"/>
                  </w:tcBorders>
                  <w:noWrap w:val="0"/>
                  <w:vAlign w:val="center"/>
                </w:tcPr>
                <w:p w14:paraId="4E13D314">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auto"/>
                      <w:szCs w:val="21"/>
                      <w:highlight w:val="none"/>
                      <w:lang w:val="en-US" w:eastAsia="zh-CN"/>
                    </w:rPr>
                  </w:pPr>
                  <w:r>
                    <w:rPr>
                      <w:rFonts w:hint="eastAsia" w:ascii="Times New Roman" w:hAnsi="Times New Roman" w:eastAsia="宋体" w:cs="Times New Roman"/>
                      <w:b/>
                      <w:bCs w:val="0"/>
                      <w:color w:val="auto"/>
                      <w:szCs w:val="21"/>
                      <w:highlight w:val="none"/>
                      <w:lang w:val="en-US" w:eastAsia="zh-CN"/>
                    </w:rPr>
                    <w:t>平均时间</w:t>
                  </w:r>
                </w:p>
              </w:tc>
              <w:tc>
                <w:tcPr>
                  <w:tcW w:w="727" w:type="pct"/>
                  <w:tcBorders>
                    <w:tl2br w:val="nil"/>
                    <w:tr2bl w:val="nil"/>
                  </w:tcBorders>
                  <w:noWrap w:val="0"/>
                  <w:vAlign w:val="center"/>
                </w:tcPr>
                <w:p w14:paraId="5C0F7BF4">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auto"/>
                      <w:szCs w:val="21"/>
                      <w:highlight w:val="none"/>
                      <w:lang w:val="en-US" w:eastAsia="zh-CN"/>
                    </w:rPr>
                  </w:pPr>
                  <w:r>
                    <w:rPr>
                      <w:rFonts w:hint="eastAsia" w:ascii="Times New Roman" w:hAnsi="Times New Roman" w:eastAsia="宋体" w:cs="Times New Roman"/>
                      <w:b/>
                      <w:bCs w:val="0"/>
                      <w:color w:val="auto"/>
                      <w:szCs w:val="21"/>
                      <w:highlight w:val="none"/>
                      <w:lang w:val="en-US" w:eastAsia="zh-CN"/>
                    </w:rPr>
                    <w:t>评价标准（mg/m</w:t>
                  </w:r>
                  <w:r>
                    <w:rPr>
                      <w:rFonts w:hint="eastAsia" w:ascii="Times New Roman" w:hAnsi="Times New Roman" w:eastAsia="宋体" w:cs="Times New Roman"/>
                      <w:b/>
                      <w:bCs w:val="0"/>
                      <w:color w:val="auto"/>
                      <w:szCs w:val="21"/>
                      <w:highlight w:val="none"/>
                      <w:vertAlign w:val="superscript"/>
                      <w:lang w:val="en-US" w:eastAsia="zh-CN"/>
                    </w:rPr>
                    <w:t>3</w:t>
                  </w:r>
                  <w:r>
                    <w:rPr>
                      <w:rFonts w:hint="eastAsia" w:ascii="Times New Roman" w:hAnsi="Times New Roman" w:eastAsia="宋体" w:cs="Times New Roman"/>
                      <w:b/>
                      <w:bCs w:val="0"/>
                      <w:color w:val="auto"/>
                      <w:szCs w:val="21"/>
                      <w:highlight w:val="none"/>
                      <w:lang w:val="en-US" w:eastAsia="zh-CN"/>
                    </w:rPr>
                    <w:t>）</w:t>
                  </w:r>
                </w:p>
              </w:tc>
              <w:tc>
                <w:tcPr>
                  <w:tcW w:w="727" w:type="pct"/>
                  <w:tcBorders>
                    <w:tl2br w:val="nil"/>
                    <w:tr2bl w:val="nil"/>
                  </w:tcBorders>
                  <w:noWrap w:val="0"/>
                  <w:vAlign w:val="center"/>
                </w:tcPr>
                <w:p w14:paraId="23155C18">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auto"/>
                      <w:szCs w:val="21"/>
                      <w:highlight w:val="none"/>
                      <w:lang w:val="en-US" w:eastAsia="zh-CN"/>
                    </w:rPr>
                  </w:pPr>
                  <w:r>
                    <w:rPr>
                      <w:rFonts w:hint="eastAsia" w:ascii="Times New Roman" w:hAnsi="Times New Roman" w:eastAsia="宋体" w:cs="Times New Roman"/>
                      <w:b/>
                      <w:bCs w:val="0"/>
                      <w:color w:val="auto"/>
                      <w:szCs w:val="21"/>
                      <w:highlight w:val="none"/>
                      <w:lang w:val="en-US" w:eastAsia="zh-CN"/>
                    </w:rPr>
                    <w:t>监测浓度范围/（mg/m</w:t>
                  </w:r>
                  <w:r>
                    <w:rPr>
                      <w:rFonts w:hint="eastAsia" w:ascii="Times New Roman" w:hAnsi="Times New Roman" w:eastAsia="宋体" w:cs="Times New Roman"/>
                      <w:b/>
                      <w:bCs w:val="0"/>
                      <w:color w:val="auto"/>
                      <w:szCs w:val="21"/>
                      <w:highlight w:val="none"/>
                      <w:vertAlign w:val="superscript"/>
                      <w:lang w:val="en-US" w:eastAsia="zh-CN"/>
                    </w:rPr>
                    <w:t>3</w:t>
                  </w:r>
                  <w:r>
                    <w:rPr>
                      <w:rFonts w:hint="eastAsia" w:ascii="Times New Roman" w:hAnsi="Times New Roman" w:eastAsia="宋体" w:cs="Times New Roman"/>
                      <w:b/>
                      <w:bCs w:val="0"/>
                      <w:color w:val="auto"/>
                      <w:szCs w:val="21"/>
                      <w:highlight w:val="none"/>
                      <w:lang w:val="en-US" w:eastAsia="zh-CN"/>
                    </w:rPr>
                    <w:t>）</w:t>
                  </w:r>
                </w:p>
              </w:tc>
              <w:tc>
                <w:tcPr>
                  <w:tcW w:w="618" w:type="pct"/>
                  <w:tcBorders>
                    <w:tl2br w:val="nil"/>
                    <w:tr2bl w:val="nil"/>
                  </w:tcBorders>
                  <w:noWrap w:val="0"/>
                  <w:vAlign w:val="center"/>
                </w:tcPr>
                <w:p w14:paraId="6B5CC4E5">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auto"/>
                      <w:szCs w:val="21"/>
                      <w:highlight w:val="none"/>
                      <w:lang w:val="en-US" w:eastAsia="zh-CN"/>
                    </w:rPr>
                  </w:pPr>
                  <w:r>
                    <w:rPr>
                      <w:rFonts w:hint="eastAsia" w:ascii="Times New Roman" w:hAnsi="Times New Roman" w:eastAsia="宋体" w:cs="Times New Roman"/>
                      <w:b/>
                      <w:bCs w:val="0"/>
                      <w:color w:val="auto"/>
                      <w:szCs w:val="21"/>
                      <w:highlight w:val="none"/>
                      <w:lang w:val="en-US" w:eastAsia="zh-CN"/>
                    </w:rPr>
                    <w:t>最大浓度站标率/%</w:t>
                  </w:r>
                </w:p>
              </w:tc>
              <w:tc>
                <w:tcPr>
                  <w:tcW w:w="618" w:type="pct"/>
                  <w:tcBorders>
                    <w:tl2br w:val="nil"/>
                    <w:tr2bl w:val="nil"/>
                  </w:tcBorders>
                  <w:noWrap w:val="0"/>
                  <w:vAlign w:val="center"/>
                </w:tcPr>
                <w:p w14:paraId="75570F98">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Cs w:val="21"/>
                      <w:highlight w:val="none"/>
                      <w:lang w:val="en-US" w:eastAsia="zh-CN"/>
                    </w:rPr>
                  </w:pPr>
                  <w:r>
                    <w:rPr>
                      <w:rFonts w:hint="eastAsia" w:ascii="Times New Roman" w:hAnsi="Times New Roman" w:eastAsia="宋体" w:cs="Times New Roman"/>
                      <w:b/>
                      <w:color w:val="auto"/>
                      <w:szCs w:val="21"/>
                      <w:highlight w:val="none"/>
                      <w:lang w:val="en-US" w:eastAsia="zh-CN"/>
                    </w:rPr>
                    <w:t>超标率/%</w:t>
                  </w:r>
                </w:p>
              </w:tc>
              <w:tc>
                <w:tcPr>
                  <w:tcW w:w="710" w:type="pct"/>
                  <w:tcBorders>
                    <w:tl2br w:val="nil"/>
                    <w:tr2bl w:val="nil"/>
                  </w:tcBorders>
                  <w:noWrap w:val="0"/>
                  <w:vAlign w:val="center"/>
                </w:tcPr>
                <w:p w14:paraId="0AEEF37C">
                  <w:pPr>
                    <w:keepNext w:val="0"/>
                    <w:keepLines w:val="0"/>
                    <w:suppressLineNumbers w:val="0"/>
                    <w:spacing w:before="0" w:beforeAutospacing="0" w:after="0" w:afterAutospacing="0"/>
                    <w:ind w:left="0" w:right="0"/>
                    <w:jc w:val="center"/>
                    <w:rPr>
                      <w:rFonts w:hint="default" w:ascii="Times New Roman" w:hAnsi="Times New Roman" w:eastAsia="宋体" w:cs="Times New Roman"/>
                      <w:b/>
                      <w:color w:val="auto"/>
                      <w:szCs w:val="21"/>
                      <w:highlight w:val="none"/>
                      <w:lang w:val="en-US" w:eastAsia="zh-CN"/>
                    </w:rPr>
                  </w:pPr>
                  <w:r>
                    <w:rPr>
                      <w:rFonts w:hint="eastAsia" w:ascii="Times New Roman" w:hAnsi="Times New Roman" w:eastAsia="宋体" w:cs="Times New Roman"/>
                      <w:b/>
                      <w:color w:val="auto"/>
                      <w:szCs w:val="21"/>
                      <w:highlight w:val="none"/>
                      <w:lang w:val="en-US" w:eastAsia="zh-CN"/>
                    </w:rPr>
                    <w:t>达标情况</w:t>
                  </w:r>
                </w:p>
              </w:tc>
            </w:tr>
            <w:tr w14:paraId="1FD7FB7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278" w:type="pct"/>
                  <w:vMerge w:val="restart"/>
                  <w:tcBorders>
                    <w:tl2br w:val="nil"/>
                    <w:tr2bl w:val="nil"/>
                  </w:tcBorders>
                  <w:noWrap w:val="0"/>
                  <w:vAlign w:val="center"/>
                </w:tcPr>
                <w:p w14:paraId="72644C5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黎村G1</w:t>
                  </w:r>
                </w:p>
              </w:tc>
              <w:tc>
                <w:tcPr>
                  <w:tcW w:w="624" w:type="pct"/>
                  <w:tcBorders>
                    <w:tl2br w:val="nil"/>
                    <w:tr2bl w:val="nil"/>
                  </w:tcBorders>
                  <w:noWrap w:val="0"/>
                  <w:vAlign w:val="center"/>
                </w:tcPr>
                <w:p w14:paraId="6E2300D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非甲烷总烃</w:t>
                  </w:r>
                </w:p>
              </w:tc>
              <w:tc>
                <w:tcPr>
                  <w:tcW w:w="694" w:type="pct"/>
                  <w:tcBorders>
                    <w:tl2br w:val="nil"/>
                    <w:tr2bl w:val="nil"/>
                  </w:tcBorders>
                  <w:noWrap w:val="0"/>
                  <w:vAlign w:val="center"/>
                </w:tcPr>
                <w:p w14:paraId="59F3A7A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1h平均</w:t>
                  </w:r>
                </w:p>
              </w:tc>
              <w:tc>
                <w:tcPr>
                  <w:tcW w:w="727" w:type="pct"/>
                  <w:tcBorders>
                    <w:tl2br w:val="nil"/>
                    <w:tr2bl w:val="nil"/>
                  </w:tcBorders>
                  <w:noWrap w:val="0"/>
                  <w:vAlign w:val="center"/>
                </w:tcPr>
                <w:p w14:paraId="0559952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2.0</w:t>
                  </w:r>
                </w:p>
              </w:tc>
              <w:tc>
                <w:tcPr>
                  <w:tcW w:w="727" w:type="pct"/>
                  <w:tcBorders>
                    <w:tl2br w:val="nil"/>
                    <w:tr2bl w:val="nil"/>
                  </w:tcBorders>
                  <w:noWrap w:val="0"/>
                  <w:vAlign w:val="center"/>
                </w:tcPr>
                <w:p w14:paraId="1673A72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0.4~1.06</w:t>
                  </w:r>
                </w:p>
              </w:tc>
              <w:tc>
                <w:tcPr>
                  <w:tcW w:w="618" w:type="pct"/>
                  <w:tcBorders>
                    <w:tl2br w:val="nil"/>
                    <w:tr2bl w:val="nil"/>
                  </w:tcBorders>
                  <w:noWrap w:val="0"/>
                  <w:vAlign w:val="center"/>
                </w:tcPr>
                <w:p w14:paraId="79E59FA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53</w:t>
                  </w:r>
                </w:p>
              </w:tc>
              <w:tc>
                <w:tcPr>
                  <w:tcW w:w="618" w:type="pct"/>
                  <w:tcBorders>
                    <w:tl2br w:val="nil"/>
                    <w:tr2bl w:val="nil"/>
                  </w:tcBorders>
                  <w:noWrap w:val="0"/>
                  <w:vAlign w:val="center"/>
                </w:tcPr>
                <w:p w14:paraId="329DBFC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710" w:type="pct"/>
                  <w:tcBorders>
                    <w:tl2br w:val="nil"/>
                    <w:tr2bl w:val="nil"/>
                  </w:tcBorders>
                  <w:noWrap w:val="0"/>
                  <w:vAlign w:val="center"/>
                </w:tcPr>
                <w:p w14:paraId="4A61B0C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达标</w:t>
                  </w:r>
                </w:p>
              </w:tc>
            </w:tr>
            <w:tr w14:paraId="5518F37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jc w:val="center"/>
              </w:trPr>
              <w:tc>
                <w:tcPr>
                  <w:tcW w:w="278" w:type="pct"/>
                  <w:vMerge w:val="continue"/>
                  <w:tcBorders>
                    <w:tl2br w:val="nil"/>
                    <w:tr2bl w:val="nil"/>
                  </w:tcBorders>
                  <w:noWrap w:val="0"/>
                  <w:vAlign w:val="center"/>
                </w:tcPr>
                <w:p w14:paraId="349CC9B7">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color w:val="auto"/>
                      <w:szCs w:val="21"/>
                      <w:highlight w:val="none"/>
                      <w:lang w:val="en-US" w:eastAsia="zh-CN"/>
                    </w:rPr>
                  </w:pPr>
                </w:p>
              </w:tc>
              <w:tc>
                <w:tcPr>
                  <w:tcW w:w="624" w:type="pct"/>
                  <w:tcBorders>
                    <w:tl2br w:val="nil"/>
                    <w:tr2bl w:val="nil"/>
                  </w:tcBorders>
                  <w:noWrap w:val="0"/>
                  <w:vAlign w:val="center"/>
                </w:tcPr>
                <w:p w14:paraId="093E6F33">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TVOC</w:t>
                  </w:r>
                </w:p>
              </w:tc>
              <w:tc>
                <w:tcPr>
                  <w:tcW w:w="694" w:type="pct"/>
                  <w:tcBorders>
                    <w:tl2br w:val="nil"/>
                    <w:tr2bl w:val="nil"/>
                  </w:tcBorders>
                  <w:noWrap w:val="0"/>
                  <w:vAlign w:val="center"/>
                </w:tcPr>
                <w:p w14:paraId="24022AE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8h平均</w:t>
                  </w:r>
                </w:p>
              </w:tc>
              <w:tc>
                <w:tcPr>
                  <w:tcW w:w="727" w:type="pct"/>
                  <w:tcBorders>
                    <w:tl2br w:val="nil"/>
                    <w:tr2bl w:val="nil"/>
                  </w:tcBorders>
                  <w:noWrap w:val="0"/>
                  <w:vAlign w:val="center"/>
                </w:tcPr>
                <w:p w14:paraId="18B41CE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0.6</w:t>
                  </w:r>
                </w:p>
              </w:tc>
              <w:tc>
                <w:tcPr>
                  <w:tcW w:w="727" w:type="pct"/>
                  <w:tcBorders>
                    <w:tl2br w:val="nil"/>
                    <w:tr2bl w:val="nil"/>
                  </w:tcBorders>
                  <w:noWrap w:val="0"/>
                  <w:vAlign w:val="center"/>
                </w:tcPr>
                <w:p w14:paraId="4521012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0.001~0.007</w:t>
                  </w:r>
                </w:p>
              </w:tc>
              <w:tc>
                <w:tcPr>
                  <w:tcW w:w="618" w:type="pct"/>
                  <w:tcBorders>
                    <w:tl2br w:val="nil"/>
                    <w:tr2bl w:val="nil"/>
                  </w:tcBorders>
                  <w:noWrap w:val="0"/>
                  <w:vAlign w:val="center"/>
                </w:tcPr>
                <w:p w14:paraId="15ACF49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1.2</w:t>
                  </w:r>
                </w:p>
              </w:tc>
              <w:tc>
                <w:tcPr>
                  <w:tcW w:w="618" w:type="pct"/>
                  <w:tcBorders>
                    <w:tl2br w:val="nil"/>
                    <w:tr2bl w:val="nil"/>
                  </w:tcBorders>
                  <w:noWrap w:val="0"/>
                  <w:vAlign w:val="center"/>
                </w:tcPr>
                <w:p w14:paraId="25E01F8F">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710" w:type="pct"/>
                  <w:tcBorders>
                    <w:tl2br w:val="nil"/>
                    <w:tr2bl w:val="nil"/>
                  </w:tcBorders>
                  <w:noWrap w:val="0"/>
                  <w:vAlign w:val="center"/>
                </w:tcPr>
                <w:p w14:paraId="2A10D41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达标</w:t>
                  </w:r>
                </w:p>
              </w:tc>
            </w:tr>
          </w:tbl>
          <w:p w14:paraId="2BD386FB">
            <w:pPr>
              <w:pStyle w:val="154"/>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12" w:firstLineChars="200"/>
              <w:textAlignment w:val="auto"/>
              <w:rPr>
                <w:rFonts w:hint="eastAsia" w:ascii="Times New Roman" w:hAnsi="Times New Roman" w:eastAsia="宋体" w:cs="宋体"/>
                <w:color w:val="auto"/>
                <w:spacing w:val="-2"/>
                <w:sz w:val="21"/>
                <w:szCs w:val="21"/>
                <w:highlight w:val="none"/>
                <w:lang w:eastAsia="zh-CN"/>
              </w:rPr>
            </w:pPr>
            <w:r>
              <w:rPr>
                <w:rFonts w:hint="eastAsia" w:ascii="Times New Roman" w:hAnsi="Times New Roman" w:eastAsia="宋体" w:cs="宋体"/>
                <w:color w:val="auto"/>
                <w:spacing w:val="-2"/>
                <w:sz w:val="21"/>
                <w:szCs w:val="21"/>
                <w:highlight w:val="none"/>
                <w:lang w:eastAsia="zh-CN"/>
              </w:rPr>
              <w:t>根据上表可知，非甲烷总烃满足《大气污染物综合排放标准详解》中的推荐值，TVOC满足《环境影响评价技术导则-大气环境》（HJ2.2-2018）附录D中其他污染物空气质量浓度参考限值，说明区域环境空气质量较好。</w:t>
            </w:r>
          </w:p>
          <w:p w14:paraId="2ED83BAD">
            <w:pPr>
              <w:pStyle w:val="15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eastAsia="宋体" w:cs="宋体"/>
                <w:color w:val="auto"/>
                <w:spacing w:val="-2"/>
                <w:sz w:val="21"/>
                <w:szCs w:val="21"/>
                <w:highlight w:val="none"/>
                <w:lang w:eastAsia="zh-CN"/>
              </w:rPr>
            </w:pPr>
          </w:p>
          <w:p w14:paraId="7D1D8F37">
            <w:pPr>
              <w:pStyle w:val="154"/>
              <w:keepNext w:val="0"/>
              <w:keepLines w:val="0"/>
              <w:suppressLineNumbers w:val="0"/>
              <w:spacing w:before="0" w:beforeAutospacing="0" w:after="0" w:afterAutospacing="0" w:line="360" w:lineRule="auto"/>
              <w:ind w:left="0" w:right="0"/>
              <w:jc w:val="center"/>
              <w:rPr>
                <w:rFonts w:hint="eastAsia" w:ascii="Times New Roman" w:hAnsi="Times New Roman" w:eastAsia="宋体"/>
                <w:b/>
                <w:bCs/>
                <w:color w:val="auto"/>
                <w:spacing w:val="2"/>
                <w:sz w:val="21"/>
                <w:szCs w:val="21"/>
                <w:highlight w:val="none"/>
                <w:lang w:eastAsia="zh-CN"/>
              </w:rPr>
            </w:pPr>
            <w:r>
              <w:rPr>
                <w:rFonts w:hint="eastAsia" w:ascii="Times New Roman" w:hAnsi="Times New Roman" w:eastAsia="宋体"/>
                <w:b/>
                <w:bCs/>
                <w:color w:val="auto"/>
                <w:spacing w:val="2"/>
                <w:sz w:val="21"/>
                <w:szCs w:val="21"/>
                <w:highlight w:val="none"/>
                <w:lang w:eastAsia="zh-CN"/>
              </w:rPr>
              <w:t>图3</w:t>
            </w:r>
            <w:r>
              <w:rPr>
                <w:rFonts w:hint="eastAsia" w:ascii="Times New Roman" w:hAnsi="Times New Roman"/>
                <w:b/>
                <w:bCs/>
                <w:color w:val="auto"/>
                <w:spacing w:val="2"/>
                <w:sz w:val="21"/>
                <w:szCs w:val="21"/>
                <w:highlight w:val="none"/>
                <w:lang w:val="en-US" w:eastAsia="zh-CN"/>
              </w:rPr>
              <w:t>-2</w:t>
            </w:r>
            <w:r>
              <w:rPr>
                <w:rFonts w:hint="eastAsia" w:ascii="Times New Roman" w:hAnsi="Times New Roman" w:eastAsia="宋体"/>
                <w:b/>
                <w:bCs/>
                <w:color w:val="auto"/>
                <w:spacing w:val="2"/>
                <w:sz w:val="21"/>
                <w:szCs w:val="21"/>
                <w:highlight w:val="none"/>
                <w:lang w:eastAsia="zh-CN"/>
              </w:rPr>
              <w:t xml:space="preserve"> 引用的大气环境质量现状监测点位图</w:t>
            </w:r>
          </w:p>
          <w:p w14:paraId="597AD8C5">
            <w:pPr>
              <w:pStyle w:val="15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12" w:firstLineChars="200"/>
              <w:textAlignment w:val="auto"/>
              <w:rPr>
                <w:rFonts w:hint="eastAsia" w:ascii="Times New Roman" w:hAnsi="Times New Roman" w:eastAsia="宋体" w:cs="宋体"/>
                <w:color w:val="auto"/>
                <w:spacing w:val="-2"/>
                <w:sz w:val="21"/>
                <w:szCs w:val="21"/>
                <w:highlight w:val="none"/>
                <w:lang w:eastAsia="zh-CN"/>
              </w:rPr>
            </w:pPr>
            <w:r>
              <w:rPr>
                <w:rFonts w:hint="eastAsia" w:ascii="Times New Roman" w:hAnsi="Times New Roman" w:eastAsia="宋体" w:cs="宋体"/>
                <w:color w:val="auto"/>
                <w:spacing w:val="-2"/>
                <w:sz w:val="21"/>
                <w:szCs w:val="21"/>
                <w:highlight w:val="none"/>
                <w:lang w:eastAsia="zh-CN"/>
              </w:rPr>
              <w:t>监测结果表明，项目所在区域环境质量状况良好，非甲烷总烃满足《大气污染物综合排放标准详解》中的推荐值，TVOC满足《环境影响评价技术导则-大气环境》（HJ2.2-2018）附录D中其他污染物空气质量浓度参考限值。因此，项目所在区域环境空气质量现状良好。</w:t>
            </w:r>
          </w:p>
          <w:p w14:paraId="74B0792B">
            <w:pPr>
              <w:pStyle w:val="15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14" w:firstLineChars="200"/>
              <w:textAlignment w:val="auto"/>
              <w:rPr>
                <w:rFonts w:hint="eastAsia" w:ascii="Times New Roman" w:hAnsi="Times New Roman" w:eastAsia="宋体" w:cs="宋体"/>
                <w:b/>
                <w:bCs/>
                <w:color w:val="auto"/>
                <w:spacing w:val="-2"/>
                <w:sz w:val="21"/>
                <w:szCs w:val="21"/>
                <w:highlight w:val="none"/>
                <w:lang w:eastAsia="zh-CN"/>
              </w:rPr>
            </w:pPr>
            <w:r>
              <w:rPr>
                <w:rFonts w:hint="eastAsia" w:ascii="Times New Roman" w:hAnsi="Times New Roman" w:eastAsia="宋体" w:cs="宋体"/>
                <w:b/>
                <w:bCs/>
                <w:color w:val="auto"/>
                <w:spacing w:val="-2"/>
                <w:sz w:val="21"/>
                <w:szCs w:val="21"/>
                <w:highlight w:val="none"/>
                <w:lang w:eastAsia="zh-CN"/>
              </w:rPr>
              <w:t>3、大气环境质量现状达标情况</w:t>
            </w:r>
          </w:p>
          <w:p w14:paraId="58BBED16">
            <w:pPr>
              <w:pStyle w:val="15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12" w:firstLineChars="200"/>
              <w:textAlignment w:val="auto"/>
              <w:rPr>
                <w:rFonts w:hint="eastAsia" w:ascii="Times New Roman" w:hAnsi="Times New Roman" w:eastAsia="宋体" w:cs="宋体"/>
                <w:color w:val="auto"/>
                <w:spacing w:val="-2"/>
                <w:sz w:val="21"/>
                <w:szCs w:val="21"/>
                <w:highlight w:val="none"/>
                <w:lang w:eastAsia="zh-CN"/>
              </w:rPr>
            </w:pPr>
            <w:r>
              <w:rPr>
                <w:rFonts w:hint="eastAsia" w:ascii="Times New Roman" w:hAnsi="Times New Roman" w:eastAsia="宋体" w:cs="宋体"/>
                <w:color w:val="auto"/>
                <w:spacing w:val="-2"/>
                <w:sz w:val="21"/>
                <w:szCs w:val="21"/>
                <w:highlight w:val="none"/>
                <w:lang w:eastAsia="zh-CN"/>
              </w:rPr>
              <w:t>综上所述，项目所处区域属二类功能区，执行《环境空气质量标准》（GB3095-2012）的二级标准及其2018年修改单中的二级标准。</w:t>
            </w:r>
          </w:p>
          <w:p w14:paraId="1D1F52D1">
            <w:pPr>
              <w:pStyle w:val="15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12" w:firstLineChars="200"/>
              <w:textAlignment w:val="auto"/>
              <w:rPr>
                <w:rFonts w:hint="eastAsia" w:ascii="Times New Roman" w:hAnsi="Times New Roman" w:eastAsia="宋体" w:cs="宋体"/>
                <w:color w:val="auto"/>
                <w:spacing w:val="-2"/>
                <w:sz w:val="21"/>
                <w:szCs w:val="21"/>
                <w:highlight w:val="none"/>
                <w:lang w:eastAsia="zh-CN"/>
              </w:rPr>
            </w:pPr>
            <w:r>
              <w:rPr>
                <w:rFonts w:hint="eastAsia" w:ascii="Times New Roman" w:hAnsi="Times New Roman" w:eastAsia="宋体" w:cs="宋体"/>
                <w:color w:val="auto"/>
                <w:spacing w:val="-2"/>
                <w:sz w:val="21"/>
                <w:szCs w:val="21"/>
                <w:highlight w:val="none"/>
                <w:lang w:eastAsia="zh-CN"/>
              </w:rPr>
              <w:t>根据《2023年惠州市生态环境状况公报》，项目所在区域环境空气质量良好，满足《环境空气质量标准》（GB3095-2012）及2018年修改单中的二级标准。项目所在区域属于大气环境达标区。</w:t>
            </w:r>
          </w:p>
          <w:p w14:paraId="55ED5549">
            <w:pPr>
              <w:pStyle w:val="15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12" w:firstLineChars="200"/>
              <w:textAlignment w:val="auto"/>
              <w:rPr>
                <w:rFonts w:hint="eastAsia" w:ascii="Times New Roman" w:hAnsi="Times New Roman" w:eastAsia="宋体" w:cs="宋体"/>
                <w:color w:val="auto"/>
                <w:spacing w:val="-2"/>
                <w:sz w:val="21"/>
                <w:szCs w:val="21"/>
                <w:highlight w:val="none"/>
                <w:lang w:eastAsia="zh-CN"/>
              </w:rPr>
            </w:pPr>
            <w:r>
              <w:rPr>
                <w:rFonts w:hint="eastAsia" w:ascii="Times New Roman" w:hAnsi="Times New Roman" w:eastAsia="宋体" w:cs="宋体"/>
                <w:color w:val="auto"/>
                <w:spacing w:val="-2"/>
                <w:sz w:val="21"/>
                <w:szCs w:val="21"/>
                <w:highlight w:val="none"/>
                <w:lang w:eastAsia="zh-CN"/>
              </w:rPr>
              <w:t>根据引用的监测数据，非甲烷总烃的监测值满足《大气污染物综合排放标准详解》中标准，TVOC满足《环境影响评价技术导则-大气环境》（HJ2.2-2018）附录D中其他污染物空气质量浓度参考限值。项目所在区域环境空气质量优良，符合国家《环境空气质量标准》(GB3095-2012)中二级标准要求。</w:t>
            </w:r>
          </w:p>
          <w:p w14:paraId="596B5567">
            <w:pPr>
              <w:pStyle w:val="15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14" w:firstLineChars="200"/>
              <w:textAlignment w:val="auto"/>
              <w:rPr>
                <w:rFonts w:hint="default" w:ascii="Times New Roman" w:hAnsi="Times New Roman" w:eastAsia="宋体" w:cs="宋体"/>
                <w:b/>
                <w:bCs/>
                <w:color w:val="auto"/>
                <w:spacing w:val="-2"/>
                <w:sz w:val="21"/>
                <w:szCs w:val="21"/>
                <w:highlight w:val="none"/>
                <w:lang w:val="en-US" w:eastAsia="zh-CN"/>
              </w:rPr>
            </w:pPr>
            <w:r>
              <w:rPr>
                <w:rFonts w:hint="eastAsia" w:ascii="Times New Roman" w:hAnsi="Times New Roman" w:eastAsia="宋体" w:cs="宋体"/>
                <w:b/>
                <w:bCs/>
                <w:color w:val="auto"/>
                <w:spacing w:val="-2"/>
                <w:sz w:val="21"/>
                <w:szCs w:val="21"/>
                <w:highlight w:val="none"/>
                <w:lang w:val="en-US" w:eastAsia="zh-CN"/>
              </w:rPr>
              <w:t>二、地表水环境</w:t>
            </w:r>
          </w:p>
          <w:p w14:paraId="047639FE">
            <w:pPr>
              <w:pStyle w:val="154"/>
              <w:keepNext w:val="0"/>
              <w:keepLines w:val="0"/>
              <w:suppressLineNumbers w:val="0"/>
              <w:spacing w:before="0" w:beforeAutospacing="0" w:after="0" w:afterAutospacing="0" w:line="360" w:lineRule="auto"/>
              <w:ind w:left="0" w:right="0" w:firstLine="428" w:firstLineChars="200"/>
              <w:rPr>
                <w:rFonts w:hint="default" w:ascii="Times New Roman" w:hAnsi="Times New Roman" w:eastAsia="宋体" w:cs="Times New Roman"/>
                <w:color w:val="auto"/>
                <w:spacing w:val="2"/>
                <w:sz w:val="21"/>
                <w:szCs w:val="21"/>
                <w:highlight w:val="none"/>
                <w:lang w:eastAsia="zh-CN"/>
              </w:rPr>
            </w:pPr>
            <w:r>
              <w:rPr>
                <w:rFonts w:hint="default" w:ascii="Times New Roman" w:hAnsi="Times New Roman" w:eastAsia="宋体" w:cs="Times New Roman"/>
                <w:color w:val="auto"/>
                <w:spacing w:val="2"/>
                <w:sz w:val="21"/>
                <w:szCs w:val="21"/>
                <w:highlight w:val="none"/>
                <w:lang w:eastAsia="zh-CN"/>
              </w:rPr>
              <w:t>本项目无生产废水排放。</w:t>
            </w:r>
          </w:p>
          <w:p w14:paraId="6E1C4F18">
            <w:pPr>
              <w:pStyle w:val="154"/>
              <w:keepNext w:val="0"/>
              <w:keepLines w:val="0"/>
              <w:suppressLineNumbers w:val="0"/>
              <w:spacing w:before="0" w:beforeAutospacing="0" w:after="0" w:afterAutospacing="0" w:line="360" w:lineRule="auto"/>
              <w:ind w:left="0" w:right="0" w:firstLine="428" w:firstLineChars="200"/>
              <w:rPr>
                <w:rFonts w:hint="default" w:ascii="Times New Roman" w:hAnsi="Times New Roman" w:eastAsia="宋体" w:cs="Times New Roman"/>
                <w:color w:val="auto"/>
                <w:spacing w:val="2"/>
                <w:sz w:val="21"/>
                <w:szCs w:val="21"/>
                <w:highlight w:val="none"/>
                <w:lang w:eastAsia="zh-CN"/>
              </w:rPr>
            </w:pPr>
            <w:r>
              <w:rPr>
                <w:rFonts w:hint="default" w:ascii="Times New Roman" w:hAnsi="Times New Roman" w:eastAsia="宋体" w:cs="Times New Roman"/>
                <w:color w:val="auto"/>
                <w:spacing w:val="2"/>
                <w:sz w:val="21"/>
                <w:szCs w:val="21"/>
                <w:highlight w:val="none"/>
                <w:lang w:eastAsia="zh-CN"/>
              </w:rPr>
              <w:t>项目生活污水经三级化粪池处理后排入博罗县城生活污水处理厂处理，污水厂尾水排入新角排渠，后汇入东江，根据《关于印发&lt;博罗县2024年水污染防治工作方案&gt;的通知》（博环攻坚办〔2024〕68号），新角排渠水质目标为《地表水环境质量标准》（GB3838-2002）Ⅴ类标准。为评价项目周边地表水环境质量状况，本项目拟引用惠州市生态环境局博罗分局发布的《2024年09月博罗县地表水环境质量状况》（属于《建设项目环境影响报告表编制技术指南》（污染影响类）（试行）中生态环境主管部门发布的地表水达标情况的结论）：2024年09月，4个地表水国省考断面水质：除</w:t>
            </w:r>
            <w:r>
              <w:rPr>
                <w:rFonts w:hint="eastAsia" w:ascii="宋体" w:hAnsi="宋体" w:eastAsia="宋体" w:cs="宋体"/>
                <w:color w:val="auto"/>
                <w:spacing w:val="2"/>
                <w:sz w:val="21"/>
                <w:szCs w:val="21"/>
                <w:highlight w:val="none"/>
                <w:lang w:eastAsia="zh-CN"/>
              </w:rPr>
              <w:t>了“沙</w:t>
            </w:r>
            <w:r>
              <w:rPr>
                <w:rFonts w:hint="default" w:ascii="Times New Roman" w:hAnsi="Times New Roman" w:eastAsia="宋体" w:cs="Times New Roman"/>
                <w:color w:val="auto"/>
                <w:spacing w:val="2"/>
                <w:sz w:val="21"/>
                <w:szCs w:val="21"/>
                <w:highlight w:val="none"/>
                <w:lang w:eastAsia="zh-CN"/>
              </w:rPr>
              <w:t>河河口</w:t>
            </w:r>
            <w:r>
              <w:rPr>
                <w:rFonts w:hint="eastAsia" w:ascii="Times New Roman" w:hAnsi="Times New Roman" w:cs="Times New Roman"/>
                <w:color w:val="auto"/>
                <w:spacing w:val="2"/>
                <w:sz w:val="21"/>
                <w:szCs w:val="21"/>
                <w:highlight w:val="none"/>
                <w:lang w:eastAsia="zh-CN"/>
              </w:rPr>
              <w:t>（</w:t>
            </w:r>
            <w:r>
              <w:rPr>
                <w:rFonts w:hint="default" w:ascii="Times New Roman" w:hAnsi="Times New Roman" w:eastAsia="宋体" w:cs="Times New Roman"/>
                <w:color w:val="auto"/>
                <w:spacing w:val="2"/>
                <w:sz w:val="21"/>
                <w:szCs w:val="21"/>
                <w:highlight w:val="none"/>
                <w:lang w:eastAsia="zh-CN"/>
              </w:rPr>
              <w:t>里波水）</w:t>
            </w:r>
            <w:r>
              <w:rPr>
                <w:rFonts w:hint="eastAsia" w:ascii="宋体" w:hAnsi="宋体" w:eastAsia="宋体" w:cs="宋体"/>
                <w:color w:val="auto"/>
                <w:spacing w:val="2"/>
                <w:sz w:val="21"/>
                <w:szCs w:val="21"/>
                <w:highlight w:val="none"/>
                <w:lang w:eastAsia="zh-CN"/>
              </w:rPr>
              <w:t>”</w:t>
            </w:r>
            <w:r>
              <w:rPr>
                <w:rFonts w:hint="default" w:ascii="Times New Roman" w:hAnsi="Times New Roman" w:eastAsia="宋体" w:cs="Times New Roman"/>
                <w:color w:val="auto"/>
                <w:spacing w:val="2"/>
                <w:sz w:val="21"/>
                <w:szCs w:val="21"/>
                <w:highlight w:val="none"/>
                <w:lang w:eastAsia="zh-CN"/>
              </w:rPr>
              <w:t>为Ⅳ类外，其余3个断面</w:t>
            </w:r>
            <w:r>
              <w:rPr>
                <w:rFonts w:hint="eastAsia" w:ascii="宋体" w:hAnsi="宋体" w:eastAsia="宋体" w:cs="宋体"/>
                <w:color w:val="auto"/>
                <w:spacing w:val="2"/>
                <w:sz w:val="21"/>
                <w:szCs w:val="21"/>
                <w:highlight w:val="none"/>
                <w:lang w:eastAsia="zh-CN"/>
              </w:rPr>
              <w:t>“</w:t>
            </w:r>
            <w:r>
              <w:rPr>
                <w:rFonts w:hint="default" w:ascii="Times New Roman" w:hAnsi="Times New Roman" w:eastAsia="宋体" w:cs="Times New Roman"/>
                <w:color w:val="auto"/>
                <w:spacing w:val="2"/>
                <w:sz w:val="21"/>
                <w:szCs w:val="21"/>
                <w:highlight w:val="none"/>
                <w:lang w:eastAsia="zh-CN"/>
              </w:rPr>
              <w:t>博罗城下(新</w:t>
            </w:r>
            <w:r>
              <w:rPr>
                <w:rFonts w:hint="eastAsia" w:ascii="宋体" w:hAnsi="宋体" w:eastAsia="宋体" w:cs="宋体"/>
                <w:color w:val="auto"/>
                <w:spacing w:val="2"/>
                <w:sz w:val="21"/>
                <w:szCs w:val="21"/>
                <w:highlight w:val="none"/>
                <w:lang w:eastAsia="zh-CN"/>
              </w:rPr>
              <w:t>角)”、“黄大仙”和“公</w:t>
            </w:r>
            <w:r>
              <w:rPr>
                <w:rFonts w:hint="default" w:ascii="Times New Roman" w:hAnsi="Times New Roman" w:eastAsia="宋体" w:cs="Times New Roman"/>
                <w:color w:val="auto"/>
                <w:spacing w:val="2"/>
                <w:sz w:val="21"/>
                <w:szCs w:val="21"/>
                <w:highlight w:val="none"/>
                <w:lang w:eastAsia="zh-CN"/>
              </w:rPr>
              <w:t>庄河口（泰美</w:t>
            </w:r>
            <w:r>
              <w:rPr>
                <w:rFonts w:hint="eastAsia" w:ascii="宋体" w:hAnsi="宋体" w:eastAsia="宋体" w:cs="宋体"/>
                <w:color w:val="auto"/>
                <w:spacing w:val="2"/>
                <w:sz w:val="21"/>
                <w:szCs w:val="21"/>
                <w:highlight w:val="none"/>
                <w:lang w:eastAsia="zh-CN"/>
              </w:rPr>
              <w:t>）”分</w:t>
            </w:r>
            <w:r>
              <w:rPr>
                <w:rFonts w:hint="default" w:ascii="Times New Roman" w:hAnsi="Times New Roman" w:eastAsia="宋体" w:cs="Times New Roman"/>
                <w:color w:val="auto"/>
                <w:spacing w:val="2"/>
                <w:sz w:val="21"/>
                <w:szCs w:val="21"/>
                <w:highlight w:val="none"/>
                <w:lang w:eastAsia="zh-CN"/>
              </w:rPr>
              <w:t>别为Ⅲ、Ⅱ和Ⅲ类，优良率（Ⅰ～Ⅲ类）为75.0%，劣Ⅴ类断面比例为0%，故新角排渠满足《地表水环境质量标准》（GB3838-2002）Ⅲ类标准，故项目所在区域地表水环境质量良好。</w:t>
            </w:r>
          </w:p>
          <w:p w14:paraId="53468379">
            <w:pPr>
              <w:pStyle w:val="154"/>
              <w:keepNext w:val="0"/>
              <w:keepLines w:val="0"/>
              <w:suppressLineNumbers w:val="0"/>
              <w:spacing w:before="0" w:beforeAutospacing="0" w:after="0" w:afterAutospacing="0" w:line="360" w:lineRule="auto"/>
              <w:ind w:left="0" w:right="0"/>
              <w:jc w:val="center"/>
              <w:rPr>
                <w:rFonts w:ascii="Times New Roman" w:hAnsi="Times New Roman" w:eastAsia="宋体"/>
                <w:color w:val="auto"/>
                <w:spacing w:val="2"/>
                <w:sz w:val="21"/>
                <w:szCs w:val="21"/>
                <w:highlight w:val="none"/>
                <w:lang w:eastAsia="zh-CN"/>
              </w:rPr>
            </w:pPr>
            <w:r>
              <w:rPr>
                <w:rFonts w:ascii="Times New Roman" w:hAnsi="Times New Roman" w:eastAsia="宋体"/>
                <w:color w:val="auto"/>
                <w:spacing w:val="2"/>
                <w:sz w:val="21"/>
                <w:szCs w:val="21"/>
                <w:highlight w:val="none"/>
                <w:lang w:eastAsia="zh-CN"/>
              </w:rPr>
              <w:drawing>
                <wp:inline distT="0" distB="0" distL="114300" distR="114300">
                  <wp:extent cx="4669790" cy="1172845"/>
                  <wp:effectExtent l="0" t="0" r="8890" b="635"/>
                  <wp:docPr id="213" name="图片 260" descr="1746781789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图片 260" descr="1746781789012"/>
                          <pic:cNvPicPr>
                            <a:picLocks noChangeAspect="1"/>
                          </pic:cNvPicPr>
                        </pic:nvPicPr>
                        <pic:blipFill>
                          <a:blip r:embed="rId13"/>
                          <a:stretch>
                            <a:fillRect/>
                          </a:stretch>
                        </pic:blipFill>
                        <pic:spPr>
                          <a:xfrm>
                            <a:off x="0" y="0"/>
                            <a:ext cx="4669790" cy="1172845"/>
                          </a:xfrm>
                          <a:prstGeom prst="rect">
                            <a:avLst/>
                          </a:prstGeom>
                          <a:noFill/>
                          <a:ln>
                            <a:noFill/>
                          </a:ln>
                        </pic:spPr>
                      </pic:pic>
                    </a:graphicData>
                  </a:graphic>
                </wp:inline>
              </w:drawing>
            </w:r>
          </w:p>
          <w:p w14:paraId="1DF93965">
            <w:pPr>
              <w:pStyle w:val="154"/>
              <w:keepNext w:val="0"/>
              <w:keepLines w:val="0"/>
              <w:suppressLineNumbers w:val="0"/>
              <w:spacing w:before="0" w:beforeAutospacing="0" w:after="0" w:afterAutospacing="0" w:line="360" w:lineRule="auto"/>
              <w:ind w:left="0" w:right="0" w:firstLine="430" w:firstLineChars="200"/>
              <w:rPr>
                <w:rFonts w:hint="eastAsia" w:ascii="Times New Roman" w:hAnsi="Times New Roman" w:eastAsia="宋体" w:cs="宋体"/>
                <w:b/>
                <w:bCs/>
                <w:color w:val="auto"/>
                <w:spacing w:val="2"/>
                <w:sz w:val="21"/>
                <w:szCs w:val="21"/>
                <w:highlight w:val="none"/>
                <w:lang w:eastAsia="zh-CN"/>
              </w:rPr>
            </w:pPr>
            <w:r>
              <w:rPr>
                <w:rFonts w:hint="eastAsia" w:ascii="Times New Roman" w:hAnsi="Times New Roman" w:eastAsia="宋体" w:cs="宋体"/>
                <w:b/>
                <w:bCs/>
                <w:color w:val="auto"/>
                <w:spacing w:val="2"/>
                <w:sz w:val="21"/>
                <w:szCs w:val="21"/>
                <w:highlight w:val="none"/>
                <w:lang w:eastAsia="zh-CN"/>
              </w:rPr>
              <w:t>三、声环境</w:t>
            </w:r>
          </w:p>
          <w:p w14:paraId="329C6DBB">
            <w:pPr>
              <w:pStyle w:val="154"/>
              <w:keepNext w:val="0"/>
              <w:keepLines w:val="0"/>
              <w:suppressLineNumbers w:val="0"/>
              <w:spacing w:before="0" w:beforeAutospacing="0" w:after="0" w:afterAutospacing="0" w:line="360" w:lineRule="auto"/>
              <w:ind w:left="0" w:right="0" w:firstLine="428" w:firstLineChars="200"/>
              <w:rPr>
                <w:rFonts w:hint="eastAsia" w:ascii="Times New Roman" w:hAnsi="Times New Roman" w:eastAsia="宋体" w:cs="宋体"/>
                <w:color w:val="auto"/>
                <w:spacing w:val="2"/>
                <w:sz w:val="21"/>
                <w:szCs w:val="21"/>
                <w:highlight w:val="none"/>
                <w:lang w:eastAsia="zh-CN"/>
              </w:rPr>
            </w:pPr>
            <w:r>
              <w:rPr>
                <w:rFonts w:hint="eastAsia" w:ascii="Times New Roman" w:hAnsi="Times New Roman" w:eastAsia="宋体" w:cs="宋体"/>
                <w:color w:val="auto"/>
                <w:spacing w:val="2"/>
                <w:sz w:val="21"/>
                <w:szCs w:val="21"/>
                <w:highlight w:val="none"/>
                <w:lang w:eastAsia="zh-CN"/>
              </w:rPr>
              <w:t>根据《惠州市生态环境局关于印发&lt;惠州市声环境功能区划分方案（2022年）&gt;的通知》（惠市环[2022]33号）中“博罗县中心城区声环境功能区示意图”，项目所在区域为声环境3类区；项目厂界外周边50米范围内无声环境保护目标，因此无需进行保护目标声环境质量现状监测。</w:t>
            </w:r>
          </w:p>
          <w:p w14:paraId="4D36D589">
            <w:pPr>
              <w:pStyle w:val="154"/>
              <w:keepNext w:val="0"/>
              <w:keepLines w:val="0"/>
              <w:suppressLineNumbers w:val="0"/>
              <w:spacing w:before="0" w:beforeAutospacing="0" w:after="0" w:afterAutospacing="0" w:line="360" w:lineRule="auto"/>
              <w:ind w:left="0" w:right="0" w:firstLine="430" w:firstLineChars="200"/>
              <w:rPr>
                <w:rFonts w:hint="eastAsia" w:ascii="Times New Roman" w:hAnsi="Times New Roman" w:eastAsia="宋体" w:cs="宋体"/>
                <w:b/>
                <w:bCs/>
                <w:color w:val="auto"/>
                <w:spacing w:val="2"/>
                <w:sz w:val="21"/>
                <w:szCs w:val="21"/>
                <w:highlight w:val="none"/>
                <w:lang w:eastAsia="zh-CN"/>
              </w:rPr>
            </w:pPr>
            <w:r>
              <w:rPr>
                <w:rFonts w:hint="eastAsia" w:ascii="Times New Roman" w:hAnsi="Times New Roman" w:eastAsia="宋体" w:cs="宋体"/>
                <w:b/>
                <w:bCs/>
                <w:color w:val="auto"/>
                <w:spacing w:val="2"/>
                <w:sz w:val="21"/>
                <w:szCs w:val="21"/>
                <w:highlight w:val="none"/>
                <w:lang w:eastAsia="zh-CN"/>
              </w:rPr>
              <w:t>四、生态环境</w:t>
            </w:r>
          </w:p>
          <w:p w14:paraId="60B469FD">
            <w:pPr>
              <w:pStyle w:val="154"/>
              <w:keepNext w:val="0"/>
              <w:keepLines w:val="0"/>
              <w:suppressLineNumbers w:val="0"/>
              <w:spacing w:before="0" w:beforeAutospacing="0" w:after="0" w:afterAutospacing="0" w:line="360" w:lineRule="auto"/>
              <w:ind w:left="0" w:right="0" w:firstLine="428" w:firstLineChars="200"/>
              <w:rPr>
                <w:rFonts w:hint="eastAsia" w:ascii="Times New Roman" w:hAnsi="Times New Roman" w:eastAsia="宋体" w:cs="宋体"/>
                <w:color w:val="auto"/>
                <w:spacing w:val="2"/>
                <w:sz w:val="21"/>
                <w:szCs w:val="21"/>
                <w:highlight w:val="none"/>
                <w:lang w:eastAsia="zh-CN"/>
              </w:rPr>
            </w:pPr>
            <w:r>
              <w:rPr>
                <w:rFonts w:hint="eastAsia" w:ascii="Times New Roman" w:hAnsi="Times New Roman" w:eastAsia="宋体" w:cs="宋体"/>
                <w:color w:val="auto"/>
                <w:spacing w:val="2"/>
                <w:sz w:val="21"/>
                <w:szCs w:val="21"/>
                <w:highlight w:val="none"/>
                <w:lang w:eastAsia="zh-CN"/>
              </w:rPr>
              <w:t>项目用地范围内无生态环境保护目标，无需进行生态环境现状调查。</w:t>
            </w:r>
          </w:p>
          <w:p w14:paraId="07A9A2BF">
            <w:pPr>
              <w:pStyle w:val="154"/>
              <w:keepNext w:val="0"/>
              <w:keepLines w:val="0"/>
              <w:suppressLineNumbers w:val="0"/>
              <w:spacing w:before="0" w:beforeAutospacing="0" w:after="0" w:afterAutospacing="0" w:line="360" w:lineRule="auto"/>
              <w:ind w:left="0" w:right="0" w:firstLine="430" w:firstLineChars="200"/>
              <w:rPr>
                <w:rFonts w:hint="eastAsia" w:ascii="Times New Roman" w:hAnsi="Times New Roman" w:eastAsia="宋体" w:cs="宋体"/>
                <w:b/>
                <w:bCs/>
                <w:color w:val="auto"/>
                <w:spacing w:val="2"/>
                <w:sz w:val="21"/>
                <w:szCs w:val="21"/>
                <w:highlight w:val="none"/>
                <w:lang w:eastAsia="zh-CN"/>
              </w:rPr>
            </w:pPr>
            <w:r>
              <w:rPr>
                <w:rFonts w:hint="eastAsia" w:ascii="Times New Roman" w:hAnsi="Times New Roman" w:eastAsia="宋体" w:cs="宋体"/>
                <w:b/>
                <w:bCs/>
                <w:color w:val="auto"/>
                <w:spacing w:val="2"/>
                <w:sz w:val="21"/>
                <w:szCs w:val="21"/>
                <w:highlight w:val="none"/>
                <w:lang w:eastAsia="zh-CN"/>
              </w:rPr>
              <w:t>五、地下水、土壤环境</w:t>
            </w:r>
          </w:p>
          <w:p w14:paraId="3A91C960">
            <w:pPr>
              <w:pStyle w:val="154"/>
              <w:keepNext w:val="0"/>
              <w:keepLines w:val="0"/>
              <w:suppressLineNumbers w:val="0"/>
              <w:spacing w:before="0" w:beforeAutospacing="0" w:after="0" w:afterAutospacing="0" w:line="360" w:lineRule="auto"/>
              <w:ind w:left="0" w:right="0" w:firstLine="428" w:firstLineChars="200"/>
              <w:rPr>
                <w:rFonts w:ascii="Times New Roman" w:hAnsi="Times New Roman" w:eastAsia="宋体"/>
                <w:color w:val="auto"/>
                <w:kern w:val="0"/>
                <w:sz w:val="21"/>
                <w:szCs w:val="21"/>
                <w:highlight w:val="none"/>
              </w:rPr>
            </w:pPr>
            <w:r>
              <w:rPr>
                <w:rFonts w:hint="eastAsia" w:ascii="Times New Roman" w:hAnsi="Times New Roman" w:eastAsia="宋体" w:cs="宋体"/>
                <w:color w:val="auto"/>
                <w:spacing w:val="2"/>
                <w:sz w:val="21"/>
                <w:szCs w:val="21"/>
                <w:highlight w:val="none"/>
                <w:lang w:eastAsia="zh-CN"/>
              </w:rPr>
              <w:t>项目投产后，生产用地范围内均进行硬底化，不存在土壤、地下水污染途径，因此，不进行土壤、地下水环境质量现状监测。</w:t>
            </w:r>
          </w:p>
        </w:tc>
      </w:tr>
      <w:tr w14:paraId="0FEDD1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2" w:type="dxa"/>
            <w:noWrap w:val="0"/>
            <w:vAlign w:val="center"/>
          </w:tcPr>
          <w:p w14:paraId="557C9C0F">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kern w:val="0"/>
                <w:sz w:val="21"/>
                <w:szCs w:val="21"/>
                <w:highlight w:val="none"/>
              </w:rPr>
            </w:pPr>
            <w:r>
              <w:rPr>
                <w:rFonts w:ascii="Times New Roman" w:hAnsi="Times New Roman" w:eastAsia="宋体" w:cs="Times New Roman"/>
                <w:color w:val="auto"/>
                <w:kern w:val="0"/>
                <w:sz w:val="21"/>
                <w:szCs w:val="21"/>
                <w:highlight w:val="none"/>
              </w:rPr>
              <w:t>环境</w:t>
            </w:r>
          </w:p>
          <w:p w14:paraId="15ED0DDA">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kern w:val="0"/>
                <w:sz w:val="21"/>
                <w:szCs w:val="21"/>
                <w:highlight w:val="none"/>
              </w:rPr>
            </w:pPr>
            <w:r>
              <w:rPr>
                <w:rFonts w:ascii="Times New Roman" w:hAnsi="Times New Roman" w:eastAsia="宋体" w:cs="Times New Roman"/>
                <w:color w:val="auto"/>
                <w:kern w:val="0"/>
                <w:sz w:val="21"/>
                <w:szCs w:val="21"/>
                <w:highlight w:val="none"/>
              </w:rPr>
              <w:t>保护</w:t>
            </w:r>
          </w:p>
          <w:p w14:paraId="0278FBFA">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kern w:val="0"/>
                <w:sz w:val="21"/>
                <w:szCs w:val="21"/>
                <w:highlight w:val="none"/>
              </w:rPr>
            </w:pPr>
            <w:r>
              <w:rPr>
                <w:rFonts w:ascii="Times New Roman" w:hAnsi="Times New Roman" w:eastAsia="宋体" w:cs="Times New Roman"/>
                <w:color w:val="auto"/>
                <w:kern w:val="0"/>
                <w:sz w:val="21"/>
                <w:szCs w:val="21"/>
                <w:highlight w:val="none"/>
              </w:rPr>
              <w:t>目标</w:t>
            </w:r>
          </w:p>
        </w:tc>
        <w:tc>
          <w:tcPr>
            <w:tcW w:w="8865" w:type="dxa"/>
            <w:noWrap w:val="0"/>
            <w:vAlign w:val="center"/>
          </w:tcPr>
          <w:p w14:paraId="0F0619B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2" w:firstLineChars="200"/>
              <w:textAlignment w:val="auto"/>
              <w:rPr>
                <w:rFonts w:ascii="Times New Roman" w:hAnsi="Times New Roman" w:eastAsia="宋体" w:cs="Times New Roman"/>
                <w:b/>
                <w:iCs/>
                <w:color w:val="auto"/>
                <w:sz w:val="21"/>
                <w:szCs w:val="21"/>
                <w:highlight w:val="none"/>
              </w:rPr>
            </w:pPr>
            <w:r>
              <w:rPr>
                <w:rFonts w:ascii="Times New Roman" w:hAnsi="Times New Roman" w:eastAsia="宋体" w:cs="Times New Roman"/>
                <w:b/>
                <w:iCs/>
                <w:color w:val="auto"/>
                <w:sz w:val="21"/>
                <w:szCs w:val="21"/>
                <w:highlight w:val="none"/>
              </w:rPr>
              <w:t>1、大气环境保护目标</w:t>
            </w:r>
          </w:p>
          <w:p w14:paraId="6A22044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厂界外500m范围内大气环境敏感点主要为</w:t>
            </w:r>
            <w:r>
              <w:rPr>
                <w:rFonts w:hint="eastAsia" w:ascii="Times New Roman" w:hAnsi="Times New Roman" w:eastAsia="宋体" w:cs="Times New Roman"/>
                <w:color w:val="auto"/>
                <w:sz w:val="21"/>
                <w:szCs w:val="21"/>
                <w:highlight w:val="none"/>
              </w:rPr>
              <w:t>居民区</w:t>
            </w:r>
            <w:r>
              <w:rPr>
                <w:rFonts w:ascii="Times New Roman" w:hAnsi="Times New Roman" w:eastAsia="宋体" w:cs="Times New Roman"/>
                <w:color w:val="auto"/>
                <w:sz w:val="21"/>
                <w:szCs w:val="21"/>
                <w:highlight w:val="none"/>
              </w:rPr>
              <w:t>，具体情况详见下表。</w:t>
            </w:r>
          </w:p>
          <w:p w14:paraId="7263E9DD">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宋体" w:eastAsia="宋体" w:cs="Times New Roman"/>
                <w:b/>
                <w:bCs/>
                <w:color w:val="auto"/>
                <w:szCs w:val="21"/>
                <w:highlight w:val="none"/>
              </w:rPr>
            </w:pPr>
            <w:r>
              <w:rPr>
                <w:rFonts w:hint="eastAsia" w:ascii="Times New Roman" w:hAnsi="宋体" w:eastAsia="宋体" w:cs="Times New Roman"/>
                <w:b/>
                <w:bCs/>
                <w:color w:val="auto"/>
                <w:szCs w:val="21"/>
                <w:highlight w:val="none"/>
              </w:rPr>
              <w:t>大气</w:t>
            </w:r>
            <w:r>
              <w:rPr>
                <w:rFonts w:hint="default" w:ascii="Times New Roman" w:hAnsi="宋体" w:eastAsia="宋体" w:cs="Times New Roman"/>
                <w:b/>
                <w:bCs/>
                <w:color w:val="auto"/>
                <w:szCs w:val="21"/>
                <w:highlight w:val="none"/>
              </w:rPr>
              <w:t>环境保护目标一览表</w:t>
            </w:r>
          </w:p>
          <w:tbl>
            <w:tblPr>
              <w:tblStyle w:val="41"/>
              <w:tblW w:w="4997"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797"/>
              <w:gridCol w:w="1665"/>
              <w:gridCol w:w="1584"/>
              <w:gridCol w:w="813"/>
              <w:gridCol w:w="813"/>
              <w:gridCol w:w="428"/>
              <w:gridCol w:w="586"/>
              <w:gridCol w:w="762"/>
              <w:gridCol w:w="757"/>
            </w:tblGrid>
            <w:tr w14:paraId="044B3C9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47" w:type="pct"/>
                  <w:vMerge w:val="restart"/>
                  <w:tcBorders>
                    <w:tl2br w:val="nil"/>
                    <w:tr2bl w:val="nil"/>
                  </w:tcBorders>
                  <w:noWrap w:val="0"/>
                  <w:vAlign w:val="center"/>
                </w:tcPr>
                <w:p w14:paraId="4A55D341">
                  <w:pPr>
                    <w:pStyle w:val="37"/>
                    <w:keepNext w:val="0"/>
                    <w:keepLines w:val="0"/>
                    <w:suppressLineNumbers w:val="0"/>
                    <w:adjustRightInd w:val="0"/>
                    <w:snapToGrid w:val="0"/>
                    <w:ind w:left="0" w:right="0"/>
                    <w:jc w:val="center"/>
                    <w:rPr>
                      <w:rFonts w:ascii="Times New Roman" w:hAnsi="Times New Roman" w:eastAsia="宋体" w:cs="Times New Roman"/>
                      <w:b/>
                      <w:bCs/>
                      <w:snapToGrid w:val="0"/>
                      <w:color w:val="auto"/>
                      <w:sz w:val="21"/>
                      <w:szCs w:val="21"/>
                      <w:highlight w:val="none"/>
                    </w:rPr>
                  </w:pPr>
                  <w:r>
                    <w:rPr>
                      <w:rFonts w:ascii="Times New Roman" w:hAnsi="Times New Roman" w:eastAsia="宋体" w:cs="Times New Roman"/>
                      <w:b/>
                      <w:snapToGrid w:val="0"/>
                      <w:color w:val="auto"/>
                      <w:sz w:val="21"/>
                      <w:szCs w:val="21"/>
                      <w:highlight w:val="none"/>
                    </w:rPr>
                    <w:t>序号</w:t>
                  </w:r>
                </w:p>
              </w:tc>
              <w:tc>
                <w:tcPr>
                  <w:tcW w:w="462" w:type="pct"/>
                  <w:vMerge w:val="restart"/>
                  <w:tcBorders>
                    <w:tl2br w:val="nil"/>
                    <w:tr2bl w:val="nil"/>
                  </w:tcBorders>
                  <w:noWrap w:val="0"/>
                  <w:vAlign w:val="center"/>
                </w:tcPr>
                <w:p w14:paraId="2431711F">
                  <w:pPr>
                    <w:pStyle w:val="37"/>
                    <w:keepNext w:val="0"/>
                    <w:keepLines w:val="0"/>
                    <w:suppressLineNumbers w:val="0"/>
                    <w:adjustRightInd w:val="0"/>
                    <w:snapToGrid w:val="0"/>
                    <w:ind w:left="0" w:right="0"/>
                    <w:jc w:val="center"/>
                    <w:rPr>
                      <w:rFonts w:ascii="Times New Roman" w:hAnsi="Times New Roman" w:eastAsia="宋体" w:cs="Times New Roman"/>
                      <w:b/>
                      <w:bCs/>
                      <w:snapToGrid w:val="0"/>
                      <w:color w:val="auto"/>
                      <w:sz w:val="21"/>
                      <w:szCs w:val="21"/>
                      <w:highlight w:val="none"/>
                    </w:rPr>
                  </w:pPr>
                  <w:r>
                    <w:rPr>
                      <w:rFonts w:hint="eastAsia" w:ascii="Times New Roman" w:hAnsi="Times New Roman" w:cs="Times New Roman"/>
                      <w:b/>
                      <w:snapToGrid w:val="0"/>
                      <w:color w:val="auto"/>
                      <w:sz w:val="21"/>
                      <w:szCs w:val="21"/>
                      <w:highlight w:val="none"/>
                      <w:lang w:val="en-US" w:eastAsia="zh-CN"/>
                    </w:rPr>
                    <w:t>敏感点</w:t>
                  </w:r>
                  <w:r>
                    <w:rPr>
                      <w:rFonts w:ascii="Times New Roman" w:hAnsi="Times New Roman" w:eastAsia="宋体" w:cs="Times New Roman"/>
                      <w:b/>
                      <w:snapToGrid w:val="0"/>
                      <w:color w:val="auto"/>
                      <w:sz w:val="21"/>
                      <w:szCs w:val="21"/>
                      <w:highlight w:val="none"/>
                    </w:rPr>
                    <w:t>名称</w:t>
                  </w:r>
                </w:p>
              </w:tc>
              <w:tc>
                <w:tcPr>
                  <w:tcW w:w="1881" w:type="pct"/>
                  <w:gridSpan w:val="2"/>
                  <w:tcBorders>
                    <w:tl2br w:val="nil"/>
                    <w:tr2bl w:val="nil"/>
                  </w:tcBorders>
                  <w:noWrap w:val="0"/>
                  <w:vAlign w:val="center"/>
                </w:tcPr>
                <w:p w14:paraId="2A508290">
                  <w:pPr>
                    <w:pStyle w:val="37"/>
                    <w:keepNext w:val="0"/>
                    <w:keepLines w:val="0"/>
                    <w:suppressLineNumbers w:val="0"/>
                    <w:adjustRightInd w:val="0"/>
                    <w:snapToGrid w:val="0"/>
                    <w:ind w:left="0" w:right="0"/>
                    <w:jc w:val="center"/>
                    <w:rPr>
                      <w:rFonts w:ascii="Times New Roman" w:hAnsi="Times New Roman" w:eastAsia="宋体" w:cs="Times New Roman"/>
                      <w:b/>
                      <w:snapToGrid w:val="0"/>
                      <w:color w:val="auto"/>
                      <w:sz w:val="21"/>
                      <w:szCs w:val="21"/>
                      <w:highlight w:val="none"/>
                    </w:rPr>
                  </w:pPr>
                  <w:r>
                    <w:rPr>
                      <w:rFonts w:hint="eastAsia" w:ascii="Times New Roman" w:hAnsi="Times New Roman" w:cs="Times New Roman"/>
                      <w:b/>
                      <w:snapToGrid w:val="0"/>
                      <w:color w:val="auto"/>
                      <w:sz w:val="21"/>
                      <w:szCs w:val="21"/>
                      <w:highlight w:val="none"/>
                      <w:lang w:val="en-US" w:eastAsia="zh-CN"/>
                    </w:rPr>
                    <w:t>敏感点</w:t>
                  </w:r>
                  <w:r>
                    <w:rPr>
                      <w:rFonts w:hint="eastAsia" w:ascii="Times New Roman" w:hAnsi="Times New Roman" w:eastAsia="宋体" w:cs="Times New Roman"/>
                      <w:b/>
                      <w:snapToGrid w:val="0"/>
                      <w:color w:val="auto"/>
                      <w:sz w:val="21"/>
                      <w:szCs w:val="21"/>
                      <w:highlight w:val="none"/>
                    </w:rPr>
                    <w:t>坐标</w:t>
                  </w:r>
                </w:p>
              </w:tc>
              <w:tc>
                <w:tcPr>
                  <w:tcW w:w="470" w:type="pct"/>
                  <w:vMerge w:val="restart"/>
                  <w:tcBorders>
                    <w:tl2br w:val="nil"/>
                    <w:tr2bl w:val="nil"/>
                  </w:tcBorders>
                  <w:noWrap w:val="0"/>
                  <w:vAlign w:val="center"/>
                </w:tcPr>
                <w:p w14:paraId="57D9E1C1">
                  <w:pPr>
                    <w:pStyle w:val="37"/>
                    <w:keepNext w:val="0"/>
                    <w:keepLines w:val="0"/>
                    <w:suppressLineNumbers w:val="0"/>
                    <w:adjustRightInd w:val="0"/>
                    <w:snapToGrid w:val="0"/>
                    <w:ind w:left="0" w:right="0"/>
                    <w:jc w:val="center"/>
                    <w:rPr>
                      <w:rFonts w:hint="default" w:ascii="Times New Roman" w:hAnsi="Times New Roman" w:eastAsia="宋体" w:cs="Times New Roman"/>
                      <w:b/>
                      <w:bCs/>
                      <w:snapToGrid w:val="0"/>
                      <w:color w:val="auto"/>
                      <w:sz w:val="21"/>
                      <w:szCs w:val="21"/>
                      <w:highlight w:val="none"/>
                      <w:lang w:val="en-US" w:eastAsia="zh-CN"/>
                    </w:rPr>
                  </w:pPr>
                  <w:r>
                    <w:rPr>
                      <w:rFonts w:hint="eastAsia" w:ascii="Times New Roman" w:hAnsi="Times New Roman" w:cs="Times New Roman"/>
                      <w:b/>
                      <w:bCs/>
                      <w:snapToGrid w:val="0"/>
                      <w:color w:val="auto"/>
                      <w:sz w:val="21"/>
                      <w:szCs w:val="21"/>
                      <w:highlight w:val="none"/>
                      <w:lang w:val="en-US" w:eastAsia="zh-CN"/>
                    </w:rPr>
                    <w:t>与本项目最近直线距离（m）</w:t>
                  </w:r>
                </w:p>
              </w:tc>
              <w:tc>
                <w:tcPr>
                  <w:tcW w:w="470" w:type="pct"/>
                  <w:vMerge w:val="restart"/>
                  <w:tcBorders>
                    <w:tl2br w:val="nil"/>
                    <w:tr2bl w:val="nil"/>
                  </w:tcBorders>
                  <w:noWrap w:val="0"/>
                  <w:vAlign w:val="center"/>
                </w:tcPr>
                <w:p w14:paraId="1D21A658">
                  <w:pPr>
                    <w:pStyle w:val="37"/>
                    <w:keepNext w:val="0"/>
                    <w:keepLines w:val="0"/>
                    <w:suppressLineNumbers w:val="0"/>
                    <w:adjustRightInd w:val="0"/>
                    <w:snapToGrid w:val="0"/>
                    <w:ind w:left="0" w:right="0"/>
                    <w:jc w:val="center"/>
                    <w:rPr>
                      <w:rFonts w:hint="default" w:ascii="Times New Roman" w:hAnsi="Times New Roman" w:eastAsia="宋体" w:cs="Times New Roman"/>
                      <w:b/>
                      <w:bCs/>
                      <w:snapToGrid w:val="0"/>
                      <w:color w:val="auto"/>
                      <w:sz w:val="21"/>
                      <w:szCs w:val="21"/>
                      <w:highlight w:val="none"/>
                      <w:lang w:val="en-US" w:eastAsia="zh-CN"/>
                    </w:rPr>
                  </w:pPr>
                  <w:r>
                    <w:rPr>
                      <w:rFonts w:hint="eastAsia" w:ascii="Times New Roman" w:hAnsi="Times New Roman" w:cs="Times New Roman"/>
                      <w:b/>
                      <w:bCs/>
                      <w:snapToGrid w:val="0"/>
                      <w:color w:val="auto"/>
                      <w:sz w:val="21"/>
                      <w:szCs w:val="21"/>
                      <w:highlight w:val="none"/>
                      <w:lang w:val="en-US" w:eastAsia="zh-CN"/>
                    </w:rPr>
                    <w:t>与产污车间的距离（m）</w:t>
                  </w:r>
                </w:p>
              </w:tc>
              <w:tc>
                <w:tcPr>
                  <w:tcW w:w="248" w:type="pct"/>
                  <w:vMerge w:val="restart"/>
                  <w:tcBorders>
                    <w:tl2br w:val="nil"/>
                    <w:tr2bl w:val="nil"/>
                  </w:tcBorders>
                  <w:noWrap w:val="0"/>
                  <w:vAlign w:val="center"/>
                </w:tcPr>
                <w:p w14:paraId="411589A2">
                  <w:pPr>
                    <w:pStyle w:val="37"/>
                    <w:keepNext w:val="0"/>
                    <w:keepLines w:val="0"/>
                    <w:suppressLineNumbers w:val="0"/>
                    <w:adjustRightInd w:val="0"/>
                    <w:snapToGrid w:val="0"/>
                    <w:ind w:left="0" w:right="0"/>
                    <w:jc w:val="center"/>
                    <w:rPr>
                      <w:rFonts w:hint="default" w:ascii="Times New Roman" w:hAnsi="Times New Roman" w:eastAsia="宋体" w:cs="Times New Roman"/>
                      <w:b/>
                      <w:bCs/>
                      <w:snapToGrid w:val="0"/>
                      <w:color w:val="auto"/>
                      <w:sz w:val="21"/>
                      <w:szCs w:val="21"/>
                      <w:highlight w:val="none"/>
                      <w:lang w:val="en-US" w:eastAsia="zh-CN"/>
                    </w:rPr>
                  </w:pPr>
                  <w:r>
                    <w:rPr>
                      <w:rFonts w:hint="eastAsia" w:ascii="Times New Roman" w:hAnsi="Times New Roman" w:cs="Times New Roman"/>
                      <w:b/>
                      <w:bCs/>
                      <w:snapToGrid w:val="0"/>
                      <w:color w:val="auto"/>
                      <w:sz w:val="21"/>
                      <w:szCs w:val="21"/>
                      <w:highlight w:val="none"/>
                      <w:lang w:val="en-US" w:eastAsia="zh-CN"/>
                    </w:rPr>
                    <w:t>相对项目方位</w:t>
                  </w:r>
                </w:p>
              </w:tc>
              <w:tc>
                <w:tcPr>
                  <w:tcW w:w="780" w:type="pct"/>
                  <w:gridSpan w:val="2"/>
                  <w:vMerge w:val="restart"/>
                  <w:tcBorders>
                    <w:tl2br w:val="nil"/>
                    <w:tr2bl w:val="nil"/>
                  </w:tcBorders>
                  <w:noWrap w:val="0"/>
                  <w:vAlign w:val="center"/>
                </w:tcPr>
                <w:p w14:paraId="531B05BF">
                  <w:pPr>
                    <w:pStyle w:val="37"/>
                    <w:keepNext w:val="0"/>
                    <w:keepLines w:val="0"/>
                    <w:suppressLineNumbers w:val="0"/>
                    <w:adjustRightInd w:val="0"/>
                    <w:snapToGrid w:val="0"/>
                    <w:ind w:left="0" w:right="0"/>
                    <w:jc w:val="center"/>
                    <w:rPr>
                      <w:rFonts w:ascii="Times New Roman" w:hAnsi="Times New Roman" w:eastAsia="宋体" w:cs="Times New Roman"/>
                      <w:b/>
                      <w:bCs/>
                      <w:snapToGrid w:val="0"/>
                      <w:color w:val="auto"/>
                      <w:sz w:val="21"/>
                      <w:szCs w:val="21"/>
                      <w:highlight w:val="none"/>
                    </w:rPr>
                  </w:pPr>
                  <w:r>
                    <w:rPr>
                      <w:rFonts w:hint="eastAsia" w:ascii="Times New Roman" w:hAnsi="Times New Roman" w:cs="Times New Roman"/>
                      <w:b/>
                      <w:bCs/>
                      <w:snapToGrid w:val="0"/>
                      <w:color w:val="auto"/>
                      <w:sz w:val="21"/>
                      <w:szCs w:val="21"/>
                      <w:highlight w:val="none"/>
                      <w:lang w:val="en-US" w:eastAsia="zh-CN"/>
                    </w:rPr>
                    <w:t>保护对象及规模</w:t>
                  </w:r>
                </w:p>
              </w:tc>
              <w:tc>
                <w:tcPr>
                  <w:tcW w:w="438" w:type="pct"/>
                  <w:vMerge w:val="restart"/>
                  <w:tcBorders>
                    <w:tl2br w:val="nil"/>
                    <w:tr2bl w:val="nil"/>
                  </w:tcBorders>
                  <w:noWrap w:val="0"/>
                  <w:vAlign w:val="center"/>
                </w:tcPr>
                <w:p w14:paraId="69E9970F">
                  <w:pPr>
                    <w:pStyle w:val="37"/>
                    <w:keepNext w:val="0"/>
                    <w:keepLines w:val="0"/>
                    <w:suppressLineNumbers w:val="0"/>
                    <w:adjustRightInd w:val="0"/>
                    <w:snapToGrid w:val="0"/>
                    <w:ind w:left="0" w:right="0"/>
                    <w:jc w:val="center"/>
                    <w:rPr>
                      <w:rFonts w:hint="default" w:ascii="Times New Roman" w:hAnsi="Times New Roman" w:eastAsia="宋体" w:cs="Times New Roman"/>
                      <w:b/>
                      <w:bCs/>
                      <w:snapToGrid w:val="0"/>
                      <w:color w:val="auto"/>
                      <w:sz w:val="21"/>
                      <w:szCs w:val="21"/>
                      <w:highlight w:val="none"/>
                      <w:lang w:val="en-US" w:eastAsia="zh-CN"/>
                    </w:rPr>
                  </w:pPr>
                  <w:r>
                    <w:rPr>
                      <w:rFonts w:hint="eastAsia" w:ascii="Times New Roman" w:hAnsi="Times New Roman" w:cs="Times New Roman"/>
                      <w:b/>
                      <w:bCs/>
                      <w:snapToGrid w:val="0"/>
                      <w:color w:val="auto"/>
                      <w:sz w:val="21"/>
                      <w:szCs w:val="21"/>
                      <w:highlight w:val="none"/>
                      <w:lang w:val="en-US" w:eastAsia="zh-CN"/>
                    </w:rPr>
                    <w:t>大气功能区类别</w:t>
                  </w:r>
                </w:p>
              </w:tc>
            </w:tr>
            <w:tr w14:paraId="551920F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247" w:type="pct"/>
                  <w:vMerge w:val="continue"/>
                  <w:tcBorders>
                    <w:tl2br w:val="nil"/>
                    <w:tr2bl w:val="nil"/>
                  </w:tcBorders>
                  <w:noWrap w:val="0"/>
                  <w:vAlign w:val="center"/>
                </w:tcPr>
                <w:p w14:paraId="571CC407">
                  <w:pPr>
                    <w:pStyle w:val="37"/>
                    <w:keepNext w:val="0"/>
                    <w:keepLines w:val="0"/>
                    <w:suppressLineNumbers w:val="0"/>
                    <w:adjustRightInd w:val="0"/>
                    <w:snapToGrid w:val="0"/>
                    <w:ind w:left="0" w:right="0"/>
                    <w:jc w:val="center"/>
                    <w:rPr>
                      <w:rFonts w:ascii="Times New Roman" w:hAnsi="Times New Roman" w:eastAsia="宋体" w:cs="Times New Roman"/>
                      <w:b/>
                      <w:snapToGrid w:val="0"/>
                      <w:color w:val="auto"/>
                      <w:sz w:val="21"/>
                      <w:szCs w:val="21"/>
                      <w:highlight w:val="none"/>
                    </w:rPr>
                  </w:pPr>
                </w:p>
              </w:tc>
              <w:tc>
                <w:tcPr>
                  <w:tcW w:w="462" w:type="pct"/>
                  <w:vMerge w:val="continue"/>
                  <w:tcBorders>
                    <w:tl2br w:val="nil"/>
                    <w:tr2bl w:val="nil"/>
                  </w:tcBorders>
                  <w:noWrap w:val="0"/>
                  <w:vAlign w:val="center"/>
                </w:tcPr>
                <w:p w14:paraId="14864E72">
                  <w:pPr>
                    <w:pStyle w:val="37"/>
                    <w:keepNext w:val="0"/>
                    <w:keepLines w:val="0"/>
                    <w:suppressLineNumbers w:val="0"/>
                    <w:adjustRightInd w:val="0"/>
                    <w:snapToGrid w:val="0"/>
                    <w:ind w:left="0" w:right="0"/>
                    <w:jc w:val="center"/>
                    <w:rPr>
                      <w:rFonts w:ascii="Times New Roman" w:hAnsi="Times New Roman" w:eastAsia="宋体" w:cs="Times New Roman"/>
                      <w:b/>
                      <w:snapToGrid w:val="0"/>
                      <w:color w:val="auto"/>
                      <w:sz w:val="21"/>
                      <w:szCs w:val="21"/>
                      <w:highlight w:val="none"/>
                    </w:rPr>
                  </w:pPr>
                </w:p>
              </w:tc>
              <w:tc>
                <w:tcPr>
                  <w:tcW w:w="964" w:type="pct"/>
                  <w:tcBorders>
                    <w:tl2br w:val="nil"/>
                    <w:tr2bl w:val="nil"/>
                  </w:tcBorders>
                  <w:noWrap w:val="0"/>
                  <w:vAlign w:val="center"/>
                </w:tcPr>
                <w:p w14:paraId="78E1395F">
                  <w:pPr>
                    <w:pStyle w:val="37"/>
                    <w:keepNext w:val="0"/>
                    <w:keepLines w:val="0"/>
                    <w:suppressLineNumbers w:val="0"/>
                    <w:adjustRightInd w:val="0"/>
                    <w:snapToGrid w:val="0"/>
                    <w:ind w:left="0" w:right="0"/>
                    <w:jc w:val="center"/>
                    <w:rPr>
                      <w:rFonts w:hint="eastAsia" w:ascii="Times New Roman" w:hAnsi="Times New Roman" w:eastAsia="宋体" w:cs="Times New Roman"/>
                      <w:b/>
                      <w:snapToGrid w:val="0"/>
                      <w:color w:val="auto"/>
                      <w:sz w:val="21"/>
                      <w:szCs w:val="21"/>
                      <w:highlight w:val="none"/>
                      <w:lang w:val="en-US" w:eastAsia="zh-CN"/>
                    </w:rPr>
                  </w:pPr>
                  <w:r>
                    <w:rPr>
                      <w:rFonts w:hint="eastAsia" w:ascii="Times New Roman" w:hAnsi="Times New Roman" w:cs="Times New Roman"/>
                      <w:b/>
                      <w:snapToGrid w:val="0"/>
                      <w:color w:val="auto"/>
                      <w:sz w:val="21"/>
                      <w:szCs w:val="21"/>
                      <w:highlight w:val="none"/>
                      <w:lang w:val="en-US" w:eastAsia="zh-CN"/>
                    </w:rPr>
                    <w:t>经度</w:t>
                  </w:r>
                </w:p>
              </w:tc>
              <w:tc>
                <w:tcPr>
                  <w:tcW w:w="916" w:type="pct"/>
                  <w:tcBorders>
                    <w:tl2br w:val="nil"/>
                    <w:tr2bl w:val="nil"/>
                  </w:tcBorders>
                  <w:noWrap w:val="0"/>
                  <w:vAlign w:val="center"/>
                </w:tcPr>
                <w:p w14:paraId="53287F4D">
                  <w:pPr>
                    <w:pStyle w:val="37"/>
                    <w:keepNext w:val="0"/>
                    <w:keepLines w:val="0"/>
                    <w:suppressLineNumbers w:val="0"/>
                    <w:adjustRightInd w:val="0"/>
                    <w:snapToGrid w:val="0"/>
                    <w:ind w:left="0" w:right="0"/>
                    <w:jc w:val="center"/>
                    <w:rPr>
                      <w:rFonts w:hint="default" w:ascii="Times New Roman" w:hAnsi="Times New Roman" w:eastAsia="宋体" w:cs="Times New Roman"/>
                      <w:b/>
                      <w:snapToGrid w:val="0"/>
                      <w:color w:val="auto"/>
                      <w:sz w:val="21"/>
                      <w:szCs w:val="21"/>
                      <w:highlight w:val="none"/>
                      <w:lang w:val="en-US" w:eastAsia="zh-CN"/>
                    </w:rPr>
                  </w:pPr>
                  <w:r>
                    <w:rPr>
                      <w:rFonts w:hint="eastAsia" w:ascii="Times New Roman" w:hAnsi="Times New Roman" w:cs="Times New Roman"/>
                      <w:b/>
                      <w:snapToGrid w:val="0"/>
                      <w:color w:val="auto"/>
                      <w:sz w:val="21"/>
                      <w:szCs w:val="21"/>
                      <w:highlight w:val="none"/>
                      <w:lang w:val="en-US" w:eastAsia="zh-CN"/>
                    </w:rPr>
                    <w:t>纬度</w:t>
                  </w:r>
                </w:p>
              </w:tc>
              <w:tc>
                <w:tcPr>
                  <w:tcW w:w="470" w:type="pct"/>
                  <w:vMerge w:val="continue"/>
                  <w:tcBorders>
                    <w:tl2br w:val="nil"/>
                    <w:tr2bl w:val="nil"/>
                  </w:tcBorders>
                  <w:noWrap w:val="0"/>
                  <w:vAlign w:val="center"/>
                </w:tcPr>
                <w:p w14:paraId="183808A1">
                  <w:pPr>
                    <w:pStyle w:val="37"/>
                    <w:keepNext w:val="0"/>
                    <w:keepLines w:val="0"/>
                    <w:suppressLineNumbers w:val="0"/>
                    <w:adjustRightInd w:val="0"/>
                    <w:snapToGrid w:val="0"/>
                    <w:ind w:left="0" w:right="0"/>
                    <w:jc w:val="center"/>
                    <w:rPr>
                      <w:rFonts w:ascii="Times New Roman" w:hAnsi="Times New Roman" w:eastAsia="宋体" w:cs="Times New Roman"/>
                      <w:b/>
                      <w:bCs/>
                      <w:snapToGrid w:val="0"/>
                      <w:color w:val="auto"/>
                      <w:sz w:val="21"/>
                      <w:szCs w:val="21"/>
                      <w:highlight w:val="none"/>
                    </w:rPr>
                  </w:pPr>
                </w:p>
              </w:tc>
              <w:tc>
                <w:tcPr>
                  <w:tcW w:w="470" w:type="pct"/>
                  <w:vMerge w:val="continue"/>
                  <w:tcBorders>
                    <w:tl2br w:val="nil"/>
                    <w:tr2bl w:val="nil"/>
                  </w:tcBorders>
                  <w:noWrap w:val="0"/>
                  <w:vAlign w:val="center"/>
                </w:tcPr>
                <w:p w14:paraId="0F69A441">
                  <w:pPr>
                    <w:pStyle w:val="37"/>
                    <w:keepNext w:val="0"/>
                    <w:keepLines w:val="0"/>
                    <w:suppressLineNumbers w:val="0"/>
                    <w:adjustRightInd w:val="0"/>
                    <w:snapToGrid w:val="0"/>
                    <w:ind w:left="0" w:right="0"/>
                    <w:jc w:val="center"/>
                    <w:rPr>
                      <w:rFonts w:ascii="Times New Roman" w:hAnsi="Times New Roman" w:eastAsia="宋体" w:cs="Times New Roman"/>
                      <w:b/>
                      <w:bCs/>
                      <w:snapToGrid w:val="0"/>
                      <w:color w:val="auto"/>
                      <w:sz w:val="21"/>
                      <w:szCs w:val="21"/>
                      <w:highlight w:val="none"/>
                    </w:rPr>
                  </w:pPr>
                </w:p>
              </w:tc>
              <w:tc>
                <w:tcPr>
                  <w:tcW w:w="248" w:type="pct"/>
                  <w:vMerge w:val="continue"/>
                  <w:tcBorders>
                    <w:tl2br w:val="nil"/>
                    <w:tr2bl w:val="nil"/>
                  </w:tcBorders>
                  <w:noWrap w:val="0"/>
                  <w:vAlign w:val="center"/>
                </w:tcPr>
                <w:p w14:paraId="51A2CE01">
                  <w:pPr>
                    <w:pStyle w:val="37"/>
                    <w:keepNext w:val="0"/>
                    <w:keepLines w:val="0"/>
                    <w:suppressLineNumbers w:val="0"/>
                    <w:adjustRightInd w:val="0"/>
                    <w:snapToGrid w:val="0"/>
                    <w:ind w:left="0" w:right="0"/>
                    <w:jc w:val="center"/>
                    <w:rPr>
                      <w:rFonts w:ascii="Times New Roman" w:hAnsi="Times New Roman" w:eastAsia="宋体" w:cs="Times New Roman"/>
                      <w:b/>
                      <w:bCs/>
                      <w:snapToGrid w:val="0"/>
                      <w:color w:val="auto"/>
                      <w:sz w:val="21"/>
                      <w:szCs w:val="21"/>
                      <w:highlight w:val="none"/>
                    </w:rPr>
                  </w:pPr>
                </w:p>
              </w:tc>
              <w:tc>
                <w:tcPr>
                  <w:tcW w:w="780" w:type="pct"/>
                  <w:gridSpan w:val="2"/>
                  <w:vMerge w:val="continue"/>
                  <w:tcBorders>
                    <w:tl2br w:val="nil"/>
                    <w:tr2bl w:val="nil"/>
                  </w:tcBorders>
                  <w:noWrap w:val="0"/>
                  <w:vAlign w:val="center"/>
                </w:tcPr>
                <w:p w14:paraId="60848D8F">
                  <w:pPr>
                    <w:pStyle w:val="37"/>
                    <w:keepNext w:val="0"/>
                    <w:keepLines w:val="0"/>
                    <w:suppressLineNumbers w:val="0"/>
                    <w:adjustRightInd w:val="0"/>
                    <w:snapToGrid w:val="0"/>
                    <w:ind w:left="0" w:right="0"/>
                    <w:jc w:val="center"/>
                    <w:rPr>
                      <w:rFonts w:ascii="Times New Roman" w:hAnsi="Times New Roman" w:eastAsia="宋体" w:cs="Times New Roman"/>
                      <w:b/>
                      <w:bCs/>
                      <w:snapToGrid w:val="0"/>
                      <w:color w:val="auto"/>
                      <w:sz w:val="21"/>
                      <w:szCs w:val="21"/>
                      <w:highlight w:val="none"/>
                    </w:rPr>
                  </w:pPr>
                </w:p>
              </w:tc>
              <w:tc>
                <w:tcPr>
                  <w:tcW w:w="438" w:type="pct"/>
                  <w:vMerge w:val="continue"/>
                  <w:tcBorders>
                    <w:tl2br w:val="nil"/>
                    <w:tr2bl w:val="nil"/>
                  </w:tcBorders>
                  <w:noWrap w:val="0"/>
                  <w:vAlign w:val="center"/>
                </w:tcPr>
                <w:p w14:paraId="2AEE4130">
                  <w:pPr>
                    <w:pStyle w:val="37"/>
                    <w:keepNext w:val="0"/>
                    <w:keepLines w:val="0"/>
                    <w:suppressLineNumbers w:val="0"/>
                    <w:adjustRightInd w:val="0"/>
                    <w:snapToGrid w:val="0"/>
                    <w:ind w:left="0" w:right="0"/>
                    <w:jc w:val="center"/>
                    <w:rPr>
                      <w:rFonts w:ascii="Times New Roman" w:hAnsi="Times New Roman" w:eastAsia="宋体" w:cs="Times New Roman"/>
                      <w:b/>
                      <w:bCs/>
                      <w:snapToGrid w:val="0"/>
                      <w:color w:val="auto"/>
                      <w:sz w:val="21"/>
                      <w:szCs w:val="21"/>
                      <w:highlight w:val="none"/>
                    </w:rPr>
                  </w:pPr>
                </w:p>
              </w:tc>
            </w:tr>
            <w:tr w14:paraId="531CBBE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7" w:type="pct"/>
                  <w:tcBorders>
                    <w:tl2br w:val="nil"/>
                    <w:tr2bl w:val="nil"/>
                  </w:tcBorders>
                  <w:noWrap w:val="0"/>
                  <w:vAlign w:val="center"/>
                </w:tcPr>
                <w:p w14:paraId="5BF063E9">
                  <w:pPr>
                    <w:pStyle w:val="37"/>
                    <w:keepNext w:val="0"/>
                    <w:keepLines w:val="0"/>
                    <w:suppressLineNumbers w:val="0"/>
                    <w:adjustRightInd w:val="0"/>
                    <w:snapToGrid w:val="0"/>
                    <w:ind w:left="0" w:right="0"/>
                    <w:jc w:val="center"/>
                    <w:rPr>
                      <w:rFonts w:hint="eastAsia" w:ascii="Times New Roman" w:hAnsi="Times New Roman" w:eastAsia="宋体" w:cs="Times New Roman"/>
                      <w:snapToGrid w:val="0"/>
                      <w:color w:val="auto"/>
                      <w:sz w:val="21"/>
                      <w:szCs w:val="21"/>
                      <w:highlight w:val="none"/>
                      <w:lang w:val="en-US" w:eastAsia="zh-CN"/>
                    </w:rPr>
                  </w:pPr>
                  <w:r>
                    <w:rPr>
                      <w:rFonts w:hint="eastAsia" w:ascii="Times New Roman" w:hAnsi="Times New Roman" w:cs="Times New Roman"/>
                      <w:snapToGrid w:val="0"/>
                      <w:color w:val="auto"/>
                      <w:sz w:val="21"/>
                      <w:szCs w:val="21"/>
                      <w:highlight w:val="none"/>
                      <w:lang w:val="en-US" w:eastAsia="zh-CN"/>
                    </w:rPr>
                    <w:t>1</w:t>
                  </w:r>
                </w:p>
              </w:tc>
              <w:tc>
                <w:tcPr>
                  <w:tcW w:w="462" w:type="pct"/>
                  <w:tcBorders>
                    <w:tl2br w:val="nil"/>
                    <w:tr2bl w:val="nil"/>
                  </w:tcBorders>
                  <w:noWrap w:val="0"/>
                  <w:vAlign w:val="center"/>
                </w:tcPr>
                <w:p w14:paraId="1FA9FFD2">
                  <w:pPr>
                    <w:pStyle w:val="37"/>
                    <w:keepNext w:val="0"/>
                    <w:keepLines w:val="0"/>
                    <w:suppressLineNumbers w:val="0"/>
                    <w:adjustRightInd w:val="0"/>
                    <w:snapToGrid w:val="0"/>
                    <w:ind w:left="0" w:right="0"/>
                    <w:jc w:val="center"/>
                    <w:rPr>
                      <w:rFonts w:hint="default" w:ascii="Times New Roman" w:hAnsi="Times New Roman" w:eastAsia="宋体" w:cs="Times New Roman"/>
                      <w:snapToGrid w:val="0"/>
                      <w:color w:val="auto"/>
                      <w:sz w:val="21"/>
                      <w:szCs w:val="21"/>
                      <w:highlight w:val="none"/>
                      <w:lang w:val="en-US" w:eastAsia="zh-CN"/>
                    </w:rPr>
                  </w:pPr>
                  <w:r>
                    <w:rPr>
                      <w:rFonts w:hint="eastAsia" w:ascii="Times New Roman" w:hAnsi="Times New Roman" w:cs="Times New Roman"/>
                      <w:snapToGrid w:val="0"/>
                      <w:color w:val="auto"/>
                      <w:sz w:val="21"/>
                      <w:szCs w:val="21"/>
                      <w:highlight w:val="none"/>
                      <w:lang w:val="en-US" w:eastAsia="zh-CN"/>
                    </w:rPr>
                    <w:t>荔枝园村</w:t>
                  </w:r>
                </w:p>
              </w:tc>
              <w:tc>
                <w:tcPr>
                  <w:tcW w:w="964" w:type="pct"/>
                  <w:tcBorders>
                    <w:tl2br w:val="nil"/>
                    <w:tr2bl w:val="nil"/>
                  </w:tcBorders>
                  <w:noWrap w:val="0"/>
                  <w:vAlign w:val="center"/>
                </w:tcPr>
                <w:p w14:paraId="5713C680">
                  <w:pPr>
                    <w:pStyle w:val="37"/>
                    <w:keepNext w:val="0"/>
                    <w:keepLines w:val="0"/>
                    <w:suppressLineNumbers w:val="0"/>
                    <w:adjustRightInd w:val="0"/>
                    <w:snapToGrid w:val="0"/>
                    <w:ind w:left="0" w:right="0"/>
                    <w:jc w:val="center"/>
                    <w:rPr>
                      <w:rFonts w:hint="default" w:ascii="Times New Roman" w:hAnsi="Times New Roman" w:eastAsia="宋体" w:cs="Times New Roman"/>
                      <w:snapToGrid w:val="0"/>
                      <w:color w:val="auto"/>
                      <w:sz w:val="21"/>
                      <w:szCs w:val="21"/>
                      <w:highlight w:val="none"/>
                      <w:lang w:val="en-US" w:eastAsia="zh-CN"/>
                    </w:rPr>
                  </w:pPr>
                  <w:r>
                    <w:rPr>
                      <w:rFonts w:hint="default" w:ascii="Times New Roman" w:hAnsi="Times New Roman" w:cs="Times New Roman"/>
                      <w:snapToGrid w:val="0"/>
                      <w:color w:val="auto"/>
                      <w:sz w:val="21"/>
                      <w:szCs w:val="21"/>
                      <w:highlight w:val="none"/>
                      <w:lang w:val="en-US" w:eastAsia="zh-CN"/>
                    </w:rPr>
                    <w:t>E114°15′33.621″</w:t>
                  </w:r>
                </w:p>
              </w:tc>
              <w:tc>
                <w:tcPr>
                  <w:tcW w:w="916" w:type="pct"/>
                  <w:tcBorders>
                    <w:tl2br w:val="nil"/>
                    <w:tr2bl w:val="nil"/>
                  </w:tcBorders>
                  <w:shd w:val="clear" w:color="auto" w:fill="auto"/>
                  <w:noWrap w:val="0"/>
                  <w:vAlign w:val="center"/>
                </w:tcPr>
                <w:p w14:paraId="3D05644A">
                  <w:pPr>
                    <w:pStyle w:val="37"/>
                    <w:keepNext w:val="0"/>
                    <w:keepLines w:val="0"/>
                    <w:suppressLineNumbers w:val="0"/>
                    <w:adjustRightInd w:val="0"/>
                    <w:snapToGrid w:val="0"/>
                    <w:ind w:left="0" w:leftChars="0" w:right="0" w:rightChars="0"/>
                    <w:jc w:val="center"/>
                    <w:rPr>
                      <w:rFonts w:hint="default" w:ascii="Times New Roman" w:hAnsi="Times New Roman" w:eastAsia="宋体" w:cs="Times New Roman"/>
                      <w:snapToGrid w:val="0"/>
                      <w:color w:val="auto"/>
                      <w:kern w:val="0"/>
                      <w:sz w:val="21"/>
                      <w:szCs w:val="21"/>
                      <w:highlight w:val="none"/>
                      <w:lang w:val="en-US" w:eastAsia="zh-CN" w:bidi="ar-SA"/>
                    </w:rPr>
                  </w:pPr>
                  <w:r>
                    <w:rPr>
                      <w:rFonts w:hint="eastAsia" w:ascii="Times New Roman" w:hAnsi="Times New Roman" w:cs="Times New Roman"/>
                      <w:snapToGrid w:val="0"/>
                      <w:color w:val="auto"/>
                      <w:sz w:val="21"/>
                      <w:szCs w:val="21"/>
                      <w:highlight w:val="none"/>
                      <w:lang w:val="en-US" w:eastAsia="zh-CN"/>
                    </w:rPr>
                    <w:t>N23</w:t>
                  </w:r>
                  <w:r>
                    <w:rPr>
                      <w:rFonts w:hint="default" w:ascii="Times New Roman" w:hAnsi="Times New Roman" w:cs="Times New Roman"/>
                      <w:snapToGrid w:val="0"/>
                      <w:color w:val="auto"/>
                      <w:sz w:val="21"/>
                      <w:szCs w:val="21"/>
                      <w:highlight w:val="none"/>
                      <w:lang w:val="en-US" w:eastAsia="zh-CN"/>
                    </w:rPr>
                    <w:t>°1</w:t>
                  </w:r>
                  <w:r>
                    <w:rPr>
                      <w:rFonts w:hint="eastAsia" w:ascii="Times New Roman" w:hAnsi="Times New Roman" w:cs="Times New Roman"/>
                      <w:snapToGrid w:val="0"/>
                      <w:color w:val="auto"/>
                      <w:sz w:val="21"/>
                      <w:szCs w:val="21"/>
                      <w:highlight w:val="none"/>
                      <w:lang w:val="en-US" w:eastAsia="zh-CN"/>
                    </w:rPr>
                    <w:t>2</w:t>
                  </w:r>
                  <w:r>
                    <w:rPr>
                      <w:rFonts w:hint="default" w:ascii="Times New Roman" w:hAnsi="Times New Roman" w:cs="Times New Roman"/>
                      <w:snapToGrid w:val="0"/>
                      <w:color w:val="auto"/>
                      <w:sz w:val="21"/>
                      <w:szCs w:val="21"/>
                      <w:highlight w:val="none"/>
                      <w:lang w:val="en-US" w:eastAsia="zh-CN"/>
                    </w:rPr>
                    <w:t>′</w:t>
                  </w:r>
                  <w:r>
                    <w:rPr>
                      <w:rFonts w:hint="eastAsia" w:ascii="Times New Roman" w:hAnsi="Times New Roman" w:cs="Times New Roman"/>
                      <w:snapToGrid w:val="0"/>
                      <w:color w:val="auto"/>
                      <w:sz w:val="21"/>
                      <w:szCs w:val="21"/>
                      <w:highlight w:val="none"/>
                      <w:lang w:val="en-US" w:eastAsia="zh-CN"/>
                    </w:rPr>
                    <w:t>10.981</w:t>
                  </w:r>
                  <w:r>
                    <w:rPr>
                      <w:rFonts w:hint="default" w:ascii="Times New Roman" w:hAnsi="Times New Roman" w:cs="Times New Roman"/>
                      <w:snapToGrid w:val="0"/>
                      <w:color w:val="auto"/>
                      <w:sz w:val="21"/>
                      <w:szCs w:val="21"/>
                      <w:highlight w:val="none"/>
                      <w:lang w:val="en-US" w:eastAsia="zh-CN"/>
                    </w:rPr>
                    <w:t>″</w:t>
                  </w:r>
                </w:p>
              </w:tc>
              <w:tc>
                <w:tcPr>
                  <w:tcW w:w="470" w:type="pct"/>
                  <w:tcBorders>
                    <w:tl2br w:val="nil"/>
                    <w:tr2bl w:val="nil"/>
                  </w:tcBorders>
                  <w:noWrap w:val="0"/>
                  <w:vAlign w:val="center"/>
                </w:tcPr>
                <w:p w14:paraId="2E97F16B">
                  <w:pPr>
                    <w:pStyle w:val="37"/>
                    <w:keepNext w:val="0"/>
                    <w:keepLines w:val="0"/>
                    <w:suppressLineNumbers w:val="0"/>
                    <w:adjustRightInd w:val="0"/>
                    <w:snapToGrid w:val="0"/>
                    <w:ind w:left="0" w:right="0"/>
                    <w:jc w:val="center"/>
                    <w:rPr>
                      <w:rFonts w:hint="default" w:ascii="Times New Roman" w:hAnsi="Times New Roman" w:eastAsia="宋体" w:cs="Times New Roman"/>
                      <w:snapToGrid w:val="0"/>
                      <w:color w:val="auto"/>
                      <w:sz w:val="21"/>
                      <w:szCs w:val="21"/>
                      <w:highlight w:val="none"/>
                      <w:lang w:val="en-US" w:eastAsia="zh-CN"/>
                    </w:rPr>
                  </w:pPr>
                  <w:r>
                    <w:rPr>
                      <w:rFonts w:hint="eastAsia" w:ascii="Times New Roman" w:hAnsi="Times New Roman" w:cs="Times New Roman"/>
                      <w:snapToGrid w:val="0"/>
                      <w:color w:val="auto"/>
                      <w:sz w:val="21"/>
                      <w:szCs w:val="21"/>
                      <w:highlight w:val="none"/>
                      <w:lang w:val="en-US" w:eastAsia="zh-CN"/>
                    </w:rPr>
                    <w:t>60</w:t>
                  </w:r>
                </w:p>
              </w:tc>
              <w:tc>
                <w:tcPr>
                  <w:tcW w:w="470" w:type="pct"/>
                  <w:tcBorders>
                    <w:tl2br w:val="nil"/>
                    <w:tr2bl w:val="nil"/>
                  </w:tcBorders>
                  <w:noWrap w:val="0"/>
                  <w:vAlign w:val="center"/>
                </w:tcPr>
                <w:p w14:paraId="1DD4AD3A">
                  <w:pPr>
                    <w:pStyle w:val="37"/>
                    <w:keepNext w:val="0"/>
                    <w:keepLines w:val="0"/>
                    <w:suppressLineNumbers w:val="0"/>
                    <w:adjustRightInd w:val="0"/>
                    <w:snapToGrid w:val="0"/>
                    <w:ind w:left="0" w:right="0"/>
                    <w:jc w:val="center"/>
                    <w:rPr>
                      <w:rFonts w:hint="default" w:ascii="Times New Roman" w:hAnsi="Times New Roman" w:eastAsia="宋体" w:cs="Times New Roman"/>
                      <w:snapToGrid w:val="0"/>
                      <w:color w:val="auto"/>
                      <w:sz w:val="21"/>
                      <w:szCs w:val="21"/>
                      <w:highlight w:val="none"/>
                      <w:lang w:val="en-US" w:eastAsia="zh-CN"/>
                    </w:rPr>
                  </w:pPr>
                  <w:r>
                    <w:rPr>
                      <w:rFonts w:hint="eastAsia" w:ascii="Times New Roman" w:hAnsi="Times New Roman" w:cs="Times New Roman"/>
                      <w:snapToGrid w:val="0"/>
                      <w:color w:val="auto"/>
                      <w:sz w:val="21"/>
                      <w:szCs w:val="21"/>
                      <w:highlight w:val="none"/>
                      <w:lang w:val="en-US" w:eastAsia="zh-CN"/>
                    </w:rPr>
                    <w:t>65</w:t>
                  </w:r>
                </w:p>
              </w:tc>
              <w:tc>
                <w:tcPr>
                  <w:tcW w:w="248" w:type="pct"/>
                  <w:tcBorders>
                    <w:tl2br w:val="nil"/>
                    <w:tr2bl w:val="nil"/>
                  </w:tcBorders>
                  <w:noWrap w:val="0"/>
                  <w:vAlign w:val="center"/>
                </w:tcPr>
                <w:p w14:paraId="74D00F46">
                  <w:pPr>
                    <w:pStyle w:val="37"/>
                    <w:keepNext w:val="0"/>
                    <w:keepLines w:val="0"/>
                    <w:suppressLineNumbers w:val="0"/>
                    <w:snapToGrid w:val="0"/>
                    <w:ind w:left="0" w:right="0"/>
                    <w:jc w:val="center"/>
                    <w:rPr>
                      <w:rFonts w:hint="default" w:ascii="Times New Roman" w:hAnsi="Times New Roman" w:eastAsia="宋体" w:cs="Times New Roman"/>
                      <w:snapToGrid w:val="0"/>
                      <w:color w:val="auto"/>
                      <w:sz w:val="21"/>
                      <w:szCs w:val="21"/>
                      <w:highlight w:val="none"/>
                      <w:lang w:val="en-US" w:eastAsia="zh-CN"/>
                    </w:rPr>
                  </w:pPr>
                  <w:r>
                    <w:rPr>
                      <w:rFonts w:hint="eastAsia" w:ascii="Times New Roman" w:hAnsi="Times New Roman" w:cs="Times New Roman"/>
                      <w:snapToGrid w:val="0"/>
                      <w:color w:val="auto"/>
                      <w:sz w:val="21"/>
                      <w:szCs w:val="21"/>
                      <w:highlight w:val="none"/>
                      <w:lang w:val="en-US" w:eastAsia="zh-CN"/>
                    </w:rPr>
                    <w:t>东南</w:t>
                  </w:r>
                </w:p>
              </w:tc>
              <w:tc>
                <w:tcPr>
                  <w:tcW w:w="339" w:type="pct"/>
                  <w:tcBorders>
                    <w:tl2br w:val="nil"/>
                    <w:tr2bl w:val="nil"/>
                  </w:tcBorders>
                  <w:noWrap w:val="0"/>
                  <w:vAlign w:val="center"/>
                </w:tcPr>
                <w:p w14:paraId="0B90E4E6">
                  <w:pPr>
                    <w:pStyle w:val="37"/>
                    <w:keepNext w:val="0"/>
                    <w:keepLines w:val="0"/>
                    <w:suppressLineNumbers w:val="0"/>
                    <w:adjustRightInd w:val="0"/>
                    <w:snapToGrid w:val="0"/>
                    <w:ind w:left="0" w:right="0"/>
                    <w:jc w:val="center"/>
                    <w:rPr>
                      <w:rFonts w:hint="eastAsia" w:ascii="Times New Roman" w:hAnsi="Times New Roman" w:eastAsia="宋体" w:cs="Times New Roman"/>
                      <w:snapToGrid w:val="0"/>
                      <w:color w:val="auto"/>
                      <w:sz w:val="21"/>
                      <w:szCs w:val="21"/>
                      <w:highlight w:val="none"/>
                      <w:lang w:val="en-US" w:eastAsia="zh-CN"/>
                    </w:rPr>
                  </w:pPr>
                  <w:r>
                    <w:rPr>
                      <w:rFonts w:hint="eastAsia" w:ascii="Times New Roman" w:hAnsi="Times New Roman" w:cs="Times New Roman"/>
                      <w:snapToGrid w:val="0"/>
                      <w:color w:val="auto"/>
                      <w:sz w:val="21"/>
                      <w:szCs w:val="21"/>
                      <w:highlight w:val="none"/>
                      <w:lang w:val="en-US" w:eastAsia="zh-CN"/>
                    </w:rPr>
                    <w:t>居民</w:t>
                  </w:r>
                </w:p>
              </w:tc>
              <w:tc>
                <w:tcPr>
                  <w:tcW w:w="441" w:type="pct"/>
                  <w:tcBorders>
                    <w:tl2br w:val="nil"/>
                    <w:tr2bl w:val="nil"/>
                  </w:tcBorders>
                  <w:noWrap w:val="0"/>
                  <w:vAlign w:val="center"/>
                </w:tcPr>
                <w:p w14:paraId="10165033">
                  <w:pPr>
                    <w:pStyle w:val="37"/>
                    <w:keepNext w:val="0"/>
                    <w:keepLines w:val="0"/>
                    <w:suppressLineNumbers w:val="0"/>
                    <w:adjustRightInd w:val="0"/>
                    <w:snapToGrid w:val="0"/>
                    <w:ind w:left="0" w:right="0"/>
                    <w:jc w:val="center"/>
                    <w:rPr>
                      <w:rFonts w:hint="default" w:ascii="Times New Roman" w:hAnsi="Times New Roman" w:eastAsia="宋体" w:cs="Times New Roman"/>
                      <w:snapToGrid w:val="0"/>
                      <w:color w:val="auto"/>
                      <w:sz w:val="21"/>
                      <w:szCs w:val="21"/>
                      <w:highlight w:val="none"/>
                      <w:lang w:val="en-US" w:eastAsia="zh-CN"/>
                    </w:rPr>
                  </w:pPr>
                  <w:r>
                    <w:rPr>
                      <w:rFonts w:hint="eastAsia" w:ascii="Times New Roman" w:hAnsi="Times New Roman" w:cs="Times New Roman"/>
                      <w:snapToGrid w:val="0"/>
                      <w:color w:val="auto"/>
                      <w:sz w:val="21"/>
                      <w:szCs w:val="21"/>
                      <w:highlight w:val="none"/>
                      <w:lang w:val="en-US" w:eastAsia="zh-CN"/>
                    </w:rPr>
                    <w:t>约500人</w:t>
                  </w:r>
                </w:p>
              </w:tc>
              <w:tc>
                <w:tcPr>
                  <w:tcW w:w="438" w:type="pct"/>
                  <w:vMerge w:val="restart"/>
                  <w:tcBorders>
                    <w:tl2br w:val="nil"/>
                    <w:tr2bl w:val="nil"/>
                  </w:tcBorders>
                  <w:noWrap w:val="0"/>
                  <w:vAlign w:val="center"/>
                </w:tcPr>
                <w:p w14:paraId="1CB0338A">
                  <w:pPr>
                    <w:pStyle w:val="37"/>
                    <w:keepNext w:val="0"/>
                    <w:keepLines w:val="0"/>
                    <w:suppressLineNumbers w:val="0"/>
                    <w:adjustRightInd w:val="0"/>
                    <w:snapToGrid w:val="0"/>
                    <w:ind w:left="0" w:right="0"/>
                    <w:jc w:val="center"/>
                    <w:rPr>
                      <w:rFonts w:hint="eastAsia" w:ascii="Times New Roman" w:hAnsi="Times New Roman" w:eastAsia="宋体" w:cs="Times New Roman"/>
                      <w:snapToGrid w:val="0"/>
                      <w:color w:val="auto"/>
                      <w:sz w:val="21"/>
                      <w:szCs w:val="21"/>
                      <w:highlight w:val="none"/>
                      <w:lang w:val="en-US" w:eastAsia="zh-CN"/>
                    </w:rPr>
                  </w:pPr>
                  <w:r>
                    <w:rPr>
                      <w:rFonts w:hint="eastAsia" w:ascii="Times New Roman" w:hAnsi="Times New Roman" w:cs="Times New Roman"/>
                      <w:snapToGrid w:val="0"/>
                      <w:color w:val="auto"/>
                      <w:sz w:val="21"/>
                      <w:szCs w:val="21"/>
                      <w:highlight w:val="none"/>
                      <w:lang w:val="en-US" w:eastAsia="zh-CN"/>
                    </w:rPr>
                    <w:t>二类</w:t>
                  </w:r>
                </w:p>
              </w:tc>
            </w:tr>
            <w:tr w14:paraId="7805117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7" w:type="pct"/>
                  <w:tcBorders>
                    <w:tl2br w:val="nil"/>
                    <w:tr2bl w:val="nil"/>
                  </w:tcBorders>
                  <w:noWrap w:val="0"/>
                  <w:vAlign w:val="center"/>
                </w:tcPr>
                <w:p w14:paraId="0680C668">
                  <w:pPr>
                    <w:pStyle w:val="37"/>
                    <w:keepNext w:val="0"/>
                    <w:keepLines w:val="0"/>
                    <w:suppressLineNumbers w:val="0"/>
                    <w:adjustRightInd w:val="0"/>
                    <w:snapToGrid w:val="0"/>
                    <w:ind w:left="0" w:right="0"/>
                    <w:jc w:val="center"/>
                    <w:rPr>
                      <w:rFonts w:hint="eastAsia" w:ascii="Times New Roman" w:hAnsi="Times New Roman" w:eastAsia="宋体" w:cs="Times New Roman"/>
                      <w:snapToGrid w:val="0"/>
                      <w:color w:val="auto"/>
                      <w:sz w:val="21"/>
                      <w:szCs w:val="21"/>
                      <w:highlight w:val="none"/>
                      <w:lang w:val="en-US" w:eastAsia="zh-CN"/>
                    </w:rPr>
                  </w:pPr>
                  <w:r>
                    <w:rPr>
                      <w:rFonts w:hint="eastAsia" w:ascii="Times New Roman" w:hAnsi="Times New Roman" w:cs="Times New Roman"/>
                      <w:snapToGrid w:val="0"/>
                      <w:color w:val="auto"/>
                      <w:sz w:val="21"/>
                      <w:szCs w:val="21"/>
                      <w:highlight w:val="none"/>
                      <w:lang w:val="en-US" w:eastAsia="zh-CN"/>
                    </w:rPr>
                    <w:t>2</w:t>
                  </w:r>
                </w:p>
              </w:tc>
              <w:tc>
                <w:tcPr>
                  <w:tcW w:w="462" w:type="pct"/>
                  <w:tcBorders>
                    <w:tl2br w:val="nil"/>
                    <w:tr2bl w:val="nil"/>
                  </w:tcBorders>
                  <w:noWrap w:val="0"/>
                  <w:vAlign w:val="center"/>
                </w:tcPr>
                <w:p w14:paraId="797A0F26">
                  <w:pPr>
                    <w:pStyle w:val="37"/>
                    <w:keepNext w:val="0"/>
                    <w:keepLines w:val="0"/>
                    <w:suppressLineNumbers w:val="0"/>
                    <w:adjustRightInd w:val="0"/>
                    <w:snapToGrid w:val="0"/>
                    <w:ind w:left="0" w:right="0"/>
                    <w:jc w:val="center"/>
                    <w:rPr>
                      <w:rFonts w:hint="default" w:ascii="Times New Roman" w:hAnsi="Times New Roman" w:eastAsia="宋体" w:cs="Times New Roman"/>
                      <w:snapToGrid w:val="0"/>
                      <w:color w:val="auto"/>
                      <w:sz w:val="21"/>
                      <w:szCs w:val="21"/>
                      <w:highlight w:val="none"/>
                      <w:lang w:val="en-US" w:eastAsia="zh-CN"/>
                    </w:rPr>
                  </w:pPr>
                  <w:r>
                    <w:rPr>
                      <w:rFonts w:hint="eastAsia" w:ascii="Times New Roman" w:hAnsi="Times New Roman" w:cs="Times New Roman"/>
                      <w:snapToGrid w:val="0"/>
                      <w:color w:val="auto"/>
                      <w:sz w:val="21"/>
                      <w:szCs w:val="21"/>
                      <w:highlight w:val="none"/>
                      <w:lang w:val="en-US" w:eastAsia="zh-CN"/>
                    </w:rPr>
                    <w:t>船角村</w:t>
                  </w:r>
                </w:p>
              </w:tc>
              <w:tc>
                <w:tcPr>
                  <w:tcW w:w="964" w:type="pct"/>
                  <w:tcBorders>
                    <w:tl2br w:val="nil"/>
                    <w:tr2bl w:val="nil"/>
                  </w:tcBorders>
                  <w:shd w:val="clear" w:color="auto" w:fill="auto"/>
                  <w:noWrap w:val="0"/>
                  <w:vAlign w:val="center"/>
                </w:tcPr>
                <w:p w14:paraId="4E741DD2">
                  <w:pPr>
                    <w:pStyle w:val="37"/>
                    <w:keepNext w:val="0"/>
                    <w:keepLines w:val="0"/>
                    <w:suppressLineNumbers w:val="0"/>
                    <w:adjustRightInd w:val="0"/>
                    <w:snapToGrid w:val="0"/>
                    <w:ind w:left="0" w:leftChars="0" w:right="0" w:rightChars="0"/>
                    <w:jc w:val="center"/>
                    <w:rPr>
                      <w:rFonts w:hint="eastAsia"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cs="Times New Roman"/>
                      <w:snapToGrid w:val="0"/>
                      <w:color w:val="auto"/>
                      <w:sz w:val="21"/>
                      <w:szCs w:val="21"/>
                      <w:highlight w:val="none"/>
                      <w:lang w:val="en-US" w:eastAsia="zh-CN"/>
                    </w:rPr>
                    <w:t>E114°15′3</w:t>
                  </w:r>
                  <w:r>
                    <w:rPr>
                      <w:rFonts w:hint="eastAsia" w:ascii="Times New Roman" w:hAnsi="Times New Roman" w:cs="Times New Roman"/>
                      <w:snapToGrid w:val="0"/>
                      <w:color w:val="auto"/>
                      <w:sz w:val="21"/>
                      <w:szCs w:val="21"/>
                      <w:highlight w:val="none"/>
                      <w:lang w:val="en-US" w:eastAsia="zh-CN"/>
                    </w:rPr>
                    <w:t>2.506</w:t>
                  </w:r>
                  <w:r>
                    <w:rPr>
                      <w:rFonts w:hint="default" w:ascii="Times New Roman" w:hAnsi="Times New Roman" w:cs="Times New Roman"/>
                      <w:snapToGrid w:val="0"/>
                      <w:color w:val="auto"/>
                      <w:sz w:val="21"/>
                      <w:szCs w:val="21"/>
                      <w:highlight w:val="none"/>
                      <w:lang w:val="en-US" w:eastAsia="zh-CN"/>
                    </w:rPr>
                    <w:t>″</w:t>
                  </w:r>
                </w:p>
              </w:tc>
              <w:tc>
                <w:tcPr>
                  <w:tcW w:w="916" w:type="pct"/>
                  <w:tcBorders>
                    <w:tl2br w:val="nil"/>
                    <w:tr2bl w:val="nil"/>
                  </w:tcBorders>
                  <w:shd w:val="clear" w:color="auto" w:fill="auto"/>
                  <w:noWrap w:val="0"/>
                  <w:vAlign w:val="center"/>
                </w:tcPr>
                <w:p w14:paraId="790B0F34">
                  <w:pPr>
                    <w:pStyle w:val="37"/>
                    <w:keepNext w:val="0"/>
                    <w:keepLines w:val="0"/>
                    <w:suppressLineNumbers w:val="0"/>
                    <w:adjustRightInd w:val="0"/>
                    <w:snapToGrid w:val="0"/>
                    <w:ind w:left="0" w:leftChars="0" w:right="0" w:rightChars="0"/>
                    <w:jc w:val="center"/>
                    <w:rPr>
                      <w:rFonts w:hint="eastAsia" w:ascii="Times New Roman" w:hAnsi="Times New Roman" w:eastAsia="宋体" w:cs="Times New Roman"/>
                      <w:snapToGrid w:val="0"/>
                      <w:color w:val="auto"/>
                      <w:kern w:val="0"/>
                      <w:sz w:val="21"/>
                      <w:szCs w:val="21"/>
                      <w:highlight w:val="none"/>
                      <w:lang w:val="en-US" w:eastAsia="zh-CN" w:bidi="ar-SA"/>
                    </w:rPr>
                  </w:pPr>
                  <w:r>
                    <w:rPr>
                      <w:rFonts w:hint="eastAsia" w:ascii="Times New Roman" w:hAnsi="Times New Roman" w:cs="Times New Roman"/>
                      <w:snapToGrid w:val="0"/>
                      <w:color w:val="auto"/>
                      <w:sz w:val="21"/>
                      <w:szCs w:val="21"/>
                      <w:highlight w:val="none"/>
                      <w:lang w:val="en-US" w:eastAsia="zh-CN"/>
                    </w:rPr>
                    <w:t>N23</w:t>
                  </w:r>
                  <w:r>
                    <w:rPr>
                      <w:rFonts w:hint="default" w:ascii="Times New Roman" w:hAnsi="Times New Roman" w:cs="Times New Roman"/>
                      <w:snapToGrid w:val="0"/>
                      <w:color w:val="auto"/>
                      <w:sz w:val="21"/>
                      <w:szCs w:val="21"/>
                      <w:highlight w:val="none"/>
                      <w:lang w:val="en-US" w:eastAsia="zh-CN"/>
                    </w:rPr>
                    <w:t>°1</w:t>
                  </w:r>
                  <w:r>
                    <w:rPr>
                      <w:rFonts w:hint="eastAsia" w:ascii="Times New Roman" w:hAnsi="Times New Roman" w:cs="Times New Roman"/>
                      <w:snapToGrid w:val="0"/>
                      <w:color w:val="auto"/>
                      <w:sz w:val="21"/>
                      <w:szCs w:val="21"/>
                      <w:highlight w:val="none"/>
                      <w:lang w:val="en-US" w:eastAsia="zh-CN"/>
                    </w:rPr>
                    <w:t>2</w:t>
                  </w:r>
                  <w:r>
                    <w:rPr>
                      <w:rFonts w:hint="default" w:ascii="Times New Roman" w:hAnsi="Times New Roman" w:cs="Times New Roman"/>
                      <w:snapToGrid w:val="0"/>
                      <w:color w:val="auto"/>
                      <w:sz w:val="21"/>
                      <w:szCs w:val="21"/>
                      <w:highlight w:val="none"/>
                      <w:lang w:val="en-US" w:eastAsia="zh-CN"/>
                    </w:rPr>
                    <w:t>′</w:t>
                  </w:r>
                  <w:r>
                    <w:rPr>
                      <w:rFonts w:hint="eastAsia" w:ascii="Times New Roman" w:hAnsi="Times New Roman" w:cs="Times New Roman"/>
                      <w:snapToGrid w:val="0"/>
                      <w:color w:val="auto"/>
                      <w:sz w:val="21"/>
                      <w:szCs w:val="21"/>
                      <w:highlight w:val="none"/>
                      <w:lang w:val="en-US" w:eastAsia="zh-CN"/>
                    </w:rPr>
                    <w:t>22.293</w:t>
                  </w:r>
                  <w:r>
                    <w:rPr>
                      <w:rFonts w:hint="default" w:ascii="Times New Roman" w:hAnsi="Times New Roman" w:cs="Times New Roman"/>
                      <w:snapToGrid w:val="0"/>
                      <w:color w:val="auto"/>
                      <w:sz w:val="21"/>
                      <w:szCs w:val="21"/>
                      <w:highlight w:val="none"/>
                      <w:lang w:val="en-US" w:eastAsia="zh-CN"/>
                    </w:rPr>
                    <w:t>″</w:t>
                  </w:r>
                </w:p>
              </w:tc>
              <w:tc>
                <w:tcPr>
                  <w:tcW w:w="470" w:type="pct"/>
                  <w:tcBorders>
                    <w:tl2br w:val="nil"/>
                    <w:tr2bl w:val="nil"/>
                  </w:tcBorders>
                  <w:noWrap w:val="0"/>
                  <w:vAlign w:val="center"/>
                </w:tcPr>
                <w:p w14:paraId="2971CF86">
                  <w:pPr>
                    <w:pStyle w:val="37"/>
                    <w:keepNext w:val="0"/>
                    <w:keepLines w:val="0"/>
                    <w:suppressLineNumbers w:val="0"/>
                    <w:adjustRightInd w:val="0"/>
                    <w:snapToGrid w:val="0"/>
                    <w:ind w:left="0" w:right="0"/>
                    <w:jc w:val="center"/>
                    <w:rPr>
                      <w:rFonts w:hint="default" w:ascii="Times New Roman" w:hAnsi="Times New Roman" w:eastAsia="宋体" w:cs="Times New Roman"/>
                      <w:snapToGrid w:val="0"/>
                      <w:color w:val="auto"/>
                      <w:sz w:val="21"/>
                      <w:szCs w:val="21"/>
                      <w:highlight w:val="none"/>
                      <w:lang w:val="en-US" w:eastAsia="zh-CN"/>
                    </w:rPr>
                  </w:pPr>
                  <w:r>
                    <w:rPr>
                      <w:rFonts w:hint="eastAsia" w:ascii="Times New Roman" w:hAnsi="Times New Roman" w:cs="Times New Roman"/>
                      <w:snapToGrid w:val="0"/>
                      <w:color w:val="auto"/>
                      <w:sz w:val="21"/>
                      <w:szCs w:val="21"/>
                      <w:highlight w:val="none"/>
                      <w:lang w:val="en-US" w:eastAsia="zh-CN"/>
                    </w:rPr>
                    <w:t>245</w:t>
                  </w:r>
                </w:p>
              </w:tc>
              <w:tc>
                <w:tcPr>
                  <w:tcW w:w="470" w:type="pct"/>
                  <w:tcBorders>
                    <w:tl2br w:val="nil"/>
                    <w:tr2bl w:val="nil"/>
                  </w:tcBorders>
                  <w:noWrap w:val="0"/>
                  <w:vAlign w:val="center"/>
                </w:tcPr>
                <w:p w14:paraId="6CEF9408">
                  <w:pPr>
                    <w:pStyle w:val="37"/>
                    <w:keepNext w:val="0"/>
                    <w:keepLines w:val="0"/>
                    <w:suppressLineNumbers w:val="0"/>
                    <w:adjustRightInd w:val="0"/>
                    <w:snapToGrid w:val="0"/>
                    <w:ind w:left="0" w:right="0"/>
                    <w:jc w:val="center"/>
                    <w:rPr>
                      <w:rFonts w:hint="default" w:ascii="Times New Roman" w:hAnsi="Times New Roman" w:eastAsia="宋体" w:cs="Times New Roman"/>
                      <w:snapToGrid w:val="0"/>
                      <w:color w:val="auto"/>
                      <w:sz w:val="21"/>
                      <w:szCs w:val="21"/>
                      <w:highlight w:val="none"/>
                      <w:lang w:val="en-US" w:eastAsia="zh-CN"/>
                    </w:rPr>
                  </w:pPr>
                  <w:r>
                    <w:rPr>
                      <w:rFonts w:hint="eastAsia" w:ascii="Times New Roman" w:hAnsi="Times New Roman" w:cs="Times New Roman"/>
                      <w:snapToGrid w:val="0"/>
                      <w:color w:val="auto"/>
                      <w:sz w:val="21"/>
                      <w:szCs w:val="21"/>
                      <w:highlight w:val="none"/>
                      <w:lang w:val="en-US" w:eastAsia="zh-CN"/>
                    </w:rPr>
                    <w:t>250</w:t>
                  </w:r>
                </w:p>
              </w:tc>
              <w:tc>
                <w:tcPr>
                  <w:tcW w:w="248" w:type="pct"/>
                  <w:tcBorders>
                    <w:tl2br w:val="nil"/>
                    <w:tr2bl w:val="nil"/>
                  </w:tcBorders>
                  <w:noWrap w:val="0"/>
                  <w:vAlign w:val="center"/>
                </w:tcPr>
                <w:p w14:paraId="0ECF3C9B">
                  <w:pPr>
                    <w:pStyle w:val="37"/>
                    <w:keepNext w:val="0"/>
                    <w:keepLines w:val="0"/>
                    <w:suppressLineNumbers w:val="0"/>
                    <w:snapToGrid w:val="0"/>
                    <w:ind w:left="0" w:right="0"/>
                    <w:jc w:val="center"/>
                    <w:rPr>
                      <w:rFonts w:hint="eastAsia" w:ascii="Times New Roman" w:hAnsi="Times New Roman" w:eastAsia="宋体" w:cs="Times New Roman"/>
                      <w:snapToGrid w:val="0"/>
                      <w:color w:val="auto"/>
                      <w:sz w:val="21"/>
                      <w:szCs w:val="21"/>
                      <w:highlight w:val="none"/>
                      <w:lang w:val="en-US" w:eastAsia="zh-CN"/>
                    </w:rPr>
                  </w:pPr>
                  <w:r>
                    <w:rPr>
                      <w:rFonts w:hint="eastAsia" w:ascii="Times New Roman" w:hAnsi="Times New Roman" w:cs="Times New Roman"/>
                      <w:snapToGrid w:val="0"/>
                      <w:color w:val="auto"/>
                      <w:sz w:val="21"/>
                      <w:szCs w:val="21"/>
                      <w:highlight w:val="none"/>
                      <w:lang w:val="en-US" w:eastAsia="zh-CN"/>
                    </w:rPr>
                    <w:t>北</w:t>
                  </w:r>
                </w:p>
              </w:tc>
              <w:tc>
                <w:tcPr>
                  <w:tcW w:w="339" w:type="pct"/>
                  <w:tcBorders>
                    <w:tl2br w:val="nil"/>
                    <w:tr2bl w:val="nil"/>
                  </w:tcBorders>
                  <w:noWrap w:val="0"/>
                  <w:vAlign w:val="center"/>
                </w:tcPr>
                <w:p w14:paraId="41D1A068">
                  <w:pPr>
                    <w:pStyle w:val="37"/>
                    <w:keepNext w:val="0"/>
                    <w:keepLines w:val="0"/>
                    <w:suppressLineNumbers w:val="0"/>
                    <w:adjustRightInd w:val="0"/>
                    <w:snapToGrid w:val="0"/>
                    <w:ind w:left="0" w:right="0"/>
                    <w:jc w:val="center"/>
                    <w:rPr>
                      <w:rFonts w:hint="eastAsia" w:ascii="Times New Roman" w:hAnsi="Times New Roman" w:eastAsia="宋体" w:cs="Times New Roman"/>
                      <w:snapToGrid w:val="0"/>
                      <w:color w:val="auto"/>
                      <w:sz w:val="21"/>
                      <w:szCs w:val="21"/>
                      <w:highlight w:val="none"/>
                      <w:lang w:val="en-US" w:eastAsia="zh-CN"/>
                    </w:rPr>
                  </w:pPr>
                  <w:r>
                    <w:rPr>
                      <w:rFonts w:hint="eastAsia" w:ascii="Times New Roman" w:hAnsi="Times New Roman" w:cs="Times New Roman"/>
                      <w:snapToGrid w:val="0"/>
                      <w:color w:val="auto"/>
                      <w:sz w:val="21"/>
                      <w:szCs w:val="21"/>
                      <w:highlight w:val="none"/>
                      <w:lang w:val="en-US" w:eastAsia="zh-CN"/>
                    </w:rPr>
                    <w:t>居民</w:t>
                  </w:r>
                </w:p>
              </w:tc>
              <w:tc>
                <w:tcPr>
                  <w:tcW w:w="441" w:type="pct"/>
                  <w:tcBorders>
                    <w:tl2br w:val="nil"/>
                    <w:tr2bl w:val="nil"/>
                  </w:tcBorders>
                  <w:noWrap w:val="0"/>
                  <w:vAlign w:val="center"/>
                </w:tcPr>
                <w:p w14:paraId="15BB6336">
                  <w:pPr>
                    <w:pStyle w:val="37"/>
                    <w:keepNext w:val="0"/>
                    <w:keepLines w:val="0"/>
                    <w:suppressLineNumbers w:val="0"/>
                    <w:adjustRightInd w:val="0"/>
                    <w:snapToGrid w:val="0"/>
                    <w:ind w:left="0" w:right="0"/>
                    <w:jc w:val="center"/>
                    <w:rPr>
                      <w:rFonts w:hint="default" w:ascii="Times New Roman" w:hAnsi="Times New Roman" w:eastAsia="宋体" w:cs="Times New Roman"/>
                      <w:snapToGrid w:val="0"/>
                      <w:color w:val="auto"/>
                      <w:sz w:val="21"/>
                      <w:szCs w:val="21"/>
                      <w:highlight w:val="none"/>
                      <w:lang w:val="en-US" w:eastAsia="zh-CN"/>
                    </w:rPr>
                  </w:pPr>
                  <w:r>
                    <w:rPr>
                      <w:rFonts w:hint="eastAsia" w:ascii="Times New Roman" w:hAnsi="Times New Roman" w:cs="Times New Roman"/>
                      <w:snapToGrid w:val="0"/>
                      <w:color w:val="auto"/>
                      <w:sz w:val="21"/>
                      <w:szCs w:val="21"/>
                      <w:highlight w:val="none"/>
                      <w:lang w:val="en-US" w:eastAsia="zh-CN"/>
                    </w:rPr>
                    <w:t>100人</w:t>
                  </w:r>
                </w:p>
              </w:tc>
              <w:tc>
                <w:tcPr>
                  <w:tcW w:w="438" w:type="pct"/>
                  <w:vMerge w:val="continue"/>
                  <w:tcBorders>
                    <w:tl2br w:val="nil"/>
                    <w:tr2bl w:val="nil"/>
                  </w:tcBorders>
                  <w:noWrap w:val="0"/>
                  <w:vAlign w:val="center"/>
                </w:tcPr>
                <w:p w14:paraId="6DE858BB">
                  <w:pPr>
                    <w:pStyle w:val="37"/>
                    <w:keepNext w:val="0"/>
                    <w:keepLines w:val="0"/>
                    <w:suppressLineNumbers w:val="0"/>
                    <w:adjustRightInd w:val="0"/>
                    <w:snapToGrid w:val="0"/>
                    <w:ind w:left="0" w:right="0"/>
                    <w:jc w:val="center"/>
                    <w:rPr>
                      <w:rFonts w:hint="eastAsia" w:ascii="Times New Roman" w:hAnsi="Times New Roman" w:eastAsia="宋体" w:cs="Times New Roman"/>
                      <w:snapToGrid w:val="0"/>
                      <w:color w:val="auto"/>
                      <w:sz w:val="21"/>
                      <w:szCs w:val="21"/>
                      <w:highlight w:val="none"/>
                    </w:rPr>
                  </w:pPr>
                </w:p>
              </w:tc>
            </w:tr>
            <w:tr w14:paraId="5DC5360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7" w:type="pct"/>
                  <w:tcBorders>
                    <w:tl2br w:val="nil"/>
                    <w:tr2bl w:val="nil"/>
                  </w:tcBorders>
                  <w:noWrap w:val="0"/>
                  <w:vAlign w:val="center"/>
                </w:tcPr>
                <w:p w14:paraId="02B273CD">
                  <w:pPr>
                    <w:pStyle w:val="37"/>
                    <w:keepNext w:val="0"/>
                    <w:keepLines w:val="0"/>
                    <w:suppressLineNumbers w:val="0"/>
                    <w:adjustRightInd w:val="0"/>
                    <w:snapToGrid w:val="0"/>
                    <w:ind w:left="0" w:right="0"/>
                    <w:jc w:val="center"/>
                    <w:rPr>
                      <w:rFonts w:hint="eastAsia" w:ascii="Times New Roman" w:hAnsi="Times New Roman" w:eastAsia="宋体" w:cs="Times New Roman"/>
                      <w:snapToGrid w:val="0"/>
                      <w:color w:val="auto"/>
                      <w:sz w:val="21"/>
                      <w:szCs w:val="21"/>
                      <w:highlight w:val="none"/>
                      <w:lang w:val="en-US" w:eastAsia="zh-CN"/>
                    </w:rPr>
                  </w:pPr>
                  <w:r>
                    <w:rPr>
                      <w:rFonts w:hint="eastAsia" w:ascii="Times New Roman" w:hAnsi="Times New Roman" w:cs="Times New Roman"/>
                      <w:snapToGrid w:val="0"/>
                      <w:color w:val="auto"/>
                      <w:sz w:val="21"/>
                      <w:szCs w:val="21"/>
                      <w:highlight w:val="none"/>
                      <w:lang w:val="en-US" w:eastAsia="zh-CN"/>
                    </w:rPr>
                    <w:t>3</w:t>
                  </w:r>
                </w:p>
              </w:tc>
              <w:tc>
                <w:tcPr>
                  <w:tcW w:w="462" w:type="pct"/>
                  <w:tcBorders>
                    <w:tl2br w:val="nil"/>
                    <w:tr2bl w:val="nil"/>
                  </w:tcBorders>
                  <w:noWrap w:val="0"/>
                  <w:vAlign w:val="center"/>
                </w:tcPr>
                <w:p w14:paraId="4DCE0591">
                  <w:pPr>
                    <w:pStyle w:val="37"/>
                    <w:keepNext w:val="0"/>
                    <w:keepLines w:val="0"/>
                    <w:suppressLineNumbers w:val="0"/>
                    <w:adjustRightInd w:val="0"/>
                    <w:snapToGrid w:val="0"/>
                    <w:ind w:left="0" w:right="0"/>
                    <w:jc w:val="center"/>
                    <w:rPr>
                      <w:rFonts w:hint="default" w:ascii="Times New Roman" w:hAnsi="Times New Roman" w:eastAsia="宋体" w:cs="Times New Roman"/>
                      <w:snapToGrid w:val="0"/>
                      <w:color w:val="auto"/>
                      <w:sz w:val="21"/>
                      <w:szCs w:val="21"/>
                      <w:highlight w:val="none"/>
                      <w:lang w:val="en-US" w:eastAsia="zh-CN"/>
                    </w:rPr>
                  </w:pPr>
                  <w:r>
                    <w:rPr>
                      <w:rFonts w:hint="eastAsia" w:ascii="Times New Roman" w:hAnsi="Times New Roman" w:cs="Times New Roman"/>
                      <w:snapToGrid w:val="0"/>
                      <w:color w:val="auto"/>
                      <w:sz w:val="21"/>
                      <w:szCs w:val="21"/>
                      <w:highlight w:val="none"/>
                      <w:lang w:val="en-US" w:eastAsia="zh-CN"/>
                    </w:rPr>
                    <w:t>礼佛禅寺</w:t>
                  </w:r>
                </w:p>
              </w:tc>
              <w:tc>
                <w:tcPr>
                  <w:tcW w:w="964" w:type="pct"/>
                  <w:tcBorders>
                    <w:tl2br w:val="nil"/>
                    <w:tr2bl w:val="nil"/>
                  </w:tcBorders>
                  <w:shd w:val="clear" w:color="auto" w:fill="auto"/>
                  <w:noWrap w:val="0"/>
                  <w:vAlign w:val="center"/>
                </w:tcPr>
                <w:p w14:paraId="7E115ACB">
                  <w:pPr>
                    <w:pStyle w:val="37"/>
                    <w:keepNext w:val="0"/>
                    <w:keepLines w:val="0"/>
                    <w:suppressLineNumbers w:val="0"/>
                    <w:adjustRightInd w:val="0"/>
                    <w:snapToGrid w:val="0"/>
                    <w:ind w:left="0" w:leftChars="0" w:right="0" w:rightChars="0"/>
                    <w:jc w:val="center"/>
                    <w:rPr>
                      <w:rFonts w:hint="eastAsia" w:ascii="Times New Roman" w:hAnsi="Times New Roman" w:eastAsia="宋体" w:cs="Times New Roman"/>
                      <w:snapToGrid w:val="0"/>
                      <w:color w:val="auto"/>
                      <w:kern w:val="0"/>
                      <w:sz w:val="21"/>
                      <w:szCs w:val="21"/>
                      <w:highlight w:val="none"/>
                      <w:lang w:val="en-US" w:eastAsia="zh-CN" w:bidi="ar-SA"/>
                    </w:rPr>
                  </w:pPr>
                  <w:r>
                    <w:rPr>
                      <w:rFonts w:hint="default" w:ascii="Times New Roman" w:hAnsi="Times New Roman" w:cs="Times New Roman"/>
                      <w:snapToGrid w:val="0"/>
                      <w:color w:val="auto"/>
                      <w:sz w:val="21"/>
                      <w:szCs w:val="21"/>
                      <w:highlight w:val="none"/>
                      <w:lang w:val="en-US" w:eastAsia="zh-CN"/>
                    </w:rPr>
                    <w:t>E114°15′</w:t>
                  </w:r>
                  <w:r>
                    <w:rPr>
                      <w:rFonts w:hint="eastAsia" w:ascii="Times New Roman" w:hAnsi="Times New Roman" w:cs="Times New Roman"/>
                      <w:snapToGrid w:val="0"/>
                      <w:color w:val="auto"/>
                      <w:sz w:val="21"/>
                      <w:szCs w:val="21"/>
                      <w:highlight w:val="none"/>
                      <w:lang w:val="en-US" w:eastAsia="zh-CN"/>
                    </w:rPr>
                    <w:t>37.613</w:t>
                  </w:r>
                  <w:r>
                    <w:rPr>
                      <w:rFonts w:hint="default" w:ascii="Times New Roman" w:hAnsi="Times New Roman" w:cs="Times New Roman"/>
                      <w:snapToGrid w:val="0"/>
                      <w:color w:val="auto"/>
                      <w:sz w:val="21"/>
                      <w:szCs w:val="21"/>
                      <w:highlight w:val="none"/>
                      <w:lang w:val="en-US" w:eastAsia="zh-CN"/>
                    </w:rPr>
                    <w:t>″</w:t>
                  </w:r>
                </w:p>
              </w:tc>
              <w:tc>
                <w:tcPr>
                  <w:tcW w:w="916" w:type="pct"/>
                  <w:tcBorders>
                    <w:tl2br w:val="nil"/>
                    <w:tr2bl w:val="nil"/>
                  </w:tcBorders>
                  <w:shd w:val="clear" w:color="auto" w:fill="auto"/>
                  <w:noWrap w:val="0"/>
                  <w:vAlign w:val="center"/>
                </w:tcPr>
                <w:p w14:paraId="10F5F943">
                  <w:pPr>
                    <w:pStyle w:val="37"/>
                    <w:keepNext w:val="0"/>
                    <w:keepLines w:val="0"/>
                    <w:suppressLineNumbers w:val="0"/>
                    <w:adjustRightInd w:val="0"/>
                    <w:snapToGrid w:val="0"/>
                    <w:ind w:left="0" w:leftChars="0" w:right="0" w:rightChars="0"/>
                    <w:jc w:val="center"/>
                    <w:rPr>
                      <w:rFonts w:hint="eastAsia" w:ascii="Times New Roman" w:hAnsi="Times New Roman" w:eastAsia="宋体" w:cs="Times New Roman"/>
                      <w:snapToGrid w:val="0"/>
                      <w:color w:val="auto"/>
                      <w:kern w:val="0"/>
                      <w:sz w:val="21"/>
                      <w:szCs w:val="21"/>
                      <w:highlight w:val="none"/>
                      <w:lang w:val="en-US" w:eastAsia="zh-CN" w:bidi="ar-SA"/>
                    </w:rPr>
                  </w:pPr>
                  <w:r>
                    <w:rPr>
                      <w:rFonts w:hint="eastAsia" w:ascii="Times New Roman" w:hAnsi="Times New Roman" w:cs="Times New Roman"/>
                      <w:snapToGrid w:val="0"/>
                      <w:color w:val="auto"/>
                      <w:sz w:val="21"/>
                      <w:szCs w:val="21"/>
                      <w:highlight w:val="none"/>
                      <w:lang w:val="en-US" w:eastAsia="zh-CN"/>
                    </w:rPr>
                    <w:t>N23</w:t>
                  </w:r>
                  <w:r>
                    <w:rPr>
                      <w:rFonts w:hint="default" w:ascii="Times New Roman" w:hAnsi="Times New Roman" w:cs="Times New Roman"/>
                      <w:snapToGrid w:val="0"/>
                      <w:color w:val="auto"/>
                      <w:sz w:val="21"/>
                      <w:szCs w:val="21"/>
                      <w:highlight w:val="none"/>
                      <w:lang w:val="en-US" w:eastAsia="zh-CN"/>
                    </w:rPr>
                    <w:t>°1</w:t>
                  </w:r>
                  <w:r>
                    <w:rPr>
                      <w:rFonts w:hint="eastAsia" w:ascii="Times New Roman" w:hAnsi="Times New Roman" w:cs="Times New Roman"/>
                      <w:snapToGrid w:val="0"/>
                      <w:color w:val="auto"/>
                      <w:sz w:val="21"/>
                      <w:szCs w:val="21"/>
                      <w:highlight w:val="none"/>
                      <w:lang w:val="en-US" w:eastAsia="zh-CN"/>
                    </w:rPr>
                    <w:t>2</w:t>
                  </w:r>
                  <w:r>
                    <w:rPr>
                      <w:rFonts w:hint="default" w:ascii="Times New Roman" w:hAnsi="Times New Roman" w:cs="Times New Roman"/>
                      <w:snapToGrid w:val="0"/>
                      <w:color w:val="auto"/>
                      <w:sz w:val="21"/>
                      <w:szCs w:val="21"/>
                      <w:highlight w:val="none"/>
                      <w:lang w:val="en-US" w:eastAsia="zh-CN"/>
                    </w:rPr>
                    <w:t>′</w:t>
                  </w:r>
                  <w:r>
                    <w:rPr>
                      <w:rFonts w:hint="eastAsia" w:ascii="Times New Roman" w:hAnsi="Times New Roman" w:cs="Times New Roman"/>
                      <w:snapToGrid w:val="0"/>
                      <w:color w:val="auto"/>
                      <w:sz w:val="21"/>
                      <w:szCs w:val="21"/>
                      <w:highlight w:val="none"/>
                      <w:lang w:val="en-US" w:eastAsia="zh-CN"/>
                    </w:rPr>
                    <w:t>23.648</w:t>
                  </w:r>
                  <w:r>
                    <w:rPr>
                      <w:rFonts w:hint="default" w:ascii="Times New Roman" w:hAnsi="Times New Roman" w:cs="Times New Roman"/>
                      <w:snapToGrid w:val="0"/>
                      <w:color w:val="auto"/>
                      <w:sz w:val="21"/>
                      <w:szCs w:val="21"/>
                      <w:highlight w:val="none"/>
                      <w:lang w:val="en-US" w:eastAsia="zh-CN"/>
                    </w:rPr>
                    <w:t>″</w:t>
                  </w:r>
                </w:p>
              </w:tc>
              <w:tc>
                <w:tcPr>
                  <w:tcW w:w="470" w:type="pct"/>
                  <w:tcBorders>
                    <w:tl2br w:val="nil"/>
                    <w:tr2bl w:val="nil"/>
                  </w:tcBorders>
                  <w:noWrap w:val="0"/>
                  <w:vAlign w:val="center"/>
                </w:tcPr>
                <w:p w14:paraId="3D730790">
                  <w:pPr>
                    <w:pStyle w:val="37"/>
                    <w:keepNext w:val="0"/>
                    <w:keepLines w:val="0"/>
                    <w:suppressLineNumbers w:val="0"/>
                    <w:adjustRightInd w:val="0"/>
                    <w:snapToGrid w:val="0"/>
                    <w:ind w:left="0" w:right="0"/>
                    <w:jc w:val="center"/>
                    <w:rPr>
                      <w:rFonts w:hint="default" w:ascii="Times New Roman" w:hAnsi="Times New Roman" w:eastAsia="宋体" w:cs="Times New Roman"/>
                      <w:snapToGrid w:val="0"/>
                      <w:color w:val="auto"/>
                      <w:sz w:val="21"/>
                      <w:szCs w:val="21"/>
                      <w:highlight w:val="none"/>
                      <w:lang w:val="en-US" w:eastAsia="zh-CN"/>
                    </w:rPr>
                  </w:pPr>
                  <w:r>
                    <w:rPr>
                      <w:rFonts w:hint="eastAsia" w:ascii="Times New Roman" w:hAnsi="Times New Roman" w:cs="Times New Roman"/>
                      <w:snapToGrid w:val="0"/>
                      <w:color w:val="auto"/>
                      <w:sz w:val="21"/>
                      <w:szCs w:val="21"/>
                      <w:highlight w:val="none"/>
                      <w:lang w:val="en-US" w:eastAsia="zh-CN"/>
                    </w:rPr>
                    <w:t>206</w:t>
                  </w:r>
                </w:p>
              </w:tc>
              <w:tc>
                <w:tcPr>
                  <w:tcW w:w="470" w:type="pct"/>
                  <w:tcBorders>
                    <w:tl2br w:val="nil"/>
                    <w:tr2bl w:val="nil"/>
                  </w:tcBorders>
                  <w:noWrap w:val="0"/>
                  <w:vAlign w:val="center"/>
                </w:tcPr>
                <w:p w14:paraId="2F5937ED">
                  <w:pPr>
                    <w:pStyle w:val="37"/>
                    <w:keepNext w:val="0"/>
                    <w:keepLines w:val="0"/>
                    <w:suppressLineNumbers w:val="0"/>
                    <w:adjustRightInd w:val="0"/>
                    <w:snapToGrid w:val="0"/>
                    <w:ind w:left="0" w:right="0"/>
                    <w:jc w:val="center"/>
                    <w:rPr>
                      <w:rFonts w:hint="default" w:ascii="Times New Roman" w:hAnsi="Times New Roman" w:eastAsia="宋体" w:cs="Times New Roman"/>
                      <w:snapToGrid w:val="0"/>
                      <w:color w:val="auto"/>
                      <w:sz w:val="21"/>
                      <w:szCs w:val="21"/>
                      <w:highlight w:val="none"/>
                      <w:lang w:val="en-US" w:eastAsia="zh-CN"/>
                    </w:rPr>
                  </w:pPr>
                  <w:r>
                    <w:rPr>
                      <w:rFonts w:hint="eastAsia" w:ascii="Times New Roman" w:hAnsi="Times New Roman" w:cs="Times New Roman"/>
                      <w:snapToGrid w:val="0"/>
                      <w:color w:val="auto"/>
                      <w:sz w:val="21"/>
                      <w:szCs w:val="21"/>
                      <w:highlight w:val="none"/>
                      <w:lang w:val="en-US" w:eastAsia="zh-CN"/>
                    </w:rPr>
                    <w:t>211</w:t>
                  </w:r>
                </w:p>
              </w:tc>
              <w:tc>
                <w:tcPr>
                  <w:tcW w:w="248" w:type="pct"/>
                  <w:tcBorders>
                    <w:tl2br w:val="nil"/>
                    <w:tr2bl w:val="nil"/>
                  </w:tcBorders>
                  <w:noWrap w:val="0"/>
                  <w:vAlign w:val="center"/>
                </w:tcPr>
                <w:p w14:paraId="0B19B5FC">
                  <w:pPr>
                    <w:pStyle w:val="37"/>
                    <w:keepNext w:val="0"/>
                    <w:keepLines w:val="0"/>
                    <w:suppressLineNumbers w:val="0"/>
                    <w:snapToGrid w:val="0"/>
                    <w:ind w:left="0" w:right="0"/>
                    <w:jc w:val="center"/>
                    <w:rPr>
                      <w:rFonts w:hint="default" w:ascii="Times New Roman" w:hAnsi="Times New Roman" w:eastAsia="宋体" w:cs="Times New Roman"/>
                      <w:snapToGrid w:val="0"/>
                      <w:color w:val="auto"/>
                      <w:sz w:val="21"/>
                      <w:szCs w:val="21"/>
                      <w:highlight w:val="none"/>
                      <w:lang w:val="en-US" w:eastAsia="zh-CN"/>
                    </w:rPr>
                  </w:pPr>
                  <w:r>
                    <w:rPr>
                      <w:rFonts w:hint="eastAsia" w:ascii="Times New Roman" w:hAnsi="Times New Roman" w:cs="Times New Roman"/>
                      <w:snapToGrid w:val="0"/>
                      <w:color w:val="auto"/>
                      <w:sz w:val="21"/>
                      <w:szCs w:val="21"/>
                      <w:highlight w:val="none"/>
                      <w:lang w:val="en-US" w:eastAsia="zh-CN"/>
                    </w:rPr>
                    <w:t>东北</w:t>
                  </w:r>
                </w:p>
              </w:tc>
              <w:tc>
                <w:tcPr>
                  <w:tcW w:w="339" w:type="pct"/>
                  <w:tcBorders>
                    <w:tl2br w:val="nil"/>
                    <w:tr2bl w:val="nil"/>
                  </w:tcBorders>
                  <w:noWrap w:val="0"/>
                  <w:vAlign w:val="center"/>
                </w:tcPr>
                <w:p w14:paraId="001297D3">
                  <w:pPr>
                    <w:pStyle w:val="37"/>
                    <w:keepNext w:val="0"/>
                    <w:keepLines w:val="0"/>
                    <w:suppressLineNumbers w:val="0"/>
                    <w:adjustRightInd w:val="0"/>
                    <w:snapToGrid w:val="0"/>
                    <w:ind w:left="0" w:right="0"/>
                    <w:jc w:val="center"/>
                    <w:rPr>
                      <w:rFonts w:hint="eastAsia" w:ascii="Times New Roman" w:hAnsi="Times New Roman" w:eastAsia="宋体" w:cs="Times New Roman"/>
                      <w:snapToGrid w:val="0"/>
                      <w:color w:val="auto"/>
                      <w:sz w:val="21"/>
                      <w:szCs w:val="21"/>
                      <w:highlight w:val="none"/>
                      <w:lang w:val="en-US" w:eastAsia="zh-CN"/>
                    </w:rPr>
                  </w:pPr>
                  <w:r>
                    <w:rPr>
                      <w:rFonts w:hint="eastAsia" w:ascii="Times New Roman" w:hAnsi="Times New Roman" w:cs="Times New Roman"/>
                      <w:snapToGrid w:val="0"/>
                      <w:color w:val="auto"/>
                      <w:sz w:val="21"/>
                      <w:szCs w:val="21"/>
                      <w:highlight w:val="none"/>
                      <w:lang w:val="en-US" w:eastAsia="zh-CN"/>
                    </w:rPr>
                    <w:t>居民</w:t>
                  </w:r>
                </w:p>
              </w:tc>
              <w:tc>
                <w:tcPr>
                  <w:tcW w:w="441" w:type="pct"/>
                  <w:tcBorders>
                    <w:tl2br w:val="nil"/>
                    <w:tr2bl w:val="nil"/>
                  </w:tcBorders>
                  <w:noWrap w:val="0"/>
                  <w:vAlign w:val="center"/>
                </w:tcPr>
                <w:p w14:paraId="1D67FA21">
                  <w:pPr>
                    <w:pStyle w:val="37"/>
                    <w:keepNext w:val="0"/>
                    <w:keepLines w:val="0"/>
                    <w:suppressLineNumbers w:val="0"/>
                    <w:adjustRightInd w:val="0"/>
                    <w:snapToGrid w:val="0"/>
                    <w:ind w:left="0" w:right="0"/>
                    <w:jc w:val="center"/>
                    <w:rPr>
                      <w:rFonts w:hint="default" w:ascii="Times New Roman" w:hAnsi="Times New Roman" w:eastAsia="宋体" w:cs="Times New Roman"/>
                      <w:snapToGrid w:val="0"/>
                      <w:color w:val="auto"/>
                      <w:sz w:val="21"/>
                      <w:szCs w:val="21"/>
                      <w:highlight w:val="none"/>
                      <w:lang w:val="en-US" w:eastAsia="zh-CN"/>
                    </w:rPr>
                  </w:pPr>
                  <w:r>
                    <w:rPr>
                      <w:rFonts w:hint="eastAsia" w:ascii="Times New Roman" w:hAnsi="Times New Roman" w:cs="Times New Roman"/>
                      <w:snapToGrid w:val="0"/>
                      <w:color w:val="auto"/>
                      <w:sz w:val="21"/>
                      <w:szCs w:val="21"/>
                      <w:highlight w:val="none"/>
                      <w:lang w:val="en-US" w:eastAsia="zh-CN"/>
                    </w:rPr>
                    <w:t>200人</w:t>
                  </w:r>
                </w:p>
              </w:tc>
              <w:tc>
                <w:tcPr>
                  <w:tcW w:w="438" w:type="pct"/>
                  <w:vMerge w:val="continue"/>
                  <w:tcBorders>
                    <w:tl2br w:val="nil"/>
                    <w:tr2bl w:val="nil"/>
                  </w:tcBorders>
                  <w:noWrap w:val="0"/>
                  <w:vAlign w:val="center"/>
                </w:tcPr>
                <w:p w14:paraId="5E3B695A">
                  <w:pPr>
                    <w:pStyle w:val="37"/>
                    <w:keepNext w:val="0"/>
                    <w:keepLines w:val="0"/>
                    <w:suppressLineNumbers w:val="0"/>
                    <w:adjustRightInd w:val="0"/>
                    <w:snapToGrid w:val="0"/>
                    <w:ind w:left="0" w:right="0"/>
                    <w:jc w:val="center"/>
                    <w:rPr>
                      <w:rFonts w:hint="eastAsia" w:ascii="Times New Roman" w:hAnsi="Times New Roman" w:eastAsia="宋体" w:cs="Times New Roman"/>
                      <w:snapToGrid w:val="0"/>
                      <w:color w:val="auto"/>
                      <w:sz w:val="21"/>
                      <w:szCs w:val="21"/>
                      <w:highlight w:val="none"/>
                    </w:rPr>
                  </w:pPr>
                </w:p>
              </w:tc>
            </w:tr>
          </w:tbl>
          <w:p w14:paraId="537796F2">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22" w:firstLineChars="200"/>
              <w:textAlignment w:val="auto"/>
              <w:rPr>
                <w:rFonts w:ascii="Times New Roman" w:hAnsi="Times New Roman" w:eastAsia="宋体" w:cs="Times New Roman"/>
                <w:b/>
                <w:iCs/>
                <w:color w:val="auto"/>
                <w:sz w:val="21"/>
                <w:szCs w:val="21"/>
                <w:highlight w:val="none"/>
              </w:rPr>
            </w:pPr>
            <w:r>
              <w:rPr>
                <w:rFonts w:ascii="Times New Roman" w:hAnsi="Times New Roman" w:eastAsia="宋体" w:cs="Times New Roman"/>
                <w:b/>
                <w:iCs/>
                <w:color w:val="auto"/>
                <w:sz w:val="21"/>
                <w:szCs w:val="21"/>
                <w:highlight w:val="none"/>
              </w:rPr>
              <w:t>2、水环境保护目标</w:t>
            </w:r>
          </w:p>
          <w:p w14:paraId="0BC2B2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项目用地范围及附近不涉及饮用水水源保护区、饮用水取水口、自然保护区、风景名胜区，重要湿地、重点保护与珍稀水生生物的栖息地、重要水生生物的自然产卵场及索饵场、越冬场和洄游通道，天然渔场等渔业水体，以及水产种质资源保护区等敏感目标。</w:t>
            </w:r>
          </w:p>
          <w:p w14:paraId="13B839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2" w:firstLineChars="200"/>
              <w:textAlignment w:val="auto"/>
              <w:rPr>
                <w:rFonts w:ascii="Times New Roman" w:hAnsi="Times New Roman" w:eastAsia="宋体" w:cs="Times New Roman"/>
                <w:b/>
                <w:iCs/>
                <w:color w:val="auto"/>
                <w:sz w:val="21"/>
                <w:szCs w:val="21"/>
                <w:highlight w:val="none"/>
              </w:rPr>
            </w:pPr>
            <w:r>
              <w:rPr>
                <w:rFonts w:ascii="Times New Roman" w:hAnsi="Times New Roman" w:eastAsia="宋体" w:cs="Times New Roman"/>
                <w:b/>
                <w:iCs/>
                <w:color w:val="auto"/>
                <w:sz w:val="21"/>
                <w:szCs w:val="21"/>
                <w:highlight w:val="none"/>
              </w:rPr>
              <w:t>3、声环境保护目标</w:t>
            </w:r>
          </w:p>
          <w:p w14:paraId="6A20D6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厂界外50米范围内无声环境保护目标。</w:t>
            </w:r>
          </w:p>
          <w:p w14:paraId="59C0325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2" w:firstLineChars="200"/>
              <w:textAlignment w:val="auto"/>
              <w:rPr>
                <w:rFonts w:ascii="Times New Roman" w:hAnsi="Times New Roman" w:eastAsia="宋体" w:cs="Times New Roman"/>
                <w:b/>
                <w:iCs/>
                <w:color w:val="auto"/>
                <w:sz w:val="21"/>
                <w:szCs w:val="21"/>
                <w:highlight w:val="none"/>
              </w:rPr>
            </w:pPr>
            <w:r>
              <w:rPr>
                <w:rFonts w:ascii="Times New Roman" w:hAnsi="Times New Roman" w:eastAsia="宋体" w:cs="Times New Roman"/>
                <w:b/>
                <w:iCs/>
                <w:color w:val="auto"/>
                <w:sz w:val="21"/>
                <w:szCs w:val="21"/>
                <w:highlight w:val="none"/>
              </w:rPr>
              <w:t>4、其它环境保护目标</w:t>
            </w:r>
          </w:p>
          <w:p w14:paraId="6945EF6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ascii="Times New Roman" w:hAnsi="Times New Roman" w:eastAsia="宋体" w:cs="Times New Roman"/>
                <w:color w:val="auto"/>
                <w:kern w:val="0"/>
                <w:sz w:val="21"/>
                <w:szCs w:val="21"/>
                <w:highlight w:val="none"/>
              </w:rPr>
            </w:pPr>
            <w:r>
              <w:rPr>
                <w:rFonts w:hint="eastAsia" w:ascii="Times New Roman" w:hAnsi="Times New Roman" w:eastAsia="宋体" w:cs="Times New Roman"/>
                <w:color w:val="auto"/>
                <w:sz w:val="21"/>
                <w:szCs w:val="21"/>
                <w:highlight w:val="none"/>
              </w:rPr>
              <w:t>厂界外500m范围内无地下水集中式饮用水水源和热水、矿泉水、温泉等特殊地下水资源，无生态环境保护目标。</w:t>
            </w:r>
          </w:p>
        </w:tc>
      </w:tr>
      <w:tr w14:paraId="146B4B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22" w:type="dxa"/>
            <w:noWrap w:val="0"/>
            <w:tcMar>
              <w:left w:w="28" w:type="dxa"/>
              <w:right w:w="28" w:type="dxa"/>
            </w:tcMar>
            <w:vAlign w:val="center"/>
          </w:tcPr>
          <w:p w14:paraId="7915F568">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kern w:val="0"/>
                <w:sz w:val="21"/>
                <w:szCs w:val="21"/>
                <w:highlight w:val="none"/>
              </w:rPr>
            </w:pPr>
            <w:r>
              <w:rPr>
                <w:rFonts w:ascii="Times New Roman" w:hAnsi="Times New Roman" w:eastAsia="宋体" w:cs="Times New Roman"/>
                <w:color w:val="auto"/>
                <w:kern w:val="0"/>
                <w:sz w:val="21"/>
                <w:szCs w:val="21"/>
                <w:highlight w:val="none"/>
              </w:rPr>
              <w:t>污染</w:t>
            </w:r>
          </w:p>
          <w:p w14:paraId="78B27109">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kern w:val="0"/>
                <w:sz w:val="21"/>
                <w:szCs w:val="21"/>
                <w:highlight w:val="none"/>
              </w:rPr>
            </w:pPr>
            <w:r>
              <w:rPr>
                <w:rFonts w:ascii="Times New Roman" w:hAnsi="Times New Roman" w:eastAsia="宋体" w:cs="Times New Roman"/>
                <w:color w:val="auto"/>
                <w:kern w:val="0"/>
                <w:sz w:val="21"/>
                <w:szCs w:val="21"/>
                <w:highlight w:val="none"/>
              </w:rPr>
              <w:t>物排</w:t>
            </w:r>
          </w:p>
          <w:p w14:paraId="68A98A76">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kern w:val="0"/>
                <w:sz w:val="21"/>
                <w:szCs w:val="21"/>
                <w:highlight w:val="none"/>
              </w:rPr>
            </w:pPr>
            <w:r>
              <w:rPr>
                <w:rFonts w:ascii="Times New Roman" w:hAnsi="Times New Roman" w:eastAsia="宋体" w:cs="Times New Roman"/>
                <w:color w:val="auto"/>
                <w:kern w:val="0"/>
                <w:sz w:val="21"/>
                <w:szCs w:val="21"/>
                <w:highlight w:val="none"/>
              </w:rPr>
              <w:t>放控</w:t>
            </w:r>
          </w:p>
          <w:p w14:paraId="0A04D8AE">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kern w:val="0"/>
                <w:sz w:val="21"/>
                <w:szCs w:val="21"/>
                <w:highlight w:val="none"/>
              </w:rPr>
            </w:pPr>
            <w:r>
              <w:rPr>
                <w:rFonts w:ascii="Times New Roman" w:hAnsi="Times New Roman" w:eastAsia="宋体" w:cs="Times New Roman"/>
                <w:color w:val="auto"/>
                <w:kern w:val="0"/>
                <w:sz w:val="21"/>
                <w:szCs w:val="21"/>
                <w:highlight w:val="none"/>
              </w:rPr>
              <w:t>制标</w:t>
            </w:r>
          </w:p>
          <w:p w14:paraId="5BEB3B3B">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kern w:val="0"/>
                <w:sz w:val="21"/>
                <w:szCs w:val="21"/>
                <w:highlight w:val="none"/>
              </w:rPr>
            </w:pPr>
            <w:r>
              <w:rPr>
                <w:rFonts w:ascii="Times New Roman" w:hAnsi="Times New Roman" w:eastAsia="宋体" w:cs="Times New Roman"/>
                <w:color w:val="auto"/>
                <w:kern w:val="0"/>
                <w:sz w:val="21"/>
                <w:szCs w:val="21"/>
                <w:highlight w:val="none"/>
              </w:rPr>
              <w:t>准</w:t>
            </w:r>
          </w:p>
        </w:tc>
        <w:tc>
          <w:tcPr>
            <w:tcW w:w="8865" w:type="dxa"/>
            <w:noWrap w:val="0"/>
            <w:vAlign w:val="center"/>
          </w:tcPr>
          <w:p w14:paraId="066DDB6B">
            <w:pPr>
              <w:pStyle w:val="154"/>
              <w:keepNext w:val="0"/>
              <w:keepLines w:val="0"/>
              <w:pageBreakBefore w:val="0"/>
              <w:widowControl w:val="0"/>
              <w:numPr>
                <w:ilvl w:val="0"/>
                <w:numId w:val="11"/>
              </w:numPr>
              <w:suppressLineNumbers w:val="0"/>
              <w:kinsoku/>
              <w:wordWrap/>
              <w:overflowPunct/>
              <w:topLinePunct w:val="0"/>
              <w:autoSpaceDE/>
              <w:autoSpaceDN/>
              <w:bidi w:val="0"/>
              <w:adjustRightInd/>
              <w:snapToGrid/>
              <w:spacing w:before="0" w:beforeAutospacing="0" w:after="0" w:afterAutospacing="0" w:line="360" w:lineRule="auto"/>
              <w:ind w:left="0" w:right="0" w:firstLine="430" w:firstLineChars="200"/>
              <w:textAlignment w:val="auto"/>
              <w:rPr>
                <w:rFonts w:hint="eastAsia" w:ascii="Times New Roman" w:hAnsi="Times New Roman"/>
                <w:b/>
                <w:bCs/>
                <w:color w:val="auto"/>
                <w:spacing w:val="2"/>
                <w:sz w:val="21"/>
                <w:szCs w:val="21"/>
                <w:highlight w:val="none"/>
                <w:lang w:val="en-US" w:eastAsia="zh-CN"/>
              </w:rPr>
            </w:pPr>
            <w:r>
              <w:rPr>
                <w:rFonts w:hint="eastAsia" w:ascii="Times New Roman" w:hAnsi="Times New Roman"/>
                <w:b/>
                <w:bCs/>
                <w:color w:val="auto"/>
                <w:spacing w:val="2"/>
                <w:sz w:val="21"/>
                <w:szCs w:val="21"/>
                <w:highlight w:val="none"/>
                <w:lang w:val="en-US" w:eastAsia="zh-CN"/>
              </w:rPr>
              <w:t>废气排放标准</w:t>
            </w:r>
          </w:p>
          <w:p w14:paraId="1121A3E4">
            <w:pPr>
              <w:keepNext w:val="0"/>
              <w:keepLines w:val="0"/>
              <w:suppressLineNumbers w:val="0"/>
              <w:adjustRightInd w:val="0"/>
              <w:snapToGrid w:val="0"/>
              <w:spacing w:before="0" w:beforeAutospacing="0" w:after="0" w:afterAutospacing="0" w:line="360" w:lineRule="auto"/>
              <w:ind w:left="0" w:right="0" w:firstLine="422" w:firstLineChars="200"/>
              <w:rPr>
                <w:rFonts w:hint="default" w:ascii="Times New Roman" w:hAnsi="Times New Roman" w:eastAsia="宋体" w:cs="Times New Roman"/>
                <w:b/>
                <w:bCs w:val="0"/>
                <w:color w:val="auto"/>
                <w:szCs w:val="21"/>
                <w:highlight w:val="none"/>
                <w:lang w:val="en-US" w:eastAsia="zh-CN"/>
              </w:rPr>
            </w:pPr>
            <w:r>
              <w:rPr>
                <w:rFonts w:hint="eastAsia" w:ascii="Times New Roman" w:hAnsi="Times New Roman" w:eastAsia="宋体" w:cs="Times New Roman"/>
                <w:b/>
                <w:bCs w:val="0"/>
                <w:color w:val="auto"/>
                <w:szCs w:val="21"/>
                <w:highlight w:val="none"/>
                <w:lang w:val="en-US" w:eastAsia="zh-CN"/>
              </w:rPr>
              <w:t>（1）有组织废气</w:t>
            </w:r>
          </w:p>
          <w:p w14:paraId="58239E02">
            <w:pPr>
              <w:keepNext w:val="0"/>
              <w:keepLines w:val="0"/>
              <w:suppressLineNumbers w:val="0"/>
              <w:adjustRightInd w:val="0"/>
              <w:snapToGrid w:val="0"/>
              <w:spacing w:before="0" w:beforeAutospacing="0" w:after="0" w:afterAutospacing="0" w:line="360" w:lineRule="auto"/>
              <w:ind w:left="0" w:right="0" w:firstLine="420" w:firstLineChars="200"/>
              <w:rPr>
                <w:rFonts w:hint="eastAsia"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DA001排放口：项目吸塑和印刷废气收集后经“空气冷却器+两级活性炭吸附装置”处理达标后通过46米DA001排气筒高空排放。</w:t>
            </w:r>
          </w:p>
          <w:p w14:paraId="3E6A12CD">
            <w:pPr>
              <w:keepNext w:val="0"/>
              <w:keepLines w:val="0"/>
              <w:suppressLineNumbers w:val="0"/>
              <w:adjustRightInd w:val="0"/>
              <w:snapToGrid w:val="0"/>
              <w:spacing w:before="0" w:beforeAutospacing="0" w:after="0" w:afterAutospacing="0" w:line="360" w:lineRule="auto"/>
              <w:ind w:left="0" w:right="0" w:firstLine="420" w:firstLineChars="200"/>
              <w:rPr>
                <w:rFonts w:hint="eastAsia"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非甲烷总烃有组织排放执行《固定污染源挥发性有机物综合排放标准》（DB44/2367-2022）表1挥发性有机物排放限值</w:t>
            </w:r>
            <w:r>
              <w:rPr>
                <w:rFonts w:hint="eastAsia" w:ascii="Times New Roman" w:hAnsi="Times New Roman" w:eastAsia="宋体" w:cs="Times New Roman"/>
                <w:bCs/>
                <w:color w:val="auto"/>
                <w:szCs w:val="21"/>
                <w:highlight w:val="none"/>
                <w:lang w:val="en-US" w:eastAsia="zh-CN"/>
              </w:rPr>
              <w:t>、</w:t>
            </w:r>
            <w:r>
              <w:rPr>
                <w:rFonts w:hint="default" w:ascii="Times New Roman" w:hAnsi="Times New Roman" w:eastAsia="宋体" w:cs="Times New Roman"/>
                <w:bCs/>
                <w:color w:val="auto"/>
                <w:szCs w:val="21"/>
                <w:highlight w:val="none"/>
                <w:lang w:val="en-US" w:eastAsia="zh-CN"/>
              </w:rPr>
              <w:t>《合成树脂工业污染物排放标准》（GB31572-2015，含2024年修改单）中表5大气污染物特别排放限值</w:t>
            </w:r>
            <w:r>
              <w:rPr>
                <w:rFonts w:hint="eastAsia" w:ascii="Times New Roman" w:hAnsi="Times New Roman" w:eastAsia="宋体" w:cs="Times New Roman"/>
                <w:bCs/>
                <w:color w:val="auto"/>
                <w:szCs w:val="21"/>
                <w:highlight w:val="none"/>
                <w:lang w:val="en-US" w:eastAsia="zh-CN"/>
              </w:rPr>
              <w:t>与《印刷工业大气污染物排放标准》（GB41616-2022）表1大气污染物排放限值三</w:t>
            </w:r>
            <w:r>
              <w:rPr>
                <w:rFonts w:hint="default" w:ascii="Times New Roman" w:hAnsi="Times New Roman" w:eastAsia="宋体" w:cs="Times New Roman"/>
                <w:bCs/>
                <w:color w:val="auto"/>
                <w:szCs w:val="21"/>
                <w:highlight w:val="none"/>
                <w:lang w:val="en-US" w:eastAsia="zh-CN"/>
              </w:rPr>
              <w:t>者较严值</w:t>
            </w:r>
            <w:r>
              <w:rPr>
                <w:rFonts w:hint="eastAsia" w:ascii="Times New Roman" w:hAnsi="Times New Roman" w:eastAsia="宋体" w:cs="Times New Roman"/>
                <w:bCs/>
                <w:color w:val="auto"/>
                <w:szCs w:val="21"/>
                <w:highlight w:val="none"/>
                <w:lang w:val="en-US" w:eastAsia="zh-CN"/>
              </w:rPr>
              <w:t>；</w:t>
            </w:r>
          </w:p>
          <w:p w14:paraId="50DD5C38">
            <w:pPr>
              <w:keepNext w:val="0"/>
              <w:keepLines w:val="0"/>
              <w:suppressLineNumbers w:val="0"/>
              <w:adjustRightInd w:val="0"/>
              <w:snapToGrid w:val="0"/>
              <w:spacing w:before="0" w:beforeAutospacing="0" w:after="0" w:afterAutospacing="0" w:line="360" w:lineRule="auto"/>
              <w:ind w:left="0" w:right="0" w:firstLine="420" w:firstLineChars="200"/>
              <w:rPr>
                <w:rFonts w:hint="eastAsia"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TVOC有组织排放执行广东省《固定污染源挥发性有机物综合排放标准》（DB44/2367-2022）表1挥发性有机物排放限值；总VOCs有组织排放执行《印刷行业挥发性有机化合物排放标准》（DB44/815-2010）表2</w:t>
            </w:r>
            <w:r>
              <w:rPr>
                <w:rFonts w:hint="eastAsia" w:ascii="宋体" w:hAnsi="宋体" w:eastAsia="宋体" w:cs="宋体"/>
                <w:bCs/>
                <w:color w:val="auto"/>
                <w:szCs w:val="21"/>
                <w:highlight w:val="none"/>
                <w:lang w:val="en-US" w:eastAsia="zh-CN"/>
              </w:rPr>
              <w:t>“</w:t>
            </w:r>
            <w:r>
              <w:rPr>
                <w:rFonts w:hint="default" w:ascii="Times New Roman" w:hAnsi="Times New Roman" w:eastAsia="宋体" w:cs="Times New Roman"/>
                <w:bCs/>
                <w:color w:val="auto"/>
                <w:szCs w:val="21"/>
                <w:highlight w:val="none"/>
                <w:lang w:val="en-US" w:eastAsia="zh-CN"/>
              </w:rPr>
              <w:t>平版印刷（不含以金属、陶瓷、玻璃为承印物的平版印刷）、柔性版印刷</w:t>
            </w:r>
            <w:r>
              <w:rPr>
                <w:rFonts w:hint="eastAsia" w:ascii="宋体" w:hAnsi="宋体" w:eastAsia="宋体" w:cs="宋体"/>
                <w:bCs/>
                <w:color w:val="auto"/>
                <w:szCs w:val="21"/>
                <w:highlight w:val="none"/>
                <w:lang w:val="en-US" w:eastAsia="zh-CN"/>
              </w:rPr>
              <w:t>”</w:t>
            </w:r>
            <w:r>
              <w:rPr>
                <w:rFonts w:hint="default" w:ascii="Times New Roman" w:hAnsi="Times New Roman" w:eastAsia="宋体" w:cs="Times New Roman"/>
                <w:bCs/>
                <w:color w:val="auto"/>
                <w:szCs w:val="21"/>
                <w:highlight w:val="none"/>
                <w:lang w:val="en-US" w:eastAsia="zh-CN"/>
              </w:rPr>
              <w:t>Ⅱ时段排放限值</w:t>
            </w:r>
            <w:r>
              <w:rPr>
                <w:rFonts w:hint="eastAsia" w:ascii="Times New Roman" w:hAnsi="Times New Roman" w:eastAsia="宋体" w:cs="Times New Roman"/>
                <w:bCs/>
                <w:color w:val="auto"/>
                <w:szCs w:val="21"/>
                <w:highlight w:val="none"/>
                <w:lang w:val="en-US" w:eastAsia="zh-CN"/>
              </w:rPr>
              <w:t>；</w:t>
            </w:r>
          </w:p>
          <w:p w14:paraId="2693CABD">
            <w:pPr>
              <w:keepNext w:val="0"/>
              <w:keepLines w:val="0"/>
              <w:suppressLineNumbers w:val="0"/>
              <w:adjustRightInd w:val="0"/>
              <w:snapToGrid w:val="0"/>
              <w:spacing w:before="0" w:beforeAutospacing="0" w:after="0" w:afterAutospacing="0" w:line="360" w:lineRule="auto"/>
              <w:ind w:left="0" w:right="0" w:firstLine="420" w:firstLineChars="200"/>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臭气浓度有组织排放执行《恶臭污染物排放标准》（GB14554-93）中表2恶臭污染物排放标准值；</w:t>
            </w:r>
          </w:p>
          <w:p w14:paraId="63DB4F71">
            <w:pPr>
              <w:keepNext w:val="0"/>
              <w:keepLines w:val="0"/>
              <w:suppressLineNumbers w:val="0"/>
              <w:adjustRightInd w:val="0"/>
              <w:snapToGrid w:val="0"/>
              <w:spacing w:before="0" w:beforeAutospacing="0" w:after="0" w:afterAutospacing="0" w:line="360" w:lineRule="auto"/>
              <w:ind w:left="0" w:right="0" w:firstLine="420" w:firstLineChars="200"/>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氯化氢、氯乙烯有组织排放执行广东省地方标准《大气污染物排放限值》（DB44/27-2001）表2第二时段二级标准限值；苯乙烯、丙烯腈、1，3-丁二烯、甲苯、乙苯有组织排放执行《合成树脂工业污染物排放标准》（GB31572-2015，含2024年修改单）中表5大气污染物特别排放限值</w:t>
            </w:r>
            <w:r>
              <w:rPr>
                <w:rFonts w:hint="eastAsia" w:cs="Times New Roman"/>
                <w:bCs/>
                <w:color w:val="auto"/>
                <w:szCs w:val="21"/>
                <w:highlight w:val="none"/>
                <w:lang w:val="en-US" w:eastAsia="zh-CN"/>
              </w:rPr>
              <w:t>，</w:t>
            </w:r>
            <w:r>
              <w:rPr>
                <w:rFonts w:hint="eastAsia" w:ascii="Times New Roman" w:hAnsi="Times New Roman" w:eastAsia="宋体" w:cs="Times New Roman"/>
                <w:bCs/>
                <w:color w:val="auto"/>
                <w:szCs w:val="21"/>
                <w:highlight w:val="none"/>
                <w:lang w:val="en-US" w:eastAsia="zh-CN"/>
              </w:rPr>
              <w:t>详见下表</w:t>
            </w:r>
            <w:r>
              <w:rPr>
                <w:rFonts w:hint="eastAsia" w:cs="Times New Roman"/>
                <w:bCs/>
                <w:color w:val="auto"/>
                <w:szCs w:val="21"/>
                <w:highlight w:val="none"/>
                <w:lang w:val="en-US" w:eastAsia="zh-CN"/>
              </w:rPr>
              <w:t>。</w:t>
            </w:r>
          </w:p>
          <w:p w14:paraId="3856CCC0">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宋体" w:eastAsia="宋体" w:cs="Times New Roman"/>
                <w:b/>
                <w:bCs/>
                <w:color w:val="auto"/>
                <w:szCs w:val="21"/>
                <w:highlight w:val="none"/>
              </w:rPr>
            </w:pPr>
            <w:r>
              <w:rPr>
                <w:rFonts w:hint="eastAsia" w:ascii="Times New Roman" w:hAnsi="宋体" w:eastAsia="宋体" w:cs="Times New Roman"/>
                <w:b/>
                <w:bCs/>
                <w:color w:val="auto"/>
                <w:szCs w:val="21"/>
                <w:highlight w:val="none"/>
              </w:rPr>
              <w:t>项目废气</w:t>
            </w:r>
            <w:r>
              <w:rPr>
                <w:rFonts w:hint="eastAsia" w:ascii="Times New Roman" w:hAnsi="宋体" w:eastAsia="宋体" w:cs="Times New Roman"/>
                <w:b/>
                <w:bCs/>
                <w:color w:val="auto"/>
                <w:szCs w:val="21"/>
                <w:highlight w:val="none"/>
                <w:lang w:val="en-US" w:eastAsia="zh-CN"/>
              </w:rPr>
              <w:t>有组织</w:t>
            </w:r>
            <w:r>
              <w:rPr>
                <w:rFonts w:hint="eastAsia" w:ascii="Times New Roman" w:hAnsi="宋体" w:eastAsia="宋体" w:cs="Times New Roman"/>
                <w:b/>
                <w:bCs/>
                <w:color w:val="auto"/>
                <w:szCs w:val="21"/>
                <w:highlight w:val="none"/>
              </w:rPr>
              <w:t>排放标准</w:t>
            </w:r>
            <w:r>
              <w:rPr>
                <w:rFonts w:hint="eastAsia" w:ascii="Times New Roman" w:hAnsi="宋体" w:eastAsia="宋体" w:cs="Times New Roman"/>
                <w:b/>
                <w:bCs/>
                <w:color w:val="auto"/>
                <w:szCs w:val="21"/>
                <w:highlight w:val="none"/>
                <w:lang w:val="en-US" w:eastAsia="zh-CN"/>
              </w:rPr>
              <w:t>一览表</w:t>
            </w:r>
          </w:p>
          <w:tbl>
            <w:tblPr>
              <w:tblStyle w:val="41"/>
              <w:tblW w:w="0" w:type="auto"/>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7"/>
              <w:gridCol w:w="1379"/>
              <w:gridCol w:w="1328"/>
              <w:gridCol w:w="1172"/>
              <w:gridCol w:w="3701"/>
            </w:tblGrid>
            <w:tr w14:paraId="2D732EC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57" w:type="dxa"/>
                  <w:tcBorders>
                    <w:tl2br w:val="nil"/>
                    <w:tr2bl w:val="nil"/>
                  </w:tcBorders>
                  <w:vAlign w:val="center"/>
                </w:tcPr>
                <w:p w14:paraId="0554E54B">
                  <w:pPr>
                    <w:keepNext w:val="0"/>
                    <w:keepLines w:val="0"/>
                    <w:suppressLineNumbers w:val="0"/>
                    <w:snapToGrid w:val="0"/>
                    <w:spacing w:before="0" w:beforeAutospacing="0" w:after="0" w:afterAutospacing="0"/>
                    <w:ind w:left="0" w:right="0"/>
                    <w:jc w:val="center"/>
                    <w:rPr>
                      <w:rFonts w:hint="default" w:ascii="Times New Roman" w:hAnsi="Times New Roman" w:eastAsia="宋体"/>
                      <w:b/>
                      <w:bCs/>
                      <w:color w:val="auto"/>
                      <w:szCs w:val="21"/>
                      <w:highlight w:val="none"/>
                      <w:lang w:val="en-US" w:eastAsia="zh-CN"/>
                    </w:rPr>
                  </w:pPr>
                  <w:r>
                    <w:rPr>
                      <w:rFonts w:hint="eastAsia" w:ascii="Times New Roman" w:hAnsi="Times New Roman" w:eastAsia="宋体"/>
                      <w:b/>
                      <w:bCs/>
                      <w:color w:val="auto"/>
                      <w:szCs w:val="21"/>
                      <w:highlight w:val="none"/>
                      <w:lang w:val="en-US" w:eastAsia="zh-CN"/>
                    </w:rPr>
                    <w:t>排气筒编号及高度</w:t>
                  </w:r>
                </w:p>
              </w:tc>
              <w:tc>
                <w:tcPr>
                  <w:tcW w:w="1379" w:type="dxa"/>
                  <w:tcBorders>
                    <w:tl2br w:val="nil"/>
                    <w:tr2bl w:val="nil"/>
                  </w:tcBorders>
                  <w:vAlign w:val="center"/>
                </w:tcPr>
                <w:p w14:paraId="289E9F57">
                  <w:pPr>
                    <w:keepNext w:val="0"/>
                    <w:keepLines w:val="0"/>
                    <w:suppressLineNumbers w:val="0"/>
                    <w:snapToGrid w:val="0"/>
                    <w:spacing w:before="0" w:beforeAutospacing="0" w:after="0" w:afterAutospacing="0"/>
                    <w:ind w:left="0" w:right="0"/>
                    <w:jc w:val="center"/>
                    <w:rPr>
                      <w:rFonts w:ascii="Times New Roman" w:hAnsi="Times New Roman" w:eastAsia="宋体"/>
                      <w:b/>
                      <w:bCs/>
                      <w:color w:val="auto"/>
                      <w:szCs w:val="21"/>
                      <w:highlight w:val="none"/>
                    </w:rPr>
                  </w:pPr>
                  <w:r>
                    <w:rPr>
                      <w:rFonts w:ascii="Times New Roman" w:hAnsi="Times New Roman" w:eastAsia="宋体"/>
                      <w:b/>
                      <w:bCs/>
                      <w:color w:val="auto"/>
                      <w:szCs w:val="21"/>
                      <w:highlight w:val="none"/>
                    </w:rPr>
                    <w:t>污染物</w:t>
                  </w:r>
                  <w:r>
                    <w:rPr>
                      <w:rFonts w:hint="eastAsia" w:ascii="Times New Roman" w:hAnsi="Times New Roman" w:eastAsia="宋体"/>
                      <w:b/>
                      <w:bCs/>
                      <w:color w:val="auto"/>
                      <w:szCs w:val="21"/>
                      <w:highlight w:val="none"/>
                    </w:rPr>
                    <w:t>项目</w:t>
                  </w:r>
                </w:p>
              </w:tc>
              <w:tc>
                <w:tcPr>
                  <w:tcW w:w="1328" w:type="dxa"/>
                  <w:tcBorders>
                    <w:tl2br w:val="nil"/>
                    <w:tr2bl w:val="nil"/>
                  </w:tcBorders>
                  <w:vAlign w:val="center"/>
                </w:tcPr>
                <w:p w14:paraId="56D05220">
                  <w:pPr>
                    <w:keepNext w:val="0"/>
                    <w:keepLines w:val="0"/>
                    <w:suppressLineNumbers w:val="0"/>
                    <w:snapToGrid w:val="0"/>
                    <w:spacing w:before="0" w:beforeAutospacing="0" w:after="0" w:afterAutospacing="0"/>
                    <w:ind w:left="0" w:right="0"/>
                    <w:jc w:val="center"/>
                    <w:rPr>
                      <w:rFonts w:ascii="Times New Roman" w:hAnsi="Times New Roman" w:eastAsia="宋体"/>
                      <w:b/>
                      <w:bCs/>
                      <w:color w:val="auto"/>
                      <w:szCs w:val="21"/>
                      <w:highlight w:val="none"/>
                    </w:rPr>
                  </w:pPr>
                  <w:r>
                    <w:rPr>
                      <w:rFonts w:hint="eastAsia" w:ascii="Times New Roman" w:hAnsi="Times New Roman" w:eastAsia="宋体"/>
                      <w:b/>
                      <w:bCs/>
                      <w:color w:val="auto"/>
                      <w:szCs w:val="21"/>
                      <w:highlight w:val="none"/>
                      <w:lang w:val="en-US" w:eastAsia="zh-CN"/>
                    </w:rPr>
                    <w:t>最高允许</w:t>
                  </w:r>
                  <w:r>
                    <w:rPr>
                      <w:rFonts w:hint="eastAsia" w:ascii="Times New Roman" w:hAnsi="Times New Roman" w:eastAsia="宋体"/>
                      <w:b/>
                      <w:bCs/>
                      <w:color w:val="auto"/>
                      <w:szCs w:val="21"/>
                      <w:highlight w:val="none"/>
                    </w:rPr>
                    <w:t>排放浓度（</w:t>
                  </w:r>
                  <w:r>
                    <w:rPr>
                      <w:rFonts w:ascii="Times New Roman" w:hAnsi="Times New Roman" w:eastAsia="宋体"/>
                      <w:b/>
                      <w:bCs/>
                      <w:color w:val="auto"/>
                      <w:szCs w:val="21"/>
                      <w:highlight w:val="none"/>
                    </w:rPr>
                    <w:t>mg/m</w:t>
                  </w:r>
                  <w:r>
                    <w:rPr>
                      <w:rFonts w:ascii="Times New Roman" w:hAnsi="Times New Roman" w:eastAsia="宋体"/>
                      <w:b/>
                      <w:bCs/>
                      <w:color w:val="auto"/>
                      <w:szCs w:val="21"/>
                      <w:highlight w:val="none"/>
                      <w:vertAlign w:val="superscript"/>
                    </w:rPr>
                    <w:t>3</w:t>
                  </w:r>
                  <w:r>
                    <w:rPr>
                      <w:rFonts w:hint="eastAsia" w:ascii="Times New Roman" w:hAnsi="Times New Roman" w:eastAsia="宋体"/>
                      <w:b/>
                      <w:bCs/>
                      <w:color w:val="auto"/>
                      <w:szCs w:val="21"/>
                      <w:highlight w:val="none"/>
                    </w:rPr>
                    <w:t>）</w:t>
                  </w:r>
                </w:p>
              </w:tc>
              <w:tc>
                <w:tcPr>
                  <w:tcW w:w="1172" w:type="dxa"/>
                  <w:tcBorders>
                    <w:tl2br w:val="nil"/>
                    <w:tr2bl w:val="nil"/>
                  </w:tcBorders>
                  <w:vAlign w:val="center"/>
                </w:tcPr>
                <w:p w14:paraId="33EB33E2">
                  <w:pPr>
                    <w:keepNext w:val="0"/>
                    <w:keepLines w:val="0"/>
                    <w:suppressLineNumbers w:val="0"/>
                    <w:snapToGrid w:val="0"/>
                    <w:spacing w:before="0" w:beforeAutospacing="0" w:after="0" w:afterAutospacing="0"/>
                    <w:ind w:left="0" w:right="0"/>
                    <w:jc w:val="center"/>
                    <w:rPr>
                      <w:rFonts w:ascii="Times New Roman" w:hAnsi="Times New Roman" w:eastAsia="宋体"/>
                      <w:b/>
                      <w:bCs/>
                      <w:color w:val="auto"/>
                      <w:szCs w:val="21"/>
                      <w:highlight w:val="none"/>
                    </w:rPr>
                  </w:pPr>
                  <w:r>
                    <w:rPr>
                      <w:rFonts w:hint="eastAsia" w:ascii="Times New Roman" w:hAnsi="Times New Roman" w:eastAsia="宋体"/>
                      <w:b/>
                      <w:color w:val="auto"/>
                      <w:szCs w:val="21"/>
                      <w:highlight w:val="none"/>
                      <w:lang w:val="en-US" w:eastAsia="zh-CN"/>
                    </w:rPr>
                    <w:t>最高允许</w:t>
                  </w:r>
                  <w:r>
                    <w:rPr>
                      <w:rFonts w:ascii="Times New Roman" w:hAnsi="Times New Roman" w:eastAsia="宋体"/>
                      <w:b/>
                      <w:color w:val="auto"/>
                      <w:szCs w:val="21"/>
                      <w:highlight w:val="none"/>
                    </w:rPr>
                    <w:t>排放浓度（</w:t>
                  </w:r>
                  <w:r>
                    <w:rPr>
                      <w:rFonts w:hint="eastAsia" w:ascii="Times New Roman" w:hAnsi="Times New Roman" w:eastAsia="宋体"/>
                      <w:b/>
                      <w:color w:val="auto"/>
                      <w:szCs w:val="21"/>
                      <w:highlight w:val="none"/>
                      <w:lang w:val="en-US" w:eastAsia="zh-CN"/>
                    </w:rPr>
                    <w:t>kg</w:t>
                  </w:r>
                  <w:r>
                    <w:rPr>
                      <w:rFonts w:ascii="Times New Roman" w:hAnsi="Times New Roman" w:eastAsia="宋体"/>
                      <w:b/>
                      <w:color w:val="auto"/>
                      <w:szCs w:val="21"/>
                      <w:highlight w:val="none"/>
                    </w:rPr>
                    <w:t>/</w:t>
                  </w:r>
                  <w:r>
                    <w:rPr>
                      <w:rFonts w:hint="eastAsia" w:ascii="Times New Roman" w:hAnsi="Times New Roman" w:eastAsia="宋体"/>
                      <w:b/>
                      <w:color w:val="auto"/>
                      <w:szCs w:val="21"/>
                      <w:highlight w:val="none"/>
                      <w:lang w:val="en-US" w:eastAsia="zh-CN"/>
                    </w:rPr>
                    <w:t>h</w:t>
                  </w:r>
                  <w:r>
                    <w:rPr>
                      <w:rFonts w:ascii="Times New Roman" w:hAnsi="Times New Roman" w:eastAsia="宋体"/>
                      <w:b/>
                      <w:color w:val="auto"/>
                      <w:szCs w:val="21"/>
                      <w:highlight w:val="none"/>
                    </w:rPr>
                    <w:t>）</w:t>
                  </w:r>
                </w:p>
              </w:tc>
              <w:tc>
                <w:tcPr>
                  <w:tcW w:w="3701" w:type="dxa"/>
                  <w:tcBorders>
                    <w:tl2br w:val="nil"/>
                    <w:tr2bl w:val="nil"/>
                  </w:tcBorders>
                  <w:vAlign w:val="center"/>
                </w:tcPr>
                <w:p w14:paraId="418F1357">
                  <w:pPr>
                    <w:keepNext w:val="0"/>
                    <w:keepLines w:val="0"/>
                    <w:suppressLineNumbers w:val="0"/>
                    <w:snapToGrid w:val="0"/>
                    <w:spacing w:before="0" w:beforeAutospacing="0" w:after="0" w:afterAutospacing="0"/>
                    <w:ind w:left="0" w:right="0"/>
                    <w:jc w:val="center"/>
                    <w:rPr>
                      <w:rFonts w:ascii="Times New Roman" w:hAnsi="Times New Roman" w:eastAsia="宋体"/>
                      <w:b/>
                      <w:bCs/>
                      <w:color w:val="auto"/>
                      <w:szCs w:val="21"/>
                      <w:highlight w:val="none"/>
                    </w:rPr>
                  </w:pPr>
                  <w:r>
                    <w:rPr>
                      <w:rFonts w:hint="eastAsia" w:ascii="Times New Roman" w:hAnsi="Times New Roman" w:eastAsia="宋体"/>
                      <w:b/>
                      <w:bCs/>
                      <w:color w:val="auto"/>
                      <w:szCs w:val="21"/>
                      <w:highlight w:val="none"/>
                    </w:rPr>
                    <w:t>执行标准</w:t>
                  </w:r>
                </w:p>
              </w:tc>
            </w:tr>
            <w:tr w14:paraId="55B2AA8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57" w:type="dxa"/>
                  <w:vMerge w:val="restart"/>
                  <w:tcBorders>
                    <w:tl2br w:val="nil"/>
                    <w:tr2bl w:val="nil"/>
                  </w:tcBorders>
                  <w:vAlign w:val="center"/>
                </w:tcPr>
                <w:p w14:paraId="2880F920">
                  <w:pPr>
                    <w:keepNext w:val="0"/>
                    <w:keepLines w:val="0"/>
                    <w:suppressLineNumbers w:val="0"/>
                    <w:snapToGrid w:val="0"/>
                    <w:spacing w:before="0" w:beforeAutospacing="0" w:after="0" w:afterAutospacing="0"/>
                    <w:ind w:left="0" w:right="0"/>
                    <w:jc w:val="center"/>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DA001（46m）</w:t>
                  </w:r>
                </w:p>
              </w:tc>
              <w:tc>
                <w:tcPr>
                  <w:tcW w:w="1379" w:type="dxa"/>
                  <w:tcBorders>
                    <w:tl2br w:val="nil"/>
                    <w:tr2bl w:val="nil"/>
                  </w:tcBorders>
                  <w:vAlign w:val="center"/>
                </w:tcPr>
                <w:p w14:paraId="2BC98B0B">
                  <w:pPr>
                    <w:keepNext w:val="0"/>
                    <w:keepLines w:val="0"/>
                    <w:suppressLineNumbers w:val="0"/>
                    <w:snapToGrid w:val="0"/>
                    <w:spacing w:before="0" w:beforeAutospacing="0" w:after="0" w:afterAutospacing="0"/>
                    <w:ind w:left="0" w:right="0"/>
                    <w:jc w:val="center"/>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非甲烷总烃</w:t>
                  </w:r>
                </w:p>
              </w:tc>
              <w:tc>
                <w:tcPr>
                  <w:tcW w:w="1328" w:type="dxa"/>
                  <w:tcBorders>
                    <w:tl2br w:val="nil"/>
                    <w:tr2bl w:val="nil"/>
                  </w:tcBorders>
                  <w:vAlign w:val="center"/>
                </w:tcPr>
                <w:p w14:paraId="22B19BFA">
                  <w:pPr>
                    <w:keepNext w:val="0"/>
                    <w:keepLines w:val="0"/>
                    <w:suppressLineNumbers w:val="0"/>
                    <w:snapToGrid w:val="0"/>
                    <w:spacing w:before="0" w:beforeAutospacing="0" w:after="0" w:afterAutospacing="0"/>
                    <w:ind w:left="0" w:right="0"/>
                    <w:jc w:val="center"/>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60</w:t>
                  </w:r>
                </w:p>
              </w:tc>
              <w:tc>
                <w:tcPr>
                  <w:tcW w:w="1172" w:type="dxa"/>
                  <w:tcBorders>
                    <w:tl2br w:val="nil"/>
                    <w:tr2bl w:val="nil"/>
                  </w:tcBorders>
                  <w:vAlign w:val="center"/>
                </w:tcPr>
                <w:p w14:paraId="5542347B">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w:t>
                  </w:r>
                </w:p>
              </w:tc>
              <w:tc>
                <w:tcPr>
                  <w:tcW w:w="3701" w:type="dxa"/>
                  <w:tcBorders>
                    <w:tl2br w:val="nil"/>
                    <w:tr2bl w:val="nil"/>
                  </w:tcBorders>
                  <w:vAlign w:val="center"/>
                </w:tcPr>
                <w:p w14:paraId="7886A97C">
                  <w:pPr>
                    <w:keepNext w:val="0"/>
                    <w:keepLines w:val="0"/>
                    <w:suppressLineNumbers w:val="0"/>
                    <w:snapToGrid w:val="0"/>
                    <w:spacing w:before="0" w:beforeAutospacing="0" w:after="0" w:afterAutospacing="0"/>
                    <w:ind w:left="0" w:right="0"/>
                    <w:jc w:val="center"/>
                    <w:rPr>
                      <w:rFonts w:ascii="Times New Roman" w:hAnsi="Times New Roman" w:eastAsia="宋体" w:cs="Times New Roman"/>
                      <w:color w:val="auto"/>
                      <w:kern w:val="0"/>
                      <w:szCs w:val="21"/>
                      <w:highlight w:val="none"/>
                    </w:rPr>
                  </w:pPr>
                  <w:r>
                    <w:rPr>
                      <w:rFonts w:hint="default" w:ascii="Times New Roman" w:hAnsi="Times New Roman" w:eastAsia="宋体" w:cs="Times New Roman"/>
                      <w:bCs/>
                      <w:color w:val="auto"/>
                      <w:szCs w:val="21"/>
                      <w:highlight w:val="none"/>
                      <w:lang w:val="en-US" w:eastAsia="zh-CN"/>
                    </w:rPr>
                    <w:t>《固定污染源挥发性有机物综合排放标准》（DB44/2367-2022）表1挥发性有机物排放限值</w:t>
                  </w:r>
                  <w:r>
                    <w:rPr>
                      <w:rFonts w:hint="eastAsia" w:ascii="Times New Roman" w:hAnsi="Times New Roman" w:eastAsia="宋体" w:cs="Times New Roman"/>
                      <w:bCs/>
                      <w:color w:val="auto"/>
                      <w:szCs w:val="21"/>
                      <w:highlight w:val="none"/>
                      <w:lang w:val="en-US" w:eastAsia="zh-CN"/>
                    </w:rPr>
                    <w:t>、</w:t>
                  </w:r>
                  <w:r>
                    <w:rPr>
                      <w:rFonts w:hint="default" w:ascii="Times New Roman" w:hAnsi="Times New Roman" w:eastAsia="宋体" w:cs="Times New Roman"/>
                      <w:bCs/>
                      <w:color w:val="auto"/>
                      <w:szCs w:val="21"/>
                      <w:highlight w:val="none"/>
                      <w:lang w:val="en-US" w:eastAsia="zh-CN"/>
                    </w:rPr>
                    <w:t>《合成树脂工业污染物排放标准》（GB31572-2015，含2024年修改单）中表5大气污染物特别排放限值</w:t>
                  </w:r>
                  <w:r>
                    <w:rPr>
                      <w:rFonts w:hint="eastAsia" w:ascii="Times New Roman" w:hAnsi="Times New Roman" w:eastAsia="宋体" w:cs="Times New Roman"/>
                      <w:bCs/>
                      <w:color w:val="auto"/>
                      <w:szCs w:val="21"/>
                      <w:highlight w:val="none"/>
                      <w:lang w:val="en-US" w:eastAsia="zh-CN"/>
                    </w:rPr>
                    <w:t>与《印刷工业大气污染物排放标准》（GB41616-2022）表1大气污染物排放限值三</w:t>
                  </w:r>
                  <w:r>
                    <w:rPr>
                      <w:rFonts w:hint="default" w:ascii="Times New Roman" w:hAnsi="Times New Roman" w:eastAsia="宋体" w:cs="Times New Roman"/>
                      <w:bCs/>
                      <w:color w:val="auto"/>
                      <w:szCs w:val="21"/>
                      <w:highlight w:val="none"/>
                      <w:lang w:val="en-US" w:eastAsia="zh-CN"/>
                    </w:rPr>
                    <w:t>者较严值</w:t>
                  </w:r>
                </w:p>
              </w:tc>
            </w:tr>
            <w:tr w14:paraId="6C250EC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57" w:type="dxa"/>
                  <w:vMerge w:val="continue"/>
                  <w:tcBorders>
                    <w:tl2br w:val="nil"/>
                    <w:tr2bl w:val="nil"/>
                  </w:tcBorders>
                  <w:vAlign w:val="center"/>
                </w:tcPr>
                <w:p w14:paraId="53AB2013">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lang w:val="en-US" w:eastAsia="zh-CN"/>
                    </w:rPr>
                  </w:pPr>
                </w:p>
              </w:tc>
              <w:tc>
                <w:tcPr>
                  <w:tcW w:w="1379" w:type="dxa"/>
                  <w:tcBorders>
                    <w:tl2br w:val="nil"/>
                    <w:tr2bl w:val="nil"/>
                  </w:tcBorders>
                  <w:vAlign w:val="center"/>
                </w:tcPr>
                <w:p w14:paraId="556AEBED">
                  <w:pPr>
                    <w:keepNext w:val="0"/>
                    <w:keepLines w:val="0"/>
                    <w:suppressLineNumbers w:val="0"/>
                    <w:snapToGrid w:val="0"/>
                    <w:spacing w:before="0" w:beforeAutospacing="0" w:after="0" w:afterAutospacing="0"/>
                    <w:ind w:left="0" w:right="0"/>
                    <w:jc w:val="center"/>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TVOC</w:t>
                  </w:r>
                  <w:r>
                    <w:rPr>
                      <w:rFonts w:hint="eastAsia" w:ascii="Times New Roman" w:hAnsi="Times New Roman" w:eastAsia="宋体"/>
                      <w:color w:val="auto"/>
                      <w:szCs w:val="21"/>
                      <w:highlight w:val="none"/>
                      <w:vertAlign w:val="superscript"/>
                      <w:lang w:val="en-US" w:eastAsia="zh-CN"/>
                    </w:rPr>
                    <w:t>（1）</w:t>
                  </w:r>
                </w:p>
              </w:tc>
              <w:tc>
                <w:tcPr>
                  <w:tcW w:w="1328" w:type="dxa"/>
                  <w:tcBorders>
                    <w:tl2br w:val="nil"/>
                    <w:tr2bl w:val="nil"/>
                  </w:tcBorders>
                  <w:vAlign w:val="center"/>
                </w:tcPr>
                <w:p w14:paraId="3CF1EBC4">
                  <w:pPr>
                    <w:keepNext w:val="0"/>
                    <w:keepLines w:val="0"/>
                    <w:suppressLineNumbers w:val="0"/>
                    <w:snapToGrid w:val="0"/>
                    <w:spacing w:before="0" w:beforeAutospacing="0" w:after="0" w:afterAutospacing="0"/>
                    <w:ind w:left="0" w:right="0"/>
                    <w:jc w:val="center"/>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100</w:t>
                  </w:r>
                </w:p>
              </w:tc>
              <w:tc>
                <w:tcPr>
                  <w:tcW w:w="1172" w:type="dxa"/>
                  <w:tcBorders>
                    <w:tl2br w:val="nil"/>
                    <w:tr2bl w:val="nil"/>
                  </w:tcBorders>
                  <w:vAlign w:val="center"/>
                </w:tcPr>
                <w:p w14:paraId="1BFD7516">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w:t>
                  </w:r>
                </w:p>
              </w:tc>
              <w:tc>
                <w:tcPr>
                  <w:tcW w:w="3701" w:type="dxa"/>
                  <w:tcBorders>
                    <w:tl2br w:val="nil"/>
                    <w:tr2bl w:val="nil"/>
                  </w:tcBorders>
                  <w:vAlign w:val="center"/>
                </w:tcPr>
                <w:p w14:paraId="46BD8627">
                  <w:pPr>
                    <w:keepNext w:val="0"/>
                    <w:keepLines w:val="0"/>
                    <w:suppressLineNumbers w:val="0"/>
                    <w:snapToGrid w:val="0"/>
                    <w:spacing w:before="0" w:beforeAutospacing="0" w:after="0" w:afterAutospacing="0"/>
                    <w:ind w:left="0" w:right="0"/>
                    <w:jc w:val="center"/>
                    <w:rPr>
                      <w:rFonts w:ascii="Times New Roman" w:hAnsi="Times New Roman" w:eastAsia="宋体" w:cs="Times New Roman"/>
                      <w:color w:val="auto"/>
                      <w:kern w:val="0"/>
                      <w:szCs w:val="21"/>
                      <w:highlight w:val="none"/>
                    </w:rPr>
                  </w:pPr>
                  <w:r>
                    <w:rPr>
                      <w:rFonts w:hint="default" w:ascii="Times New Roman" w:hAnsi="Times New Roman" w:eastAsia="宋体" w:cs="Times New Roman"/>
                      <w:bCs/>
                      <w:color w:val="auto"/>
                      <w:szCs w:val="21"/>
                      <w:highlight w:val="none"/>
                      <w:lang w:val="en-US" w:eastAsia="zh-CN"/>
                    </w:rPr>
                    <w:t>广东省《固定污染源挥发性有机物综合排放标准》（DB44/2367-2022）表1挥发性有机物排放限值</w:t>
                  </w:r>
                </w:p>
              </w:tc>
            </w:tr>
            <w:tr w14:paraId="7E5CB15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57" w:type="dxa"/>
                  <w:vMerge w:val="continue"/>
                  <w:tcBorders>
                    <w:tl2br w:val="nil"/>
                    <w:tr2bl w:val="nil"/>
                  </w:tcBorders>
                  <w:vAlign w:val="center"/>
                </w:tcPr>
                <w:p w14:paraId="13EA7E8F">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lang w:val="en-US" w:eastAsia="zh-CN"/>
                    </w:rPr>
                  </w:pPr>
                </w:p>
              </w:tc>
              <w:tc>
                <w:tcPr>
                  <w:tcW w:w="1379" w:type="dxa"/>
                  <w:tcBorders>
                    <w:tl2br w:val="nil"/>
                    <w:tr2bl w:val="nil"/>
                  </w:tcBorders>
                  <w:vAlign w:val="center"/>
                </w:tcPr>
                <w:p w14:paraId="73466BE2">
                  <w:pPr>
                    <w:keepNext w:val="0"/>
                    <w:keepLines w:val="0"/>
                    <w:suppressLineNumbers w:val="0"/>
                    <w:snapToGrid w:val="0"/>
                    <w:spacing w:before="0" w:beforeAutospacing="0" w:after="0" w:afterAutospacing="0"/>
                    <w:ind w:left="0" w:right="0"/>
                    <w:jc w:val="center"/>
                    <w:rPr>
                      <w:rFonts w:hint="default" w:ascii="Times New Roman" w:hAnsi="Times New Roman" w:eastAsia="宋体"/>
                      <w:color w:val="auto"/>
                      <w:szCs w:val="21"/>
                      <w:highlight w:val="none"/>
                      <w:lang w:val="en-US" w:eastAsia="zh-CN"/>
                    </w:rPr>
                  </w:pPr>
                  <w:r>
                    <w:rPr>
                      <w:rFonts w:hint="eastAsia"/>
                      <w:color w:val="auto"/>
                      <w:szCs w:val="21"/>
                      <w:highlight w:val="none"/>
                      <w:lang w:val="en-US" w:eastAsia="zh-CN"/>
                    </w:rPr>
                    <w:t>总VOCs</w:t>
                  </w:r>
                </w:p>
              </w:tc>
              <w:tc>
                <w:tcPr>
                  <w:tcW w:w="1328" w:type="dxa"/>
                  <w:tcBorders>
                    <w:tl2br w:val="nil"/>
                    <w:tr2bl w:val="nil"/>
                  </w:tcBorders>
                  <w:vAlign w:val="center"/>
                </w:tcPr>
                <w:p w14:paraId="3ABB665A">
                  <w:pPr>
                    <w:keepNext w:val="0"/>
                    <w:keepLines w:val="0"/>
                    <w:suppressLineNumbers w:val="0"/>
                    <w:snapToGrid w:val="0"/>
                    <w:spacing w:before="0" w:beforeAutospacing="0" w:after="0" w:afterAutospacing="0"/>
                    <w:ind w:left="0" w:right="0"/>
                    <w:jc w:val="center"/>
                    <w:rPr>
                      <w:rFonts w:hint="default" w:ascii="Times New Roman" w:hAnsi="Times New Roman" w:eastAsia="宋体"/>
                      <w:color w:val="auto"/>
                      <w:szCs w:val="21"/>
                      <w:highlight w:val="none"/>
                      <w:lang w:val="en-US" w:eastAsia="zh-CN"/>
                    </w:rPr>
                  </w:pPr>
                  <w:r>
                    <w:rPr>
                      <w:rFonts w:hint="eastAsia"/>
                      <w:color w:val="auto"/>
                      <w:szCs w:val="21"/>
                      <w:highlight w:val="none"/>
                      <w:lang w:val="en-US" w:eastAsia="zh-CN"/>
                    </w:rPr>
                    <w:t>80</w:t>
                  </w:r>
                </w:p>
              </w:tc>
              <w:tc>
                <w:tcPr>
                  <w:tcW w:w="1172" w:type="dxa"/>
                  <w:tcBorders>
                    <w:tl2br w:val="nil"/>
                    <w:tr2bl w:val="nil"/>
                  </w:tcBorders>
                  <w:vAlign w:val="center"/>
                </w:tcPr>
                <w:p w14:paraId="1EF6A1F0">
                  <w:pPr>
                    <w:keepNext w:val="0"/>
                    <w:keepLines w:val="0"/>
                    <w:suppressLineNumbers w:val="0"/>
                    <w:snapToGrid w:val="0"/>
                    <w:spacing w:before="0" w:beforeAutospacing="0" w:after="0" w:afterAutospacing="0"/>
                    <w:ind w:left="0" w:right="0"/>
                    <w:jc w:val="center"/>
                    <w:rPr>
                      <w:rFonts w:hint="default" w:ascii="Times New Roman" w:hAnsi="Times New Roman" w:eastAsia="宋体"/>
                      <w:color w:val="auto"/>
                      <w:szCs w:val="21"/>
                      <w:highlight w:val="none"/>
                      <w:lang w:val="en-US" w:eastAsia="zh-CN"/>
                    </w:rPr>
                  </w:pPr>
                  <w:r>
                    <w:rPr>
                      <w:rFonts w:hint="eastAsia"/>
                      <w:color w:val="auto"/>
                      <w:szCs w:val="21"/>
                      <w:highlight w:val="none"/>
                      <w:lang w:val="en-US" w:eastAsia="zh-CN"/>
                    </w:rPr>
                    <w:t>5.1</w:t>
                  </w:r>
                </w:p>
              </w:tc>
              <w:tc>
                <w:tcPr>
                  <w:tcW w:w="3701" w:type="dxa"/>
                  <w:tcBorders>
                    <w:tl2br w:val="nil"/>
                    <w:tr2bl w:val="nil"/>
                  </w:tcBorders>
                  <w:vAlign w:val="center"/>
                </w:tcPr>
                <w:p w14:paraId="5A6A868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《印刷行业挥发性有机化合物排放标准》（DB44/815-2010）表2</w:t>
                  </w:r>
                  <w:r>
                    <w:rPr>
                      <w:rFonts w:hint="eastAsia" w:ascii="Times New Roman" w:hAnsi="Times New Roman" w:eastAsia="宋体" w:cs="Times New Roman"/>
                      <w:bCs/>
                      <w:color w:val="auto"/>
                      <w:szCs w:val="21"/>
                      <w:highlight w:val="none"/>
                      <w:lang w:val="en-US" w:eastAsia="zh-CN"/>
                    </w:rPr>
                    <w:t>“</w:t>
                  </w:r>
                  <w:r>
                    <w:rPr>
                      <w:rFonts w:hint="default" w:ascii="Times New Roman" w:hAnsi="Times New Roman" w:eastAsia="宋体" w:cs="Times New Roman"/>
                      <w:bCs/>
                      <w:color w:val="auto"/>
                      <w:szCs w:val="21"/>
                      <w:highlight w:val="none"/>
                      <w:lang w:val="en-US" w:eastAsia="zh-CN"/>
                    </w:rPr>
                    <w:t>平版印刷（不含以金属、陶瓷、玻璃为承印物的平版印刷）、柔性版印刷</w:t>
                  </w:r>
                  <w:r>
                    <w:rPr>
                      <w:rFonts w:hint="eastAsia" w:ascii="Times New Roman" w:hAnsi="Times New Roman" w:eastAsia="宋体" w:cs="Times New Roman"/>
                      <w:bCs/>
                      <w:color w:val="auto"/>
                      <w:szCs w:val="21"/>
                      <w:highlight w:val="none"/>
                      <w:lang w:val="en-US" w:eastAsia="zh-CN"/>
                    </w:rPr>
                    <w:t>”</w:t>
                  </w:r>
                  <w:r>
                    <w:rPr>
                      <w:rFonts w:hint="default" w:ascii="Times New Roman" w:hAnsi="Times New Roman" w:eastAsia="宋体" w:cs="Times New Roman"/>
                      <w:bCs/>
                      <w:color w:val="auto"/>
                      <w:szCs w:val="21"/>
                      <w:highlight w:val="none"/>
                      <w:lang w:val="en-US" w:eastAsia="zh-CN"/>
                    </w:rPr>
                    <w:t>Ⅱ时段排放限值</w:t>
                  </w:r>
                </w:p>
              </w:tc>
            </w:tr>
            <w:tr w14:paraId="3F78810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57" w:type="dxa"/>
                  <w:vMerge w:val="continue"/>
                  <w:tcBorders>
                    <w:tl2br w:val="nil"/>
                    <w:tr2bl w:val="nil"/>
                  </w:tcBorders>
                  <w:vAlign w:val="center"/>
                </w:tcPr>
                <w:p w14:paraId="45C846F4">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lang w:val="en-US" w:eastAsia="zh-CN"/>
                    </w:rPr>
                  </w:pPr>
                </w:p>
              </w:tc>
              <w:tc>
                <w:tcPr>
                  <w:tcW w:w="1379" w:type="dxa"/>
                  <w:tcBorders>
                    <w:tl2br w:val="nil"/>
                    <w:tr2bl w:val="nil"/>
                  </w:tcBorders>
                  <w:vAlign w:val="center"/>
                </w:tcPr>
                <w:p w14:paraId="5AA72961">
                  <w:pPr>
                    <w:keepNext w:val="0"/>
                    <w:keepLines w:val="0"/>
                    <w:suppressLineNumbers w:val="0"/>
                    <w:snapToGrid w:val="0"/>
                    <w:spacing w:before="0" w:beforeAutospacing="0" w:after="0" w:afterAutospacing="0"/>
                    <w:ind w:left="0" w:right="0"/>
                    <w:jc w:val="center"/>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臭气浓度</w:t>
                  </w:r>
                  <w:r>
                    <w:rPr>
                      <w:rFonts w:hint="eastAsia" w:ascii="Times New Roman" w:hAnsi="Times New Roman" w:eastAsia="宋体"/>
                      <w:color w:val="auto"/>
                      <w:szCs w:val="21"/>
                      <w:highlight w:val="none"/>
                      <w:vertAlign w:val="superscript"/>
                      <w:lang w:val="en-US" w:eastAsia="zh-CN"/>
                    </w:rPr>
                    <w:t>（2）</w:t>
                  </w:r>
                </w:p>
              </w:tc>
              <w:tc>
                <w:tcPr>
                  <w:tcW w:w="1328" w:type="dxa"/>
                  <w:tcBorders>
                    <w:tl2br w:val="nil"/>
                    <w:tr2bl w:val="nil"/>
                  </w:tcBorders>
                  <w:vAlign w:val="center"/>
                </w:tcPr>
                <w:p w14:paraId="6A88AF4F">
                  <w:pPr>
                    <w:keepNext w:val="0"/>
                    <w:keepLines w:val="0"/>
                    <w:suppressLineNumbers w:val="0"/>
                    <w:snapToGrid w:val="0"/>
                    <w:spacing w:before="0" w:beforeAutospacing="0" w:after="0" w:afterAutospacing="0"/>
                    <w:ind w:left="0" w:right="0"/>
                    <w:jc w:val="center"/>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40000（无量纲）</w:t>
                  </w:r>
                </w:p>
              </w:tc>
              <w:tc>
                <w:tcPr>
                  <w:tcW w:w="1172" w:type="dxa"/>
                  <w:tcBorders>
                    <w:tl2br w:val="nil"/>
                    <w:tr2bl w:val="nil"/>
                  </w:tcBorders>
                  <w:vAlign w:val="center"/>
                </w:tcPr>
                <w:p w14:paraId="27BC46CF">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w:t>
                  </w:r>
                </w:p>
              </w:tc>
              <w:tc>
                <w:tcPr>
                  <w:tcW w:w="3701" w:type="dxa"/>
                  <w:tcBorders>
                    <w:tl2br w:val="nil"/>
                    <w:tr2bl w:val="nil"/>
                  </w:tcBorders>
                  <w:vAlign w:val="center"/>
                </w:tcPr>
                <w:p w14:paraId="154A8D9D">
                  <w:pPr>
                    <w:keepNext w:val="0"/>
                    <w:keepLines w:val="0"/>
                    <w:suppressLineNumbers w:val="0"/>
                    <w:snapToGrid w:val="0"/>
                    <w:spacing w:before="0" w:beforeAutospacing="0" w:after="0" w:afterAutospacing="0"/>
                    <w:ind w:left="0" w:right="0"/>
                    <w:jc w:val="center"/>
                    <w:rPr>
                      <w:rFonts w:ascii="Times New Roman" w:hAnsi="Times New Roman" w:eastAsia="宋体" w:cs="Times New Roman"/>
                      <w:color w:val="auto"/>
                      <w:kern w:val="0"/>
                      <w:szCs w:val="21"/>
                      <w:highlight w:val="none"/>
                    </w:rPr>
                  </w:pPr>
                  <w:r>
                    <w:rPr>
                      <w:rFonts w:hint="default" w:ascii="Times New Roman" w:hAnsi="Times New Roman" w:eastAsia="宋体" w:cs="Times New Roman"/>
                      <w:bCs/>
                      <w:color w:val="auto"/>
                      <w:szCs w:val="21"/>
                      <w:highlight w:val="none"/>
                      <w:lang w:val="en-US" w:eastAsia="zh-CN"/>
                    </w:rPr>
                    <w:t>《恶臭污染物排放标准》（GB14554-93）中表2恶臭污染物排放标准值</w:t>
                  </w:r>
                </w:p>
              </w:tc>
            </w:tr>
            <w:tr w14:paraId="0597463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57" w:type="dxa"/>
                  <w:vMerge w:val="continue"/>
                  <w:tcBorders>
                    <w:tl2br w:val="nil"/>
                    <w:tr2bl w:val="nil"/>
                  </w:tcBorders>
                  <w:vAlign w:val="center"/>
                </w:tcPr>
                <w:p w14:paraId="4841E25D">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lang w:val="en-US" w:eastAsia="zh-CN"/>
                    </w:rPr>
                  </w:pPr>
                </w:p>
              </w:tc>
              <w:tc>
                <w:tcPr>
                  <w:tcW w:w="1379" w:type="dxa"/>
                  <w:tcBorders>
                    <w:tl2br w:val="nil"/>
                    <w:tr2bl w:val="nil"/>
                  </w:tcBorders>
                  <w:vAlign w:val="center"/>
                </w:tcPr>
                <w:p w14:paraId="7CE039BD">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氯化氢</w:t>
                  </w:r>
                </w:p>
              </w:tc>
              <w:tc>
                <w:tcPr>
                  <w:tcW w:w="1328" w:type="dxa"/>
                  <w:tcBorders>
                    <w:tl2br w:val="nil"/>
                    <w:tr2bl w:val="nil"/>
                  </w:tcBorders>
                  <w:vAlign w:val="center"/>
                </w:tcPr>
                <w:p w14:paraId="75BE4A07">
                  <w:pPr>
                    <w:keepNext w:val="0"/>
                    <w:keepLines w:val="0"/>
                    <w:suppressLineNumbers w:val="0"/>
                    <w:snapToGrid w:val="0"/>
                    <w:spacing w:before="0" w:beforeAutospacing="0" w:after="0" w:afterAutospacing="0"/>
                    <w:ind w:left="0" w:right="0"/>
                    <w:jc w:val="center"/>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100</w:t>
                  </w:r>
                </w:p>
              </w:tc>
              <w:tc>
                <w:tcPr>
                  <w:tcW w:w="1172" w:type="dxa"/>
                  <w:tcBorders>
                    <w:tl2br w:val="nil"/>
                    <w:tr2bl w:val="nil"/>
                  </w:tcBorders>
                  <w:vAlign w:val="center"/>
                </w:tcPr>
                <w:p w14:paraId="25268CE5">
                  <w:pPr>
                    <w:keepNext w:val="0"/>
                    <w:keepLines w:val="0"/>
                    <w:suppressLineNumbers w:val="0"/>
                    <w:snapToGrid w:val="0"/>
                    <w:spacing w:before="0" w:beforeAutospacing="0" w:after="0" w:afterAutospacing="0"/>
                    <w:ind w:left="0" w:right="0"/>
                    <w:jc w:val="center"/>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2.76</w:t>
                  </w:r>
                  <w:r>
                    <w:rPr>
                      <w:rFonts w:hint="eastAsia" w:ascii="Times New Roman" w:hAnsi="Times New Roman" w:eastAsia="宋体"/>
                      <w:color w:val="auto"/>
                      <w:szCs w:val="21"/>
                      <w:highlight w:val="none"/>
                      <w:vertAlign w:val="superscript"/>
                      <w:lang w:val="en-US" w:eastAsia="zh-CN"/>
                    </w:rPr>
                    <w:t>（3）</w:t>
                  </w:r>
                </w:p>
              </w:tc>
              <w:tc>
                <w:tcPr>
                  <w:tcW w:w="3701" w:type="dxa"/>
                  <w:vMerge w:val="restart"/>
                  <w:tcBorders>
                    <w:tl2br w:val="nil"/>
                    <w:tr2bl w:val="nil"/>
                  </w:tcBorders>
                  <w:vAlign w:val="center"/>
                </w:tcPr>
                <w:p w14:paraId="3D3CE9BE">
                  <w:pPr>
                    <w:keepNext w:val="0"/>
                    <w:keepLines w:val="0"/>
                    <w:suppressLineNumbers w:val="0"/>
                    <w:snapToGrid w:val="0"/>
                    <w:spacing w:before="0" w:beforeAutospacing="0" w:after="0" w:afterAutospacing="0"/>
                    <w:ind w:left="0" w:right="0"/>
                    <w:jc w:val="center"/>
                    <w:rPr>
                      <w:rFonts w:ascii="Times New Roman" w:hAnsi="Times New Roman" w:eastAsia="宋体" w:cs="Times New Roman"/>
                      <w:color w:val="auto"/>
                      <w:kern w:val="0"/>
                      <w:szCs w:val="21"/>
                      <w:highlight w:val="none"/>
                    </w:rPr>
                  </w:pPr>
                  <w:r>
                    <w:rPr>
                      <w:rFonts w:hint="default" w:ascii="Times New Roman" w:hAnsi="Times New Roman" w:eastAsia="宋体" w:cs="Times New Roman"/>
                      <w:bCs/>
                      <w:color w:val="auto"/>
                      <w:szCs w:val="21"/>
                      <w:highlight w:val="none"/>
                      <w:lang w:val="en-US" w:eastAsia="zh-CN"/>
                    </w:rPr>
                    <w:t>广东省地方标准《大气污染物排放限值》（DB44/27-2001）表2第二时段二级标准限值</w:t>
                  </w:r>
                </w:p>
              </w:tc>
            </w:tr>
            <w:tr w14:paraId="358485C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57" w:type="dxa"/>
                  <w:vMerge w:val="continue"/>
                  <w:tcBorders>
                    <w:tl2br w:val="nil"/>
                    <w:tr2bl w:val="nil"/>
                  </w:tcBorders>
                  <w:vAlign w:val="center"/>
                </w:tcPr>
                <w:p w14:paraId="674F3C4F">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lang w:val="en-US" w:eastAsia="zh-CN"/>
                    </w:rPr>
                  </w:pPr>
                </w:p>
              </w:tc>
              <w:tc>
                <w:tcPr>
                  <w:tcW w:w="1379" w:type="dxa"/>
                  <w:tcBorders>
                    <w:tl2br w:val="nil"/>
                    <w:tr2bl w:val="nil"/>
                  </w:tcBorders>
                  <w:vAlign w:val="center"/>
                </w:tcPr>
                <w:p w14:paraId="0C729C27">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氯乙烯</w:t>
                  </w:r>
                </w:p>
              </w:tc>
              <w:tc>
                <w:tcPr>
                  <w:tcW w:w="1328" w:type="dxa"/>
                  <w:tcBorders>
                    <w:tl2br w:val="nil"/>
                    <w:tr2bl w:val="nil"/>
                  </w:tcBorders>
                  <w:vAlign w:val="center"/>
                </w:tcPr>
                <w:p w14:paraId="371A4806">
                  <w:pPr>
                    <w:keepNext w:val="0"/>
                    <w:keepLines w:val="0"/>
                    <w:suppressLineNumbers w:val="0"/>
                    <w:snapToGrid w:val="0"/>
                    <w:spacing w:before="0" w:beforeAutospacing="0" w:after="0" w:afterAutospacing="0"/>
                    <w:ind w:left="0" w:right="0"/>
                    <w:jc w:val="center"/>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36</w:t>
                  </w:r>
                </w:p>
              </w:tc>
              <w:tc>
                <w:tcPr>
                  <w:tcW w:w="1172" w:type="dxa"/>
                  <w:tcBorders>
                    <w:tl2br w:val="nil"/>
                    <w:tr2bl w:val="nil"/>
                  </w:tcBorders>
                  <w:vAlign w:val="center"/>
                </w:tcPr>
                <w:p w14:paraId="2460113D">
                  <w:pPr>
                    <w:keepNext w:val="0"/>
                    <w:keepLines w:val="0"/>
                    <w:suppressLineNumbers w:val="0"/>
                    <w:snapToGrid w:val="0"/>
                    <w:spacing w:before="0" w:beforeAutospacing="0" w:after="0" w:afterAutospacing="0"/>
                    <w:ind w:left="0" w:right="0"/>
                    <w:jc w:val="center"/>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8.36</w:t>
                  </w:r>
                  <w:r>
                    <w:rPr>
                      <w:rFonts w:hint="eastAsia" w:ascii="Times New Roman" w:hAnsi="Times New Roman" w:eastAsia="宋体"/>
                      <w:color w:val="auto"/>
                      <w:szCs w:val="21"/>
                      <w:highlight w:val="none"/>
                      <w:vertAlign w:val="superscript"/>
                      <w:lang w:val="en-US" w:eastAsia="zh-CN"/>
                    </w:rPr>
                    <w:t>（3）</w:t>
                  </w:r>
                </w:p>
              </w:tc>
              <w:tc>
                <w:tcPr>
                  <w:tcW w:w="3701" w:type="dxa"/>
                  <w:vMerge w:val="continue"/>
                  <w:tcBorders>
                    <w:tl2br w:val="nil"/>
                    <w:tr2bl w:val="nil"/>
                  </w:tcBorders>
                  <w:vAlign w:val="center"/>
                </w:tcPr>
                <w:p w14:paraId="684B24D3">
                  <w:pPr>
                    <w:keepNext w:val="0"/>
                    <w:keepLines w:val="0"/>
                    <w:suppressLineNumbers w:val="0"/>
                    <w:snapToGrid w:val="0"/>
                    <w:spacing w:before="0" w:beforeAutospacing="0" w:after="0" w:afterAutospacing="0"/>
                    <w:ind w:left="0" w:right="0"/>
                    <w:jc w:val="center"/>
                    <w:rPr>
                      <w:rFonts w:ascii="Times New Roman" w:hAnsi="Times New Roman" w:eastAsia="宋体" w:cs="Times New Roman"/>
                      <w:color w:val="auto"/>
                      <w:kern w:val="0"/>
                      <w:szCs w:val="21"/>
                      <w:highlight w:val="none"/>
                    </w:rPr>
                  </w:pPr>
                </w:p>
              </w:tc>
            </w:tr>
            <w:tr w14:paraId="5308F63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57" w:type="dxa"/>
                  <w:vMerge w:val="continue"/>
                  <w:tcBorders>
                    <w:tl2br w:val="nil"/>
                    <w:tr2bl w:val="nil"/>
                  </w:tcBorders>
                  <w:vAlign w:val="center"/>
                </w:tcPr>
                <w:p w14:paraId="16EB0818">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lang w:val="en-US" w:eastAsia="zh-CN"/>
                    </w:rPr>
                  </w:pPr>
                </w:p>
              </w:tc>
              <w:tc>
                <w:tcPr>
                  <w:tcW w:w="1379" w:type="dxa"/>
                  <w:tcBorders>
                    <w:tl2br w:val="nil"/>
                    <w:tr2bl w:val="nil"/>
                  </w:tcBorders>
                  <w:vAlign w:val="center"/>
                </w:tcPr>
                <w:p w14:paraId="5EC0E56F">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rPr>
                  </w:pPr>
                  <w:r>
                    <w:rPr>
                      <w:rFonts w:hint="default" w:ascii="Times New Roman" w:hAnsi="Times New Roman" w:eastAsia="宋体" w:cs="Times New Roman"/>
                      <w:bCs/>
                      <w:color w:val="auto"/>
                      <w:szCs w:val="21"/>
                      <w:highlight w:val="none"/>
                      <w:lang w:val="en-US" w:eastAsia="zh-CN"/>
                    </w:rPr>
                    <w:t>苯乙烯</w:t>
                  </w:r>
                </w:p>
              </w:tc>
              <w:tc>
                <w:tcPr>
                  <w:tcW w:w="1328" w:type="dxa"/>
                  <w:tcBorders>
                    <w:tl2br w:val="nil"/>
                    <w:tr2bl w:val="nil"/>
                  </w:tcBorders>
                  <w:vAlign w:val="center"/>
                </w:tcPr>
                <w:p w14:paraId="27037110">
                  <w:pPr>
                    <w:keepNext w:val="0"/>
                    <w:keepLines w:val="0"/>
                    <w:suppressLineNumbers w:val="0"/>
                    <w:snapToGrid w:val="0"/>
                    <w:spacing w:before="0" w:beforeAutospacing="0" w:after="0" w:afterAutospacing="0"/>
                    <w:ind w:left="0" w:right="0"/>
                    <w:jc w:val="center"/>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20</w:t>
                  </w:r>
                </w:p>
              </w:tc>
              <w:tc>
                <w:tcPr>
                  <w:tcW w:w="1172" w:type="dxa"/>
                  <w:tcBorders>
                    <w:tl2br w:val="nil"/>
                    <w:tr2bl w:val="nil"/>
                  </w:tcBorders>
                  <w:vAlign w:val="center"/>
                </w:tcPr>
                <w:p w14:paraId="58AEB476">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w:t>
                  </w:r>
                </w:p>
              </w:tc>
              <w:tc>
                <w:tcPr>
                  <w:tcW w:w="3701" w:type="dxa"/>
                  <w:vMerge w:val="restart"/>
                  <w:tcBorders>
                    <w:tl2br w:val="nil"/>
                    <w:tr2bl w:val="nil"/>
                  </w:tcBorders>
                  <w:vAlign w:val="center"/>
                </w:tcPr>
                <w:p w14:paraId="0CF25DCD">
                  <w:pPr>
                    <w:keepNext w:val="0"/>
                    <w:keepLines w:val="0"/>
                    <w:suppressLineNumbers w:val="0"/>
                    <w:snapToGrid w:val="0"/>
                    <w:spacing w:before="0" w:beforeAutospacing="0" w:after="0" w:afterAutospacing="0"/>
                    <w:ind w:left="0" w:right="0"/>
                    <w:jc w:val="center"/>
                    <w:rPr>
                      <w:rFonts w:ascii="Times New Roman" w:hAnsi="Times New Roman" w:eastAsia="宋体" w:cs="Times New Roman"/>
                      <w:color w:val="auto"/>
                      <w:kern w:val="0"/>
                      <w:szCs w:val="21"/>
                      <w:highlight w:val="none"/>
                    </w:rPr>
                  </w:pPr>
                  <w:r>
                    <w:rPr>
                      <w:rFonts w:hint="default" w:ascii="Times New Roman" w:hAnsi="Times New Roman" w:eastAsia="宋体" w:cs="Times New Roman"/>
                      <w:bCs/>
                      <w:color w:val="auto"/>
                      <w:szCs w:val="21"/>
                      <w:highlight w:val="none"/>
                      <w:lang w:val="en-US" w:eastAsia="zh-CN"/>
                    </w:rPr>
                    <w:t>《合成树脂工业污染物排放标准》（GB31572-2015，含2024年修改单）中表5大气污染物特别排放限值</w:t>
                  </w:r>
                </w:p>
              </w:tc>
            </w:tr>
            <w:tr w14:paraId="667A028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57" w:type="dxa"/>
                  <w:vMerge w:val="continue"/>
                  <w:tcBorders>
                    <w:tl2br w:val="nil"/>
                    <w:tr2bl w:val="nil"/>
                  </w:tcBorders>
                  <w:vAlign w:val="center"/>
                </w:tcPr>
                <w:p w14:paraId="76B3A283">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lang w:val="en-US" w:eastAsia="zh-CN"/>
                    </w:rPr>
                  </w:pPr>
                </w:p>
              </w:tc>
              <w:tc>
                <w:tcPr>
                  <w:tcW w:w="1379" w:type="dxa"/>
                  <w:tcBorders>
                    <w:tl2br w:val="nil"/>
                    <w:tr2bl w:val="nil"/>
                  </w:tcBorders>
                  <w:vAlign w:val="center"/>
                </w:tcPr>
                <w:p w14:paraId="1614BD76">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rPr>
                  </w:pPr>
                  <w:r>
                    <w:rPr>
                      <w:rFonts w:hint="default" w:ascii="Times New Roman" w:hAnsi="Times New Roman" w:eastAsia="宋体" w:cs="Times New Roman"/>
                      <w:bCs/>
                      <w:color w:val="auto"/>
                      <w:szCs w:val="21"/>
                      <w:highlight w:val="none"/>
                      <w:lang w:val="en-US" w:eastAsia="zh-CN"/>
                    </w:rPr>
                    <w:t>丙烯腈</w:t>
                  </w:r>
                </w:p>
              </w:tc>
              <w:tc>
                <w:tcPr>
                  <w:tcW w:w="1328" w:type="dxa"/>
                  <w:tcBorders>
                    <w:tl2br w:val="nil"/>
                    <w:tr2bl w:val="nil"/>
                  </w:tcBorders>
                  <w:vAlign w:val="center"/>
                </w:tcPr>
                <w:p w14:paraId="7D72B49A">
                  <w:pPr>
                    <w:keepNext w:val="0"/>
                    <w:keepLines w:val="0"/>
                    <w:suppressLineNumbers w:val="0"/>
                    <w:snapToGrid w:val="0"/>
                    <w:spacing w:before="0" w:beforeAutospacing="0" w:after="0" w:afterAutospacing="0"/>
                    <w:ind w:left="0" w:right="0"/>
                    <w:jc w:val="center"/>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0.5</w:t>
                  </w:r>
                </w:p>
              </w:tc>
              <w:tc>
                <w:tcPr>
                  <w:tcW w:w="1172" w:type="dxa"/>
                  <w:tcBorders>
                    <w:tl2br w:val="nil"/>
                    <w:tr2bl w:val="nil"/>
                  </w:tcBorders>
                  <w:vAlign w:val="center"/>
                </w:tcPr>
                <w:p w14:paraId="6A3095D7">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w:t>
                  </w:r>
                </w:p>
              </w:tc>
              <w:tc>
                <w:tcPr>
                  <w:tcW w:w="3701" w:type="dxa"/>
                  <w:vMerge w:val="continue"/>
                  <w:tcBorders>
                    <w:tl2br w:val="nil"/>
                    <w:tr2bl w:val="nil"/>
                  </w:tcBorders>
                  <w:vAlign w:val="center"/>
                </w:tcPr>
                <w:p w14:paraId="643D561A">
                  <w:pPr>
                    <w:keepNext w:val="0"/>
                    <w:keepLines w:val="0"/>
                    <w:suppressLineNumbers w:val="0"/>
                    <w:snapToGrid w:val="0"/>
                    <w:spacing w:before="0" w:beforeAutospacing="0" w:after="0" w:afterAutospacing="0"/>
                    <w:ind w:left="0" w:right="0"/>
                    <w:jc w:val="center"/>
                    <w:rPr>
                      <w:rFonts w:ascii="Times New Roman" w:hAnsi="Times New Roman" w:eastAsia="宋体" w:cs="Times New Roman"/>
                      <w:color w:val="auto"/>
                      <w:kern w:val="0"/>
                      <w:szCs w:val="21"/>
                      <w:highlight w:val="none"/>
                    </w:rPr>
                  </w:pPr>
                </w:p>
              </w:tc>
            </w:tr>
            <w:tr w14:paraId="269ECB6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57" w:type="dxa"/>
                  <w:vMerge w:val="continue"/>
                  <w:tcBorders>
                    <w:tl2br w:val="nil"/>
                    <w:tr2bl w:val="nil"/>
                  </w:tcBorders>
                  <w:vAlign w:val="center"/>
                </w:tcPr>
                <w:p w14:paraId="326B21B6">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lang w:val="en-US" w:eastAsia="zh-CN"/>
                    </w:rPr>
                  </w:pPr>
                </w:p>
              </w:tc>
              <w:tc>
                <w:tcPr>
                  <w:tcW w:w="1379" w:type="dxa"/>
                  <w:tcBorders>
                    <w:tl2br w:val="nil"/>
                    <w:tr2bl w:val="nil"/>
                  </w:tcBorders>
                  <w:vAlign w:val="center"/>
                </w:tcPr>
                <w:p w14:paraId="28CC08A0">
                  <w:pPr>
                    <w:keepNext w:val="0"/>
                    <w:keepLines w:val="0"/>
                    <w:suppressLineNumbers w:val="0"/>
                    <w:snapToGrid w:val="0"/>
                    <w:spacing w:before="0" w:beforeAutospacing="0" w:after="0" w:afterAutospacing="0"/>
                    <w:ind w:left="0" w:right="0"/>
                    <w:jc w:val="center"/>
                    <w:rPr>
                      <w:rFonts w:hint="default" w:ascii="Times New Roman" w:hAnsi="Times New Roman" w:eastAsia="宋体"/>
                      <w:color w:val="auto"/>
                      <w:szCs w:val="21"/>
                      <w:highlight w:val="none"/>
                      <w:lang w:val="en-US"/>
                    </w:rPr>
                  </w:pPr>
                  <w:r>
                    <w:rPr>
                      <w:rFonts w:hint="default" w:ascii="Times New Roman" w:hAnsi="Times New Roman" w:eastAsia="宋体" w:cs="Times New Roman"/>
                      <w:bCs/>
                      <w:color w:val="auto"/>
                      <w:szCs w:val="21"/>
                      <w:highlight w:val="none"/>
                      <w:lang w:val="en-US" w:eastAsia="zh-CN"/>
                    </w:rPr>
                    <w:t>1，3-丁二烯</w:t>
                  </w:r>
                  <w:r>
                    <w:rPr>
                      <w:rFonts w:hint="eastAsia" w:ascii="Times New Roman" w:hAnsi="Times New Roman" w:eastAsia="宋体" w:cs="Times New Roman"/>
                      <w:bCs/>
                      <w:color w:val="auto"/>
                      <w:szCs w:val="21"/>
                      <w:highlight w:val="none"/>
                      <w:vertAlign w:val="superscript"/>
                      <w:lang w:val="en-US" w:eastAsia="zh-CN"/>
                    </w:rPr>
                    <w:t>（4）</w:t>
                  </w:r>
                </w:p>
              </w:tc>
              <w:tc>
                <w:tcPr>
                  <w:tcW w:w="1328" w:type="dxa"/>
                  <w:tcBorders>
                    <w:tl2br w:val="nil"/>
                    <w:tr2bl w:val="nil"/>
                  </w:tcBorders>
                  <w:vAlign w:val="center"/>
                </w:tcPr>
                <w:p w14:paraId="3DB55EE5">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1</w:t>
                  </w:r>
                </w:p>
              </w:tc>
              <w:tc>
                <w:tcPr>
                  <w:tcW w:w="1172" w:type="dxa"/>
                  <w:tcBorders>
                    <w:tl2br w:val="nil"/>
                    <w:tr2bl w:val="nil"/>
                  </w:tcBorders>
                  <w:vAlign w:val="center"/>
                </w:tcPr>
                <w:p w14:paraId="4BF52BB8">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w:t>
                  </w:r>
                </w:p>
              </w:tc>
              <w:tc>
                <w:tcPr>
                  <w:tcW w:w="3701" w:type="dxa"/>
                  <w:vMerge w:val="continue"/>
                  <w:tcBorders>
                    <w:tl2br w:val="nil"/>
                    <w:tr2bl w:val="nil"/>
                  </w:tcBorders>
                  <w:vAlign w:val="center"/>
                </w:tcPr>
                <w:p w14:paraId="3C5B7A8A">
                  <w:pPr>
                    <w:keepNext w:val="0"/>
                    <w:keepLines w:val="0"/>
                    <w:suppressLineNumbers w:val="0"/>
                    <w:snapToGrid w:val="0"/>
                    <w:spacing w:before="0" w:beforeAutospacing="0" w:after="0" w:afterAutospacing="0"/>
                    <w:ind w:left="0" w:right="0"/>
                    <w:jc w:val="center"/>
                    <w:rPr>
                      <w:rFonts w:ascii="Times New Roman" w:hAnsi="Times New Roman" w:eastAsia="宋体" w:cs="Times New Roman"/>
                      <w:color w:val="auto"/>
                      <w:kern w:val="0"/>
                      <w:szCs w:val="21"/>
                      <w:highlight w:val="none"/>
                    </w:rPr>
                  </w:pPr>
                </w:p>
              </w:tc>
            </w:tr>
            <w:tr w14:paraId="474DD3C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57" w:type="dxa"/>
                  <w:vMerge w:val="continue"/>
                  <w:tcBorders>
                    <w:tl2br w:val="nil"/>
                    <w:tr2bl w:val="nil"/>
                  </w:tcBorders>
                  <w:vAlign w:val="center"/>
                </w:tcPr>
                <w:p w14:paraId="44D0D659">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lang w:val="en-US" w:eastAsia="zh-CN"/>
                    </w:rPr>
                  </w:pPr>
                </w:p>
              </w:tc>
              <w:tc>
                <w:tcPr>
                  <w:tcW w:w="1379" w:type="dxa"/>
                  <w:tcBorders>
                    <w:tl2br w:val="nil"/>
                    <w:tr2bl w:val="nil"/>
                  </w:tcBorders>
                  <w:vAlign w:val="center"/>
                </w:tcPr>
                <w:p w14:paraId="597A7903">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rPr>
                  </w:pPr>
                  <w:r>
                    <w:rPr>
                      <w:rFonts w:hint="default" w:ascii="Times New Roman" w:hAnsi="Times New Roman" w:eastAsia="宋体" w:cs="Times New Roman"/>
                      <w:bCs/>
                      <w:color w:val="auto"/>
                      <w:szCs w:val="21"/>
                      <w:highlight w:val="none"/>
                      <w:lang w:val="en-US" w:eastAsia="zh-CN"/>
                    </w:rPr>
                    <w:t>甲苯</w:t>
                  </w:r>
                </w:p>
              </w:tc>
              <w:tc>
                <w:tcPr>
                  <w:tcW w:w="1328" w:type="dxa"/>
                  <w:tcBorders>
                    <w:tl2br w:val="nil"/>
                    <w:tr2bl w:val="nil"/>
                  </w:tcBorders>
                  <w:vAlign w:val="center"/>
                </w:tcPr>
                <w:p w14:paraId="6DA40D7B">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8</w:t>
                  </w:r>
                </w:p>
              </w:tc>
              <w:tc>
                <w:tcPr>
                  <w:tcW w:w="1172" w:type="dxa"/>
                  <w:tcBorders>
                    <w:tl2br w:val="nil"/>
                    <w:tr2bl w:val="nil"/>
                  </w:tcBorders>
                  <w:vAlign w:val="center"/>
                </w:tcPr>
                <w:p w14:paraId="45B7E8CA">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w:t>
                  </w:r>
                </w:p>
              </w:tc>
              <w:tc>
                <w:tcPr>
                  <w:tcW w:w="3701" w:type="dxa"/>
                  <w:vMerge w:val="continue"/>
                  <w:tcBorders>
                    <w:tl2br w:val="nil"/>
                    <w:tr2bl w:val="nil"/>
                  </w:tcBorders>
                  <w:vAlign w:val="center"/>
                </w:tcPr>
                <w:p w14:paraId="039DF42A">
                  <w:pPr>
                    <w:keepNext w:val="0"/>
                    <w:keepLines w:val="0"/>
                    <w:suppressLineNumbers w:val="0"/>
                    <w:snapToGrid w:val="0"/>
                    <w:spacing w:before="0" w:beforeAutospacing="0" w:after="0" w:afterAutospacing="0"/>
                    <w:ind w:left="0" w:right="0"/>
                    <w:jc w:val="center"/>
                    <w:rPr>
                      <w:rFonts w:ascii="Times New Roman" w:hAnsi="Times New Roman" w:eastAsia="宋体" w:cs="Times New Roman"/>
                      <w:color w:val="auto"/>
                      <w:kern w:val="0"/>
                      <w:szCs w:val="21"/>
                      <w:highlight w:val="none"/>
                    </w:rPr>
                  </w:pPr>
                </w:p>
              </w:tc>
            </w:tr>
            <w:tr w14:paraId="3E7AD66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57" w:type="dxa"/>
                  <w:vMerge w:val="continue"/>
                  <w:tcBorders>
                    <w:tl2br w:val="nil"/>
                    <w:tr2bl w:val="nil"/>
                  </w:tcBorders>
                  <w:vAlign w:val="center"/>
                </w:tcPr>
                <w:p w14:paraId="50CE8F86">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lang w:val="en-US" w:eastAsia="zh-CN"/>
                    </w:rPr>
                  </w:pPr>
                </w:p>
              </w:tc>
              <w:tc>
                <w:tcPr>
                  <w:tcW w:w="1379" w:type="dxa"/>
                  <w:tcBorders>
                    <w:tl2br w:val="nil"/>
                    <w:tr2bl w:val="nil"/>
                  </w:tcBorders>
                  <w:vAlign w:val="center"/>
                </w:tcPr>
                <w:p w14:paraId="3FF8B71A">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rPr>
                  </w:pPr>
                  <w:r>
                    <w:rPr>
                      <w:rFonts w:hint="default" w:ascii="Times New Roman" w:hAnsi="Times New Roman" w:eastAsia="宋体" w:cs="Times New Roman"/>
                      <w:bCs/>
                      <w:color w:val="auto"/>
                      <w:szCs w:val="21"/>
                      <w:highlight w:val="none"/>
                      <w:lang w:val="en-US" w:eastAsia="zh-CN"/>
                    </w:rPr>
                    <w:t>乙苯</w:t>
                  </w:r>
                </w:p>
              </w:tc>
              <w:tc>
                <w:tcPr>
                  <w:tcW w:w="1328" w:type="dxa"/>
                  <w:tcBorders>
                    <w:tl2br w:val="nil"/>
                    <w:tr2bl w:val="nil"/>
                  </w:tcBorders>
                  <w:vAlign w:val="center"/>
                </w:tcPr>
                <w:p w14:paraId="2C89FA30">
                  <w:pPr>
                    <w:keepNext w:val="0"/>
                    <w:keepLines w:val="0"/>
                    <w:suppressLineNumbers w:val="0"/>
                    <w:snapToGrid w:val="0"/>
                    <w:spacing w:before="0" w:beforeAutospacing="0" w:after="0" w:afterAutospacing="0"/>
                    <w:ind w:left="0" w:right="0"/>
                    <w:jc w:val="center"/>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50</w:t>
                  </w:r>
                </w:p>
              </w:tc>
              <w:tc>
                <w:tcPr>
                  <w:tcW w:w="1172" w:type="dxa"/>
                  <w:tcBorders>
                    <w:tl2br w:val="nil"/>
                    <w:tr2bl w:val="nil"/>
                  </w:tcBorders>
                  <w:vAlign w:val="center"/>
                </w:tcPr>
                <w:p w14:paraId="2469AA21">
                  <w:pPr>
                    <w:keepNext w:val="0"/>
                    <w:keepLines w:val="0"/>
                    <w:suppressLineNumbers w:val="0"/>
                    <w:snapToGrid w:val="0"/>
                    <w:spacing w:before="0" w:beforeAutospacing="0" w:after="0" w:afterAutospacing="0"/>
                    <w:ind w:left="0" w:right="0"/>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w:t>
                  </w:r>
                </w:p>
              </w:tc>
              <w:tc>
                <w:tcPr>
                  <w:tcW w:w="3701" w:type="dxa"/>
                  <w:vMerge w:val="continue"/>
                  <w:tcBorders>
                    <w:tl2br w:val="nil"/>
                    <w:tr2bl w:val="nil"/>
                  </w:tcBorders>
                  <w:vAlign w:val="center"/>
                </w:tcPr>
                <w:p w14:paraId="1C7D1F7C">
                  <w:pPr>
                    <w:keepNext w:val="0"/>
                    <w:keepLines w:val="0"/>
                    <w:suppressLineNumbers w:val="0"/>
                    <w:snapToGrid w:val="0"/>
                    <w:spacing w:before="0" w:beforeAutospacing="0" w:after="0" w:afterAutospacing="0"/>
                    <w:ind w:left="0" w:right="0"/>
                    <w:jc w:val="center"/>
                    <w:rPr>
                      <w:rFonts w:ascii="Times New Roman" w:hAnsi="Times New Roman" w:eastAsia="宋体" w:cs="Times New Roman"/>
                      <w:color w:val="auto"/>
                      <w:kern w:val="0"/>
                      <w:szCs w:val="21"/>
                      <w:highlight w:val="none"/>
                    </w:rPr>
                  </w:pPr>
                </w:p>
              </w:tc>
            </w:tr>
            <w:tr w14:paraId="65E405E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8637" w:type="dxa"/>
                  <w:gridSpan w:val="5"/>
                  <w:tcBorders>
                    <w:tl2br w:val="nil"/>
                    <w:tr2bl w:val="nil"/>
                  </w:tcBorders>
                  <w:vAlign w:val="center"/>
                </w:tcPr>
                <w:p w14:paraId="465B7C75">
                  <w:pPr>
                    <w:keepNext w:val="0"/>
                    <w:keepLines w:val="0"/>
                    <w:suppressLineNumbers w:val="0"/>
                    <w:snapToGrid w:val="0"/>
                    <w:spacing w:before="0" w:beforeAutospacing="0" w:after="0" w:afterAutospacing="0"/>
                    <w:ind w:left="0" w:right="0"/>
                    <w:jc w:val="both"/>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注：</w:t>
                  </w:r>
                </w:p>
                <w:p w14:paraId="3B57DFE4">
                  <w:pPr>
                    <w:keepNext w:val="0"/>
                    <w:keepLines w:val="0"/>
                    <w:suppressLineNumbers w:val="0"/>
                    <w:snapToGrid w:val="0"/>
                    <w:spacing w:before="0" w:beforeAutospacing="0" w:after="0" w:afterAutospacing="0"/>
                    <w:ind w:left="0" w:right="0"/>
                    <w:jc w:val="both"/>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（1）TVOC待国家污染物监测方法标准发布后实施。</w:t>
                  </w:r>
                </w:p>
                <w:p w14:paraId="0128B57C">
                  <w:pPr>
                    <w:keepNext w:val="0"/>
                    <w:keepLines w:val="0"/>
                    <w:suppressLineNumbers w:val="0"/>
                    <w:snapToGrid w:val="0"/>
                    <w:spacing w:before="0" w:beforeAutospacing="0" w:after="0" w:afterAutospacing="0"/>
                    <w:ind w:left="0" w:right="0"/>
                    <w:jc w:val="both"/>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（2）根据《恶臭污染物排放标准》（GB14554-93）6.1.2：凡在表2所列两种高度之间的排气筒，采用四舍五入方法计算其排气筒的高度。根据四舍五入法，项目DA001排气筒高度为46m，应执行50m高度对应的排放限值。</w:t>
                  </w:r>
                </w:p>
                <w:p w14:paraId="76B7D32C">
                  <w:pPr>
                    <w:keepNext w:val="0"/>
                    <w:keepLines w:val="0"/>
                    <w:suppressLineNumbers w:val="0"/>
                    <w:snapToGrid w:val="0"/>
                    <w:spacing w:before="0" w:beforeAutospacing="0" w:after="0" w:afterAutospacing="0"/>
                    <w:ind w:left="0" w:right="0"/>
                    <w:jc w:val="both"/>
                    <w:rPr>
                      <w:rFonts w:hint="eastAsia"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（3）根据广东省《大气污染物排放限值》（DB44/27-2001），排气筒高度46m，介于40~50m之间，最高允许排放速率按内插法计算。</w:t>
                  </w:r>
                </w:p>
                <w:p w14:paraId="77B4F8D7">
                  <w:pPr>
                    <w:keepNext w:val="0"/>
                    <w:keepLines w:val="0"/>
                    <w:suppressLineNumbers w:val="0"/>
                    <w:snapToGrid w:val="0"/>
                    <w:spacing w:before="0" w:beforeAutospacing="0" w:after="0" w:afterAutospacing="0"/>
                    <w:ind w:left="0" w:right="0"/>
                    <w:jc w:val="both"/>
                    <w:rPr>
                      <w:rFonts w:hint="default"/>
                      <w:color w:val="auto"/>
                      <w:highlight w:val="none"/>
                      <w:lang w:val="en-US" w:eastAsia="zh-CN"/>
                    </w:rPr>
                  </w:pPr>
                  <w:r>
                    <w:rPr>
                      <w:rFonts w:hint="eastAsia" w:ascii="Times New Roman" w:hAnsi="Times New Roman" w:eastAsia="宋体" w:cs="Times New Roman"/>
                      <w:color w:val="auto"/>
                      <w:kern w:val="0"/>
                      <w:sz w:val="18"/>
                      <w:szCs w:val="18"/>
                      <w:highlight w:val="none"/>
                      <w:lang w:val="en-US" w:eastAsia="zh-CN"/>
                    </w:rPr>
                    <w:t>（4）1，3-丁二烯待国家污染物监测方法标准发布后实施。</w:t>
                  </w:r>
                </w:p>
              </w:tc>
            </w:tr>
          </w:tbl>
          <w:p w14:paraId="6B42845A">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22" w:firstLineChars="200"/>
              <w:textAlignment w:val="auto"/>
              <w:rPr>
                <w:rFonts w:hint="default" w:ascii="Times New Roman" w:hAnsi="Times New Roman" w:eastAsia="宋体" w:cs="Times New Roman"/>
                <w:b/>
                <w:bCs w:val="0"/>
                <w:color w:val="auto"/>
                <w:szCs w:val="21"/>
                <w:highlight w:val="none"/>
                <w:lang w:val="en-US" w:eastAsia="zh-CN"/>
              </w:rPr>
            </w:pPr>
            <w:r>
              <w:rPr>
                <w:rFonts w:hint="eastAsia" w:ascii="Times New Roman" w:hAnsi="Times New Roman" w:eastAsia="宋体" w:cs="Times New Roman"/>
                <w:b/>
                <w:bCs w:val="0"/>
                <w:color w:val="auto"/>
                <w:szCs w:val="21"/>
                <w:highlight w:val="none"/>
                <w:lang w:val="en-US" w:eastAsia="zh-CN"/>
              </w:rPr>
              <w:t>（</w:t>
            </w:r>
            <w:r>
              <w:rPr>
                <w:rFonts w:hint="default" w:ascii="Times New Roman" w:hAnsi="Times New Roman" w:eastAsia="宋体" w:cs="Times New Roman"/>
                <w:b/>
                <w:bCs w:val="0"/>
                <w:color w:val="auto"/>
                <w:szCs w:val="21"/>
                <w:highlight w:val="none"/>
                <w:lang w:val="en-US" w:eastAsia="zh-CN"/>
              </w:rPr>
              <w:t>2</w:t>
            </w:r>
            <w:r>
              <w:rPr>
                <w:rFonts w:hint="eastAsia" w:ascii="Times New Roman" w:hAnsi="Times New Roman" w:eastAsia="宋体" w:cs="Times New Roman"/>
                <w:b/>
                <w:bCs w:val="0"/>
                <w:color w:val="auto"/>
                <w:szCs w:val="21"/>
                <w:highlight w:val="none"/>
                <w:lang w:val="en-US" w:eastAsia="zh-CN"/>
              </w:rPr>
              <w:t>）无组织废气</w:t>
            </w:r>
          </w:p>
          <w:p w14:paraId="6D7E37EA">
            <w:pPr>
              <w:keepNext w:val="0"/>
              <w:keepLines w:val="0"/>
              <w:suppressLineNumbers w:val="0"/>
              <w:adjustRightInd w:val="0"/>
              <w:snapToGrid w:val="0"/>
              <w:spacing w:before="0" w:beforeAutospacing="0" w:after="0" w:afterAutospacing="0" w:line="360" w:lineRule="auto"/>
              <w:ind w:left="0" w:right="0" w:firstLine="422" w:firstLineChars="200"/>
              <w:rPr>
                <w:rFonts w:hint="default" w:ascii="Times New Roman" w:hAnsi="Times New Roman" w:eastAsia="宋体" w:cs="Times New Roman"/>
                <w:b/>
                <w:bCs w:val="0"/>
                <w:color w:val="auto"/>
                <w:szCs w:val="21"/>
                <w:highlight w:val="none"/>
                <w:lang w:val="en-US" w:eastAsia="zh-CN"/>
              </w:rPr>
            </w:pPr>
            <w:r>
              <w:rPr>
                <w:rFonts w:hint="eastAsia" w:ascii="宋体" w:hAnsi="宋体" w:eastAsia="宋体" w:cs="宋体"/>
                <w:b/>
                <w:bCs w:val="0"/>
                <w:color w:val="auto"/>
                <w:szCs w:val="21"/>
                <w:highlight w:val="none"/>
                <w:lang w:val="en-US" w:eastAsia="zh-CN"/>
              </w:rPr>
              <w:t>①厂界无组织排放要求</w:t>
            </w:r>
          </w:p>
          <w:p w14:paraId="64262375">
            <w:pPr>
              <w:keepNext w:val="0"/>
              <w:keepLines w:val="0"/>
              <w:suppressLineNumbers w:val="0"/>
              <w:adjustRightInd w:val="0"/>
              <w:snapToGrid w:val="0"/>
              <w:spacing w:before="0" w:beforeAutospacing="0" w:after="0" w:afterAutospacing="0" w:line="360" w:lineRule="auto"/>
              <w:ind w:left="0" w:right="0" w:firstLine="420" w:firstLineChars="200"/>
              <w:rPr>
                <w:rFonts w:hint="eastAsia"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厂界非甲烷总烃无组织排放执行广东省地方标准《大气污染物排放限值》（DB44/27-2001）表2第二时段无组织排放监控浓度限值与《合成树脂工业污染物排放标准》（GB31572-2015，含2024年修改单）表9企业边界大气污染物浓度限值两者较严值；</w:t>
            </w:r>
          </w:p>
          <w:p w14:paraId="0BE751C2">
            <w:pPr>
              <w:keepNext w:val="0"/>
              <w:keepLines w:val="0"/>
              <w:suppressLineNumbers w:val="0"/>
              <w:adjustRightInd w:val="0"/>
              <w:snapToGrid w:val="0"/>
              <w:spacing w:before="0" w:beforeAutospacing="0" w:after="0" w:afterAutospacing="0" w:line="360" w:lineRule="auto"/>
              <w:ind w:left="0" w:right="0" w:firstLine="420" w:firstLineChars="200"/>
              <w:rPr>
                <w:rFonts w:hint="eastAsia"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总VOCs厂界无组织排放执行《家具制造行业挥发性有机化合物排放标准》（DB44/814-2010）表2无组织排放监控点浓度限值与《印刷行业挥发性有机化合物排放标准》（DB44/815-2010）表3无组织排放监控点浓度限值两者较严值；</w:t>
            </w:r>
          </w:p>
          <w:p w14:paraId="5C083D37">
            <w:pPr>
              <w:keepNext w:val="0"/>
              <w:keepLines w:val="0"/>
              <w:suppressLineNumbers w:val="0"/>
              <w:adjustRightInd w:val="0"/>
              <w:snapToGrid w:val="0"/>
              <w:spacing w:before="0" w:beforeAutospacing="0" w:after="0" w:afterAutospacing="0" w:line="360" w:lineRule="auto"/>
              <w:ind w:left="0" w:right="0" w:firstLine="420" w:firstLineChars="200"/>
              <w:rPr>
                <w:rFonts w:hint="eastAsia"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氯化氢、氯乙烯厂界无组织排放执行广东省地方标准《大气污染物排放限值》（DB44/27-2001）表2第二时段无组织排放监控浓度限值；</w:t>
            </w:r>
          </w:p>
          <w:p w14:paraId="34219A3F">
            <w:pPr>
              <w:keepNext w:val="0"/>
              <w:keepLines w:val="0"/>
              <w:suppressLineNumbers w:val="0"/>
              <w:adjustRightInd w:val="0"/>
              <w:snapToGrid w:val="0"/>
              <w:spacing w:before="0" w:beforeAutospacing="0" w:after="0" w:afterAutospacing="0" w:line="360" w:lineRule="auto"/>
              <w:ind w:left="0" w:right="0" w:firstLine="420" w:firstLineChars="200"/>
              <w:rPr>
                <w:rFonts w:hint="eastAsia"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甲苯厂界无组织排放执行《合成树脂工业污染物排放标准》（GB31572-2015，含2024年修改单）表9企业边界大气污染物浓度限值；</w:t>
            </w:r>
          </w:p>
          <w:p w14:paraId="7BFD0C23">
            <w:pPr>
              <w:keepNext w:val="0"/>
              <w:keepLines w:val="0"/>
              <w:suppressLineNumbers w:val="0"/>
              <w:adjustRightInd w:val="0"/>
              <w:snapToGrid w:val="0"/>
              <w:spacing w:before="0" w:beforeAutospacing="0" w:after="0" w:afterAutospacing="0" w:line="360" w:lineRule="auto"/>
              <w:ind w:left="0" w:right="0" w:firstLine="420" w:firstLineChars="200"/>
              <w:rPr>
                <w:rFonts w:hint="eastAsia"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臭气浓度厂界无组织排放能达到《恶臭污染物排放标准》（GB14554-93）表1厂界二级新扩改建标准限值。</w:t>
            </w:r>
          </w:p>
          <w:p w14:paraId="52E03109">
            <w:pPr>
              <w:keepNext w:val="0"/>
              <w:keepLines w:val="0"/>
              <w:suppressLineNumbers w:val="0"/>
              <w:adjustRightInd w:val="0"/>
              <w:snapToGrid w:val="0"/>
              <w:spacing w:before="0" w:beforeAutospacing="0" w:after="0" w:afterAutospacing="0" w:line="360" w:lineRule="auto"/>
              <w:ind w:left="0" w:right="0" w:firstLine="422" w:firstLineChars="200"/>
              <w:rPr>
                <w:rFonts w:hint="default" w:ascii="Times New Roman" w:hAnsi="Times New Roman" w:eastAsia="宋体" w:cs="Times New Roman"/>
                <w:b/>
                <w:bCs w:val="0"/>
                <w:color w:val="auto"/>
                <w:szCs w:val="21"/>
                <w:highlight w:val="none"/>
                <w:lang w:val="en-US" w:eastAsia="zh-CN"/>
              </w:rPr>
            </w:pPr>
            <w:r>
              <w:rPr>
                <w:rFonts w:hint="eastAsia" w:ascii="宋体" w:hAnsi="宋体" w:eastAsia="宋体" w:cs="宋体"/>
                <w:b/>
                <w:bCs w:val="0"/>
                <w:color w:val="auto"/>
                <w:szCs w:val="21"/>
                <w:highlight w:val="none"/>
                <w:lang w:val="en-US" w:eastAsia="zh-CN"/>
              </w:rPr>
              <w:t>②厂区内无组织排放要求</w:t>
            </w:r>
          </w:p>
          <w:p w14:paraId="6AD51EF1">
            <w:pPr>
              <w:keepNext w:val="0"/>
              <w:keepLines w:val="0"/>
              <w:suppressLineNumbers w:val="0"/>
              <w:adjustRightInd w:val="0"/>
              <w:snapToGrid w:val="0"/>
              <w:spacing w:before="0" w:beforeAutospacing="0" w:after="0" w:afterAutospacing="0" w:line="360" w:lineRule="auto"/>
              <w:ind w:left="0" w:right="0" w:firstLine="420" w:firstLineChars="200"/>
              <w:rPr>
                <w:rFonts w:hint="eastAsia"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厂区内非甲烷总烃执行广东省地方标准《固定污染源挥发性有机物综合排放标准》（DB44/2367-2022）表3厂区内VOCs无组织排放限值与《印刷工业大气污染物排放标准》（GB41616-2022）表A.1厂区内VOCs无组织排放限值两者较严值。具体排放标准见下表。</w:t>
            </w:r>
          </w:p>
          <w:p w14:paraId="42FBED5C">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宋体" w:eastAsia="宋体" w:cs="Times New Roman"/>
                <w:b/>
                <w:bCs/>
                <w:color w:val="auto"/>
                <w:szCs w:val="21"/>
                <w:highlight w:val="none"/>
              </w:rPr>
            </w:pPr>
            <w:r>
              <w:rPr>
                <w:rFonts w:hint="eastAsia" w:ascii="Times New Roman" w:hAnsi="宋体" w:eastAsia="宋体" w:cs="Times New Roman"/>
                <w:b/>
                <w:bCs/>
                <w:color w:val="auto"/>
                <w:szCs w:val="21"/>
                <w:highlight w:val="none"/>
              </w:rPr>
              <w:t>项目</w:t>
            </w:r>
            <w:r>
              <w:rPr>
                <w:rFonts w:hint="eastAsia" w:ascii="Times New Roman" w:hAnsi="宋体" w:eastAsia="宋体" w:cs="Times New Roman"/>
                <w:b/>
                <w:bCs/>
                <w:color w:val="auto"/>
                <w:szCs w:val="21"/>
                <w:highlight w:val="none"/>
                <w:lang w:val="en-US" w:eastAsia="zh-CN"/>
              </w:rPr>
              <w:t>废气</w:t>
            </w:r>
            <w:r>
              <w:rPr>
                <w:rFonts w:hint="eastAsia" w:ascii="Times New Roman" w:hAnsi="宋体" w:eastAsia="宋体" w:cs="Times New Roman"/>
                <w:b/>
                <w:bCs/>
                <w:color w:val="auto"/>
                <w:szCs w:val="21"/>
                <w:highlight w:val="none"/>
              </w:rPr>
              <w:t>无组织排放标准</w:t>
            </w:r>
            <w:r>
              <w:rPr>
                <w:rFonts w:hint="eastAsia" w:ascii="Times New Roman" w:hAnsi="宋体" w:eastAsia="宋体" w:cs="Times New Roman"/>
                <w:b/>
                <w:bCs/>
                <w:color w:val="auto"/>
                <w:szCs w:val="21"/>
                <w:highlight w:val="none"/>
                <w:lang w:val="en-US" w:eastAsia="zh-CN"/>
              </w:rPr>
              <w:t>一览表</w:t>
            </w:r>
          </w:p>
          <w:tbl>
            <w:tblPr>
              <w:tblStyle w:val="41"/>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3"/>
              <w:gridCol w:w="786"/>
              <w:gridCol w:w="1136"/>
              <w:gridCol w:w="5273"/>
              <w:gridCol w:w="609"/>
            </w:tblGrid>
            <w:tr w14:paraId="72DE2B4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2" w:type="pct"/>
                  <w:tcBorders>
                    <w:tl2br w:val="nil"/>
                    <w:tr2bl w:val="nil"/>
                  </w:tcBorders>
                  <w:vAlign w:val="center"/>
                </w:tcPr>
                <w:p w14:paraId="4DE19F3A">
                  <w:pPr>
                    <w:pStyle w:val="166"/>
                    <w:keepNext w:val="0"/>
                    <w:keepLines w:val="0"/>
                    <w:suppressLineNumbers w:val="0"/>
                    <w:spacing w:after="0" w:afterAutospacing="0"/>
                    <w:ind w:left="0" w:leftChars="0" w:right="0" w:firstLine="0" w:firstLineChars="0"/>
                    <w:jc w:val="center"/>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污染物项目</w:t>
                  </w:r>
                </w:p>
              </w:tc>
              <w:tc>
                <w:tcPr>
                  <w:tcW w:w="1112" w:type="pct"/>
                  <w:gridSpan w:val="2"/>
                  <w:tcBorders>
                    <w:tl2br w:val="nil"/>
                    <w:tr2bl w:val="nil"/>
                  </w:tcBorders>
                  <w:vAlign w:val="center"/>
                </w:tcPr>
                <w:p w14:paraId="00223D93">
                  <w:pPr>
                    <w:pStyle w:val="166"/>
                    <w:keepNext w:val="0"/>
                    <w:keepLines w:val="0"/>
                    <w:suppressLineNumbers w:val="0"/>
                    <w:spacing w:after="0" w:afterAutospacing="0"/>
                    <w:ind w:left="0" w:leftChars="0" w:right="0" w:firstLine="0" w:firstLineChars="0"/>
                    <w:jc w:val="center"/>
                    <w:rPr>
                      <w:rFonts w:ascii="Times New Roman" w:hAnsi="Times New Roman" w:eastAsia="宋体"/>
                      <w:b/>
                      <w:bCs/>
                      <w:color w:val="auto"/>
                      <w:sz w:val="21"/>
                      <w:szCs w:val="21"/>
                      <w:highlight w:val="none"/>
                    </w:rPr>
                  </w:pPr>
                  <w:r>
                    <w:rPr>
                      <w:rFonts w:hint="eastAsia" w:ascii="Times New Roman" w:hAnsi="Times New Roman" w:eastAsia="宋体"/>
                      <w:b/>
                      <w:bCs/>
                      <w:color w:val="auto"/>
                      <w:sz w:val="21"/>
                      <w:szCs w:val="21"/>
                      <w:highlight w:val="none"/>
                      <w:lang w:val="en-US" w:eastAsia="zh-CN"/>
                    </w:rPr>
                    <w:t>无组织排放监控浓度限值（mg/m</w:t>
                  </w:r>
                  <w:r>
                    <w:rPr>
                      <w:rFonts w:hint="eastAsia" w:ascii="Times New Roman" w:hAnsi="Times New Roman" w:eastAsia="宋体"/>
                      <w:b/>
                      <w:bCs/>
                      <w:color w:val="auto"/>
                      <w:sz w:val="21"/>
                      <w:szCs w:val="21"/>
                      <w:highlight w:val="none"/>
                      <w:vertAlign w:val="superscript"/>
                      <w:lang w:val="en-US" w:eastAsia="zh-CN"/>
                    </w:rPr>
                    <w:t>3</w:t>
                  </w:r>
                  <w:r>
                    <w:rPr>
                      <w:rFonts w:hint="eastAsia" w:ascii="Times New Roman" w:hAnsi="Times New Roman" w:eastAsia="宋体"/>
                      <w:b/>
                      <w:bCs/>
                      <w:color w:val="auto"/>
                      <w:sz w:val="21"/>
                      <w:szCs w:val="21"/>
                      <w:highlight w:val="none"/>
                      <w:lang w:val="en-US" w:eastAsia="zh-CN"/>
                    </w:rPr>
                    <w:t>）</w:t>
                  </w:r>
                </w:p>
              </w:tc>
              <w:tc>
                <w:tcPr>
                  <w:tcW w:w="3051" w:type="pct"/>
                  <w:tcBorders>
                    <w:tl2br w:val="nil"/>
                    <w:tr2bl w:val="nil"/>
                  </w:tcBorders>
                  <w:vAlign w:val="center"/>
                </w:tcPr>
                <w:p w14:paraId="4E3B36B0">
                  <w:pPr>
                    <w:pStyle w:val="166"/>
                    <w:keepNext w:val="0"/>
                    <w:keepLines w:val="0"/>
                    <w:suppressLineNumbers w:val="0"/>
                    <w:spacing w:after="0" w:afterAutospacing="0"/>
                    <w:ind w:left="0" w:leftChars="0" w:right="0" w:firstLine="0" w:firstLineChars="0"/>
                    <w:jc w:val="center"/>
                    <w:rPr>
                      <w:rFonts w:hint="eastAsia" w:ascii="Times New Roman" w:hAnsi="Times New Roman" w:eastAsia="宋体"/>
                      <w:b/>
                      <w:bCs/>
                      <w:color w:val="auto"/>
                      <w:sz w:val="21"/>
                      <w:szCs w:val="21"/>
                      <w:highlight w:val="none"/>
                      <w:lang w:val="en-US" w:eastAsia="zh-CN"/>
                    </w:rPr>
                  </w:pPr>
                  <w:r>
                    <w:rPr>
                      <w:rFonts w:hint="eastAsia" w:ascii="Times New Roman" w:hAnsi="Times New Roman" w:eastAsia="宋体"/>
                      <w:b/>
                      <w:bCs/>
                      <w:color w:val="auto"/>
                      <w:sz w:val="21"/>
                      <w:szCs w:val="21"/>
                      <w:highlight w:val="none"/>
                      <w:lang w:val="en-US" w:eastAsia="zh-CN"/>
                    </w:rPr>
                    <w:t>标准</w:t>
                  </w:r>
                </w:p>
              </w:tc>
              <w:tc>
                <w:tcPr>
                  <w:tcW w:w="352" w:type="pct"/>
                  <w:tcBorders>
                    <w:tl2br w:val="nil"/>
                    <w:tr2bl w:val="nil"/>
                  </w:tcBorders>
                  <w:vAlign w:val="center"/>
                </w:tcPr>
                <w:p w14:paraId="1E29C7A2">
                  <w:pPr>
                    <w:pStyle w:val="166"/>
                    <w:keepNext w:val="0"/>
                    <w:keepLines w:val="0"/>
                    <w:suppressLineNumbers w:val="0"/>
                    <w:spacing w:after="0" w:afterAutospacing="0"/>
                    <w:ind w:left="0" w:leftChars="0" w:right="0" w:firstLine="0" w:firstLineChars="0"/>
                    <w:jc w:val="center"/>
                    <w:rPr>
                      <w:rFonts w:hint="eastAsia" w:ascii="Times New Roman" w:hAnsi="Times New Roman" w:eastAsia="宋体"/>
                      <w:b/>
                      <w:bCs/>
                      <w:color w:val="auto"/>
                      <w:sz w:val="21"/>
                      <w:szCs w:val="21"/>
                      <w:highlight w:val="none"/>
                      <w:lang w:val="en-US" w:eastAsia="zh-CN"/>
                    </w:rPr>
                  </w:pPr>
                  <w:r>
                    <w:rPr>
                      <w:rFonts w:hint="eastAsia" w:ascii="Times New Roman" w:hAnsi="Times New Roman" w:eastAsia="宋体"/>
                      <w:b/>
                      <w:bCs/>
                      <w:color w:val="auto"/>
                      <w:sz w:val="21"/>
                      <w:szCs w:val="21"/>
                      <w:highlight w:val="none"/>
                      <w:lang w:val="en-US" w:eastAsia="zh-CN"/>
                    </w:rPr>
                    <w:t>备注</w:t>
                  </w:r>
                </w:p>
              </w:tc>
            </w:tr>
            <w:tr w14:paraId="510BAA3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2" w:type="pct"/>
                  <w:tcBorders>
                    <w:tl2br w:val="nil"/>
                    <w:tr2bl w:val="nil"/>
                  </w:tcBorders>
                  <w:vAlign w:val="center"/>
                </w:tcPr>
                <w:p w14:paraId="6E217CFF">
                  <w:pPr>
                    <w:pStyle w:val="166"/>
                    <w:keepNext w:val="0"/>
                    <w:keepLines w:val="0"/>
                    <w:suppressLineNumbers w:val="0"/>
                    <w:spacing w:after="0" w:afterAutospacing="0"/>
                    <w:ind w:left="0" w:leftChars="0" w:right="0" w:firstLine="0" w:firstLine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非甲烷总烃</w:t>
                  </w:r>
                </w:p>
              </w:tc>
              <w:tc>
                <w:tcPr>
                  <w:tcW w:w="455" w:type="pct"/>
                  <w:vMerge w:val="restart"/>
                  <w:tcBorders>
                    <w:tl2br w:val="nil"/>
                    <w:tr2bl w:val="nil"/>
                  </w:tcBorders>
                  <w:vAlign w:val="center"/>
                </w:tcPr>
                <w:p w14:paraId="028018E9">
                  <w:pPr>
                    <w:pStyle w:val="166"/>
                    <w:keepNext w:val="0"/>
                    <w:keepLines w:val="0"/>
                    <w:suppressLineNumbers w:val="0"/>
                    <w:spacing w:after="0" w:afterAutospacing="0"/>
                    <w:ind w:left="0" w:leftChars="0" w:right="0" w:firstLine="0" w:firstLineChars="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周界外浓度最高点</w:t>
                  </w:r>
                </w:p>
              </w:tc>
              <w:tc>
                <w:tcPr>
                  <w:tcW w:w="657" w:type="pct"/>
                  <w:tcBorders>
                    <w:tl2br w:val="nil"/>
                    <w:tr2bl w:val="nil"/>
                  </w:tcBorders>
                  <w:vAlign w:val="center"/>
                </w:tcPr>
                <w:p w14:paraId="36E13A66">
                  <w:pPr>
                    <w:pStyle w:val="166"/>
                    <w:keepNext w:val="0"/>
                    <w:keepLines w:val="0"/>
                    <w:suppressLineNumbers w:val="0"/>
                    <w:spacing w:after="0" w:afterAutospacing="0"/>
                    <w:ind w:left="0" w:leftChars="0" w:right="0" w:firstLine="0" w:firstLine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4.0</w:t>
                  </w:r>
                </w:p>
              </w:tc>
              <w:tc>
                <w:tcPr>
                  <w:tcW w:w="3051" w:type="pct"/>
                  <w:tcBorders>
                    <w:tl2br w:val="nil"/>
                    <w:tr2bl w:val="nil"/>
                  </w:tcBorders>
                  <w:vAlign w:val="center"/>
                </w:tcPr>
                <w:p w14:paraId="09FA13E0">
                  <w:pPr>
                    <w:pStyle w:val="166"/>
                    <w:keepNext w:val="0"/>
                    <w:keepLines w:val="0"/>
                    <w:suppressLineNumbers w:val="0"/>
                    <w:spacing w:after="0" w:afterAutospacing="0"/>
                    <w:ind w:left="0" w:leftChars="0" w:right="0" w:firstLine="0" w:firstLineChars="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广东省地方标准《大气污染物排放限值》（DB44/27-2001）表2第二时段无组织排放监控浓度限值与《合成树脂工业污染物排放标准》（GB31572-2015，含2024年修改单）表9企业边界大气污染物浓度限值两者较严值</w:t>
                  </w:r>
                </w:p>
              </w:tc>
              <w:tc>
                <w:tcPr>
                  <w:tcW w:w="352" w:type="pct"/>
                  <w:vMerge w:val="restart"/>
                  <w:tcBorders>
                    <w:tl2br w:val="nil"/>
                    <w:tr2bl w:val="nil"/>
                  </w:tcBorders>
                  <w:vAlign w:val="center"/>
                </w:tcPr>
                <w:p w14:paraId="1CCFF8D6">
                  <w:pPr>
                    <w:pStyle w:val="166"/>
                    <w:keepNext w:val="0"/>
                    <w:keepLines w:val="0"/>
                    <w:suppressLineNumbers w:val="0"/>
                    <w:spacing w:after="0" w:afterAutospacing="0"/>
                    <w:ind w:left="0" w:leftChars="0" w:right="0" w:firstLine="0" w:firstLine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厂界无组织</w:t>
                  </w:r>
                </w:p>
              </w:tc>
            </w:tr>
            <w:tr w14:paraId="6093828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2" w:type="pct"/>
                  <w:tcBorders>
                    <w:tl2br w:val="nil"/>
                    <w:tr2bl w:val="nil"/>
                  </w:tcBorders>
                  <w:vAlign w:val="center"/>
                </w:tcPr>
                <w:p w14:paraId="327F45A9">
                  <w:pPr>
                    <w:keepNext w:val="0"/>
                    <w:keepLines w:val="0"/>
                    <w:widowControl/>
                    <w:suppressLineNumbers w:val="0"/>
                    <w:spacing w:before="0" w:beforeAutospacing="0" w:after="0" w:afterAutospacing="0"/>
                    <w:ind w:left="0" w:right="0"/>
                    <w:jc w:val="center"/>
                    <w:rPr>
                      <w:rFonts w:hint="default" w:ascii="Times New Roman" w:hAnsi="Times New Roman" w:eastAsia="宋体"/>
                      <w:color w:val="auto"/>
                      <w:kern w:val="0"/>
                      <w:sz w:val="21"/>
                      <w:szCs w:val="21"/>
                      <w:highlight w:val="none"/>
                      <w:lang w:val="en-US" w:eastAsia="zh-CN"/>
                    </w:rPr>
                  </w:pPr>
                  <w:r>
                    <w:rPr>
                      <w:rFonts w:hint="eastAsia" w:ascii="Times New Roman" w:hAnsi="Times New Roman" w:eastAsia="宋体"/>
                      <w:color w:val="auto"/>
                      <w:kern w:val="0"/>
                      <w:sz w:val="21"/>
                      <w:szCs w:val="21"/>
                      <w:highlight w:val="none"/>
                      <w:lang w:val="en-US" w:eastAsia="zh-CN"/>
                    </w:rPr>
                    <w:t>总VOCs</w:t>
                  </w:r>
                </w:p>
              </w:tc>
              <w:tc>
                <w:tcPr>
                  <w:tcW w:w="455" w:type="pct"/>
                  <w:vMerge w:val="continue"/>
                  <w:tcBorders>
                    <w:tl2br w:val="nil"/>
                    <w:tr2bl w:val="nil"/>
                  </w:tcBorders>
                  <w:vAlign w:val="center"/>
                </w:tcPr>
                <w:p w14:paraId="6E48F7D0">
                  <w:pPr>
                    <w:pStyle w:val="166"/>
                    <w:keepNext w:val="0"/>
                    <w:keepLines w:val="0"/>
                    <w:suppressLineNumbers w:val="0"/>
                    <w:spacing w:after="0" w:afterAutospacing="0"/>
                    <w:ind w:left="0" w:leftChars="0" w:right="0" w:firstLine="0" w:firstLineChars="0"/>
                    <w:jc w:val="center"/>
                    <w:rPr>
                      <w:rFonts w:ascii="Times New Roman" w:hAnsi="Times New Roman" w:eastAsia="宋体"/>
                      <w:color w:val="auto"/>
                      <w:sz w:val="21"/>
                      <w:szCs w:val="21"/>
                      <w:highlight w:val="none"/>
                    </w:rPr>
                  </w:pPr>
                </w:p>
              </w:tc>
              <w:tc>
                <w:tcPr>
                  <w:tcW w:w="657" w:type="pct"/>
                  <w:tcBorders>
                    <w:tl2br w:val="nil"/>
                    <w:tr2bl w:val="nil"/>
                  </w:tcBorders>
                  <w:vAlign w:val="center"/>
                </w:tcPr>
                <w:p w14:paraId="01828414">
                  <w:pPr>
                    <w:pStyle w:val="166"/>
                    <w:keepNext w:val="0"/>
                    <w:keepLines w:val="0"/>
                    <w:suppressLineNumbers w:val="0"/>
                    <w:spacing w:after="0" w:afterAutospacing="0"/>
                    <w:ind w:left="0" w:leftChars="0" w:right="0" w:firstLine="0" w:firstLine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2.0</w:t>
                  </w:r>
                </w:p>
              </w:tc>
              <w:tc>
                <w:tcPr>
                  <w:tcW w:w="3051" w:type="pct"/>
                  <w:tcBorders>
                    <w:tl2br w:val="nil"/>
                    <w:tr2bl w:val="nil"/>
                  </w:tcBorders>
                  <w:vAlign w:val="center"/>
                </w:tcPr>
                <w:p w14:paraId="10BA1890">
                  <w:pPr>
                    <w:pStyle w:val="166"/>
                    <w:keepNext w:val="0"/>
                    <w:keepLines w:val="0"/>
                    <w:suppressLineNumbers w:val="0"/>
                    <w:spacing w:after="0" w:afterAutospacing="0"/>
                    <w:ind w:left="0" w:leftChars="0" w:right="0" w:firstLine="0" w:firstLineChars="0"/>
                    <w:jc w:val="center"/>
                    <w:rPr>
                      <w:rFonts w:ascii="Times New Roman" w:hAnsi="Times New Roman" w:eastAsia="宋体"/>
                      <w:color w:val="auto"/>
                      <w:sz w:val="21"/>
                      <w:szCs w:val="21"/>
                      <w:highlight w:val="none"/>
                    </w:rPr>
                  </w:pPr>
                  <w:r>
                    <w:rPr>
                      <w:rFonts w:hint="eastAsia" w:ascii="Times New Roman" w:hAnsi="Times New Roman" w:eastAsia="宋体" w:cs="Times New Roman"/>
                      <w:bCs/>
                      <w:color w:val="auto"/>
                      <w:sz w:val="21"/>
                      <w:szCs w:val="21"/>
                      <w:highlight w:val="none"/>
                      <w:lang w:val="en-US" w:eastAsia="zh-CN"/>
                    </w:rPr>
                    <w:t>《家具制造行业挥发性有机化合物排放标准》（DB44/814-2010）表2无组织排放监控点浓度限值与《印刷行业挥发性有机化合物排放标准》（DB44/815-2010）表3无组织排放监控点浓度限值两者较严值</w:t>
                  </w:r>
                </w:p>
              </w:tc>
              <w:tc>
                <w:tcPr>
                  <w:tcW w:w="352" w:type="pct"/>
                  <w:vMerge w:val="continue"/>
                  <w:tcBorders>
                    <w:tl2br w:val="nil"/>
                    <w:tr2bl w:val="nil"/>
                  </w:tcBorders>
                  <w:vAlign w:val="center"/>
                </w:tcPr>
                <w:p w14:paraId="0DF1D974">
                  <w:pPr>
                    <w:keepNext w:val="0"/>
                    <w:keepLines w:val="0"/>
                    <w:widowControl/>
                    <w:suppressLineNumbers w:val="0"/>
                    <w:spacing w:before="0" w:beforeAutospacing="0" w:after="0" w:afterAutospacing="0"/>
                    <w:ind w:left="0" w:right="0"/>
                    <w:jc w:val="center"/>
                    <w:rPr>
                      <w:rFonts w:ascii="Times New Roman" w:hAnsi="Times New Roman" w:eastAsia="宋体"/>
                      <w:color w:val="auto"/>
                      <w:kern w:val="0"/>
                      <w:sz w:val="21"/>
                      <w:szCs w:val="21"/>
                      <w:highlight w:val="none"/>
                    </w:rPr>
                  </w:pPr>
                </w:p>
              </w:tc>
            </w:tr>
            <w:tr w14:paraId="1BF6D8B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2" w:type="pct"/>
                  <w:tcBorders>
                    <w:tl2br w:val="nil"/>
                    <w:tr2bl w:val="nil"/>
                  </w:tcBorders>
                  <w:vAlign w:val="center"/>
                </w:tcPr>
                <w:p w14:paraId="4701EB92">
                  <w:pPr>
                    <w:keepNext w:val="0"/>
                    <w:keepLines w:val="0"/>
                    <w:widowControl/>
                    <w:suppressLineNumbers w:val="0"/>
                    <w:spacing w:before="0" w:beforeAutospacing="0" w:after="0" w:afterAutospacing="0"/>
                    <w:ind w:left="0" w:right="0"/>
                    <w:jc w:val="center"/>
                    <w:rPr>
                      <w:rFonts w:hint="eastAsia" w:ascii="Times New Roman" w:hAnsi="Times New Roman" w:eastAsia="宋体"/>
                      <w:color w:val="auto"/>
                      <w:kern w:val="0"/>
                      <w:sz w:val="21"/>
                      <w:szCs w:val="21"/>
                      <w:highlight w:val="none"/>
                      <w:lang w:val="en-US" w:eastAsia="zh-CN"/>
                    </w:rPr>
                  </w:pPr>
                  <w:r>
                    <w:rPr>
                      <w:rFonts w:hint="eastAsia" w:ascii="Times New Roman" w:hAnsi="Times New Roman" w:eastAsia="宋体"/>
                      <w:color w:val="auto"/>
                      <w:kern w:val="0"/>
                      <w:sz w:val="21"/>
                      <w:szCs w:val="21"/>
                      <w:highlight w:val="none"/>
                      <w:lang w:val="en-US" w:eastAsia="zh-CN"/>
                    </w:rPr>
                    <w:t>甲苯</w:t>
                  </w:r>
                </w:p>
              </w:tc>
              <w:tc>
                <w:tcPr>
                  <w:tcW w:w="455" w:type="pct"/>
                  <w:vMerge w:val="continue"/>
                  <w:tcBorders>
                    <w:tl2br w:val="nil"/>
                    <w:tr2bl w:val="nil"/>
                  </w:tcBorders>
                  <w:vAlign w:val="center"/>
                </w:tcPr>
                <w:p w14:paraId="2345DF3E">
                  <w:pPr>
                    <w:pStyle w:val="166"/>
                    <w:keepNext w:val="0"/>
                    <w:keepLines w:val="0"/>
                    <w:suppressLineNumbers w:val="0"/>
                    <w:spacing w:after="0" w:afterAutospacing="0"/>
                    <w:ind w:left="0" w:leftChars="0" w:right="0" w:firstLine="0" w:firstLineChars="0"/>
                    <w:jc w:val="center"/>
                    <w:rPr>
                      <w:rFonts w:ascii="Times New Roman" w:hAnsi="Times New Roman" w:eastAsia="宋体"/>
                      <w:color w:val="auto"/>
                      <w:sz w:val="21"/>
                      <w:szCs w:val="21"/>
                      <w:highlight w:val="none"/>
                    </w:rPr>
                  </w:pPr>
                </w:p>
              </w:tc>
              <w:tc>
                <w:tcPr>
                  <w:tcW w:w="657" w:type="pct"/>
                  <w:tcBorders>
                    <w:tl2br w:val="nil"/>
                    <w:tr2bl w:val="nil"/>
                  </w:tcBorders>
                  <w:vAlign w:val="center"/>
                </w:tcPr>
                <w:p w14:paraId="05D37088">
                  <w:pPr>
                    <w:pStyle w:val="166"/>
                    <w:keepNext w:val="0"/>
                    <w:keepLines w:val="0"/>
                    <w:suppressLineNumbers w:val="0"/>
                    <w:spacing w:after="0" w:afterAutospacing="0"/>
                    <w:ind w:left="0" w:leftChars="0" w:right="0" w:firstLine="0" w:firstLine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0.8</w:t>
                  </w:r>
                </w:p>
              </w:tc>
              <w:tc>
                <w:tcPr>
                  <w:tcW w:w="3051" w:type="pct"/>
                  <w:tcBorders>
                    <w:tl2br w:val="nil"/>
                    <w:tr2bl w:val="nil"/>
                  </w:tcBorders>
                  <w:vAlign w:val="center"/>
                </w:tcPr>
                <w:p w14:paraId="2876622D">
                  <w:pPr>
                    <w:pStyle w:val="166"/>
                    <w:keepNext w:val="0"/>
                    <w:keepLines w:val="0"/>
                    <w:suppressLineNumbers w:val="0"/>
                    <w:spacing w:after="0" w:afterAutospacing="0"/>
                    <w:ind w:left="0" w:leftChars="0" w:right="0" w:firstLine="0" w:firstLineChars="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《合成树脂工业污染物排放标准》（GB31572-2015，含2024年修改单）表9企业边界大气污染物浓度限值</w:t>
                  </w:r>
                </w:p>
              </w:tc>
              <w:tc>
                <w:tcPr>
                  <w:tcW w:w="352" w:type="pct"/>
                  <w:vMerge w:val="continue"/>
                  <w:tcBorders>
                    <w:tl2br w:val="nil"/>
                    <w:tr2bl w:val="nil"/>
                  </w:tcBorders>
                  <w:vAlign w:val="center"/>
                </w:tcPr>
                <w:p w14:paraId="6A91D3C4">
                  <w:pPr>
                    <w:keepNext w:val="0"/>
                    <w:keepLines w:val="0"/>
                    <w:widowControl/>
                    <w:suppressLineNumbers w:val="0"/>
                    <w:spacing w:before="0" w:beforeAutospacing="0" w:after="0" w:afterAutospacing="0"/>
                    <w:ind w:left="0" w:right="0"/>
                    <w:jc w:val="center"/>
                    <w:rPr>
                      <w:rFonts w:ascii="Times New Roman" w:hAnsi="Times New Roman" w:eastAsia="宋体"/>
                      <w:color w:val="auto"/>
                      <w:kern w:val="0"/>
                      <w:sz w:val="21"/>
                      <w:szCs w:val="21"/>
                      <w:highlight w:val="none"/>
                    </w:rPr>
                  </w:pPr>
                </w:p>
              </w:tc>
            </w:tr>
            <w:tr w14:paraId="35852B7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2" w:type="pct"/>
                  <w:tcBorders>
                    <w:tl2br w:val="nil"/>
                    <w:tr2bl w:val="nil"/>
                  </w:tcBorders>
                  <w:vAlign w:val="center"/>
                </w:tcPr>
                <w:p w14:paraId="7547096D">
                  <w:pPr>
                    <w:keepNext w:val="0"/>
                    <w:keepLines w:val="0"/>
                    <w:widowControl/>
                    <w:suppressLineNumbers w:val="0"/>
                    <w:spacing w:before="0" w:beforeAutospacing="0" w:after="0" w:afterAutospacing="0"/>
                    <w:ind w:left="0" w:right="0"/>
                    <w:jc w:val="center"/>
                    <w:rPr>
                      <w:rFonts w:hint="eastAsia" w:ascii="Times New Roman" w:hAnsi="Times New Roman" w:eastAsia="宋体"/>
                      <w:color w:val="auto"/>
                      <w:kern w:val="0"/>
                      <w:sz w:val="21"/>
                      <w:szCs w:val="21"/>
                      <w:highlight w:val="none"/>
                      <w:lang w:val="en-US" w:eastAsia="zh-CN"/>
                    </w:rPr>
                  </w:pPr>
                  <w:r>
                    <w:rPr>
                      <w:rFonts w:hint="eastAsia" w:ascii="Times New Roman" w:hAnsi="Times New Roman" w:eastAsia="宋体"/>
                      <w:color w:val="auto"/>
                      <w:kern w:val="0"/>
                      <w:sz w:val="21"/>
                      <w:szCs w:val="21"/>
                      <w:highlight w:val="none"/>
                      <w:lang w:val="en-US" w:eastAsia="zh-CN"/>
                    </w:rPr>
                    <w:t>氯化氢</w:t>
                  </w:r>
                </w:p>
              </w:tc>
              <w:tc>
                <w:tcPr>
                  <w:tcW w:w="455" w:type="pct"/>
                  <w:vMerge w:val="continue"/>
                  <w:tcBorders>
                    <w:tl2br w:val="nil"/>
                    <w:tr2bl w:val="nil"/>
                  </w:tcBorders>
                  <w:vAlign w:val="center"/>
                </w:tcPr>
                <w:p w14:paraId="05A68655">
                  <w:pPr>
                    <w:pStyle w:val="166"/>
                    <w:keepNext w:val="0"/>
                    <w:keepLines w:val="0"/>
                    <w:suppressLineNumbers w:val="0"/>
                    <w:spacing w:after="0" w:afterAutospacing="0"/>
                    <w:ind w:left="0" w:leftChars="0" w:right="0" w:firstLine="0" w:firstLineChars="0"/>
                    <w:jc w:val="center"/>
                    <w:rPr>
                      <w:rFonts w:ascii="Times New Roman" w:hAnsi="Times New Roman" w:eastAsia="宋体"/>
                      <w:color w:val="auto"/>
                      <w:sz w:val="21"/>
                      <w:szCs w:val="21"/>
                      <w:highlight w:val="none"/>
                    </w:rPr>
                  </w:pPr>
                </w:p>
              </w:tc>
              <w:tc>
                <w:tcPr>
                  <w:tcW w:w="657" w:type="pct"/>
                  <w:tcBorders>
                    <w:tl2br w:val="nil"/>
                    <w:tr2bl w:val="nil"/>
                  </w:tcBorders>
                  <w:vAlign w:val="center"/>
                </w:tcPr>
                <w:p w14:paraId="1C7A3960">
                  <w:pPr>
                    <w:pStyle w:val="166"/>
                    <w:keepNext w:val="0"/>
                    <w:keepLines w:val="0"/>
                    <w:suppressLineNumbers w:val="0"/>
                    <w:spacing w:after="0" w:afterAutospacing="0"/>
                    <w:ind w:left="0" w:leftChars="0" w:right="0" w:firstLine="0" w:firstLine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0.2</w:t>
                  </w:r>
                </w:p>
              </w:tc>
              <w:tc>
                <w:tcPr>
                  <w:tcW w:w="3051" w:type="pct"/>
                  <w:vMerge w:val="restart"/>
                  <w:tcBorders>
                    <w:tl2br w:val="nil"/>
                    <w:tr2bl w:val="nil"/>
                  </w:tcBorders>
                  <w:vAlign w:val="center"/>
                </w:tcPr>
                <w:p w14:paraId="4BAFD6B5">
                  <w:pPr>
                    <w:pStyle w:val="166"/>
                    <w:keepNext w:val="0"/>
                    <w:keepLines w:val="0"/>
                    <w:suppressLineNumbers w:val="0"/>
                    <w:spacing w:after="0" w:afterAutospacing="0"/>
                    <w:ind w:left="0" w:leftChars="0" w:right="0" w:firstLine="0" w:firstLineChars="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广东省地方标准《大气污染物排放限值》（DB44/27-2001）表2第二时段无组织排放监控浓度限值</w:t>
                  </w:r>
                </w:p>
              </w:tc>
              <w:tc>
                <w:tcPr>
                  <w:tcW w:w="352" w:type="pct"/>
                  <w:vMerge w:val="continue"/>
                  <w:tcBorders>
                    <w:tl2br w:val="nil"/>
                    <w:tr2bl w:val="nil"/>
                  </w:tcBorders>
                  <w:vAlign w:val="center"/>
                </w:tcPr>
                <w:p w14:paraId="27191E2C">
                  <w:pPr>
                    <w:keepNext w:val="0"/>
                    <w:keepLines w:val="0"/>
                    <w:widowControl/>
                    <w:suppressLineNumbers w:val="0"/>
                    <w:spacing w:before="0" w:beforeAutospacing="0" w:after="0" w:afterAutospacing="0"/>
                    <w:ind w:left="0" w:right="0"/>
                    <w:jc w:val="center"/>
                    <w:rPr>
                      <w:rFonts w:ascii="Times New Roman" w:hAnsi="Times New Roman" w:eastAsia="宋体"/>
                      <w:color w:val="auto"/>
                      <w:kern w:val="0"/>
                      <w:sz w:val="21"/>
                      <w:szCs w:val="21"/>
                      <w:highlight w:val="none"/>
                    </w:rPr>
                  </w:pPr>
                </w:p>
              </w:tc>
            </w:tr>
            <w:tr w14:paraId="1DA29A0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2" w:type="pct"/>
                  <w:tcBorders>
                    <w:tl2br w:val="nil"/>
                    <w:tr2bl w:val="nil"/>
                  </w:tcBorders>
                  <w:vAlign w:val="center"/>
                </w:tcPr>
                <w:p w14:paraId="000E8371">
                  <w:pPr>
                    <w:keepNext w:val="0"/>
                    <w:keepLines w:val="0"/>
                    <w:widowControl/>
                    <w:suppressLineNumbers w:val="0"/>
                    <w:spacing w:before="0" w:beforeAutospacing="0" w:after="0" w:afterAutospacing="0"/>
                    <w:ind w:left="0" w:right="0"/>
                    <w:jc w:val="center"/>
                    <w:rPr>
                      <w:rFonts w:hint="eastAsia" w:ascii="Times New Roman" w:hAnsi="Times New Roman" w:eastAsia="宋体"/>
                      <w:color w:val="auto"/>
                      <w:kern w:val="0"/>
                      <w:sz w:val="21"/>
                      <w:szCs w:val="21"/>
                      <w:highlight w:val="none"/>
                      <w:lang w:val="en-US" w:eastAsia="zh-CN"/>
                    </w:rPr>
                  </w:pPr>
                  <w:r>
                    <w:rPr>
                      <w:rFonts w:hint="eastAsia" w:ascii="Times New Roman" w:hAnsi="Times New Roman" w:eastAsia="宋体"/>
                      <w:color w:val="auto"/>
                      <w:kern w:val="0"/>
                      <w:sz w:val="21"/>
                      <w:szCs w:val="21"/>
                      <w:highlight w:val="none"/>
                      <w:lang w:val="en-US" w:eastAsia="zh-CN"/>
                    </w:rPr>
                    <w:t>氯乙烯</w:t>
                  </w:r>
                </w:p>
              </w:tc>
              <w:tc>
                <w:tcPr>
                  <w:tcW w:w="455" w:type="pct"/>
                  <w:vMerge w:val="continue"/>
                  <w:tcBorders>
                    <w:tl2br w:val="nil"/>
                    <w:tr2bl w:val="nil"/>
                  </w:tcBorders>
                  <w:vAlign w:val="center"/>
                </w:tcPr>
                <w:p w14:paraId="6AD45A31">
                  <w:pPr>
                    <w:pStyle w:val="166"/>
                    <w:keepNext w:val="0"/>
                    <w:keepLines w:val="0"/>
                    <w:suppressLineNumbers w:val="0"/>
                    <w:spacing w:after="0" w:afterAutospacing="0"/>
                    <w:ind w:left="0" w:leftChars="0" w:right="0" w:firstLine="0" w:firstLineChars="0"/>
                    <w:jc w:val="center"/>
                    <w:rPr>
                      <w:rFonts w:ascii="Times New Roman" w:hAnsi="Times New Roman" w:eastAsia="宋体"/>
                      <w:color w:val="auto"/>
                      <w:sz w:val="21"/>
                      <w:szCs w:val="21"/>
                      <w:highlight w:val="none"/>
                    </w:rPr>
                  </w:pPr>
                </w:p>
              </w:tc>
              <w:tc>
                <w:tcPr>
                  <w:tcW w:w="657" w:type="pct"/>
                  <w:tcBorders>
                    <w:tl2br w:val="nil"/>
                    <w:tr2bl w:val="nil"/>
                  </w:tcBorders>
                  <w:vAlign w:val="center"/>
                </w:tcPr>
                <w:p w14:paraId="2A1A7AD6">
                  <w:pPr>
                    <w:pStyle w:val="166"/>
                    <w:keepNext w:val="0"/>
                    <w:keepLines w:val="0"/>
                    <w:suppressLineNumbers w:val="0"/>
                    <w:spacing w:after="0" w:afterAutospacing="0"/>
                    <w:ind w:left="0" w:leftChars="0" w:right="0" w:firstLine="0" w:firstLine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0.6</w:t>
                  </w:r>
                </w:p>
              </w:tc>
              <w:tc>
                <w:tcPr>
                  <w:tcW w:w="3051" w:type="pct"/>
                  <w:vMerge w:val="continue"/>
                  <w:tcBorders>
                    <w:tl2br w:val="nil"/>
                    <w:tr2bl w:val="nil"/>
                  </w:tcBorders>
                  <w:vAlign w:val="center"/>
                </w:tcPr>
                <w:p w14:paraId="261C0AC2">
                  <w:pPr>
                    <w:pStyle w:val="166"/>
                    <w:keepNext w:val="0"/>
                    <w:keepLines w:val="0"/>
                    <w:suppressLineNumbers w:val="0"/>
                    <w:spacing w:after="0" w:afterAutospacing="0"/>
                    <w:ind w:left="0" w:leftChars="0" w:right="0" w:firstLine="0" w:firstLineChars="0"/>
                    <w:jc w:val="center"/>
                    <w:rPr>
                      <w:rFonts w:ascii="Times New Roman" w:hAnsi="Times New Roman" w:eastAsia="宋体"/>
                      <w:color w:val="auto"/>
                      <w:sz w:val="21"/>
                      <w:szCs w:val="21"/>
                      <w:highlight w:val="none"/>
                    </w:rPr>
                  </w:pPr>
                </w:p>
              </w:tc>
              <w:tc>
                <w:tcPr>
                  <w:tcW w:w="352" w:type="pct"/>
                  <w:vMerge w:val="continue"/>
                  <w:tcBorders>
                    <w:tl2br w:val="nil"/>
                    <w:tr2bl w:val="nil"/>
                  </w:tcBorders>
                  <w:vAlign w:val="center"/>
                </w:tcPr>
                <w:p w14:paraId="4CFA5999">
                  <w:pPr>
                    <w:keepNext w:val="0"/>
                    <w:keepLines w:val="0"/>
                    <w:widowControl/>
                    <w:suppressLineNumbers w:val="0"/>
                    <w:spacing w:before="0" w:beforeAutospacing="0" w:after="0" w:afterAutospacing="0"/>
                    <w:ind w:left="0" w:right="0"/>
                    <w:jc w:val="center"/>
                    <w:rPr>
                      <w:rFonts w:ascii="Times New Roman" w:hAnsi="Times New Roman" w:eastAsia="宋体"/>
                      <w:color w:val="auto"/>
                      <w:kern w:val="0"/>
                      <w:sz w:val="21"/>
                      <w:szCs w:val="21"/>
                      <w:highlight w:val="none"/>
                    </w:rPr>
                  </w:pPr>
                </w:p>
              </w:tc>
            </w:tr>
            <w:tr w14:paraId="4E2DD6E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2" w:type="pct"/>
                  <w:tcBorders>
                    <w:tl2br w:val="nil"/>
                    <w:tr2bl w:val="nil"/>
                  </w:tcBorders>
                  <w:vAlign w:val="center"/>
                </w:tcPr>
                <w:p w14:paraId="59845EEA">
                  <w:pPr>
                    <w:keepNext w:val="0"/>
                    <w:keepLines w:val="0"/>
                    <w:widowControl/>
                    <w:suppressLineNumbers w:val="0"/>
                    <w:spacing w:before="0" w:beforeAutospacing="0" w:after="0" w:afterAutospacing="0"/>
                    <w:ind w:left="0" w:right="0"/>
                    <w:jc w:val="center"/>
                    <w:rPr>
                      <w:rFonts w:hint="default" w:ascii="Times New Roman" w:hAnsi="Times New Roman" w:eastAsia="宋体"/>
                      <w:color w:val="auto"/>
                      <w:kern w:val="0"/>
                      <w:sz w:val="21"/>
                      <w:szCs w:val="21"/>
                      <w:highlight w:val="none"/>
                      <w:lang w:val="en-US" w:eastAsia="zh-CN"/>
                    </w:rPr>
                  </w:pPr>
                  <w:r>
                    <w:rPr>
                      <w:rFonts w:hint="eastAsia" w:ascii="Times New Roman" w:hAnsi="Times New Roman" w:eastAsia="宋体"/>
                      <w:color w:val="auto"/>
                      <w:kern w:val="0"/>
                      <w:sz w:val="21"/>
                      <w:szCs w:val="21"/>
                      <w:highlight w:val="none"/>
                      <w:lang w:val="en-US" w:eastAsia="zh-CN"/>
                    </w:rPr>
                    <w:t>臭气浓度</w:t>
                  </w:r>
                </w:p>
              </w:tc>
              <w:tc>
                <w:tcPr>
                  <w:tcW w:w="455" w:type="pct"/>
                  <w:vMerge w:val="continue"/>
                  <w:tcBorders>
                    <w:tl2br w:val="nil"/>
                    <w:tr2bl w:val="nil"/>
                  </w:tcBorders>
                  <w:vAlign w:val="center"/>
                </w:tcPr>
                <w:p w14:paraId="106483B7">
                  <w:pPr>
                    <w:pStyle w:val="166"/>
                    <w:keepNext w:val="0"/>
                    <w:keepLines w:val="0"/>
                    <w:suppressLineNumbers w:val="0"/>
                    <w:spacing w:after="0" w:afterAutospacing="0"/>
                    <w:ind w:left="0" w:leftChars="0" w:right="0" w:firstLine="0" w:firstLineChars="0"/>
                    <w:jc w:val="center"/>
                    <w:rPr>
                      <w:rFonts w:ascii="Times New Roman" w:hAnsi="Times New Roman" w:eastAsia="宋体"/>
                      <w:color w:val="auto"/>
                      <w:sz w:val="21"/>
                      <w:szCs w:val="21"/>
                      <w:highlight w:val="none"/>
                    </w:rPr>
                  </w:pPr>
                </w:p>
              </w:tc>
              <w:tc>
                <w:tcPr>
                  <w:tcW w:w="657" w:type="pct"/>
                  <w:tcBorders>
                    <w:tl2br w:val="nil"/>
                    <w:tr2bl w:val="nil"/>
                  </w:tcBorders>
                  <w:vAlign w:val="center"/>
                </w:tcPr>
                <w:p w14:paraId="6249C2C8">
                  <w:pPr>
                    <w:pStyle w:val="166"/>
                    <w:keepNext w:val="0"/>
                    <w:keepLines w:val="0"/>
                    <w:suppressLineNumbers w:val="0"/>
                    <w:spacing w:after="0" w:afterAutospacing="0"/>
                    <w:ind w:left="0" w:leftChars="0" w:right="0" w:firstLine="0" w:firstLineChars="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20（无量纲）</w:t>
                  </w:r>
                </w:p>
              </w:tc>
              <w:tc>
                <w:tcPr>
                  <w:tcW w:w="3051" w:type="pct"/>
                  <w:tcBorders>
                    <w:tl2br w:val="nil"/>
                    <w:tr2bl w:val="nil"/>
                  </w:tcBorders>
                  <w:vAlign w:val="center"/>
                </w:tcPr>
                <w:p w14:paraId="77E80234">
                  <w:pPr>
                    <w:pStyle w:val="166"/>
                    <w:keepNext w:val="0"/>
                    <w:keepLines w:val="0"/>
                    <w:suppressLineNumbers w:val="0"/>
                    <w:spacing w:after="0" w:afterAutospacing="0"/>
                    <w:ind w:left="0" w:leftChars="0" w:right="0" w:firstLine="0" w:firstLineChars="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《恶臭污染物排放标准》（GB14554-93）表1恶臭污染物厂界二级新改扩建标准</w:t>
                  </w:r>
                </w:p>
              </w:tc>
              <w:tc>
                <w:tcPr>
                  <w:tcW w:w="352" w:type="pct"/>
                  <w:vMerge w:val="continue"/>
                  <w:tcBorders>
                    <w:tl2br w:val="nil"/>
                    <w:tr2bl w:val="nil"/>
                  </w:tcBorders>
                  <w:vAlign w:val="center"/>
                </w:tcPr>
                <w:p w14:paraId="323A9A1B">
                  <w:pPr>
                    <w:keepNext w:val="0"/>
                    <w:keepLines w:val="0"/>
                    <w:widowControl/>
                    <w:suppressLineNumbers w:val="0"/>
                    <w:spacing w:before="0" w:beforeAutospacing="0" w:after="0" w:afterAutospacing="0"/>
                    <w:ind w:left="0" w:right="0"/>
                    <w:jc w:val="center"/>
                    <w:rPr>
                      <w:rFonts w:ascii="Times New Roman" w:hAnsi="Times New Roman" w:eastAsia="宋体"/>
                      <w:color w:val="auto"/>
                      <w:kern w:val="0"/>
                      <w:sz w:val="21"/>
                      <w:szCs w:val="21"/>
                      <w:highlight w:val="none"/>
                    </w:rPr>
                  </w:pPr>
                </w:p>
              </w:tc>
            </w:tr>
            <w:tr w14:paraId="2153E0A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2" w:type="pct"/>
                  <w:vMerge w:val="restart"/>
                  <w:tcBorders>
                    <w:tl2br w:val="nil"/>
                    <w:tr2bl w:val="nil"/>
                  </w:tcBorders>
                  <w:vAlign w:val="center"/>
                </w:tcPr>
                <w:p w14:paraId="5654D117">
                  <w:pPr>
                    <w:keepNext w:val="0"/>
                    <w:keepLines w:val="0"/>
                    <w:widowControl/>
                    <w:suppressLineNumbers w:val="0"/>
                    <w:spacing w:before="0" w:beforeAutospacing="0" w:after="0" w:afterAutospacing="0"/>
                    <w:ind w:left="0" w:right="0"/>
                    <w:jc w:val="center"/>
                    <w:rPr>
                      <w:rFonts w:hint="default" w:ascii="Times New Roman" w:hAnsi="Times New Roman" w:eastAsia="宋体"/>
                      <w:color w:val="auto"/>
                      <w:kern w:val="0"/>
                      <w:sz w:val="21"/>
                      <w:szCs w:val="21"/>
                      <w:highlight w:val="none"/>
                      <w:lang w:val="en-US" w:eastAsia="zh-CN"/>
                    </w:rPr>
                  </w:pPr>
                  <w:r>
                    <w:rPr>
                      <w:rFonts w:hint="eastAsia" w:ascii="Times New Roman" w:hAnsi="Times New Roman" w:eastAsia="宋体"/>
                      <w:color w:val="auto"/>
                      <w:kern w:val="0"/>
                      <w:sz w:val="21"/>
                      <w:szCs w:val="21"/>
                      <w:highlight w:val="none"/>
                      <w:lang w:val="en-US" w:eastAsia="zh-CN"/>
                    </w:rPr>
                    <w:t>非甲烷总烃</w:t>
                  </w:r>
                </w:p>
              </w:tc>
              <w:tc>
                <w:tcPr>
                  <w:tcW w:w="455" w:type="pct"/>
                  <w:vMerge w:val="restart"/>
                  <w:tcBorders>
                    <w:tl2br w:val="nil"/>
                    <w:tr2bl w:val="nil"/>
                  </w:tcBorders>
                  <w:vAlign w:val="center"/>
                </w:tcPr>
                <w:p w14:paraId="614FC7E3">
                  <w:pPr>
                    <w:pStyle w:val="166"/>
                    <w:keepNext w:val="0"/>
                    <w:keepLines w:val="0"/>
                    <w:suppressLineNumbers w:val="0"/>
                    <w:spacing w:after="0" w:afterAutospacing="0"/>
                    <w:ind w:left="0" w:leftChars="0" w:right="0" w:firstLine="0" w:firstLineChars="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在厂房外设置监控点</w:t>
                  </w:r>
                </w:p>
              </w:tc>
              <w:tc>
                <w:tcPr>
                  <w:tcW w:w="657" w:type="pct"/>
                  <w:tcBorders>
                    <w:tl2br w:val="nil"/>
                    <w:tr2bl w:val="nil"/>
                  </w:tcBorders>
                  <w:vAlign w:val="center"/>
                </w:tcPr>
                <w:p w14:paraId="28D85918">
                  <w:pPr>
                    <w:pStyle w:val="166"/>
                    <w:keepNext w:val="0"/>
                    <w:keepLines w:val="0"/>
                    <w:suppressLineNumbers w:val="0"/>
                    <w:spacing w:after="0" w:afterAutospacing="0"/>
                    <w:ind w:left="0" w:leftChars="0" w:right="0" w:firstLine="0" w:firstLineChars="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6（监控点处1h平均浓度值）</w:t>
                  </w:r>
                </w:p>
              </w:tc>
              <w:tc>
                <w:tcPr>
                  <w:tcW w:w="3051" w:type="pct"/>
                  <w:vMerge w:val="restart"/>
                  <w:tcBorders>
                    <w:tl2br w:val="nil"/>
                    <w:tr2bl w:val="nil"/>
                  </w:tcBorders>
                  <w:vAlign w:val="center"/>
                </w:tcPr>
                <w:p w14:paraId="650C984D">
                  <w:pPr>
                    <w:pStyle w:val="166"/>
                    <w:keepNext w:val="0"/>
                    <w:keepLines w:val="0"/>
                    <w:suppressLineNumbers w:val="0"/>
                    <w:spacing w:after="0" w:afterAutospacing="0"/>
                    <w:ind w:left="0" w:leftChars="0" w:right="0" w:firstLine="0" w:firstLineChars="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广东省《固定污染源挥发性有机物综合排放标准》（DB44/2367-2022）表3厂区内VOCs无组织排放限值与《印刷工业大气污染物排放标准》(GB41616-2022)表A.1厂区内VOCs无组织排放限值两者较严值</w:t>
                  </w:r>
                </w:p>
              </w:tc>
              <w:tc>
                <w:tcPr>
                  <w:tcW w:w="352" w:type="pct"/>
                  <w:vMerge w:val="restart"/>
                  <w:tcBorders>
                    <w:tl2br w:val="nil"/>
                    <w:tr2bl w:val="nil"/>
                  </w:tcBorders>
                  <w:vAlign w:val="center"/>
                </w:tcPr>
                <w:p w14:paraId="79A270DD">
                  <w:pPr>
                    <w:keepNext w:val="0"/>
                    <w:keepLines w:val="0"/>
                    <w:widowControl/>
                    <w:suppressLineNumbers w:val="0"/>
                    <w:spacing w:before="0" w:beforeAutospacing="0" w:after="0" w:afterAutospacing="0"/>
                    <w:ind w:left="0" w:right="0"/>
                    <w:jc w:val="center"/>
                    <w:rPr>
                      <w:rFonts w:hint="default" w:ascii="Times New Roman" w:hAnsi="Times New Roman" w:eastAsia="宋体"/>
                      <w:color w:val="auto"/>
                      <w:kern w:val="0"/>
                      <w:sz w:val="21"/>
                      <w:szCs w:val="21"/>
                      <w:highlight w:val="none"/>
                      <w:lang w:val="en-US" w:eastAsia="zh-CN"/>
                    </w:rPr>
                  </w:pPr>
                  <w:r>
                    <w:rPr>
                      <w:rFonts w:hint="eastAsia" w:ascii="Times New Roman" w:hAnsi="Times New Roman" w:eastAsia="宋体"/>
                      <w:color w:val="auto"/>
                      <w:kern w:val="0"/>
                      <w:sz w:val="21"/>
                      <w:szCs w:val="21"/>
                      <w:highlight w:val="none"/>
                      <w:lang w:val="en-US" w:eastAsia="zh-CN"/>
                    </w:rPr>
                    <w:t>厂区内无组织</w:t>
                  </w:r>
                </w:p>
              </w:tc>
            </w:tr>
            <w:tr w14:paraId="299C912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82" w:type="pct"/>
                  <w:vMerge w:val="continue"/>
                  <w:tcBorders>
                    <w:tl2br w:val="nil"/>
                    <w:tr2bl w:val="nil"/>
                  </w:tcBorders>
                  <w:vAlign w:val="center"/>
                </w:tcPr>
                <w:p w14:paraId="1E1F316D">
                  <w:pPr>
                    <w:keepNext w:val="0"/>
                    <w:keepLines w:val="0"/>
                    <w:widowControl/>
                    <w:suppressLineNumbers w:val="0"/>
                    <w:spacing w:before="0" w:beforeAutospacing="0" w:after="0" w:afterAutospacing="0"/>
                    <w:ind w:left="0" w:right="0"/>
                    <w:jc w:val="center"/>
                    <w:rPr>
                      <w:rFonts w:ascii="Times New Roman" w:hAnsi="Times New Roman" w:eastAsia="宋体"/>
                      <w:color w:val="auto"/>
                      <w:kern w:val="0"/>
                      <w:sz w:val="21"/>
                      <w:szCs w:val="21"/>
                      <w:highlight w:val="none"/>
                    </w:rPr>
                  </w:pPr>
                </w:p>
              </w:tc>
              <w:tc>
                <w:tcPr>
                  <w:tcW w:w="455" w:type="pct"/>
                  <w:vMerge w:val="continue"/>
                  <w:tcBorders>
                    <w:tl2br w:val="nil"/>
                    <w:tr2bl w:val="nil"/>
                  </w:tcBorders>
                  <w:vAlign w:val="center"/>
                </w:tcPr>
                <w:p w14:paraId="581F60D8">
                  <w:pPr>
                    <w:pStyle w:val="166"/>
                    <w:keepNext w:val="0"/>
                    <w:keepLines w:val="0"/>
                    <w:suppressLineNumbers w:val="0"/>
                    <w:spacing w:after="0" w:afterAutospacing="0"/>
                    <w:ind w:left="0" w:leftChars="0" w:right="0" w:firstLine="0" w:firstLineChars="0"/>
                    <w:jc w:val="center"/>
                    <w:rPr>
                      <w:rFonts w:ascii="Times New Roman" w:hAnsi="Times New Roman" w:eastAsia="宋体"/>
                      <w:color w:val="auto"/>
                      <w:sz w:val="21"/>
                      <w:szCs w:val="21"/>
                      <w:highlight w:val="none"/>
                    </w:rPr>
                  </w:pPr>
                </w:p>
              </w:tc>
              <w:tc>
                <w:tcPr>
                  <w:tcW w:w="657" w:type="pct"/>
                  <w:tcBorders>
                    <w:tl2br w:val="nil"/>
                    <w:tr2bl w:val="nil"/>
                  </w:tcBorders>
                  <w:vAlign w:val="center"/>
                </w:tcPr>
                <w:p w14:paraId="1578AAEC">
                  <w:pPr>
                    <w:pStyle w:val="166"/>
                    <w:keepNext w:val="0"/>
                    <w:keepLines w:val="0"/>
                    <w:suppressLineNumbers w:val="0"/>
                    <w:spacing w:after="0" w:afterAutospacing="0"/>
                    <w:ind w:left="0" w:leftChars="0" w:right="0" w:firstLine="0" w:firstLineChars="0"/>
                    <w:jc w:val="center"/>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20（监控点处任意一次浓度值）</w:t>
                  </w:r>
                </w:p>
              </w:tc>
              <w:tc>
                <w:tcPr>
                  <w:tcW w:w="3051" w:type="pct"/>
                  <w:vMerge w:val="continue"/>
                  <w:tcBorders>
                    <w:tl2br w:val="nil"/>
                    <w:tr2bl w:val="nil"/>
                  </w:tcBorders>
                  <w:vAlign w:val="center"/>
                </w:tcPr>
                <w:p w14:paraId="14C87D7E">
                  <w:pPr>
                    <w:pStyle w:val="166"/>
                    <w:keepNext w:val="0"/>
                    <w:keepLines w:val="0"/>
                    <w:suppressLineNumbers w:val="0"/>
                    <w:spacing w:after="0" w:afterAutospacing="0"/>
                    <w:ind w:left="0" w:leftChars="0" w:right="0" w:firstLine="0" w:firstLineChars="0"/>
                    <w:jc w:val="center"/>
                    <w:rPr>
                      <w:rFonts w:ascii="Times New Roman" w:hAnsi="Times New Roman" w:eastAsia="宋体"/>
                      <w:color w:val="auto"/>
                      <w:sz w:val="21"/>
                      <w:szCs w:val="21"/>
                      <w:highlight w:val="none"/>
                    </w:rPr>
                  </w:pPr>
                </w:p>
              </w:tc>
              <w:tc>
                <w:tcPr>
                  <w:tcW w:w="352" w:type="pct"/>
                  <w:vMerge w:val="continue"/>
                  <w:tcBorders>
                    <w:tl2br w:val="nil"/>
                    <w:tr2bl w:val="nil"/>
                  </w:tcBorders>
                  <w:vAlign w:val="center"/>
                </w:tcPr>
                <w:p w14:paraId="6A243352">
                  <w:pPr>
                    <w:keepNext w:val="0"/>
                    <w:keepLines w:val="0"/>
                    <w:widowControl/>
                    <w:suppressLineNumbers w:val="0"/>
                    <w:spacing w:before="0" w:beforeAutospacing="0" w:after="0" w:afterAutospacing="0"/>
                    <w:ind w:left="0" w:right="0"/>
                    <w:jc w:val="center"/>
                    <w:rPr>
                      <w:rFonts w:ascii="Times New Roman" w:hAnsi="Times New Roman" w:eastAsia="宋体"/>
                      <w:color w:val="auto"/>
                      <w:kern w:val="0"/>
                      <w:sz w:val="21"/>
                      <w:szCs w:val="21"/>
                      <w:highlight w:val="none"/>
                    </w:rPr>
                  </w:pPr>
                </w:p>
              </w:tc>
            </w:tr>
          </w:tbl>
          <w:p w14:paraId="47F80475">
            <w:pPr>
              <w:pStyle w:val="154"/>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30" w:firstLineChars="200"/>
              <w:textAlignment w:val="auto"/>
              <w:rPr>
                <w:rFonts w:hint="default" w:ascii="Times New Roman" w:hAnsi="Times New Roman" w:eastAsia="宋体"/>
                <w:b/>
                <w:bCs/>
                <w:color w:val="auto"/>
                <w:spacing w:val="2"/>
                <w:sz w:val="21"/>
                <w:szCs w:val="21"/>
                <w:highlight w:val="none"/>
                <w:lang w:val="en-US" w:eastAsia="zh-CN"/>
              </w:rPr>
            </w:pPr>
            <w:r>
              <w:rPr>
                <w:rFonts w:hint="eastAsia" w:ascii="Times New Roman" w:hAnsi="Times New Roman"/>
                <w:b/>
                <w:bCs/>
                <w:color w:val="auto"/>
                <w:spacing w:val="2"/>
                <w:sz w:val="21"/>
                <w:szCs w:val="21"/>
                <w:highlight w:val="none"/>
                <w:lang w:val="en-US" w:eastAsia="zh-CN"/>
              </w:rPr>
              <w:t>2、</w:t>
            </w:r>
            <w:r>
              <w:rPr>
                <w:rFonts w:ascii="Times New Roman" w:hAnsi="Times New Roman" w:eastAsia="宋体"/>
                <w:b/>
                <w:bCs/>
                <w:color w:val="auto"/>
                <w:spacing w:val="2"/>
                <w:sz w:val="21"/>
                <w:szCs w:val="21"/>
                <w:highlight w:val="none"/>
                <w:lang w:eastAsia="zh-CN"/>
              </w:rPr>
              <w:t>废水</w:t>
            </w:r>
            <w:r>
              <w:rPr>
                <w:rFonts w:hint="eastAsia" w:ascii="Times New Roman" w:hAnsi="Times New Roman"/>
                <w:b/>
                <w:bCs/>
                <w:color w:val="auto"/>
                <w:spacing w:val="2"/>
                <w:sz w:val="21"/>
                <w:szCs w:val="21"/>
                <w:highlight w:val="none"/>
                <w:lang w:val="en-US" w:eastAsia="zh-CN"/>
              </w:rPr>
              <w:t>排放标准</w:t>
            </w:r>
          </w:p>
          <w:p w14:paraId="34E48F88">
            <w:pPr>
              <w:pStyle w:val="15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textAlignment w:val="auto"/>
              <w:rPr>
                <w:rFonts w:hint="default" w:ascii="Times New Roman" w:hAnsi="Times New Roman" w:eastAsia="宋体"/>
                <w:color w:val="auto"/>
                <w:spacing w:val="-2"/>
                <w:sz w:val="21"/>
                <w:szCs w:val="21"/>
                <w:highlight w:val="none"/>
                <w:lang w:val="en-US" w:eastAsia="zh-CN"/>
              </w:rPr>
            </w:pPr>
            <w:r>
              <w:rPr>
                <w:rFonts w:hint="eastAsia" w:ascii="Times New Roman" w:hAnsi="Times New Roman" w:eastAsia="宋体"/>
                <w:bCs/>
                <w:color w:val="auto"/>
                <w:sz w:val="21"/>
                <w:szCs w:val="21"/>
                <w:highlight w:val="none"/>
              </w:rPr>
              <w:t>项目</w:t>
            </w:r>
            <w:r>
              <w:rPr>
                <w:rFonts w:hint="eastAsia" w:ascii="Times New Roman" w:hAnsi="Times New Roman" w:eastAsia="宋体"/>
                <w:bCs/>
                <w:color w:val="auto"/>
                <w:sz w:val="21"/>
                <w:szCs w:val="21"/>
                <w:highlight w:val="none"/>
                <w:lang w:val="en-US" w:eastAsia="zh-CN"/>
              </w:rPr>
              <w:t>间接冷却水循环使用，定期补充和更换，更换的冷却废水交由有资质单位处理；清洗废水收集后委托有危险废物处理资质的单位处置，项目不排放生产废水。生活污水经化粪池预处理达到广东省《水污染物排放限值》（DB44/26-2001）中第二时段三级排放标准后通过市政污水管网进入博罗县城污水处理厂进行深度处理，污水厂尾水排放执行《城镇污水处理厂污染物排放标准》（GB18918-2002）的一级A标准及广东省地方标准《水污染物排放限值》（DB44/26-2001）第二时段一级标准中的较严者，其中氨氮、总磷达到《地表水环境质量标准》（GB3838-2002）</w:t>
            </w:r>
            <w:r>
              <w:rPr>
                <w:rFonts w:hint="default" w:ascii="Times New Roman" w:hAnsi="Times New Roman" w:eastAsia="宋体" w:cs="Times New Roman"/>
                <w:bCs/>
                <w:color w:val="auto"/>
                <w:sz w:val="21"/>
                <w:szCs w:val="21"/>
                <w:highlight w:val="none"/>
                <w:lang w:val="en-US" w:eastAsia="zh-CN"/>
              </w:rPr>
              <w:t>Ⅴ类</w:t>
            </w:r>
            <w:r>
              <w:rPr>
                <w:rFonts w:hint="eastAsia" w:ascii="Times New Roman" w:hAnsi="Times New Roman" w:eastAsia="宋体"/>
                <w:bCs/>
                <w:color w:val="auto"/>
                <w:sz w:val="21"/>
                <w:szCs w:val="21"/>
                <w:highlight w:val="none"/>
                <w:lang w:val="en-US" w:eastAsia="zh-CN"/>
              </w:rPr>
              <w:t>标准，尾水排入新角排渠，后汇入东江，具体指标详见下表。</w:t>
            </w:r>
          </w:p>
          <w:p w14:paraId="2A94306B">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宋体" w:eastAsia="宋体" w:cs="Times New Roman"/>
                <w:b/>
                <w:bCs/>
                <w:color w:val="auto"/>
                <w:szCs w:val="21"/>
                <w:highlight w:val="none"/>
              </w:rPr>
            </w:pPr>
            <w:r>
              <w:rPr>
                <w:rFonts w:hint="eastAsia" w:hAnsi="宋体" w:cs="Times New Roman"/>
                <w:b/>
                <w:bCs/>
                <w:color w:val="auto"/>
                <w:szCs w:val="21"/>
                <w:highlight w:val="none"/>
                <w:lang w:val="en-US" w:eastAsia="zh-CN"/>
              </w:rPr>
              <w:t>水污染物排放标准（单位：mg/L）</w:t>
            </w:r>
          </w:p>
          <w:tbl>
            <w:tblPr>
              <w:tblStyle w:val="41"/>
              <w:tblW w:w="0" w:type="auto"/>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3554"/>
              <w:gridCol w:w="842"/>
              <w:gridCol w:w="821"/>
              <w:gridCol w:w="740"/>
              <w:gridCol w:w="636"/>
              <w:gridCol w:w="637"/>
              <w:gridCol w:w="637"/>
            </w:tblGrid>
            <w:tr w14:paraId="7CE262C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62" w:type="dxa"/>
                  <w:gridSpan w:val="2"/>
                  <w:tcBorders>
                    <w:tl2br w:val="nil"/>
                    <w:tr2bl w:val="nil"/>
                  </w:tcBorders>
                  <w:noWrap w:val="0"/>
                  <w:vAlign w:val="center"/>
                </w:tcPr>
                <w:p w14:paraId="4A712A3F">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污染物</w:t>
                  </w:r>
                </w:p>
              </w:tc>
              <w:tc>
                <w:tcPr>
                  <w:tcW w:w="804" w:type="dxa"/>
                  <w:tcBorders>
                    <w:tl2br w:val="nil"/>
                    <w:tr2bl w:val="nil"/>
                  </w:tcBorders>
                  <w:noWrap w:val="0"/>
                  <w:vAlign w:val="center"/>
                </w:tcPr>
                <w:p w14:paraId="2BCF28D1">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rPr>
                    <w:t>COD</w:t>
                  </w:r>
                  <w:r>
                    <w:rPr>
                      <w:rFonts w:hint="eastAsia" w:cs="Times New Roman"/>
                      <w:b/>
                      <w:bCs/>
                      <w:color w:val="auto"/>
                      <w:sz w:val="21"/>
                      <w:szCs w:val="21"/>
                      <w:highlight w:val="none"/>
                      <w:vertAlign w:val="subscript"/>
                      <w:lang w:val="en-US" w:eastAsia="zh-CN"/>
                    </w:rPr>
                    <w:t>Cr</w:t>
                  </w:r>
                </w:p>
              </w:tc>
              <w:tc>
                <w:tcPr>
                  <w:tcW w:w="821" w:type="dxa"/>
                  <w:tcBorders>
                    <w:tl2br w:val="nil"/>
                    <w:tr2bl w:val="nil"/>
                  </w:tcBorders>
                  <w:noWrap w:val="0"/>
                  <w:vAlign w:val="center"/>
                </w:tcPr>
                <w:p w14:paraId="0A06B2DB">
                  <w:pPr>
                    <w:keepNext w:val="0"/>
                    <w:keepLines w:val="0"/>
                    <w:suppressLineNumbers w:val="0"/>
                    <w:spacing w:before="0" w:beforeAutospacing="0" w:after="0" w:afterAutospacing="0"/>
                    <w:ind w:left="0" w:right="0"/>
                    <w:jc w:val="center"/>
                    <w:rPr>
                      <w:rFonts w:ascii="Times New Roman" w:hAnsi="Times New Roman" w:eastAsia="宋体" w:cs="Times New Roman"/>
                      <w:b/>
                      <w:bCs/>
                      <w:color w:val="auto"/>
                      <w:sz w:val="21"/>
                      <w:szCs w:val="21"/>
                      <w:highlight w:val="none"/>
                    </w:rPr>
                  </w:pPr>
                  <w:r>
                    <w:rPr>
                      <w:rFonts w:ascii="Times New Roman" w:hAnsi="Times New Roman" w:eastAsia="宋体" w:cs="Times New Roman"/>
                      <w:b/>
                      <w:bCs/>
                      <w:color w:val="auto"/>
                      <w:sz w:val="21"/>
                      <w:szCs w:val="21"/>
                      <w:highlight w:val="none"/>
                    </w:rPr>
                    <w:t>NH</w:t>
                  </w:r>
                  <w:r>
                    <w:rPr>
                      <w:rFonts w:ascii="Times New Roman" w:hAnsi="Times New Roman" w:eastAsia="宋体" w:cs="Times New Roman"/>
                      <w:b/>
                      <w:bCs/>
                      <w:color w:val="auto"/>
                      <w:sz w:val="21"/>
                      <w:szCs w:val="21"/>
                      <w:highlight w:val="none"/>
                      <w:vertAlign w:val="subscript"/>
                    </w:rPr>
                    <w:t>3</w:t>
                  </w:r>
                  <w:r>
                    <w:rPr>
                      <w:rFonts w:ascii="Times New Roman" w:hAnsi="Times New Roman" w:eastAsia="宋体" w:cs="Times New Roman"/>
                      <w:b/>
                      <w:bCs/>
                      <w:color w:val="auto"/>
                      <w:sz w:val="21"/>
                      <w:szCs w:val="21"/>
                      <w:highlight w:val="none"/>
                    </w:rPr>
                    <w:t>-N</w:t>
                  </w:r>
                </w:p>
              </w:tc>
              <w:tc>
                <w:tcPr>
                  <w:tcW w:w="740" w:type="dxa"/>
                  <w:tcBorders>
                    <w:tl2br w:val="nil"/>
                    <w:tr2bl w:val="nil"/>
                  </w:tcBorders>
                  <w:noWrap w:val="0"/>
                  <w:vAlign w:val="center"/>
                </w:tcPr>
                <w:p w14:paraId="2E2DFB86">
                  <w:pPr>
                    <w:keepNext w:val="0"/>
                    <w:keepLines w:val="0"/>
                    <w:suppressLineNumbers w:val="0"/>
                    <w:spacing w:before="0" w:beforeAutospacing="0" w:after="0" w:afterAutospacing="0"/>
                    <w:ind w:left="0" w:right="0"/>
                    <w:jc w:val="center"/>
                    <w:rPr>
                      <w:rFonts w:ascii="Times New Roman" w:hAnsi="Times New Roman" w:eastAsia="宋体" w:cs="Times New Roman"/>
                      <w:b/>
                      <w:bCs/>
                      <w:color w:val="auto"/>
                      <w:sz w:val="21"/>
                      <w:szCs w:val="21"/>
                      <w:highlight w:val="none"/>
                    </w:rPr>
                  </w:pPr>
                  <w:r>
                    <w:rPr>
                      <w:rFonts w:ascii="Times New Roman" w:hAnsi="Times New Roman" w:eastAsia="宋体" w:cs="Times New Roman"/>
                      <w:b/>
                      <w:bCs/>
                      <w:color w:val="auto"/>
                      <w:sz w:val="21"/>
                      <w:szCs w:val="21"/>
                      <w:highlight w:val="none"/>
                    </w:rPr>
                    <w:t>BOD</w:t>
                  </w:r>
                  <w:r>
                    <w:rPr>
                      <w:rFonts w:ascii="Times New Roman" w:hAnsi="Times New Roman" w:eastAsia="宋体" w:cs="Times New Roman"/>
                      <w:b/>
                      <w:bCs/>
                      <w:color w:val="auto"/>
                      <w:sz w:val="21"/>
                      <w:szCs w:val="21"/>
                      <w:highlight w:val="none"/>
                      <w:vertAlign w:val="subscript"/>
                    </w:rPr>
                    <w:t>5</w:t>
                  </w:r>
                </w:p>
              </w:tc>
              <w:tc>
                <w:tcPr>
                  <w:tcW w:w="636" w:type="dxa"/>
                  <w:tcBorders>
                    <w:tl2br w:val="nil"/>
                    <w:tr2bl w:val="nil"/>
                  </w:tcBorders>
                  <w:noWrap w:val="0"/>
                  <w:vAlign w:val="center"/>
                </w:tcPr>
                <w:p w14:paraId="3D8E2A88">
                  <w:pPr>
                    <w:keepNext w:val="0"/>
                    <w:keepLines w:val="0"/>
                    <w:suppressLineNumbers w:val="0"/>
                    <w:spacing w:before="0" w:beforeAutospacing="0" w:after="0" w:afterAutospacing="0"/>
                    <w:ind w:left="0" w:right="0"/>
                    <w:jc w:val="center"/>
                    <w:rPr>
                      <w:rFonts w:ascii="Times New Roman" w:hAnsi="Times New Roman" w:eastAsia="宋体" w:cs="Times New Roman"/>
                      <w:b/>
                      <w:bCs/>
                      <w:color w:val="auto"/>
                      <w:sz w:val="21"/>
                      <w:szCs w:val="21"/>
                      <w:highlight w:val="none"/>
                    </w:rPr>
                  </w:pPr>
                  <w:r>
                    <w:rPr>
                      <w:rFonts w:ascii="Times New Roman" w:hAnsi="Times New Roman" w:eastAsia="宋体" w:cs="Times New Roman"/>
                      <w:b/>
                      <w:bCs/>
                      <w:color w:val="auto"/>
                      <w:sz w:val="21"/>
                      <w:szCs w:val="21"/>
                      <w:highlight w:val="none"/>
                    </w:rPr>
                    <w:t>SS</w:t>
                  </w:r>
                </w:p>
              </w:tc>
              <w:tc>
                <w:tcPr>
                  <w:tcW w:w="637" w:type="dxa"/>
                  <w:tcBorders>
                    <w:tl2br w:val="nil"/>
                    <w:tr2bl w:val="nil"/>
                  </w:tcBorders>
                  <w:noWrap w:val="0"/>
                  <w:vAlign w:val="center"/>
                </w:tcPr>
                <w:p w14:paraId="0AFA9DD0">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auto"/>
                      <w:sz w:val="21"/>
                      <w:szCs w:val="21"/>
                      <w:highlight w:val="none"/>
                      <w:lang w:eastAsia="zh-CN"/>
                    </w:rPr>
                  </w:pPr>
                  <w:r>
                    <w:rPr>
                      <w:rFonts w:hint="eastAsia" w:cs="Times New Roman"/>
                      <w:b/>
                      <w:bCs/>
                      <w:color w:val="auto"/>
                      <w:sz w:val="21"/>
                      <w:szCs w:val="21"/>
                      <w:highlight w:val="none"/>
                      <w:lang w:val="en-US" w:eastAsia="zh-CN"/>
                    </w:rPr>
                    <w:t>总氮</w:t>
                  </w:r>
                </w:p>
              </w:tc>
              <w:tc>
                <w:tcPr>
                  <w:tcW w:w="637" w:type="dxa"/>
                  <w:tcBorders>
                    <w:tl2br w:val="nil"/>
                    <w:tr2bl w:val="nil"/>
                  </w:tcBorders>
                  <w:noWrap w:val="0"/>
                  <w:vAlign w:val="center"/>
                </w:tcPr>
                <w:p w14:paraId="2C195658">
                  <w:pPr>
                    <w:keepNext w:val="0"/>
                    <w:keepLines w:val="0"/>
                    <w:suppressLineNumbers w:val="0"/>
                    <w:spacing w:before="0" w:beforeAutospacing="0" w:after="0" w:afterAutospacing="0"/>
                    <w:ind w:left="0" w:right="0"/>
                    <w:jc w:val="center"/>
                    <w:rPr>
                      <w:rFonts w:hint="eastAsia"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总磷</w:t>
                  </w:r>
                </w:p>
              </w:tc>
            </w:tr>
            <w:tr w14:paraId="03A5CF9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62" w:type="dxa"/>
                  <w:gridSpan w:val="2"/>
                  <w:tcBorders>
                    <w:tl2br w:val="nil"/>
                    <w:tr2bl w:val="nil"/>
                  </w:tcBorders>
                  <w:noWrap w:val="0"/>
                  <w:vAlign w:val="center"/>
                </w:tcPr>
                <w:p w14:paraId="77D33C4B">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rPr>
                  </w:pPr>
                  <w:r>
                    <w:rPr>
                      <w:rFonts w:hint="eastAsia" w:cs="Times New Roman"/>
                      <w:color w:val="auto"/>
                      <w:sz w:val="21"/>
                      <w:szCs w:val="21"/>
                      <w:highlight w:val="none"/>
                      <w:lang w:eastAsia="zh-CN"/>
                    </w:rPr>
                    <w:t>（</w:t>
                  </w:r>
                  <w:r>
                    <w:rPr>
                      <w:rFonts w:ascii="Times New Roman" w:hAnsi="Times New Roman" w:eastAsia="宋体" w:cs="Times New Roman"/>
                      <w:color w:val="auto"/>
                      <w:sz w:val="21"/>
                      <w:szCs w:val="21"/>
                      <w:highlight w:val="none"/>
                    </w:rPr>
                    <w:t>DB44/26-2001</w:t>
                  </w:r>
                  <w:r>
                    <w:rPr>
                      <w:rFonts w:hint="eastAsia" w:cs="Times New Roman"/>
                      <w:color w:val="auto"/>
                      <w:sz w:val="21"/>
                      <w:szCs w:val="21"/>
                      <w:highlight w:val="none"/>
                      <w:lang w:eastAsia="zh-CN"/>
                    </w:rPr>
                    <w:t>）</w:t>
                  </w:r>
                  <w:r>
                    <w:rPr>
                      <w:rFonts w:ascii="Times New Roman" w:hAnsi="Times New Roman" w:eastAsia="宋体" w:cs="Times New Roman"/>
                      <w:color w:val="auto"/>
                      <w:sz w:val="21"/>
                      <w:szCs w:val="21"/>
                      <w:highlight w:val="none"/>
                    </w:rPr>
                    <w:t>第二时段三级标准</w:t>
                  </w:r>
                </w:p>
              </w:tc>
              <w:tc>
                <w:tcPr>
                  <w:tcW w:w="804" w:type="dxa"/>
                  <w:tcBorders>
                    <w:tl2br w:val="nil"/>
                    <w:tr2bl w:val="nil"/>
                  </w:tcBorders>
                  <w:noWrap w:val="0"/>
                  <w:vAlign w:val="center"/>
                </w:tcPr>
                <w:p w14:paraId="26077B75">
                  <w:pPr>
                    <w:keepNext w:val="0"/>
                    <w:keepLines w:val="0"/>
                    <w:suppressLineNumbers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500</w:t>
                  </w:r>
                </w:p>
              </w:tc>
              <w:tc>
                <w:tcPr>
                  <w:tcW w:w="821" w:type="dxa"/>
                  <w:tcBorders>
                    <w:tl2br w:val="nil"/>
                    <w:tr2bl w:val="nil"/>
                  </w:tcBorders>
                  <w:noWrap w:val="0"/>
                  <w:vAlign w:val="center"/>
                </w:tcPr>
                <w:p w14:paraId="6BAD790D">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w:t>
                  </w:r>
                </w:p>
              </w:tc>
              <w:tc>
                <w:tcPr>
                  <w:tcW w:w="740" w:type="dxa"/>
                  <w:tcBorders>
                    <w:tl2br w:val="nil"/>
                    <w:tr2bl w:val="nil"/>
                  </w:tcBorders>
                  <w:noWrap w:val="0"/>
                  <w:vAlign w:val="center"/>
                </w:tcPr>
                <w:p w14:paraId="35F6BC4E">
                  <w:pPr>
                    <w:keepNext w:val="0"/>
                    <w:keepLines w:val="0"/>
                    <w:suppressLineNumbers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300</w:t>
                  </w:r>
                </w:p>
              </w:tc>
              <w:tc>
                <w:tcPr>
                  <w:tcW w:w="636" w:type="dxa"/>
                  <w:tcBorders>
                    <w:tl2br w:val="nil"/>
                    <w:tr2bl w:val="nil"/>
                  </w:tcBorders>
                  <w:noWrap w:val="0"/>
                  <w:vAlign w:val="center"/>
                </w:tcPr>
                <w:p w14:paraId="0C4EE86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400</w:t>
                  </w:r>
                </w:p>
              </w:tc>
              <w:tc>
                <w:tcPr>
                  <w:tcW w:w="637" w:type="dxa"/>
                  <w:tcBorders>
                    <w:tl2br w:val="nil"/>
                    <w:tr2bl w:val="nil"/>
                  </w:tcBorders>
                  <w:noWrap w:val="0"/>
                  <w:vAlign w:val="center"/>
                </w:tcPr>
                <w:p w14:paraId="3055EDD5">
                  <w:pPr>
                    <w:keepNext w:val="0"/>
                    <w:keepLines w:val="0"/>
                    <w:suppressLineNumbers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w:t>
                  </w:r>
                </w:p>
              </w:tc>
              <w:tc>
                <w:tcPr>
                  <w:tcW w:w="637" w:type="dxa"/>
                  <w:tcBorders>
                    <w:tl2br w:val="nil"/>
                    <w:tr2bl w:val="nil"/>
                  </w:tcBorders>
                  <w:noWrap w:val="0"/>
                  <w:vAlign w:val="center"/>
                </w:tcPr>
                <w:p w14:paraId="373AC6CE">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w:t>
                  </w:r>
                </w:p>
              </w:tc>
            </w:tr>
            <w:tr w14:paraId="7C6820F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62" w:type="dxa"/>
                  <w:gridSpan w:val="2"/>
                  <w:tcBorders>
                    <w:tl2br w:val="nil"/>
                    <w:tr2bl w:val="nil"/>
                  </w:tcBorders>
                  <w:noWrap w:val="0"/>
                  <w:vAlign w:val="center"/>
                </w:tcPr>
                <w:p w14:paraId="3CD1AD4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eastAsia="zh-CN"/>
                    </w:rPr>
                    <w:t>（</w:t>
                  </w:r>
                  <w:r>
                    <w:rPr>
                      <w:rFonts w:hint="eastAsia" w:cs="Times New Roman"/>
                      <w:color w:val="auto"/>
                      <w:sz w:val="21"/>
                      <w:szCs w:val="21"/>
                      <w:highlight w:val="none"/>
                      <w:lang w:val="en-US" w:eastAsia="zh-CN"/>
                    </w:rPr>
                    <w:t>GB18918-2002</w:t>
                  </w:r>
                  <w:r>
                    <w:rPr>
                      <w:rFonts w:hint="eastAsia" w:cs="Times New Roman"/>
                      <w:color w:val="auto"/>
                      <w:sz w:val="21"/>
                      <w:szCs w:val="21"/>
                      <w:highlight w:val="none"/>
                      <w:lang w:eastAsia="zh-CN"/>
                    </w:rPr>
                    <w:t>）</w:t>
                  </w:r>
                  <w:r>
                    <w:rPr>
                      <w:rFonts w:hint="eastAsia" w:cs="Times New Roman"/>
                      <w:color w:val="auto"/>
                      <w:sz w:val="21"/>
                      <w:szCs w:val="21"/>
                      <w:highlight w:val="none"/>
                      <w:lang w:val="en-US" w:eastAsia="zh-CN"/>
                    </w:rPr>
                    <w:t>一级A标准</w:t>
                  </w:r>
                </w:p>
              </w:tc>
              <w:tc>
                <w:tcPr>
                  <w:tcW w:w="804" w:type="dxa"/>
                  <w:tcBorders>
                    <w:tl2br w:val="nil"/>
                    <w:tr2bl w:val="nil"/>
                  </w:tcBorders>
                  <w:noWrap w:val="0"/>
                  <w:vAlign w:val="center"/>
                </w:tcPr>
                <w:p w14:paraId="634ADFF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50</w:t>
                  </w:r>
                </w:p>
              </w:tc>
              <w:tc>
                <w:tcPr>
                  <w:tcW w:w="821" w:type="dxa"/>
                  <w:tcBorders>
                    <w:tl2br w:val="nil"/>
                    <w:tr2bl w:val="nil"/>
                  </w:tcBorders>
                  <w:noWrap w:val="0"/>
                  <w:vAlign w:val="center"/>
                </w:tcPr>
                <w:p w14:paraId="2F1483CD">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w:t>
                  </w:r>
                </w:p>
              </w:tc>
              <w:tc>
                <w:tcPr>
                  <w:tcW w:w="740" w:type="dxa"/>
                  <w:tcBorders>
                    <w:tl2br w:val="nil"/>
                    <w:tr2bl w:val="nil"/>
                  </w:tcBorders>
                  <w:noWrap w:val="0"/>
                  <w:vAlign w:val="center"/>
                </w:tcPr>
                <w:p w14:paraId="35F4CF2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w:t>
                  </w:r>
                </w:p>
              </w:tc>
              <w:tc>
                <w:tcPr>
                  <w:tcW w:w="636" w:type="dxa"/>
                  <w:tcBorders>
                    <w:tl2br w:val="nil"/>
                    <w:tr2bl w:val="nil"/>
                  </w:tcBorders>
                  <w:noWrap w:val="0"/>
                  <w:vAlign w:val="center"/>
                </w:tcPr>
                <w:p w14:paraId="2F27F4A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w:t>
                  </w:r>
                </w:p>
              </w:tc>
              <w:tc>
                <w:tcPr>
                  <w:tcW w:w="637" w:type="dxa"/>
                  <w:tcBorders>
                    <w:tl2br w:val="nil"/>
                    <w:tr2bl w:val="nil"/>
                  </w:tcBorders>
                  <w:noWrap w:val="0"/>
                  <w:vAlign w:val="center"/>
                </w:tcPr>
                <w:p w14:paraId="4F51DEF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0.5</w:t>
                  </w:r>
                </w:p>
              </w:tc>
              <w:tc>
                <w:tcPr>
                  <w:tcW w:w="637" w:type="dxa"/>
                  <w:tcBorders>
                    <w:tl2br w:val="nil"/>
                    <w:tr2bl w:val="nil"/>
                  </w:tcBorders>
                  <w:noWrap w:val="0"/>
                  <w:vAlign w:val="center"/>
                </w:tcPr>
                <w:p w14:paraId="7F667D8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15</w:t>
                  </w:r>
                </w:p>
              </w:tc>
            </w:tr>
            <w:tr w14:paraId="035AC6A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62" w:type="dxa"/>
                  <w:gridSpan w:val="2"/>
                  <w:tcBorders>
                    <w:tl2br w:val="nil"/>
                    <w:tr2bl w:val="nil"/>
                  </w:tcBorders>
                  <w:noWrap w:val="0"/>
                  <w:vAlign w:val="center"/>
                </w:tcPr>
                <w:p w14:paraId="3B03EFA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eastAsia="zh-CN"/>
                    </w:rPr>
                    <w:t>（</w:t>
                  </w:r>
                  <w:r>
                    <w:rPr>
                      <w:rFonts w:hint="eastAsia" w:cs="Times New Roman"/>
                      <w:color w:val="auto"/>
                      <w:sz w:val="21"/>
                      <w:szCs w:val="21"/>
                      <w:highlight w:val="none"/>
                      <w:lang w:val="en-US" w:eastAsia="zh-CN"/>
                    </w:rPr>
                    <w:t>DB44/26-2001）第二时段一级标准</w:t>
                  </w:r>
                </w:p>
              </w:tc>
              <w:tc>
                <w:tcPr>
                  <w:tcW w:w="804" w:type="dxa"/>
                  <w:tcBorders>
                    <w:tl2br w:val="nil"/>
                    <w:tr2bl w:val="nil"/>
                  </w:tcBorders>
                  <w:noWrap w:val="0"/>
                  <w:vAlign w:val="center"/>
                </w:tcPr>
                <w:p w14:paraId="3AFE124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40</w:t>
                  </w:r>
                </w:p>
              </w:tc>
              <w:tc>
                <w:tcPr>
                  <w:tcW w:w="821" w:type="dxa"/>
                  <w:tcBorders>
                    <w:tl2br w:val="nil"/>
                    <w:tr2bl w:val="nil"/>
                  </w:tcBorders>
                  <w:noWrap w:val="0"/>
                  <w:vAlign w:val="center"/>
                </w:tcPr>
                <w:p w14:paraId="71472D4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w:t>
                  </w:r>
                </w:p>
              </w:tc>
              <w:tc>
                <w:tcPr>
                  <w:tcW w:w="740" w:type="dxa"/>
                  <w:tcBorders>
                    <w:tl2br w:val="nil"/>
                    <w:tr2bl w:val="nil"/>
                  </w:tcBorders>
                  <w:noWrap w:val="0"/>
                  <w:vAlign w:val="center"/>
                </w:tcPr>
                <w:p w14:paraId="23A3C52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20</w:t>
                  </w:r>
                </w:p>
              </w:tc>
              <w:tc>
                <w:tcPr>
                  <w:tcW w:w="636" w:type="dxa"/>
                  <w:tcBorders>
                    <w:tl2br w:val="nil"/>
                    <w:tr2bl w:val="nil"/>
                  </w:tcBorders>
                  <w:noWrap w:val="0"/>
                  <w:vAlign w:val="center"/>
                </w:tcPr>
                <w:p w14:paraId="07C15F3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20</w:t>
                  </w:r>
                </w:p>
              </w:tc>
              <w:tc>
                <w:tcPr>
                  <w:tcW w:w="637" w:type="dxa"/>
                  <w:tcBorders>
                    <w:tl2br w:val="nil"/>
                    <w:tr2bl w:val="nil"/>
                  </w:tcBorders>
                  <w:noWrap w:val="0"/>
                  <w:vAlign w:val="center"/>
                </w:tcPr>
                <w:p w14:paraId="1F140B0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0.5*</w:t>
                  </w:r>
                </w:p>
              </w:tc>
              <w:tc>
                <w:tcPr>
                  <w:tcW w:w="637" w:type="dxa"/>
                  <w:tcBorders>
                    <w:tl2br w:val="nil"/>
                    <w:tr2bl w:val="nil"/>
                  </w:tcBorders>
                  <w:noWrap w:val="0"/>
                  <w:vAlign w:val="center"/>
                </w:tcPr>
                <w:p w14:paraId="244889C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eastAsia="zh-CN"/>
                    </w:rPr>
                  </w:pPr>
                  <w:r>
                    <w:rPr>
                      <w:rFonts w:ascii="Times New Roman" w:hAnsi="Times New Roman" w:eastAsia="宋体" w:cs="Times New Roman"/>
                      <w:color w:val="auto"/>
                      <w:sz w:val="21"/>
                      <w:szCs w:val="21"/>
                      <w:highlight w:val="none"/>
                    </w:rPr>
                    <w:t>——</w:t>
                  </w:r>
                </w:p>
              </w:tc>
            </w:tr>
            <w:tr w14:paraId="6EBE130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62" w:type="dxa"/>
                  <w:gridSpan w:val="2"/>
                  <w:tcBorders>
                    <w:tl2br w:val="nil"/>
                    <w:tr2bl w:val="nil"/>
                  </w:tcBorders>
                  <w:noWrap w:val="0"/>
                  <w:vAlign w:val="center"/>
                </w:tcPr>
                <w:p w14:paraId="473FFB0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lang w:val="en-US" w:eastAsia="zh-CN"/>
                    </w:rPr>
                    <w:t>GB3838-2002</w:t>
                  </w:r>
                  <w:r>
                    <w:rPr>
                      <w:rFonts w:hint="default" w:ascii="Times New Roman" w:hAnsi="Times New Roman" w:cs="Times New Roman"/>
                      <w:color w:val="auto"/>
                      <w:sz w:val="21"/>
                      <w:szCs w:val="21"/>
                      <w:highlight w:val="none"/>
                      <w:lang w:eastAsia="zh-CN"/>
                    </w:rPr>
                    <w:t>）</w:t>
                  </w:r>
                  <w:r>
                    <w:rPr>
                      <w:rFonts w:hint="default" w:ascii="Times New Roman" w:hAnsi="Times New Roman" w:eastAsia="宋体" w:cs="Times New Roman"/>
                      <w:bCs/>
                      <w:color w:val="auto"/>
                      <w:kern w:val="2"/>
                      <w:sz w:val="21"/>
                      <w:szCs w:val="21"/>
                      <w:highlight w:val="none"/>
                      <w:lang w:val="en-US" w:eastAsia="zh-CN" w:bidi="ar-SA"/>
                    </w:rPr>
                    <w:t>Ⅴ</w:t>
                  </w:r>
                  <w:r>
                    <w:rPr>
                      <w:rFonts w:hint="default" w:ascii="Times New Roman" w:hAnsi="Times New Roman" w:eastAsia="宋体" w:cs="Times New Roman"/>
                      <w:bCs/>
                      <w:color w:val="auto"/>
                      <w:sz w:val="21"/>
                      <w:szCs w:val="21"/>
                      <w:highlight w:val="none"/>
                      <w:lang w:val="en-US" w:eastAsia="zh-CN"/>
                    </w:rPr>
                    <w:t>类标准</w:t>
                  </w:r>
                </w:p>
              </w:tc>
              <w:tc>
                <w:tcPr>
                  <w:tcW w:w="804" w:type="dxa"/>
                  <w:tcBorders>
                    <w:tl2br w:val="nil"/>
                    <w:tr2bl w:val="nil"/>
                  </w:tcBorders>
                  <w:noWrap w:val="0"/>
                  <w:vAlign w:val="center"/>
                </w:tcPr>
                <w:p w14:paraId="33202E45">
                  <w:pPr>
                    <w:keepNext w:val="0"/>
                    <w:keepLines w:val="0"/>
                    <w:suppressLineNumbers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w:t>
                  </w:r>
                </w:p>
              </w:tc>
              <w:tc>
                <w:tcPr>
                  <w:tcW w:w="821" w:type="dxa"/>
                  <w:tcBorders>
                    <w:tl2br w:val="nil"/>
                    <w:tr2bl w:val="nil"/>
                  </w:tcBorders>
                  <w:noWrap w:val="0"/>
                  <w:vAlign w:val="center"/>
                </w:tcPr>
                <w:p w14:paraId="5682DF92">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w:t>
                  </w:r>
                </w:p>
              </w:tc>
              <w:tc>
                <w:tcPr>
                  <w:tcW w:w="740" w:type="dxa"/>
                  <w:tcBorders>
                    <w:tl2br w:val="nil"/>
                    <w:tr2bl w:val="nil"/>
                  </w:tcBorders>
                  <w:noWrap w:val="0"/>
                  <w:vAlign w:val="center"/>
                </w:tcPr>
                <w:p w14:paraId="4E6E357C">
                  <w:pPr>
                    <w:keepNext w:val="0"/>
                    <w:keepLines w:val="0"/>
                    <w:suppressLineNumbers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w:t>
                  </w:r>
                </w:p>
              </w:tc>
              <w:tc>
                <w:tcPr>
                  <w:tcW w:w="636" w:type="dxa"/>
                  <w:tcBorders>
                    <w:tl2br w:val="nil"/>
                    <w:tr2bl w:val="nil"/>
                  </w:tcBorders>
                  <w:noWrap w:val="0"/>
                  <w:vAlign w:val="center"/>
                </w:tcPr>
                <w:p w14:paraId="7AFD3B40">
                  <w:pPr>
                    <w:keepNext w:val="0"/>
                    <w:keepLines w:val="0"/>
                    <w:suppressLineNumbers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w:t>
                  </w:r>
                </w:p>
              </w:tc>
              <w:tc>
                <w:tcPr>
                  <w:tcW w:w="637" w:type="dxa"/>
                  <w:tcBorders>
                    <w:tl2br w:val="nil"/>
                    <w:tr2bl w:val="nil"/>
                  </w:tcBorders>
                  <w:noWrap w:val="0"/>
                  <w:vAlign w:val="center"/>
                </w:tcPr>
                <w:p w14:paraId="09FD9BE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0.4</w:t>
                  </w:r>
                </w:p>
              </w:tc>
              <w:tc>
                <w:tcPr>
                  <w:tcW w:w="637" w:type="dxa"/>
                  <w:tcBorders>
                    <w:tl2br w:val="nil"/>
                    <w:tr2bl w:val="nil"/>
                  </w:tcBorders>
                  <w:noWrap w:val="0"/>
                  <w:vAlign w:val="center"/>
                </w:tcPr>
                <w:p w14:paraId="76A0511C">
                  <w:pPr>
                    <w:keepNext w:val="0"/>
                    <w:keepLines w:val="0"/>
                    <w:suppressLineNumbers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w:t>
                  </w:r>
                </w:p>
              </w:tc>
            </w:tr>
            <w:tr w14:paraId="5BAA31B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vMerge w:val="restart"/>
                  <w:tcBorders>
                    <w:tl2br w:val="nil"/>
                    <w:tr2bl w:val="nil"/>
                  </w:tcBorders>
                  <w:noWrap w:val="0"/>
                  <w:vAlign w:val="center"/>
                </w:tcPr>
                <w:p w14:paraId="5F6197A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项目执行标准</w:t>
                  </w:r>
                </w:p>
              </w:tc>
              <w:tc>
                <w:tcPr>
                  <w:tcW w:w="3585" w:type="dxa"/>
                  <w:tcBorders>
                    <w:tl2br w:val="nil"/>
                    <w:tr2bl w:val="nil"/>
                  </w:tcBorders>
                  <w:noWrap w:val="0"/>
                  <w:vAlign w:val="center"/>
                </w:tcPr>
                <w:p w14:paraId="6EEB263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广东省《水污染物排放限值》（DB44/26-2001）中第二时段三级排放标准</w:t>
                  </w:r>
                </w:p>
              </w:tc>
              <w:tc>
                <w:tcPr>
                  <w:tcW w:w="804" w:type="dxa"/>
                  <w:tcBorders>
                    <w:tl2br w:val="nil"/>
                    <w:tr2bl w:val="nil"/>
                  </w:tcBorders>
                  <w:noWrap w:val="0"/>
                  <w:vAlign w:val="center"/>
                </w:tcPr>
                <w:p w14:paraId="237281A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500</w:t>
                  </w:r>
                </w:p>
              </w:tc>
              <w:tc>
                <w:tcPr>
                  <w:tcW w:w="821" w:type="dxa"/>
                  <w:tcBorders>
                    <w:tl2br w:val="nil"/>
                    <w:tr2bl w:val="nil"/>
                  </w:tcBorders>
                  <w:noWrap w:val="0"/>
                  <w:vAlign w:val="center"/>
                </w:tcPr>
                <w:p w14:paraId="25DACABD">
                  <w:pPr>
                    <w:keepNext w:val="0"/>
                    <w:keepLines w:val="0"/>
                    <w:suppressLineNumbers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w:t>
                  </w:r>
                </w:p>
              </w:tc>
              <w:tc>
                <w:tcPr>
                  <w:tcW w:w="740" w:type="dxa"/>
                  <w:tcBorders>
                    <w:tl2br w:val="nil"/>
                    <w:tr2bl w:val="nil"/>
                  </w:tcBorders>
                  <w:noWrap w:val="0"/>
                  <w:vAlign w:val="center"/>
                </w:tcPr>
                <w:p w14:paraId="7CF8E7E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300</w:t>
                  </w:r>
                </w:p>
              </w:tc>
              <w:tc>
                <w:tcPr>
                  <w:tcW w:w="636" w:type="dxa"/>
                  <w:tcBorders>
                    <w:tl2br w:val="nil"/>
                    <w:tr2bl w:val="nil"/>
                  </w:tcBorders>
                  <w:noWrap w:val="0"/>
                  <w:vAlign w:val="center"/>
                </w:tcPr>
                <w:p w14:paraId="1C1FAFE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400</w:t>
                  </w:r>
                </w:p>
              </w:tc>
              <w:tc>
                <w:tcPr>
                  <w:tcW w:w="637" w:type="dxa"/>
                  <w:tcBorders>
                    <w:tl2br w:val="nil"/>
                    <w:tr2bl w:val="nil"/>
                  </w:tcBorders>
                  <w:noWrap w:val="0"/>
                  <w:vAlign w:val="center"/>
                </w:tcPr>
                <w:p w14:paraId="51665AC6">
                  <w:pPr>
                    <w:keepNext w:val="0"/>
                    <w:keepLines w:val="0"/>
                    <w:suppressLineNumbers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w:t>
                  </w:r>
                </w:p>
              </w:tc>
              <w:tc>
                <w:tcPr>
                  <w:tcW w:w="637" w:type="dxa"/>
                  <w:tcBorders>
                    <w:tl2br w:val="nil"/>
                    <w:tr2bl w:val="nil"/>
                  </w:tcBorders>
                  <w:noWrap w:val="0"/>
                  <w:vAlign w:val="center"/>
                </w:tcPr>
                <w:p w14:paraId="56871762">
                  <w:pPr>
                    <w:keepNext w:val="0"/>
                    <w:keepLines w:val="0"/>
                    <w:suppressLineNumbers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w:t>
                  </w:r>
                </w:p>
              </w:tc>
            </w:tr>
            <w:tr w14:paraId="1702C88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7" w:type="dxa"/>
                  <w:vMerge w:val="continue"/>
                  <w:tcBorders>
                    <w:tl2br w:val="nil"/>
                    <w:tr2bl w:val="nil"/>
                  </w:tcBorders>
                  <w:noWrap w:val="0"/>
                  <w:vAlign w:val="center"/>
                </w:tcPr>
                <w:p w14:paraId="45454893">
                  <w:pPr>
                    <w:keepNext w:val="0"/>
                    <w:keepLines w:val="0"/>
                    <w:suppressLineNumbers w:val="0"/>
                    <w:spacing w:before="0" w:beforeAutospacing="0" w:after="0" w:afterAutospacing="0"/>
                    <w:ind w:left="0" w:right="0"/>
                    <w:jc w:val="center"/>
                    <w:rPr>
                      <w:rFonts w:ascii="Times New Roman" w:hAnsi="Times New Roman" w:eastAsia="宋体" w:cs="Times New Roman"/>
                      <w:color w:val="auto"/>
                      <w:sz w:val="21"/>
                      <w:szCs w:val="21"/>
                      <w:highlight w:val="none"/>
                    </w:rPr>
                  </w:pPr>
                </w:p>
              </w:tc>
              <w:tc>
                <w:tcPr>
                  <w:tcW w:w="3585" w:type="dxa"/>
                  <w:tcBorders>
                    <w:tl2br w:val="nil"/>
                    <w:tr2bl w:val="nil"/>
                  </w:tcBorders>
                  <w:noWrap w:val="0"/>
                  <w:vAlign w:val="center"/>
                </w:tcPr>
                <w:p w14:paraId="27EF97B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博罗县城污水处理厂尾水执行的排放标准</w:t>
                  </w:r>
                </w:p>
              </w:tc>
              <w:tc>
                <w:tcPr>
                  <w:tcW w:w="804" w:type="dxa"/>
                  <w:tcBorders>
                    <w:tl2br w:val="nil"/>
                    <w:tr2bl w:val="nil"/>
                  </w:tcBorders>
                  <w:noWrap w:val="0"/>
                  <w:vAlign w:val="center"/>
                </w:tcPr>
                <w:p w14:paraId="75BE8E8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40</w:t>
                  </w:r>
                </w:p>
              </w:tc>
              <w:tc>
                <w:tcPr>
                  <w:tcW w:w="821" w:type="dxa"/>
                  <w:tcBorders>
                    <w:tl2br w:val="nil"/>
                    <w:tr2bl w:val="nil"/>
                  </w:tcBorders>
                  <w:noWrap w:val="0"/>
                  <w:vAlign w:val="center"/>
                </w:tcPr>
                <w:p w14:paraId="2F99535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2.0</w:t>
                  </w:r>
                </w:p>
              </w:tc>
              <w:tc>
                <w:tcPr>
                  <w:tcW w:w="740" w:type="dxa"/>
                  <w:tcBorders>
                    <w:tl2br w:val="nil"/>
                    <w:tr2bl w:val="nil"/>
                  </w:tcBorders>
                  <w:noWrap w:val="0"/>
                  <w:vAlign w:val="center"/>
                </w:tcPr>
                <w:p w14:paraId="1C10274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w:t>
                  </w:r>
                </w:p>
              </w:tc>
              <w:tc>
                <w:tcPr>
                  <w:tcW w:w="636" w:type="dxa"/>
                  <w:tcBorders>
                    <w:tl2br w:val="nil"/>
                    <w:tr2bl w:val="nil"/>
                  </w:tcBorders>
                  <w:noWrap w:val="0"/>
                  <w:vAlign w:val="center"/>
                </w:tcPr>
                <w:p w14:paraId="0240F91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w:t>
                  </w:r>
                </w:p>
              </w:tc>
              <w:tc>
                <w:tcPr>
                  <w:tcW w:w="637" w:type="dxa"/>
                  <w:tcBorders>
                    <w:tl2br w:val="nil"/>
                    <w:tr2bl w:val="nil"/>
                  </w:tcBorders>
                  <w:noWrap w:val="0"/>
                  <w:vAlign w:val="center"/>
                </w:tcPr>
                <w:p w14:paraId="4070D65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0.4</w:t>
                  </w:r>
                </w:p>
              </w:tc>
              <w:tc>
                <w:tcPr>
                  <w:tcW w:w="637" w:type="dxa"/>
                  <w:tcBorders>
                    <w:tl2br w:val="nil"/>
                    <w:tr2bl w:val="nil"/>
                  </w:tcBorders>
                  <w:noWrap w:val="0"/>
                  <w:vAlign w:val="center"/>
                </w:tcPr>
                <w:p w14:paraId="0817674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15</w:t>
                  </w:r>
                </w:p>
              </w:tc>
            </w:tr>
            <w:tr w14:paraId="24C93C4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37" w:type="dxa"/>
                  <w:gridSpan w:val="8"/>
                  <w:tcBorders>
                    <w:tl2br w:val="nil"/>
                    <w:tr2bl w:val="nil"/>
                  </w:tcBorders>
                  <w:noWrap w:val="0"/>
                  <w:vAlign w:val="center"/>
                </w:tcPr>
                <w:p w14:paraId="3AA44F79">
                  <w:pPr>
                    <w:keepNext w:val="0"/>
                    <w:keepLines w:val="0"/>
                    <w:suppressLineNumbers w:val="0"/>
                    <w:spacing w:before="0" w:beforeAutospacing="0" w:after="0" w:afterAutospacing="0"/>
                    <w:ind w:left="0" w:right="0"/>
                    <w:jc w:val="both"/>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注：*总磷参照广东省地方标准《水污染物排放限值》（DB44/26-2001）第二时段一级标准中的磷酸盐排放限值要求。</w:t>
                  </w:r>
                </w:p>
              </w:tc>
            </w:tr>
          </w:tbl>
          <w:p w14:paraId="73E5C806">
            <w:pPr>
              <w:keepNext w:val="0"/>
              <w:keepLines w:val="0"/>
              <w:numPr>
                <w:ilvl w:val="0"/>
                <w:numId w:val="0"/>
              </w:numPr>
              <w:suppressLineNumbers w:val="0"/>
              <w:spacing w:before="120" w:beforeLines="50" w:beforeAutospacing="0" w:after="0" w:afterAutospacing="0" w:line="336" w:lineRule="auto"/>
              <w:ind w:left="465" w:leftChars="0" w:right="0" w:rightChars="0"/>
              <w:jc w:val="left"/>
              <w:rPr>
                <w:rFonts w:hint="default" w:ascii="Times New Roman" w:hAnsi="Times New Roman" w:eastAsia="宋体" w:cs="Times New Roman"/>
                <w:b/>
                <w:color w:val="auto"/>
                <w:sz w:val="21"/>
                <w:szCs w:val="21"/>
                <w:highlight w:val="none"/>
                <w:lang w:val="en-US" w:eastAsia="zh-CN"/>
              </w:rPr>
            </w:pPr>
            <w:r>
              <w:rPr>
                <w:rFonts w:hint="eastAsia" w:cs="Times New Roman"/>
                <w:b/>
                <w:color w:val="auto"/>
                <w:sz w:val="21"/>
                <w:szCs w:val="21"/>
                <w:highlight w:val="none"/>
                <w:lang w:val="en-US" w:eastAsia="zh-CN"/>
              </w:rPr>
              <w:t>3、</w:t>
            </w:r>
            <w:r>
              <w:rPr>
                <w:rFonts w:ascii="Times New Roman" w:hAnsi="Times New Roman" w:eastAsia="宋体" w:cs="Times New Roman"/>
                <w:b/>
                <w:color w:val="auto"/>
                <w:sz w:val="21"/>
                <w:szCs w:val="21"/>
                <w:highlight w:val="none"/>
              </w:rPr>
              <w:t>噪声</w:t>
            </w:r>
            <w:r>
              <w:rPr>
                <w:rFonts w:hint="eastAsia" w:cs="Times New Roman"/>
                <w:b/>
                <w:color w:val="auto"/>
                <w:sz w:val="21"/>
                <w:szCs w:val="21"/>
                <w:highlight w:val="none"/>
                <w:lang w:val="en-US" w:eastAsia="zh-CN"/>
              </w:rPr>
              <w:t>排放标准</w:t>
            </w:r>
          </w:p>
          <w:p w14:paraId="48F832BC">
            <w:pPr>
              <w:keepNext w:val="0"/>
              <w:keepLines w:val="0"/>
              <w:suppressLineNumbers w:val="0"/>
              <w:adjustRightInd w:val="0"/>
              <w:snapToGrid w:val="0"/>
              <w:spacing w:before="0" w:beforeAutospacing="0" w:after="0" w:afterAutospacing="0" w:line="324" w:lineRule="auto"/>
              <w:ind w:left="0" w:right="0" w:firstLine="420" w:firstLineChars="200"/>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项目运营期厂界噪声执行《工业企业厂界环境噪声排放标准》（GB12348-2008）中3类标准</w:t>
            </w:r>
            <w:r>
              <w:rPr>
                <w:rFonts w:hint="eastAsia" w:cs="Times New Roman"/>
                <w:color w:val="auto"/>
                <w:sz w:val="21"/>
                <w:szCs w:val="21"/>
                <w:highlight w:val="none"/>
                <w:lang w:eastAsia="zh-CN"/>
              </w:rPr>
              <w:t>，</w:t>
            </w:r>
            <w:r>
              <w:rPr>
                <w:rFonts w:hint="eastAsia" w:cs="Times New Roman"/>
                <w:color w:val="auto"/>
                <w:sz w:val="21"/>
                <w:szCs w:val="21"/>
                <w:highlight w:val="none"/>
                <w:lang w:val="en-US" w:eastAsia="zh-CN"/>
              </w:rPr>
              <w:t>即</w:t>
            </w:r>
            <w:r>
              <w:rPr>
                <w:rFonts w:hint="default" w:ascii="Times New Roman" w:hAnsi="Times New Roman" w:eastAsia="宋体" w:cs="Times New Roman"/>
                <w:color w:val="auto"/>
                <w:sz w:val="21"/>
                <w:szCs w:val="21"/>
                <w:highlight w:val="none"/>
              </w:rPr>
              <w:t>昼间≤65dB(A)、夜间≤55d</w:t>
            </w:r>
            <w:r>
              <w:rPr>
                <w:rFonts w:hint="eastAsia" w:ascii="Times New Roman" w:hAnsi="Times New Roman" w:eastAsia="宋体" w:cs="Times New Roman"/>
                <w:color w:val="auto"/>
                <w:sz w:val="21"/>
                <w:szCs w:val="21"/>
                <w:highlight w:val="none"/>
              </w:rPr>
              <w:t>B(A)。</w:t>
            </w:r>
          </w:p>
          <w:p w14:paraId="3A8E0BAB">
            <w:pPr>
              <w:keepNext w:val="0"/>
              <w:keepLines w:val="0"/>
              <w:numPr>
                <w:ilvl w:val="0"/>
                <w:numId w:val="0"/>
              </w:numPr>
              <w:suppressLineNumbers w:val="0"/>
              <w:spacing w:before="0" w:beforeAutospacing="0" w:after="0" w:afterAutospacing="0" w:line="324" w:lineRule="auto"/>
              <w:ind w:left="463" w:leftChars="0" w:right="0" w:rightChars="0"/>
              <w:jc w:val="left"/>
              <w:rPr>
                <w:rFonts w:hint="eastAsia" w:ascii="Times New Roman" w:hAnsi="Times New Roman" w:eastAsia="宋体" w:cs="Times New Roman"/>
                <w:b/>
                <w:color w:val="auto"/>
                <w:sz w:val="21"/>
                <w:szCs w:val="21"/>
                <w:highlight w:val="none"/>
                <w:lang w:val="en-US" w:eastAsia="zh-CN"/>
              </w:rPr>
            </w:pPr>
            <w:r>
              <w:rPr>
                <w:rFonts w:hint="eastAsia" w:cs="Times New Roman"/>
                <w:b/>
                <w:color w:val="auto"/>
                <w:sz w:val="21"/>
                <w:szCs w:val="21"/>
                <w:highlight w:val="none"/>
                <w:lang w:val="en-US" w:eastAsia="zh-CN"/>
              </w:rPr>
              <w:t>4、</w:t>
            </w:r>
            <w:r>
              <w:rPr>
                <w:rFonts w:ascii="Times New Roman" w:hAnsi="Times New Roman" w:eastAsia="宋体" w:cs="Times New Roman"/>
                <w:b/>
                <w:color w:val="auto"/>
                <w:sz w:val="21"/>
                <w:szCs w:val="21"/>
                <w:highlight w:val="none"/>
              </w:rPr>
              <w:t>固废</w:t>
            </w:r>
            <w:r>
              <w:rPr>
                <w:rFonts w:hint="eastAsia" w:cs="Times New Roman"/>
                <w:b/>
                <w:color w:val="auto"/>
                <w:sz w:val="21"/>
                <w:szCs w:val="21"/>
                <w:highlight w:val="none"/>
                <w:lang w:val="en-US" w:eastAsia="zh-CN"/>
              </w:rPr>
              <w:t>执行标准</w:t>
            </w:r>
          </w:p>
          <w:p w14:paraId="0DBDF4A9">
            <w:pPr>
              <w:keepNext w:val="0"/>
              <w:keepLines w:val="0"/>
              <w:suppressLineNumbers w:val="0"/>
              <w:adjustRightInd w:val="0"/>
              <w:snapToGrid w:val="0"/>
              <w:spacing w:before="0" w:beforeAutospacing="0" w:after="0" w:afterAutospacing="0" w:line="324" w:lineRule="auto"/>
              <w:ind w:left="0" w:right="0" w:firstLine="420" w:firstLineChars="200"/>
              <w:jc w:val="left"/>
              <w:rPr>
                <w:rFonts w:ascii="Times New Roman" w:hAnsi="Times New Roman" w:eastAsia="宋体" w:cs="Times New Roman"/>
                <w:color w:val="auto"/>
                <w:sz w:val="21"/>
                <w:szCs w:val="21"/>
                <w:highlight w:val="none"/>
              </w:rPr>
            </w:pPr>
            <w:r>
              <w:rPr>
                <w:rFonts w:hint="default" w:ascii="Times New Roman" w:hAnsi="Times New Roman" w:cs="Times New Roman"/>
                <w:color w:val="auto"/>
                <w:sz w:val="21"/>
                <w:szCs w:val="21"/>
                <w:highlight w:val="none"/>
              </w:rPr>
              <w:t>本项目一般工业固废储存应满足《中华人民共和国固体废物污染环境防治法》（2020年修订）、《广东省固体废物污染环境防治条例》（2019年3月1日施行）和《一般工业固体废物管理台账制定指南（试行）》（生态环境部公告2021年第82号）等相关规定，并落实好防渗漏、防雨淋、防扬尘等环境保护要求。危险废物管理执行《危险废物贮存污染控制标准》（GB18597-2023）、《危险废物转移管理办法》（生态环境部令第23号）、《危险废物识别标志设置技术规范》（HJ1276-2022）、《危险废物管理计划和管理台账制定技术导则》（HJ1259-2022）、《危险废物收集、贮存、运输技术规范》（HJ2025-2012）等有关标准和规定。</w:t>
            </w:r>
          </w:p>
        </w:tc>
      </w:tr>
      <w:tr w14:paraId="7E0CEC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74" w:hRule="atLeast"/>
          <w:jc w:val="center"/>
        </w:trPr>
        <w:tc>
          <w:tcPr>
            <w:tcW w:w="422" w:type="dxa"/>
            <w:noWrap w:val="0"/>
            <w:vAlign w:val="center"/>
          </w:tcPr>
          <w:p w14:paraId="423A0164">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kern w:val="0"/>
                <w:sz w:val="21"/>
                <w:szCs w:val="21"/>
                <w:highlight w:val="none"/>
              </w:rPr>
            </w:pPr>
            <w:r>
              <w:rPr>
                <w:rFonts w:ascii="Times New Roman" w:hAnsi="Times New Roman" w:eastAsia="宋体" w:cs="Times New Roman"/>
                <w:color w:val="auto"/>
                <w:kern w:val="0"/>
                <w:sz w:val="21"/>
                <w:szCs w:val="21"/>
                <w:highlight w:val="none"/>
              </w:rPr>
              <w:t>总量</w:t>
            </w:r>
          </w:p>
          <w:p w14:paraId="03EAA2A1">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kern w:val="0"/>
                <w:sz w:val="21"/>
                <w:szCs w:val="21"/>
                <w:highlight w:val="none"/>
              </w:rPr>
            </w:pPr>
            <w:r>
              <w:rPr>
                <w:rFonts w:ascii="Times New Roman" w:hAnsi="Times New Roman" w:eastAsia="宋体" w:cs="Times New Roman"/>
                <w:color w:val="auto"/>
                <w:kern w:val="0"/>
                <w:sz w:val="21"/>
                <w:szCs w:val="21"/>
                <w:highlight w:val="none"/>
              </w:rPr>
              <w:t>控制</w:t>
            </w:r>
          </w:p>
          <w:p w14:paraId="6BB1D0A8">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kern w:val="0"/>
                <w:sz w:val="21"/>
                <w:szCs w:val="21"/>
                <w:highlight w:val="none"/>
              </w:rPr>
            </w:pPr>
            <w:r>
              <w:rPr>
                <w:rFonts w:ascii="Times New Roman" w:hAnsi="Times New Roman" w:eastAsia="宋体" w:cs="Times New Roman"/>
                <w:color w:val="auto"/>
                <w:kern w:val="0"/>
                <w:sz w:val="21"/>
                <w:szCs w:val="21"/>
                <w:highlight w:val="none"/>
              </w:rPr>
              <w:t>指标</w:t>
            </w:r>
          </w:p>
        </w:tc>
        <w:tc>
          <w:tcPr>
            <w:tcW w:w="8865" w:type="dxa"/>
            <w:noWrap w:val="0"/>
            <w:vAlign w:val="top"/>
          </w:tcPr>
          <w:p w14:paraId="1DAF3CD9">
            <w:pPr>
              <w:keepNext w:val="0"/>
              <w:keepLines w:val="0"/>
              <w:widowControl/>
              <w:suppressLineNumbers w:val="0"/>
              <w:spacing w:before="0" w:beforeAutospacing="0" w:after="0" w:afterAutospacing="0" w:line="360" w:lineRule="auto"/>
              <w:ind w:left="0" w:right="0" w:firstLine="420" w:firstLineChars="200"/>
              <w:rPr>
                <w:rFonts w:hint="default"/>
                <w:color w:val="auto"/>
                <w:szCs w:val="21"/>
                <w:highlight w:val="none"/>
              </w:rPr>
            </w:pPr>
            <w:r>
              <w:rPr>
                <w:rFonts w:hint="default"/>
                <w:color w:val="auto"/>
                <w:szCs w:val="21"/>
                <w:highlight w:val="none"/>
              </w:rPr>
              <w:t>根据项目的污染物排放总量，建议项目的总量控制指标按下表执行：</w:t>
            </w:r>
          </w:p>
          <w:p w14:paraId="5E1F368A">
            <w:pPr>
              <w:keepNext w:val="0"/>
              <w:keepLines w:val="0"/>
              <w:widowControl/>
              <w:numPr>
                <w:ilvl w:val="0"/>
                <w:numId w:val="4"/>
              </w:numPr>
              <w:suppressLineNumbers w:val="0"/>
              <w:spacing w:before="0" w:beforeAutospacing="0" w:after="0" w:afterAutospacing="0" w:line="360" w:lineRule="auto"/>
              <w:ind w:right="0"/>
              <w:jc w:val="center"/>
              <w:rPr>
                <w:rFonts w:hint="default"/>
                <w:b/>
                <w:color w:val="auto"/>
                <w:szCs w:val="21"/>
                <w:highlight w:val="none"/>
              </w:rPr>
            </w:pPr>
            <w:r>
              <w:rPr>
                <w:rFonts w:hint="default"/>
                <w:b/>
                <w:color w:val="auto"/>
                <w:szCs w:val="21"/>
                <w:highlight w:val="none"/>
              </w:rPr>
              <w:t>项目总量控制建议指标</w:t>
            </w:r>
          </w:p>
          <w:tbl>
            <w:tblPr>
              <w:tblStyle w:val="41"/>
              <w:tblW w:w="0" w:type="auto"/>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4"/>
              <w:gridCol w:w="810"/>
              <w:gridCol w:w="607"/>
              <w:gridCol w:w="303"/>
              <w:gridCol w:w="442"/>
              <w:gridCol w:w="843"/>
              <w:gridCol w:w="442"/>
              <w:gridCol w:w="843"/>
              <w:gridCol w:w="505"/>
              <w:gridCol w:w="794"/>
              <w:gridCol w:w="449"/>
              <w:gridCol w:w="808"/>
              <w:gridCol w:w="434"/>
              <w:gridCol w:w="913"/>
            </w:tblGrid>
            <w:tr w14:paraId="0B9956B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8" w:type="dxa"/>
                  <w:tcBorders>
                    <w:tl2br w:val="nil"/>
                    <w:tr2bl w:val="nil"/>
                  </w:tcBorders>
                  <w:noWrap w:val="0"/>
                  <w:vAlign w:val="center"/>
                </w:tcPr>
                <w:p w14:paraId="7C5F3BDB">
                  <w:pPr>
                    <w:keepNext w:val="0"/>
                    <w:keepLines w:val="0"/>
                    <w:suppressLineNumbers w:val="0"/>
                    <w:spacing w:before="0" w:beforeAutospacing="0" w:after="0" w:afterAutospacing="0"/>
                    <w:ind w:left="0" w:right="0"/>
                    <w:jc w:val="center"/>
                    <w:rPr>
                      <w:rFonts w:hint="default" w:eastAsia="宋体"/>
                      <w:b/>
                      <w:bCs/>
                      <w:color w:val="auto"/>
                      <w:sz w:val="21"/>
                      <w:szCs w:val="21"/>
                      <w:highlight w:val="none"/>
                      <w:lang w:val="en-US" w:eastAsia="zh-CN"/>
                    </w:rPr>
                  </w:pPr>
                  <w:r>
                    <w:rPr>
                      <w:rFonts w:hint="eastAsia"/>
                      <w:b/>
                      <w:bCs/>
                      <w:color w:val="auto"/>
                      <w:sz w:val="21"/>
                      <w:szCs w:val="21"/>
                      <w:highlight w:val="none"/>
                      <w:lang w:val="en-US" w:eastAsia="zh-CN"/>
                    </w:rPr>
                    <w:t>污染物类别</w:t>
                  </w:r>
                </w:p>
              </w:tc>
              <w:tc>
                <w:tcPr>
                  <w:tcW w:w="829" w:type="dxa"/>
                  <w:tcBorders>
                    <w:tl2br w:val="nil"/>
                    <w:tr2bl w:val="nil"/>
                  </w:tcBorders>
                  <w:noWrap w:val="0"/>
                  <w:vAlign w:val="center"/>
                </w:tcPr>
                <w:p w14:paraId="3A55FD16">
                  <w:pPr>
                    <w:keepNext w:val="0"/>
                    <w:keepLines w:val="0"/>
                    <w:suppressLineNumbers w:val="0"/>
                    <w:spacing w:before="0" w:beforeAutospacing="0" w:after="0" w:afterAutospacing="0"/>
                    <w:ind w:left="0" w:right="0"/>
                    <w:jc w:val="center"/>
                    <w:rPr>
                      <w:rFonts w:hint="default"/>
                      <w:b/>
                      <w:bCs/>
                      <w:color w:val="auto"/>
                      <w:sz w:val="21"/>
                      <w:szCs w:val="21"/>
                      <w:highlight w:val="none"/>
                    </w:rPr>
                  </w:pPr>
                  <w:r>
                    <w:rPr>
                      <w:rFonts w:hint="eastAsia"/>
                      <w:b/>
                      <w:bCs/>
                      <w:color w:val="auto"/>
                      <w:sz w:val="21"/>
                      <w:szCs w:val="21"/>
                      <w:highlight w:val="none"/>
                    </w:rPr>
                    <w:t>指标</w:t>
                  </w:r>
                </w:p>
              </w:tc>
              <w:tc>
                <w:tcPr>
                  <w:tcW w:w="964" w:type="dxa"/>
                  <w:gridSpan w:val="2"/>
                  <w:tcBorders>
                    <w:tl2br w:val="nil"/>
                    <w:tr2bl w:val="nil"/>
                  </w:tcBorders>
                  <w:noWrap w:val="0"/>
                  <w:vAlign w:val="center"/>
                </w:tcPr>
                <w:p w14:paraId="7CCF0BD7">
                  <w:pPr>
                    <w:keepNext w:val="0"/>
                    <w:keepLines w:val="0"/>
                    <w:suppressLineNumbers w:val="0"/>
                    <w:spacing w:before="0" w:beforeAutospacing="0" w:after="0" w:afterAutospacing="0"/>
                    <w:ind w:left="0" w:right="0"/>
                    <w:jc w:val="center"/>
                    <w:rPr>
                      <w:rFonts w:hint="default"/>
                      <w:b/>
                      <w:bCs/>
                      <w:color w:val="auto"/>
                      <w:sz w:val="21"/>
                      <w:szCs w:val="21"/>
                      <w:highlight w:val="none"/>
                    </w:rPr>
                  </w:pPr>
                  <w:r>
                    <w:rPr>
                      <w:rFonts w:hint="eastAsia"/>
                      <w:b/>
                      <w:bCs/>
                      <w:color w:val="auto"/>
                      <w:sz w:val="21"/>
                      <w:szCs w:val="21"/>
                      <w:highlight w:val="none"/>
                    </w:rPr>
                    <w:t>现有项目许</w:t>
                  </w:r>
                  <w:r>
                    <w:rPr>
                      <w:rFonts w:hint="default"/>
                      <w:b/>
                      <w:bCs/>
                      <w:color w:val="auto"/>
                      <w:sz w:val="21"/>
                      <w:szCs w:val="21"/>
                      <w:highlight w:val="none"/>
                    </w:rPr>
                    <w:t>可</w:t>
                  </w:r>
                  <w:r>
                    <w:rPr>
                      <w:rFonts w:hint="eastAsia"/>
                      <w:b/>
                      <w:bCs/>
                      <w:color w:val="auto"/>
                      <w:sz w:val="21"/>
                      <w:szCs w:val="21"/>
                      <w:highlight w:val="none"/>
                    </w:rPr>
                    <w:t>排放量</w:t>
                  </w:r>
                  <w:r>
                    <w:rPr>
                      <w:rFonts w:hint="eastAsia"/>
                      <w:b/>
                      <w:bCs/>
                      <w:color w:val="auto"/>
                      <w:sz w:val="21"/>
                      <w:szCs w:val="21"/>
                      <w:highlight w:val="none"/>
                      <w:lang w:eastAsia="zh-CN"/>
                    </w:rPr>
                    <w:t>（</w:t>
                  </w:r>
                  <w:r>
                    <w:rPr>
                      <w:rFonts w:hint="eastAsia"/>
                      <w:b/>
                      <w:bCs/>
                      <w:color w:val="auto"/>
                      <w:sz w:val="21"/>
                      <w:szCs w:val="21"/>
                      <w:highlight w:val="none"/>
                      <w:lang w:val="en-US" w:eastAsia="zh-CN"/>
                    </w:rPr>
                    <w:t>t/a）</w:t>
                  </w:r>
                </w:p>
              </w:tc>
              <w:tc>
                <w:tcPr>
                  <w:tcW w:w="1374" w:type="dxa"/>
                  <w:gridSpan w:val="2"/>
                  <w:tcBorders>
                    <w:tl2br w:val="nil"/>
                    <w:tr2bl w:val="nil"/>
                  </w:tcBorders>
                  <w:noWrap w:val="0"/>
                  <w:vAlign w:val="center"/>
                </w:tcPr>
                <w:p w14:paraId="74F39C10">
                  <w:pPr>
                    <w:keepNext w:val="0"/>
                    <w:keepLines w:val="0"/>
                    <w:suppressLineNumbers w:val="0"/>
                    <w:spacing w:before="0" w:beforeAutospacing="0" w:after="0" w:afterAutospacing="0"/>
                    <w:ind w:left="0" w:right="0"/>
                    <w:jc w:val="center"/>
                    <w:rPr>
                      <w:rFonts w:hint="default" w:eastAsia="宋体"/>
                      <w:b/>
                      <w:bCs/>
                      <w:color w:val="auto"/>
                      <w:sz w:val="21"/>
                      <w:szCs w:val="21"/>
                      <w:highlight w:val="none"/>
                      <w:lang w:val="en-US" w:eastAsia="zh-CN"/>
                    </w:rPr>
                  </w:pPr>
                  <w:r>
                    <w:rPr>
                      <w:rFonts w:hint="eastAsia"/>
                      <w:b/>
                      <w:bCs/>
                      <w:color w:val="auto"/>
                      <w:sz w:val="21"/>
                      <w:szCs w:val="21"/>
                      <w:highlight w:val="none"/>
                    </w:rPr>
                    <w:t>现</w:t>
                  </w:r>
                  <w:r>
                    <w:rPr>
                      <w:rFonts w:hint="default"/>
                      <w:b/>
                      <w:bCs/>
                      <w:color w:val="auto"/>
                      <w:sz w:val="21"/>
                      <w:szCs w:val="21"/>
                      <w:highlight w:val="none"/>
                    </w:rPr>
                    <w:t>有项目排放量</w:t>
                  </w:r>
                  <w:r>
                    <w:rPr>
                      <w:rFonts w:hint="eastAsia"/>
                      <w:b/>
                      <w:bCs/>
                      <w:color w:val="auto"/>
                      <w:sz w:val="21"/>
                      <w:szCs w:val="21"/>
                      <w:highlight w:val="none"/>
                      <w:lang w:eastAsia="zh-CN"/>
                    </w:rPr>
                    <w:t>（</w:t>
                  </w:r>
                  <w:r>
                    <w:rPr>
                      <w:rFonts w:hint="eastAsia"/>
                      <w:b/>
                      <w:bCs/>
                      <w:color w:val="auto"/>
                      <w:sz w:val="21"/>
                      <w:szCs w:val="21"/>
                      <w:highlight w:val="none"/>
                      <w:lang w:val="en-US" w:eastAsia="zh-CN"/>
                    </w:rPr>
                    <w:t>t/a）</w:t>
                  </w:r>
                </w:p>
              </w:tc>
              <w:tc>
                <w:tcPr>
                  <w:tcW w:w="1374" w:type="dxa"/>
                  <w:gridSpan w:val="2"/>
                  <w:tcBorders>
                    <w:tl2br w:val="nil"/>
                    <w:tr2bl w:val="nil"/>
                  </w:tcBorders>
                  <w:noWrap w:val="0"/>
                  <w:vAlign w:val="center"/>
                </w:tcPr>
                <w:p w14:paraId="1BE6B8F3">
                  <w:pPr>
                    <w:keepNext w:val="0"/>
                    <w:keepLines w:val="0"/>
                    <w:suppressLineNumbers w:val="0"/>
                    <w:spacing w:before="0" w:beforeAutospacing="0" w:after="0" w:afterAutospacing="0"/>
                    <w:ind w:left="0" w:right="0"/>
                    <w:jc w:val="center"/>
                    <w:rPr>
                      <w:rFonts w:hint="default"/>
                      <w:b/>
                      <w:bCs/>
                      <w:color w:val="auto"/>
                      <w:sz w:val="21"/>
                      <w:szCs w:val="21"/>
                      <w:highlight w:val="none"/>
                    </w:rPr>
                  </w:pPr>
                  <w:r>
                    <w:rPr>
                      <w:rFonts w:hint="eastAsia"/>
                      <w:b/>
                      <w:bCs/>
                      <w:color w:val="auto"/>
                      <w:sz w:val="21"/>
                      <w:szCs w:val="21"/>
                      <w:highlight w:val="none"/>
                      <w:lang w:val="en-US" w:eastAsia="zh-CN"/>
                    </w:rPr>
                    <w:t>迁改扩建</w:t>
                  </w:r>
                  <w:r>
                    <w:rPr>
                      <w:rFonts w:hint="eastAsia"/>
                      <w:b/>
                      <w:bCs/>
                      <w:color w:val="auto"/>
                      <w:sz w:val="21"/>
                      <w:szCs w:val="21"/>
                      <w:highlight w:val="none"/>
                    </w:rPr>
                    <w:t>部分排放量</w:t>
                  </w:r>
                  <w:r>
                    <w:rPr>
                      <w:rFonts w:hint="eastAsia"/>
                      <w:b/>
                      <w:bCs/>
                      <w:color w:val="auto"/>
                      <w:sz w:val="21"/>
                      <w:szCs w:val="21"/>
                      <w:highlight w:val="none"/>
                      <w:lang w:eastAsia="zh-CN"/>
                    </w:rPr>
                    <w:t>（</w:t>
                  </w:r>
                  <w:r>
                    <w:rPr>
                      <w:rFonts w:hint="eastAsia"/>
                      <w:b/>
                      <w:bCs/>
                      <w:color w:val="auto"/>
                      <w:sz w:val="21"/>
                      <w:szCs w:val="21"/>
                      <w:highlight w:val="none"/>
                      <w:lang w:val="en-US" w:eastAsia="zh-CN"/>
                    </w:rPr>
                    <w:t>t/a）</w:t>
                  </w:r>
                </w:p>
              </w:tc>
              <w:tc>
                <w:tcPr>
                  <w:tcW w:w="964" w:type="dxa"/>
                  <w:gridSpan w:val="2"/>
                  <w:tcBorders>
                    <w:tl2br w:val="nil"/>
                    <w:tr2bl w:val="nil"/>
                  </w:tcBorders>
                  <w:noWrap w:val="0"/>
                  <w:vAlign w:val="center"/>
                </w:tcPr>
                <w:p w14:paraId="14C05B87">
                  <w:pPr>
                    <w:keepNext w:val="0"/>
                    <w:keepLines w:val="0"/>
                    <w:suppressLineNumbers w:val="0"/>
                    <w:spacing w:before="0" w:beforeAutospacing="0" w:after="0" w:afterAutospacing="0"/>
                    <w:ind w:left="0" w:right="0"/>
                    <w:jc w:val="center"/>
                    <w:rPr>
                      <w:rFonts w:hint="default"/>
                      <w:b/>
                      <w:bCs/>
                      <w:color w:val="auto"/>
                      <w:sz w:val="21"/>
                      <w:szCs w:val="21"/>
                      <w:highlight w:val="none"/>
                    </w:rPr>
                  </w:pPr>
                  <w:r>
                    <w:rPr>
                      <w:rFonts w:hint="default" w:ascii="宋体" w:hAnsi="宋体"/>
                      <w:b/>
                      <w:bCs/>
                      <w:color w:val="auto"/>
                      <w:sz w:val="21"/>
                      <w:szCs w:val="21"/>
                      <w:highlight w:val="none"/>
                    </w:rPr>
                    <w:t>“</w:t>
                  </w:r>
                  <w:r>
                    <w:rPr>
                      <w:rFonts w:hint="eastAsia"/>
                      <w:b/>
                      <w:bCs/>
                      <w:color w:val="auto"/>
                      <w:sz w:val="21"/>
                      <w:szCs w:val="21"/>
                      <w:highlight w:val="none"/>
                    </w:rPr>
                    <w:t>以新带老</w:t>
                  </w:r>
                  <w:r>
                    <w:rPr>
                      <w:rFonts w:hint="default" w:ascii="宋体" w:hAnsi="宋体"/>
                      <w:b/>
                      <w:bCs/>
                      <w:color w:val="auto"/>
                      <w:sz w:val="21"/>
                      <w:szCs w:val="21"/>
                      <w:highlight w:val="none"/>
                    </w:rPr>
                    <w:t>”</w:t>
                  </w:r>
                  <w:r>
                    <w:rPr>
                      <w:rFonts w:hint="eastAsia"/>
                      <w:b/>
                      <w:bCs/>
                      <w:color w:val="auto"/>
                      <w:sz w:val="21"/>
                      <w:szCs w:val="21"/>
                      <w:highlight w:val="none"/>
                    </w:rPr>
                    <w:t>削减量</w:t>
                  </w:r>
                  <w:r>
                    <w:rPr>
                      <w:rFonts w:hint="eastAsia"/>
                      <w:b/>
                      <w:bCs/>
                      <w:color w:val="auto"/>
                      <w:sz w:val="21"/>
                      <w:szCs w:val="21"/>
                      <w:highlight w:val="none"/>
                      <w:lang w:eastAsia="zh-CN"/>
                    </w:rPr>
                    <w:t>（</w:t>
                  </w:r>
                  <w:r>
                    <w:rPr>
                      <w:rFonts w:hint="eastAsia"/>
                      <w:b/>
                      <w:bCs/>
                      <w:color w:val="auto"/>
                      <w:sz w:val="21"/>
                      <w:szCs w:val="21"/>
                      <w:highlight w:val="none"/>
                      <w:lang w:val="en-US" w:eastAsia="zh-CN"/>
                    </w:rPr>
                    <w:t>t/a）</w:t>
                  </w:r>
                </w:p>
              </w:tc>
              <w:tc>
                <w:tcPr>
                  <w:tcW w:w="1306" w:type="dxa"/>
                  <w:gridSpan w:val="2"/>
                  <w:tcBorders>
                    <w:tl2br w:val="nil"/>
                    <w:tr2bl w:val="nil"/>
                  </w:tcBorders>
                  <w:noWrap w:val="0"/>
                  <w:vAlign w:val="center"/>
                </w:tcPr>
                <w:p w14:paraId="5D07BED3">
                  <w:pPr>
                    <w:keepNext w:val="0"/>
                    <w:keepLines w:val="0"/>
                    <w:suppressLineNumbers w:val="0"/>
                    <w:spacing w:before="0" w:beforeAutospacing="0" w:after="0" w:afterAutospacing="0"/>
                    <w:ind w:left="0" w:right="0"/>
                    <w:jc w:val="center"/>
                    <w:rPr>
                      <w:rFonts w:hint="default"/>
                      <w:b/>
                      <w:bCs/>
                      <w:color w:val="auto"/>
                      <w:sz w:val="21"/>
                      <w:szCs w:val="21"/>
                      <w:highlight w:val="none"/>
                    </w:rPr>
                  </w:pPr>
                  <w:r>
                    <w:rPr>
                      <w:rFonts w:hint="eastAsia"/>
                      <w:b/>
                      <w:bCs/>
                      <w:color w:val="auto"/>
                      <w:sz w:val="21"/>
                      <w:szCs w:val="21"/>
                      <w:highlight w:val="none"/>
                      <w:lang w:val="en-US" w:eastAsia="zh-CN"/>
                    </w:rPr>
                    <w:t>迁改扩建</w:t>
                  </w:r>
                  <w:r>
                    <w:rPr>
                      <w:rFonts w:hint="eastAsia"/>
                      <w:b/>
                      <w:bCs/>
                      <w:color w:val="auto"/>
                      <w:sz w:val="21"/>
                      <w:szCs w:val="21"/>
                      <w:highlight w:val="none"/>
                    </w:rPr>
                    <w:t>完成后总排放量</w:t>
                  </w:r>
                  <w:r>
                    <w:rPr>
                      <w:rFonts w:hint="eastAsia"/>
                      <w:b/>
                      <w:bCs/>
                      <w:color w:val="auto"/>
                      <w:sz w:val="21"/>
                      <w:szCs w:val="21"/>
                      <w:highlight w:val="none"/>
                      <w:lang w:eastAsia="zh-CN"/>
                    </w:rPr>
                    <w:t>（</w:t>
                  </w:r>
                  <w:r>
                    <w:rPr>
                      <w:rFonts w:hint="eastAsia"/>
                      <w:b/>
                      <w:bCs/>
                      <w:color w:val="auto"/>
                      <w:sz w:val="21"/>
                      <w:szCs w:val="21"/>
                      <w:highlight w:val="none"/>
                      <w:lang w:val="en-US" w:eastAsia="zh-CN"/>
                    </w:rPr>
                    <w:t>t/a）</w:t>
                  </w:r>
                </w:p>
              </w:tc>
              <w:tc>
                <w:tcPr>
                  <w:tcW w:w="1358" w:type="dxa"/>
                  <w:gridSpan w:val="2"/>
                  <w:tcBorders>
                    <w:tl2br w:val="nil"/>
                    <w:tr2bl w:val="nil"/>
                  </w:tcBorders>
                  <w:noWrap w:val="0"/>
                  <w:vAlign w:val="center"/>
                </w:tcPr>
                <w:p w14:paraId="08F2E3BB">
                  <w:pPr>
                    <w:keepNext w:val="0"/>
                    <w:keepLines w:val="0"/>
                    <w:suppressLineNumbers w:val="0"/>
                    <w:spacing w:before="0" w:beforeAutospacing="0" w:after="0" w:afterAutospacing="0"/>
                    <w:ind w:left="0" w:right="0"/>
                    <w:jc w:val="center"/>
                    <w:rPr>
                      <w:rFonts w:hint="default"/>
                      <w:b/>
                      <w:bCs/>
                      <w:color w:val="auto"/>
                      <w:sz w:val="21"/>
                      <w:szCs w:val="21"/>
                      <w:highlight w:val="none"/>
                    </w:rPr>
                  </w:pPr>
                  <w:r>
                    <w:rPr>
                      <w:rFonts w:hint="eastAsia"/>
                      <w:b/>
                      <w:bCs/>
                      <w:color w:val="auto"/>
                      <w:sz w:val="21"/>
                      <w:szCs w:val="21"/>
                      <w:highlight w:val="none"/>
                    </w:rPr>
                    <w:t>增减量</w:t>
                  </w:r>
                  <w:r>
                    <w:rPr>
                      <w:rFonts w:hint="eastAsia"/>
                      <w:b/>
                      <w:bCs/>
                      <w:color w:val="auto"/>
                      <w:sz w:val="21"/>
                      <w:szCs w:val="21"/>
                      <w:highlight w:val="none"/>
                      <w:lang w:eastAsia="zh-CN"/>
                    </w:rPr>
                    <w:t>（</w:t>
                  </w:r>
                  <w:r>
                    <w:rPr>
                      <w:rFonts w:hint="eastAsia"/>
                      <w:b/>
                      <w:bCs/>
                      <w:color w:val="auto"/>
                      <w:sz w:val="21"/>
                      <w:szCs w:val="21"/>
                      <w:highlight w:val="none"/>
                      <w:lang w:val="en-US" w:eastAsia="zh-CN"/>
                    </w:rPr>
                    <w:t>t/a）</w:t>
                  </w:r>
                </w:p>
              </w:tc>
            </w:tr>
            <w:tr w14:paraId="03E2B27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8" w:type="dxa"/>
                  <w:vMerge w:val="restart"/>
                  <w:tcBorders>
                    <w:tl2br w:val="nil"/>
                    <w:tr2bl w:val="nil"/>
                  </w:tcBorders>
                  <w:noWrap w:val="0"/>
                  <w:vAlign w:val="center"/>
                </w:tcPr>
                <w:p w14:paraId="2B8247C4">
                  <w:pPr>
                    <w:keepNext w:val="0"/>
                    <w:keepLines w:val="0"/>
                    <w:suppressLineNumbers w:val="0"/>
                    <w:spacing w:before="0" w:beforeAutospacing="0" w:after="0" w:afterAutospacing="0"/>
                    <w:ind w:left="0" w:right="0"/>
                    <w:jc w:val="center"/>
                    <w:rPr>
                      <w:rFonts w:hint="default"/>
                      <w:b/>
                      <w:bCs/>
                      <w:color w:val="auto"/>
                      <w:sz w:val="21"/>
                      <w:szCs w:val="21"/>
                      <w:highlight w:val="none"/>
                    </w:rPr>
                  </w:pPr>
                  <w:r>
                    <w:rPr>
                      <w:rFonts w:hint="eastAsia"/>
                      <w:color w:val="auto"/>
                      <w:sz w:val="21"/>
                      <w:szCs w:val="21"/>
                      <w:highlight w:val="none"/>
                    </w:rPr>
                    <w:t>废气</w:t>
                  </w:r>
                </w:p>
              </w:tc>
              <w:tc>
                <w:tcPr>
                  <w:tcW w:w="829" w:type="dxa"/>
                  <w:vMerge w:val="restart"/>
                  <w:tcBorders>
                    <w:tl2br w:val="nil"/>
                    <w:tr2bl w:val="nil"/>
                  </w:tcBorders>
                  <w:noWrap w:val="0"/>
                  <w:vAlign w:val="center"/>
                </w:tcPr>
                <w:p w14:paraId="4DCE9CE0">
                  <w:pPr>
                    <w:keepNext w:val="0"/>
                    <w:keepLines w:val="0"/>
                    <w:suppressLineNumbers w:val="0"/>
                    <w:spacing w:before="0" w:beforeAutospacing="0" w:after="0" w:afterAutospacing="0"/>
                    <w:ind w:left="0" w:right="0"/>
                    <w:jc w:val="center"/>
                    <w:rPr>
                      <w:rFonts w:hint="eastAsia" w:eastAsia="宋体"/>
                      <w:color w:val="auto"/>
                      <w:sz w:val="21"/>
                      <w:szCs w:val="21"/>
                      <w:highlight w:val="none"/>
                      <w:lang w:val="en-US" w:eastAsia="zh-CN"/>
                    </w:rPr>
                  </w:pPr>
                  <w:r>
                    <w:rPr>
                      <w:rFonts w:hint="eastAsia"/>
                      <w:color w:val="auto"/>
                      <w:sz w:val="21"/>
                      <w:szCs w:val="21"/>
                      <w:highlight w:val="none"/>
                    </w:rPr>
                    <w:t>挥</w:t>
                  </w:r>
                  <w:r>
                    <w:rPr>
                      <w:rFonts w:hint="default"/>
                      <w:color w:val="auto"/>
                      <w:sz w:val="21"/>
                      <w:szCs w:val="21"/>
                      <w:highlight w:val="none"/>
                    </w:rPr>
                    <w:t>发性有机物</w:t>
                  </w:r>
                </w:p>
              </w:tc>
              <w:tc>
                <w:tcPr>
                  <w:tcW w:w="661" w:type="dxa"/>
                  <w:tcBorders>
                    <w:tl2br w:val="nil"/>
                    <w:tr2bl w:val="nil"/>
                  </w:tcBorders>
                  <w:noWrap w:val="0"/>
                  <w:vAlign w:val="center"/>
                </w:tcPr>
                <w:p w14:paraId="6C42CD7A">
                  <w:pPr>
                    <w:keepNext w:val="0"/>
                    <w:keepLines w:val="0"/>
                    <w:suppressLineNumbers w:val="0"/>
                    <w:spacing w:before="0" w:beforeAutospacing="0" w:after="0" w:afterAutospacing="0"/>
                    <w:ind w:left="0" w:right="0"/>
                    <w:jc w:val="center"/>
                    <w:rPr>
                      <w:rFonts w:hint="eastAsia"/>
                      <w:bCs/>
                      <w:color w:val="auto"/>
                      <w:kern w:val="2"/>
                      <w:sz w:val="21"/>
                      <w:szCs w:val="21"/>
                      <w:highlight w:val="none"/>
                      <w:lang w:val="en-US" w:eastAsia="zh-CN" w:bidi="ar-SA"/>
                    </w:rPr>
                  </w:pPr>
                  <w:r>
                    <w:rPr>
                      <w:rFonts w:hint="eastAsia"/>
                      <w:bCs/>
                      <w:color w:val="auto"/>
                      <w:sz w:val="21"/>
                      <w:szCs w:val="21"/>
                      <w:highlight w:val="none"/>
                    </w:rPr>
                    <w:t>有</w:t>
                  </w:r>
                  <w:r>
                    <w:rPr>
                      <w:rFonts w:hint="default"/>
                      <w:bCs/>
                      <w:color w:val="auto"/>
                      <w:sz w:val="21"/>
                      <w:szCs w:val="21"/>
                      <w:highlight w:val="none"/>
                    </w:rPr>
                    <w:t>组织</w:t>
                  </w:r>
                </w:p>
              </w:tc>
              <w:tc>
                <w:tcPr>
                  <w:tcW w:w="303" w:type="dxa"/>
                  <w:tcBorders>
                    <w:tl2br w:val="nil"/>
                    <w:tr2bl w:val="nil"/>
                  </w:tcBorders>
                  <w:noWrap w:val="0"/>
                  <w:vAlign w:val="center"/>
                </w:tcPr>
                <w:p w14:paraId="2A85A3C5">
                  <w:pPr>
                    <w:keepNext w:val="0"/>
                    <w:keepLines w:val="0"/>
                    <w:suppressLineNumbers w:val="0"/>
                    <w:spacing w:before="0" w:beforeAutospacing="0" w:after="0" w:afterAutospacing="0"/>
                    <w:ind w:left="0" w:right="0"/>
                    <w:jc w:val="center"/>
                    <w:rPr>
                      <w:rFonts w:hint="eastAsia" w:eastAsia="宋体"/>
                      <w:bCs/>
                      <w:color w:val="auto"/>
                      <w:sz w:val="21"/>
                      <w:szCs w:val="21"/>
                      <w:highlight w:val="none"/>
                      <w:lang w:val="en-US" w:eastAsia="zh-CN"/>
                    </w:rPr>
                  </w:pPr>
                  <w:r>
                    <w:rPr>
                      <w:rFonts w:hint="eastAsia"/>
                      <w:bCs/>
                      <w:color w:val="auto"/>
                      <w:sz w:val="21"/>
                      <w:szCs w:val="21"/>
                      <w:highlight w:val="none"/>
                      <w:lang w:val="en-US" w:eastAsia="zh-CN"/>
                    </w:rPr>
                    <w:t>/</w:t>
                  </w:r>
                </w:p>
              </w:tc>
              <w:tc>
                <w:tcPr>
                  <w:tcW w:w="464" w:type="dxa"/>
                  <w:tcBorders>
                    <w:tl2br w:val="nil"/>
                    <w:tr2bl w:val="nil"/>
                  </w:tcBorders>
                  <w:noWrap w:val="0"/>
                  <w:vAlign w:val="center"/>
                </w:tcPr>
                <w:p w14:paraId="007B4529">
                  <w:pPr>
                    <w:keepNext w:val="0"/>
                    <w:keepLines w:val="0"/>
                    <w:suppressLineNumbers w:val="0"/>
                    <w:spacing w:before="0" w:beforeAutospacing="0" w:after="0" w:afterAutospacing="0"/>
                    <w:ind w:left="0" w:right="0"/>
                    <w:jc w:val="center"/>
                    <w:rPr>
                      <w:rFonts w:hint="eastAsia"/>
                      <w:bCs/>
                      <w:color w:val="auto"/>
                      <w:kern w:val="2"/>
                      <w:sz w:val="21"/>
                      <w:szCs w:val="21"/>
                      <w:highlight w:val="none"/>
                      <w:lang w:val="en-US" w:eastAsia="zh-CN" w:bidi="ar-SA"/>
                    </w:rPr>
                  </w:pPr>
                  <w:r>
                    <w:rPr>
                      <w:rFonts w:hint="eastAsia"/>
                      <w:bCs/>
                      <w:color w:val="auto"/>
                      <w:sz w:val="21"/>
                      <w:szCs w:val="21"/>
                      <w:highlight w:val="none"/>
                    </w:rPr>
                    <w:t>有</w:t>
                  </w:r>
                  <w:r>
                    <w:rPr>
                      <w:rFonts w:hint="default"/>
                      <w:bCs/>
                      <w:color w:val="auto"/>
                      <w:sz w:val="21"/>
                      <w:szCs w:val="21"/>
                      <w:highlight w:val="none"/>
                    </w:rPr>
                    <w:t>组织</w:t>
                  </w:r>
                </w:p>
              </w:tc>
              <w:tc>
                <w:tcPr>
                  <w:tcW w:w="910" w:type="dxa"/>
                  <w:tcBorders>
                    <w:tl2br w:val="nil"/>
                    <w:tr2bl w:val="nil"/>
                  </w:tcBorders>
                  <w:noWrap w:val="0"/>
                  <w:vAlign w:val="center"/>
                </w:tcPr>
                <w:p w14:paraId="66899AEC">
                  <w:pPr>
                    <w:keepNext w:val="0"/>
                    <w:keepLines w:val="0"/>
                    <w:suppressLineNumbers w:val="0"/>
                    <w:spacing w:before="0" w:beforeAutospacing="0" w:after="0" w:afterAutospacing="0"/>
                    <w:ind w:left="0" w:right="0"/>
                    <w:jc w:val="center"/>
                    <w:rPr>
                      <w:rFonts w:hint="default" w:eastAsia="宋体"/>
                      <w:bCs/>
                      <w:color w:val="auto"/>
                      <w:sz w:val="21"/>
                      <w:szCs w:val="21"/>
                      <w:highlight w:val="none"/>
                      <w:lang w:val="en-US" w:eastAsia="zh-CN"/>
                    </w:rPr>
                  </w:pPr>
                  <w:r>
                    <w:rPr>
                      <w:rFonts w:hint="eastAsia"/>
                      <w:bCs/>
                      <w:color w:val="auto"/>
                      <w:sz w:val="21"/>
                      <w:szCs w:val="21"/>
                      <w:highlight w:val="none"/>
                      <w:lang w:val="en-US" w:eastAsia="zh-CN"/>
                    </w:rPr>
                    <w:t>0.1645</w:t>
                  </w:r>
                </w:p>
              </w:tc>
              <w:tc>
                <w:tcPr>
                  <w:tcW w:w="464" w:type="dxa"/>
                  <w:tcBorders>
                    <w:tl2br w:val="nil"/>
                    <w:tr2bl w:val="nil"/>
                  </w:tcBorders>
                  <w:noWrap w:val="0"/>
                  <w:vAlign w:val="center"/>
                </w:tcPr>
                <w:p w14:paraId="00F148A9">
                  <w:pPr>
                    <w:keepNext w:val="0"/>
                    <w:keepLines w:val="0"/>
                    <w:suppressLineNumbers w:val="0"/>
                    <w:spacing w:before="0" w:beforeAutospacing="0" w:after="0" w:afterAutospacing="0"/>
                    <w:ind w:left="0" w:right="0"/>
                    <w:jc w:val="center"/>
                    <w:rPr>
                      <w:rFonts w:hint="eastAsia"/>
                      <w:bCs/>
                      <w:color w:val="auto"/>
                      <w:kern w:val="2"/>
                      <w:sz w:val="21"/>
                      <w:szCs w:val="21"/>
                      <w:highlight w:val="none"/>
                      <w:lang w:val="en-US" w:eastAsia="zh-CN" w:bidi="ar-SA"/>
                    </w:rPr>
                  </w:pPr>
                  <w:r>
                    <w:rPr>
                      <w:rFonts w:hint="eastAsia"/>
                      <w:bCs/>
                      <w:color w:val="auto"/>
                      <w:sz w:val="21"/>
                      <w:szCs w:val="21"/>
                      <w:highlight w:val="none"/>
                    </w:rPr>
                    <w:t>有</w:t>
                  </w:r>
                  <w:r>
                    <w:rPr>
                      <w:rFonts w:hint="default"/>
                      <w:bCs/>
                      <w:color w:val="auto"/>
                      <w:sz w:val="21"/>
                      <w:szCs w:val="21"/>
                      <w:highlight w:val="none"/>
                    </w:rPr>
                    <w:t>组织</w:t>
                  </w:r>
                </w:p>
              </w:tc>
              <w:tc>
                <w:tcPr>
                  <w:tcW w:w="910" w:type="dxa"/>
                  <w:tcBorders>
                    <w:tl2br w:val="nil"/>
                    <w:tr2bl w:val="nil"/>
                  </w:tcBorders>
                  <w:noWrap w:val="0"/>
                  <w:vAlign w:val="center"/>
                </w:tcPr>
                <w:p w14:paraId="73A4C3A9">
                  <w:pPr>
                    <w:keepNext w:val="0"/>
                    <w:keepLines w:val="0"/>
                    <w:suppressLineNumbers w:val="0"/>
                    <w:spacing w:before="0" w:beforeAutospacing="0" w:after="0" w:afterAutospacing="0"/>
                    <w:ind w:left="0" w:right="0"/>
                    <w:jc w:val="center"/>
                    <w:rPr>
                      <w:rFonts w:hint="default" w:eastAsia="宋体"/>
                      <w:bCs/>
                      <w:color w:val="auto"/>
                      <w:sz w:val="21"/>
                      <w:szCs w:val="21"/>
                      <w:highlight w:val="none"/>
                      <w:lang w:val="en-US" w:eastAsia="zh-CN"/>
                    </w:rPr>
                  </w:pPr>
                  <w:r>
                    <w:rPr>
                      <w:rFonts w:hint="eastAsia"/>
                      <w:bCs/>
                      <w:color w:val="auto"/>
                      <w:sz w:val="21"/>
                      <w:szCs w:val="21"/>
                      <w:highlight w:val="none"/>
                      <w:lang w:val="en-US" w:eastAsia="zh-CN"/>
                    </w:rPr>
                    <w:t>0.0356</w:t>
                  </w:r>
                </w:p>
              </w:tc>
              <w:tc>
                <w:tcPr>
                  <w:tcW w:w="613" w:type="dxa"/>
                  <w:tcBorders>
                    <w:tl2br w:val="nil"/>
                    <w:tr2bl w:val="nil"/>
                  </w:tcBorders>
                  <w:noWrap w:val="0"/>
                  <w:vAlign w:val="center"/>
                </w:tcPr>
                <w:p w14:paraId="745D6F61">
                  <w:pPr>
                    <w:keepNext w:val="0"/>
                    <w:keepLines w:val="0"/>
                    <w:suppressLineNumbers w:val="0"/>
                    <w:spacing w:before="0" w:beforeAutospacing="0" w:after="0" w:afterAutospacing="0"/>
                    <w:ind w:left="0" w:right="0"/>
                    <w:jc w:val="center"/>
                    <w:rPr>
                      <w:rFonts w:hint="eastAsia"/>
                      <w:bCs/>
                      <w:color w:val="auto"/>
                      <w:kern w:val="2"/>
                      <w:sz w:val="21"/>
                      <w:szCs w:val="21"/>
                      <w:highlight w:val="none"/>
                      <w:lang w:val="en-US" w:eastAsia="zh-CN" w:bidi="ar-SA"/>
                    </w:rPr>
                  </w:pPr>
                  <w:r>
                    <w:rPr>
                      <w:rFonts w:hint="eastAsia"/>
                      <w:bCs/>
                      <w:color w:val="auto"/>
                      <w:sz w:val="21"/>
                      <w:szCs w:val="21"/>
                      <w:highlight w:val="none"/>
                    </w:rPr>
                    <w:t>有</w:t>
                  </w:r>
                  <w:r>
                    <w:rPr>
                      <w:rFonts w:hint="default"/>
                      <w:bCs/>
                      <w:color w:val="auto"/>
                      <w:sz w:val="21"/>
                      <w:szCs w:val="21"/>
                      <w:highlight w:val="none"/>
                    </w:rPr>
                    <w:t>组织</w:t>
                  </w:r>
                </w:p>
              </w:tc>
              <w:tc>
                <w:tcPr>
                  <w:tcW w:w="351" w:type="dxa"/>
                  <w:tcBorders>
                    <w:tl2br w:val="nil"/>
                    <w:tr2bl w:val="nil"/>
                  </w:tcBorders>
                  <w:noWrap w:val="0"/>
                  <w:vAlign w:val="center"/>
                </w:tcPr>
                <w:p w14:paraId="3D3376F7">
                  <w:pPr>
                    <w:keepNext w:val="0"/>
                    <w:keepLines w:val="0"/>
                    <w:suppressLineNumbers w:val="0"/>
                    <w:spacing w:before="0" w:beforeAutospacing="0" w:after="0" w:afterAutospacing="0"/>
                    <w:ind w:left="0" w:leftChars="0" w:right="0" w:rightChars="0"/>
                    <w:jc w:val="center"/>
                    <w:rPr>
                      <w:rFonts w:hint="default" w:eastAsia="宋体"/>
                      <w:bCs/>
                      <w:color w:val="auto"/>
                      <w:sz w:val="21"/>
                      <w:szCs w:val="21"/>
                      <w:highlight w:val="none"/>
                      <w:lang w:val="en-US" w:eastAsia="zh-CN"/>
                    </w:rPr>
                  </w:pPr>
                  <w:r>
                    <w:rPr>
                      <w:rFonts w:hint="eastAsia"/>
                      <w:bCs/>
                      <w:color w:val="auto"/>
                      <w:sz w:val="21"/>
                      <w:szCs w:val="21"/>
                      <w:highlight w:val="none"/>
                      <w:lang w:val="en-US" w:eastAsia="zh-CN"/>
                    </w:rPr>
                    <w:t>0.1645</w:t>
                  </w:r>
                </w:p>
              </w:tc>
              <w:tc>
                <w:tcPr>
                  <w:tcW w:w="480" w:type="dxa"/>
                  <w:tcBorders>
                    <w:tl2br w:val="nil"/>
                    <w:tr2bl w:val="nil"/>
                  </w:tcBorders>
                  <w:noWrap w:val="0"/>
                  <w:vAlign w:val="center"/>
                </w:tcPr>
                <w:p w14:paraId="22D7C5CB">
                  <w:pPr>
                    <w:keepNext w:val="0"/>
                    <w:keepLines w:val="0"/>
                    <w:suppressLineNumbers w:val="0"/>
                    <w:spacing w:before="0" w:beforeAutospacing="0" w:after="0" w:afterAutospacing="0"/>
                    <w:ind w:left="0" w:right="0"/>
                    <w:jc w:val="center"/>
                    <w:rPr>
                      <w:rFonts w:hint="eastAsia"/>
                      <w:bCs/>
                      <w:color w:val="auto"/>
                      <w:kern w:val="2"/>
                      <w:sz w:val="21"/>
                      <w:szCs w:val="21"/>
                      <w:highlight w:val="none"/>
                      <w:lang w:val="en-US" w:eastAsia="zh-CN" w:bidi="ar-SA"/>
                    </w:rPr>
                  </w:pPr>
                  <w:r>
                    <w:rPr>
                      <w:rFonts w:hint="eastAsia"/>
                      <w:bCs/>
                      <w:color w:val="auto"/>
                      <w:sz w:val="21"/>
                      <w:szCs w:val="21"/>
                      <w:highlight w:val="none"/>
                    </w:rPr>
                    <w:t>有</w:t>
                  </w:r>
                  <w:r>
                    <w:rPr>
                      <w:rFonts w:hint="default"/>
                      <w:bCs/>
                      <w:color w:val="auto"/>
                      <w:sz w:val="21"/>
                      <w:szCs w:val="21"/>
                      <w:highlight w:val="none"/>
                    </w:rPr>
                    <w:t>组织</w:t>
                  </w:r>
                </w:p>
              </w:tc>
              <w:tc>
                <w:tcPr>
                  <w:tcW w:w="826" w:type="dxa"/>
                  <w:tcBorders>
                    <w:tl2br w:val="nil"/>
                    <w:tr2bl w:val="nil"/>
                  </w:tcBorders>
                  <w:noWrap w:val="0"/>
                  <w:vAlign w:val="center"/>
                </w:tcPr>
                <w:p w14:paraId="5B79482C">
                  <w:pPr>
                    <w:keepNext w:val="0"/>
                    <w:keepLines w:val="0"/>
                    <w:suppressLineNumbers w:val="0"/>
                    <w:spacing w:before="0" w:beforeAutospacing="0" w:after="0" w:afterAutospacing="0"/>
                    <w:ind w:left="0" w:leftChars="0" w:right="0" w:rightChars="0"/>
                    <w:jc w:val="center"/>
                    <w:rPr>
                      <w:rFonts w:hint="eastAsia" w:eastAsia="宋体"/>
                      <w:bCs/>
                      <w:color w:val="auto"/>
                      <w:kern w:val="2"/>
                      <w:sz w:val="21"/>
                      <w:szCs w:val="21"/>
                      <w:highlight w:val="none"/>
                      <w:lang w:val="en-US" w:eastAsia="zh-CN" w:bidi="ar-SA"/>
                    </w:rPr>
                  </w:pPr>
                  <w:r>
                    <w:rPr>
                      <w:rFonts w:hint="eastAsia"/>
                      <w:bCs/>
                      <w:color w:val="auto"/>
                      <w:sz w:val="21"/>
                      <w:szCs w:val="21"/>
                      <w:highlight w:val="none"/>
                      <w:lang w:val="en-US" w:eastAsia="zh-CN"/>
                    </w:rPr>
                    <w:t>0.0356</w:t>
                  </w:r>
                </w:p>
              </w:tc>
              <w:tc>
                <w:tcPr>
                  <w:tcW w:w="446" w:type="dxa"/>
                  <w:tcBorders>
                    <w:tl2br w:val="nil"/>
                    <w:tr2bl w:val="nil"/>
                  </w:tcBorders>
                  <w:noWrap w:val="0"/>
                  <w:vAlign w:val="center"/>
                </w:tcPr>
                <w:p w14:paraId="422DC649">
                  <w:pPr>
                    <w:keepNext w:val="0"/>
                    <w:keepLines w:val="0"/>
                    <w:suppressLineNumbers w:val="0"/>
                    <w:spacing w:before="0" w:beforeAutospacing="0" w:after="0" w:afterAutospacing="0"/>
                    <w:ind w:left="0" w:right="0"/>
                    <w:jc w:val="center"/>
                    <w:rPr>
                      <w:rFonts w:hint="eastAsia"/>
                      <w:bCs/>
                      <w:color w:val="auto"/>
                      <w:kern w:val="2"/>
                      <w:sz w:val="21"/>
                      <w:szCs w:val="21"/>
                      <w:highlight w:val="none"/>
                      <w:lang w:val="en-US" w:eastAsia="zh-CN" w:bidi="ar-SA"/>
                    </w:rPr>
                  </w:pPr>
                  <w:r>
                    <w:rPr>
                      <w:rFonts w:hint="eastAsia"/>
                      <w:bCs/>
                      <w:color w:val="auto"/>
                      <w:sz w:val="21"/>
                      <w:szCs w:val="21"/>
                      <w:highlight w:val="none"/>
                    </w:rPr>
                    <w:t>有</w:t>
                  </w:r>
                  <w:r>
                    <w:rPr>
                      <w:rFonts w:hint="default"/>
                      <w:bCs/>
                      <w:color w:val="auto"/>
                      <w:sz w:val="21"/>
                      <w:szCs w:val="21"/>
                      <w:highlight w:val="none"/>
                    </w:rPr>
                    <w:t>组织</w:t>
                  </w:r>
                </w:p>
              </w:tc>
              <w:tc>
                <w:tcPr>
                  <w:tcW w:w="912" w:type="dxa"/>
                  <w:tcBorders>
                    <w:tl2br w:val="nil"/>
                    <w:tr2bl w:val="nil"/>
                  </w:tcBorders>
                  <w:noWrap w:val="0"/>
                  <w:vAlign w:val="center"/>
                </w:tcPr>
                <w:p w14:paraId="24012374">
                  <w:pPr>
                    <w:keepNext w:val="0"/>
                    <w:keepLines w:val="0"/>
                    <w:suppressLineNumbers w:val="0"/>
                    <w:spacing w:before="0" w:beforeAutospacing="0" w:after="0" w:afterAutospacing="0"/>
                    <w:ind w:left="0" w:right="0"/>
                    <w:jc w:val="center"/>
                    <w:rPr>
                      <w:rFonts w:hint="default"/>
                      <w:bCs/>
                      <w:color w:val="auto"/>
                      <w:sz w:val="21"/>
                      <w:szCs w:val="21"/>
                      <w:highlight w:val="none"/>
                      <w:lang w:val="en-US" w:eastAsia="zh-CN"/>
                    </w:rPr>
                  </w:pPr>
                  <w:r>
                    <w:rPr>
                      <w:rFonts w:hint="eastAsia"/>
                      <w:bCs/>
                      <w:color w:val="auto"/>
                      <w:sz w:val="21"/>
                      <w:szCs w:val="21"/>
                      <w:highlight w:val="none"/>
                      <w:lang w:val="en-US" w:eastAsia="zh-CN"/>
                    </w:rPr>
                    <w:t>-0.1289</w:t>
                  </w:r>
                </w:p>
              </w:tc>
            </w:tr>
            <w:tr w14:paraId="036844D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8" w:type="dxa"/>
                  <w:vMerge w:val="continue"/>
                  <w:tcBorders>
                    <w:tl2br w:val="nil"/>
                    <w:tr2bl w:val="nil"/>
                  </w:tcBorders>
                  <w:noWrap w:val="0"/>
                  <w:vAlign w:val="center"/>
                </w:tcPr>
                <w:p w14:paraId="1847CC58">
                  <w:pPr>
                    <w:keepNext w:val="0"/>
                    <w:keepLines w:val="0"/>
                    <w:suppressLineNumbers w:val="0"/>
                    <w:spacing w:before="0" w:beforeAutospacing="0" w:after="0" w:afterAutospacing="0"/>
                    <w:ind w:left="0" w:right="0"/>
                    <w:jc w:val="center"/>
                    <w:rPr>
                      <w:rFonts w:hint="eastAsia"/>
                      <w:color w:val="auto"/>
                      <w:sz w:val="21"/>
                      <w:szCs w:val="21"/>
                      <w:highlight w:val="none"/>
                    </w:rPr>
                  </w:pPr>
                </w:p>
              </w:tc>
              <w:tc>
                <w:tcPr>
                  <w:tcW w:w="829" w:type="dxa"/>
                  <w:vMerge w:val="continue"/>
                  <w:tcBorders>
                    <w:tl2br w:val="nil"/>
                    <w:tr2bl w:val="nil"/>
                  </w:tcBorders>
                  <w:noWrap w:val="0"/>
                  <w:vAlign w:val="center"/>
                </w:tcPr>
                <w:p w14:paraId="18C14C07">
                  <w:pPr>
                    <w:keepNext w:val="0"/>
                    <w:keepLines w:val="0"/>
                    <w:suppressLineNumbers w:val="0"/>
                    <w:spacing w:before="0" w:beforeAutospacing="0" w:after="0" w:afterAutospacing="0"/>
                    <w:ind w:left="0" w:right="0"/>
                    <w:jc w:val="center"/>
                    <w:rPr>
                      <w:rFonts w:hint="eastAsia"/>
                      <w:color w:val="auto"/>
                      <w:sz w:val="21"/>
                      <w:szCs w:val="21"/>
                      <w:highlight w:val="none"/>
                    </w:rPr>
                  </w:pPr>
                </w:p>
              </w:tc>
              <w:tc>
                <w:tcPr>
                  <w:tcW w:w="661" w:type="dxa"/>
                  <w:tcBorders>
                    <w:tl2br w:val="nil"/>
                    <w:tr2bl w:val="nil"/>
                  </w:tcBorders>
                  <w:noWrap w:val="0"/>
                  <w:vAlign w:val="center"/>
                </w:tcPr>
                <w:p w14:paraId="208875DE">
                  <w:pPr>
                    <w:keepNext w:val="0"/>
                    <w:keepLines w:val="0"/>
                    <w:suppressLineNumbers w:val="0"/>
                    <w:spacing w:before="0" w:beforeAutospacing="0" w:after="0" w:afterAutospacing="0"/>
                    <w:ind w:left="0" w:right="0"/>
                    <w:jc w:val="center"/>
                    <w:rPr>
                      <w:rFonts w:hint="eastAsia"/>
                      <w:color w:val="auto"/>
                      <w:kern w:val="2"/>
                      <w:sz w:val="21"/>
                      <w:szCs w:val="21"/>
                      <w:highlight w:val="none"/>
                      <w:lang w:val="en-US" w:eastAsia="zh-CN" w:bidi="ar-SA"/>
                    </w:rPr>
                  </w:pPr>
                  <w:r>
                    <w:rPr>
                      <w:rFonts w:hint="eastAsia"/>
                      <w:color w:val="auto"/>
                      <w:sz w:val="21"/>
                      <w:szCs w:val="21"/>
                      <w:highlight w:val="none"/>
                    </w:rPr>
                    <w:t>无</w:t>
                  </w:r>
                  <w:r>
                    <w:rPr>
                      <w:rFonts w:hint="default"/>
                      <w:color w:val="auto"/>
                      <w:sz w:val="21"/>
                      <w:szCs w:val="21"/>
                      <w:highlight w:val="none"/>
                    </w:rPr>
                    <w:t>组织</w:t>
                  </w:r>
                </w:p>
              </w:tc>
              <w:tc>
                <w:tcPr>
                  <w:tcW w:w="303" w:type="dxa"/>
                  <w:tcBorders>
                    <w:tl2br w:val="nil"/>
                    <w:tr2bl w:val="nil"/>
                  </w:tcBorders>
                  <w:noWrap w:val="0"/>
                  <w:vAlign w:val="center"/>
                </w:tcPr>
                <w:p w14:paraId="1CE1E63E">
                  <w:pPr>
                    <w:keepNext w:val="0"/>
                    <w:keepLines w:val="0"/>
                    <w:suppressLineNumbers w:val="0"/>
                    <w:spacing w:before="0" w:beforeAutospacing="0" w:after="0" w:afterAutospacing="0"/>
                    <w:ind w:left="0" w:right="0"/>
                    <w:jc w:val="center"/>
                    <w:rPr>
                      <w:rFonts w:hint="eastAsia" w:eastAsia="宋体"/>
                      <w:bCs/>
                      <w:color w:val="auto"/>
                      <w:sz w:val="21"/>
                      <w:szCs w:val="21"/>
                      <w:highlight w:val="none"/>
                      <w:lang w:val="en-US" w:eastAsia="zh-CN"/>
                    </w:rPr>
                  </w:pPr>
                  <w:r>
                    <w:rPr>
                      <w:rFonts w:hint="eastAsia"/>
                      <w:bCs/>
                      <w:color w:val="auto"/>
                      <w:sz w:val="21"/>
                      <w:szCs w:val="21"/>
                      <w:highlight w:val="none"/>
                      <w:lang w:val="en-US" w:eastAsia="zh-CN"/>
                    </w:rPr>
                    <w:t>/</w:t>
                  </w:r>
                </w:p>
              </w:tc>
              <w:tc>
                <w:tcPr>
                  <w:tcW w:w="464" w:type="dxa"/>
                  <w:tcBorders>
                    <w:tl2br w:val="nil"/>
                    <w:tr2bl w:val="nil"/>
                  </w:tcBorders>
                  <w:noWrap w:val="0"/>
                  <w:vAlign w:val="center"/>
                </w:tcPr>
                <w:p w14:paraId="66D6EEC9">
                  <w:pPr>
                    <w:keepNext w:val="0"/>
                    <w:keepLines w:val="0"/>
                    <w:suppressLineNumbers w:val="0"/>
                    <w:spacing w:before="0" w:beforeAutospacing="0" w:after="0" w:afterAutospacing="0"/>
                    <w:ind w:left="0" w:right="0"/>
                    <w:jc w:val="center"/>
                    <w:rPr>
                      <w:rFonts w:hint="eastAsia"/>
                      <w:color w:val="auto"/>
                      <w:kern w:val="2"/>
                      <w:sz w:val="21"/>
                      <w:szCs w:val="21"/>
                      <w:highlight w:val="none"/>
                      <w:lang w:val="en-US" w:eastAsia="zh-CN" w:bidi="ar-SA"/>
                    </w:rPr>
                  </w:pPr>
                  <w:r>
                    <w:rPr>
                      <w:rFonts w:hint="eastAsia"/>
                      <w:color w:val="auto"/>
                      <w:sz w:val="21"/>
                      <w:szCs w:val="21"/>
                      <w:highlight w:val="none"/>
                    </w:rPr>
                    <w:t>无</w:t>
                  </w:r>
                  <w:r>
                    <w:rPr>
                      <w:rFonts w:hint="default"/>
                      <w:color w:val="auto"/>
                      <w:sz w:val="21"/>
                      <w:szCs w:val="21"/>
                      <w:highlight w:val="none"/>
                    </w:rPr>
                    <w:t>组织</w:t>
                  </w:r>
                </w:p>
              </w:tc>
              <w:tc>
                <w:tcPr>
                  <w:tcW w:w="910" w:type="dxa"/>
                  <w:tcBorders>
                    <w:tl2br w:val="nil"/>
                    <w:tr2bl w:val="nil"/>
                  </w:tcBorders>
                  <w:noWrap w:val="0"/>
                  <w:vAlign w:val="center"/>
                </w:tcPr>
                <w:p w14:paraId="124F3BFF">
                  <w:pPr>
                    <w:keepNext w:val="0"/>
                    <w:keepLines w:val="0"/>
                    <w:suppressLineNumbers w:val="0"/>
                    <w:spacing w:before="0" w:beforeAutospacing="0" w:after="0" w:afterAutospacing="0"/>
                    <w:ind w:left="0" w:right="0"/>
                    <w:jc w:val="center"/>
                    <w:rPr>
                      <w:rFonts w:hint="default" w:eastAsia="宋体"/>
                      <w:bCs/>
                      <w:color w:val="auto"/>
                      <w:sz w:val="21"/>
                      <w:szCs w:val="21"/>
                      <w:highlight w:val="none"/>
                      <w:lang w:val="en-US" w:eastAsia="zh-CN"/>
                    </w:rPr>
                  </w:pPr>
                  <w:r>
                    <w:rPr>
                      <w:rFonts w:hint="eastAsia"/>
                      <w:bCs/>
                      <w:color w:val="auto"/>
                      <w:sz w:val="21"/>
                      <w:szCs w:val="21"/>
                      <w:highlight w:val="none"/>
                      <w:lang w:val="en-US" w:eastAsia="zh-CN"/>
                    </w:rPr>
                    <w:t>0.1181</w:t>
                  </w:r>
                </w:p>
              </w:tc>
              <w:tc>
                <w:tcPr>
                  <w:tcW w:w="464" w:type="dxa"/>
                  <w:tcBorders>
                    <w:tl2br w:val="nil"/>
                    <w:tr2bl w:val="nil"/>
                  </w:tcBorders>
                  <w:noWrap w:val="0"/>
                  <w:vAlign w:val="center"/>
                </w:tcPr>
                <w:p w14:paraId="0BE418C2">
                  <w:pPr>
                    <w:keepNext w:val="0"/>
                    <w:keepLines w:val="0"/>
                    <w:suppressLineNumbers w:val="0"/>
                    <w:spacing w:before="0" w:beforeAutospacing="0" w:after="0" w:afterAutospacing="0"/>
                    <w:ind w:left="0" w:right="0"/>
                    <w:jc w:val="center"/>
                    <w:rPr>
                      <w:rFonts w:hint="eastAsia"/>
                      <w:color w:val="auto"/>
                      <w:kern w:val="2"/>
                      <w:sz w:val="21"/>
                      <w:szCs w:val="21"/>
                      <w:highlight w:val="none"/>
                      <w:lang w:val="en-US" w:eastAsia="zh-CN" w:bidi="ar-SA"/>
                    </w:rPr>
                  </w:pPr>
                  <w:r>
                    <w:rPr>
                      <w:rFonts w:hint="eastAsia"/>
                      <w:color w:val="auto"/>
                      <w:sz w:val="21"/>
                      <w:szCs w:val="21"/>
                      <w:highlight w:val="none"/>
                    </w:rPr>
                    <w:t>无</w:t>
                  </w:r>
                  <w:r>
                    <w:rPr>
                      <w:rFonts w:hint="default"/>
                      <w:color w:val="auto"/>
                      <w:sz w:val="21"/>
                      <w:szCs w:val="21"/>
                      <w:highlight w:val="none"/>
                    </w:rPr>
                    <w:t>组织</w:t>
                  </w:r>
                </w:p>
              </w:tc>
              <w:tc>
                <w:tcPr>
                  <w:tcW w:w="910" w:type="dxa"/>
                  <w:tcBorders>
                    <w:tl2br w:val="nil"/>
                    <w:tr2bl w:val="nil"/>
                  </w:tcBorders>
                  <w:noWrap w:val="0"/>
                  <w:vAlign w:val="center"/>
                </w:tcPr>
                <w:p w14:paraId="10C3CBA2">
                  <w:pPr>
                    <w:keepNext w:val="0"/>
                    <w:keepLines w:val="0"/>
                    <w:suppressLineNumbers w:val="0"/>
                    <w:spacing w:before="0" w:beforeAutospacing="0" w:after="0" w:afterAutospacing="0"/>
                    <w:ind w:left="0" w:right="0"/>
                    <w:jc w:val="center"/>
                    <w:rPr>
                      <w:rFonts w:hint="default" w:eastAsia="宋体"/>
                      <w:bCs/>
                      <w:color w:val="auto"/>
                      <w:sz w:val="21"/>
                      <w:szCs w:val="21"/>
                      <w:highlight w:val="none"/>
                      <w:lang w:val="en-US" w:eastAsia="zh-CN"/>
                    </w:rPr>
                  </w:pPr>
                  <w:r>
                    <w:rPr>
                      <w:rFonts w:hint="eastAsia" w:eastAsia="宋体"/>
                      <w:bCs/>
                      <w:color w:val="auto"/>
                      <w:sz w:val="21"/>
                      <w:szCs w:val="21"/>
                      <w:highlight w:val="none"/>
                      <w:lang w:val="en-US" w:eastAsia="zh-CN"/>
                    </w:rPr>
                    <w:t>0.</w:t>
                  </w:r>
                  <w:r>
                    <w:rPr>
                      <w:rFonts w:hint="eastAsia"/>
                      <w:bCs/>
                      <w:color w:val="auto"/>
                      <w:sz w:val="21"/>
                      <w:szCs w:val="21"/>
                      <w:highlight w:val="none"/>
                      <w:lang w:val="en-US" w:eastAsia="zh-CN"/>
                    </w:rPr>
                    <w:t>1425</w:t>
                  </w:r>
                </w:p>
              </w:tc>
              <w:tc>
                <w:tcPr>
                  <w:tcW w:w="613" w:type="dxa"/>
                  <w:tcBorders>
                    <w:tl2br w:val="nil"/>
                    <w:tr2bl w:val="nil"/>
                  </w:tcBorders>
                  <w:noWrap w:val="0"/>
                  <w:vAlign w:val="center"/>
                </w:tcPr>
                <w:p w14:paraId="1AB293B1">
                  <w:pPr>
                    <w:keepNext w:val="0"/>
                    <w:keepLines w:val="0"/>
                    <w:suppressLineNumbers w:val="0"/>
                    <w:spacing w:before="0" w:beforeAutospacing="0" w:after="0" w:afterAutospacing="0"/>
                    <w:ind w:left="0" w:right="0"/>
                    <w:jc w:val="center"/>
                    <w:rPr>
                      <w:rFonts w:hint="eastAsia"/>
                      <w:color w:val="auto"/>
                      <w:kern w:val="2"/>
                      <w:sz w:val="21"/>
                      <w:szCs w:val="21"/>
                      <w:highlight w:val="none"/>
                      <w:lang w:val="en-US" w:eastAsia="zh-CN" w:bidi="ar-SA"/>
                    </w:rPr>
                  </w:pPr>
                  <w:r>
                    <w:rPr>
                      <w:rFonts w:hint="eastAsia"/>
                      <w:color w:val="auto"/>
                      <w:sz w:val="21"/>
                      <w:szCs w:val="21"/>
                      <w:highlight w:val="none"/>
                    </w:rPr>
                    <w:t>无</w:t>
                  </w:r>
                  <w:r>
                    <w:rPr>
                      <w:rFonts w:hint="default"/>
                      <w:color w:val="auto"/>
                      <w:sz w:val="21"/>
                      <w:szCs w:val="21"/>
                      <w:highlight w:val="none"/>
                    </w:rPr>
                    <w:t>组织</w:t>
                  </w:r>
                </w:p>
              </w:tc>
              <w:tc>
                <w:tcPr>
                  <w:tcW w:w="351" w:type="dxa"/>
                  <w:tcBorders>
                    <w:tl2br w:val="nil"/>
                    <w:tr2bl w:val="nil"/>
                  </w:tcBorders>
                  <w:noWrap w:val="0"/>
                  <w:vAlign w:val="center"/>
                </w:tcPr>
                <w:p w14:paraId="6702D948">
                  <w:pPr>
                    <w:keepNext w:val="0"/>
                    <w:keepLines w:val="0"/>
                    <w:suppressLineNumbers w:val="0"/>
                    <w:spacing w:before="0" w:beforeAutospacing="0" w:after="0" w:afterAutospacing="0"/>
                    <w:ind w:left="0" w:leftChars="0" w:right="0" w:rightChars="0"/>
                    <w:jc w:val="center"/>
                    <w:rPr>
                      <w:rFonts w:hint="eastAsia" w:eastAsia="宋体"/>
                      <w:bCs/>
                      <w:color w:val="auto"/>
                      <w:sz w:val="21"/>
                      <w:szCs w:val="21"/>
                      <w:highlight w:val="none"/>
                      <w:lang w:val="en-US" w:eastAsia="zh-CN"/>
                    </w:rPr>
                  </w:pPr>
                  <w:r>
                    <w:rPr>
                      <w:rFonts w:hint="eastAsia"/>
                      <w:bCs/>
                      <w:color w:val="auto"/>
                      <w:sz w:val="21"/>
                      <w:szCs w:val="21"/>
                      <w:highlight w:val="none"/>
                      <w:lang w:val="en-US" w:eastAsia="zh-CN"/>
                    </w:rPr>
                    <w:t>0.1181</w:t>
                  </w:r>
                </w:p>
              </w:tc>
              <w:tc>
                <w:tcPr>
                  <w:tcW w:w="480" w:type="dxa"/>
                  <w:tcBorders>
                    <w:tl2br w:val="nil"/>
                    <w:tr2bl w:val="nil"/>
                  </w:tcBorders>
                  <w:noWrap w:val="0"/>
                  <w:vAlign w:val="center"/>
                </w:tcPr>
                <w:p w14:paraId="1FC151CB">
                  <w:pPr>
                    <w:keepNext w:val="0"/>
                    <w:keepLines w:val="0"/>
                    <w:suppressLineNumbers w:val="0"/>
                    <w:spacing w:before="0" w:beforeAutospacing="0" w:after="0" w:afterAutospacing="0"/>
                    <w:ind w:left="0" w:right="0"/>
                    <w:jc w:val="center"/>
                    <w:rPr>
                      <w:rFonts w:hint="eastAsia"/>
                      <w:color w:val="auto"/>
                      <w:kern w:val="2"/>
                      <w:sz w:val="21"/>
                      <w:szCs w:val="21"/>
                      <w:highlight w:val="none"/>
                      <w:lang w:val="en-US" w:eastAsia="zh-CN" w:bidi="ar-SA"/>
                    </w:rPr>
                  </w:pPr>
                  <w:r>
                    <w:rPr>
                      <w:rFonts w:hint="eastAsia"/>
                      <w:color w:val="auto"/>
                      <w:sz w:val="21"/>
                      <w:szCs w:val="21"/>
                      <w:highlight w:val="none"/>
                    </w:rPr>
                    <w:t>无</w:t>
                  </w:r>
                  <w:r>
                    <w:rPr>
                      <w:rFonts w:hint="default"/>
                      <w:color w:val="auto"/>
                      <w:sz w:val="21"/>
                      <w:szCs w:val="21"/>
                      <w:highlight w:val="none"/>
                    </w:rPr>
                    <w:t>组织</w:t>
                  </w:r>
                </w:p>
              </w:tc>
              <w:tc>
                <w:tcPr>
                  <w:tcW w:w="826" w:type="dxa"/>
                  <w:tcBorders>
                    <w:tl2br w:val="nil"/>
                    <w:tr2bl w:val="nil"/>
                  </w:tcBorders>
                  <w:noWrap w:val="0"/>
                  <w:vAlign w:val="center"/>
                </w:tcPr>
                <w:p w14:paraId="1F334EA0">
                  <w:pPr>
                    <w:keepNext w:val="0"/>
                    <w:keepLines w:val="0"/>
                    <w:suppressLineNumbers w:val="0"/>
                    <w:spacing w:before="0" w:beforeAutospacing="0" w:after="0" w:afterAutospacing="0"/>
                    <w:ind w:left="0" w:leftChars="0" w:right="0" w:rightChars="0"/>
                    <w:jc w:val="center"/>
                    <w:rPr>
                      <w:rFonts w:hint="default" w:eastAsia="宋体"/>
                      <w:bCs/>
                      <w:color w:val="auto"/>
                      <w:sz w:val="21"/>
                      <w:szCs w:val="21"/>
                      <w:highlight w:val="none"/>
                      <w:lang w:val="en-US" w:eastAsia="zh-CN"/>
                    </w:rPr>
                  </w:pPr>
                  <w:r>
                    <w:rPr>
                      <w:rFonts w:hint="eastAsia" w:eastAsia="宋体"/>
                      <w:bCs/>
                      <w:color w:val="auto"/>
                      <w:sz w:val="21"/>
                      <w:szCs w:val="21"/>
                      <w:highlight w:val="none"/>
                      <w:lang w:val="en-US" w:eastAsia="zh-CN"/>
                    </w:rPr>
                    <w:t>0.</w:t>
                  </w:r>
                  <w:r>
                    <w:rPr>
                      <w:rFonts w:hint="eastAsia"/>
                      <w:bCs/>
                      <w:color w:val="auto"/>
                      <w:sz w:val="21"/>
                      <w:szCs w:val="21"/>
                      <w:highlight w:val="none"/>
                      <w:lang w:val="en-US" w:eastAsia="zh-CN"/>
                    </w:rPr>
                    <w:t>1425</w:t>
                  </w:r>
                </w:p>
              </w:tc>
              <w:tc>
                <w:tcPr>
                  <w:tcW w:w="446" w:type="dxa"/>
                  <w:tcBorders>
                    <w:tl2br w:val="nil"/>
                    <w:tr2bl w:val="nil"/>
                  </w:tcBorders>
                  <w:noWrap w:val="0"/>
                  <w:vAlign w:val="center"/>
                </w:tcPr>
                <w:p w14:paraId="34AD65C4">
                  <w:pPr>
                    <w:keepNext w:val="0"/>
                    <w:keepLines w:val="0"/>
                    <w:suppressLineNumbers w:val="0"/>
                    <w:spacing w:before="0" w:beforeAutospacing="0" w:after="0" w:afterAutospacing="0"/>
                    <w:ind w:left="0" w:right="0"/>
                    <w:jc w:val="center"/>
                    <w:rPr>
                      <w:rFonts w:hint="eastAsia"/>
                      <w:color w:val="auto"/>
                      <w:kern w:val="2"/>
                      <w:sz w:val="21"/>
                      <w:szCs w:val="21"/>
                      <w:highlight w:val="none"/>
                      <w:lang w:val="en-US" w:eastAsia="zh-CN" w:bidi="ar-SA"/>
                    </w:rPr>
                  </w:pPr>
                  <w:r>
                    <w:rPr>
                      <w:rFonts w:hint="eastAsia"/>
                      <w:color w:val="auto"/>
                      <w:sz w:val="21"/>
                      <w:szCs w:val="21"/>
                      <w:highlight w:val="none"/>
                    </w:rPr>
                    <w:t>无</w:t>
                  </w:r>
                  <w:r>
                    <w:rPr>
                      <w:rFonts w:hint="default"/>
                      <w:color w:val="auto"/>
                      <w:sz w:val="21"/>
                      <w:szCs w:val="21"/>
                      <w:highlight w:val="none"/>
                    </w:rPr>
                    <w:t>组织</w:t>
                  </w:r>
                </w:p>
              </w:tc>
              <w:tc>
                <w:tcPr>
                  <w:tcW w:w="912" w:type="dxa"/>
                  <w:tcBorders>
                    <w:tl2br w:val="nil"/>
                    <w:tr2bl w:val="nil"/>
                  </w:tcBorders>
                  <w:noWrap w:val="0"/>
                  <w:vAlign w:val="center"/>
                </w:tcPr>
                <w:p w14:paraId="525A52A8">
                  <w:pPr>
                    <w:keepNext w:val="0"/>
                    <w:keepLines w:val="0"/>
                    <w:suppressLineNumbers w:val="0"/>
                    <w:spacing w:before="0" w:beforeAutospacing="0" w:after="0" w:afterAutospacing="0"/>
                    <w:ind w:left="0" w:right="0"/>
                    <w:jc w:val="center"/>
                    <w:rPr>
                      <w:rFonts w:hint="default"/>
                      <w:bCs/>
                      <w:color w:val="auto"/>
                      <w:sz w:val="21"/>
                      <w:szCs w:val="21"/>
                      <w:highlight w:val="none"/>
                      <w:lang w:val="en-US" w:eastAsia="zh-CN"/>
                    </w:rPr>
                  </w:pPr>
                  <w:r>
                    <w:rPr>
                      <w:rFonts w:hint="eastAsia"/>
                      <w:bCs/>
                      <w:color w:val="auto"/>
                      <w:sz w:val="21"/>
                      <w:szCs w:val="21"/>
                      <w:highlight w:val="none"/>
                      <w:lang w:val="en-US" w:eastAsia="zh-CN"/>
                    </w:rPr>
                    <w:t>+0.0244</w:t>
                  </w:r>
                </w:p>
              </w:tc>
            </w:tr>
            <w:tr w14:paraId="7486019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8" w:type="dxa"/>
                  <w:vMerge w:val="continue"/>
                  <w:tcBorders>
                    <w:tl2br w:val="nil"/>
                    <w:tr2bl w:val="nil"/>
                  </w:tcBorders>
                  <w:noWrap w:val="0"/>
                  <w:vAlign w:val="center"/>
                </w:tcPr>
                <w:p w14:paraId="5C9A4C73">
                  <w:pPr>
                    <w:keepNext w:val="0"/>
                    <w:keepLines w:val="0"/>
                    <w:suppressLineNumbers w:val="0"/>
                    <w:spacing w:before="0" w:beforeAutospacing="0" w:after="0" w:afterAutospacing="0"/>
                    <w:ind w:left="0" w:right="0"/>
                    <w:jc w:val="center"/>
                    <w:rPr>
                      <w:rFonts w:hint="eastAsia"/>
                      <w:color w:val="auto"/>
                      <w:sz w:val="21"/>
                      <w:szCs w:val="21"/>
                      <w:highlight w:val="none"/>
                    </w:rPr>
                  </w:pPr>
                </w:p>
              </w:tc>
              <w:tc>
                <w:tcPr>
                  <w:tcW w:w="829" w:type="dxa"/>
                  <w:vMerge w:val="continue"/>
                  <w:tcBorders>
                    <w:tl2br w:val="nil"/>
                    <w:tr2bl w:val="nil"/>
                  </w:tcBorders>
                  <w:noWrap w:val="0"/>
                  <w:vAlign w:val="center"/>
                </w:tcPr>
                <w:p w14:paraId="25C55CAA">
                  <w:pPr>
                    <w:keepNext w:val="0"/>
                    <w:keepLines w:val="0"/>
                    <w:suppressLineNumbers w:val="0"/>
                    <w:spacing w:before="0" w:beforeAutospacing="0" w:after="0" w:afterAutospacing="0"/>
                    <w:ind w:left="0" w:right="0"/>
                    <w:jc w:val="center"/>
                    <w:rPr>
                      <w:rFonts w:hint="eastAsia"/>
                      <w:color w:val="auto"/>
                      <w:sz w:val="21"/>
                      <w:szCs w:val="21"/>
                      <w:highlight w:val="none"/>
                    </w:rPr>
                  </w:pPr>
                </w:p>
              </w:tc>
              <w:tc>
                <w:tcPr>
                  <w:tcW w:w="661" w:type="dxa"/>
                  <w:tcBorders>
                    <w:tl2br w:val="nil"/>
                    <w:tr2bl w:val="nil"/>
                  </w:tcBorders>
                  <w:noWrap w:val="0"/>
                  <w:vAlign w:val="center"/>
                </w:tcPr>
                <w:p w14:paraId="2B79C805">
                  <w:pPr>
                    <w:keepNext w:val="0"/>
                    <w:keepLines w:val="0"/>
                    <w:suppressLineNumbers w:val="0"/>
                    <w:spacing w:before="0" w:beforeAutospacing="0" w:after="0" w:afterAutospacing="0"/>
                    <w:ind w:left="0" w:right="0"/>
                    <w:jc w:val="center"/>
                    <w:rPr>
                      <w:rFonts w:hint="eastAsia"/>
                      <w:color w:val="auto"/>
                      <w:kern w:val="2"/>
                      <w:sz w:val="21"/>
                      <w:szCs w:val="21"/>
                      <w:highlight w:val="none"/>
                      <w:lang w:val="en-US" w:eastAsia="zh-CN" w:bidi="ar-SA"/>
                    </w:rPr>
                  </w:pPr>
                  <w:r>
                    <w:rPr>
                      <w:rFonts w:hint="eastAsia"/>
                      <w:color w:val="auto"/>
                      <w:sz w:val="21"/>
                      <w:szCs w:val="21"/>
                      <w:highlight w:val="none"/>
                    </w:rPr>
                    <w:t>合计</w:t>
                  </w:r>
                </w:p>
              </w:tc>
              <w:tc>
                <w:tcPr>
                  <w:tcW w:w="303" w:type="dxa"/>
                  <w:tcBorders>
                    <w:tl2br w:val="nil"/>
                    <w:tr2bl w:val="nil"/>
                  </w:tcBorders>
                  <w:noWrap w:val="0"/>
                  <w:vAlign w:val="center"/>
                </w:tcPr>
                <w:p w14:paraId="3B145256">
                  <w:pPr>
                    <w:keepNext w:val="0"/>
                    <w:keepLines w:val="0"/>
                    <w:suppressLineNumbers w:val="0"/>
                    <w:spacing w:before="0" w:beforeAutospacing="0" w:after="0" w:afterAutospacing="0"/>
                    <w:ind w:left="0" w:right="0"/>
                    <w:jc w:val="center"/>
                    <w:rPr>
                      <w:rFonts w:hint="eastAsia" w:eastAsia="宋体"/>
                      <w:bCs/>
                      <w:color w:val="auto"/>
                      <w:sz w:val="21"/>
                      <w:szCs w:val="21"/>
                      <w:highlight w:val="none"/>
                      <w:lang w:val="en-US" w:eastAsia="zh-CN"/>
                    </w:rPr>
                  </w:pPr>
                  <w:r>
                    <w:rPr>
                      <w:rFonts w:hint="eastAsia"/>
                      <w:bCs/>
                      <w:color w:val="auto"/>
                      <w:sz w:val="21"/>
                      <w:szCs w:val="21"/>
                      <w:highlight w:val="none"/>
                      <w:lang w:val="en-US" w:eastAsia="zh-CN"/>
                    </w:rPr>
                    <w:t>/</w:t>
                  </w:r>
                </w:p>
              </w:tc>
              <w:tc>
                <w:tcPr>
                  <w:tcW w:w="464" w:type="dxa"/>
                  <w:tcBorders>
                    <w:tl2br w:val="nil"/>
                    <w:tr2bl w:val="nil"/>
                  </w:tcBorders>
                  <w:noWrap w:val="0"/>
                  <w:vAlign w:val="center"/>
                </w:tcPr>
                <w:p w14:paraId="2C49322C">
                  <w:pPr>
                    <w:keepNext w:val="0"/>
                    <w:keepLines w:val="0"/>
                    <w:suppressLineNumbers w:val="0"/>
                    <w:spacing w:before="0" w:beforeAutospacing="0" w:after="0" w:afterAutospacing="0"/>
                    <w:ind w:left="0" w:right="0"/>
                    <w:jc w:val="center"/>
                    <w:rPr>
                      <w:rFonts w:hint="eastAsia"/>
                      <w:color w:val="auto"/>
                      <w:kern w:val="2"/>
                      <w:sz w:val="21"/>
                      <w:szCs w:val="21"/>
                      <w:highlight w:val="none"/>
                      <w:lang w:val="en-US" w:eastAsia="zh-CN" w:bidi="ar-SA"/>
                    </w:rPr>
                  </w:pPr>
                  <w:r>
                    <w:rPr>
                      <w:rFonts w:hint="eastAsia"/>
                      <w:color w:val="auto"/>
                      <w:sz w:val="21"/>
                      <w:szCs w:val="21"/>
                      <w:highlight w:val="none"/>
                    </w:rPr>
                    <w:t>合计</w:t>
                  </w:r>
                </w:p>
              </w:tc>
              <w:tc>
                <w:tcPr>
                  <w:tcW w:w="910" w:type="dxa"/>
                  <w:tcBorders>
                    <w:tl2br w:val="nil"/>
                    <w:tr2bl w:val="nil"/>
                  </w:tcBorders>
                  <w:noWrap w:val="0"/>
                  <w:vAlign w:val="center"/>
                </w:tcPr>
                <w:p w14:paraId="36960D85">
                  <w:pPr>
                    <w:keepNext w:val="0"/>
                    <w:keepLines w:val="0"/>
                    <w:suppressLineNumbers w:val="0"/>
                    <w:spacing w:before="0" w:beforeAutospacing="0" w:after="0" w:afterAutospacing="0"/>
                    <w:ind w:left="0" w:right="0"/>
                    <w:jc w:val="center"/>
                    <w:rPr>
                      <w:rFonts w:hint="default" w:eastAsia="宋体"/>
                      <w:bCs/>
                      <w:color w:val="auto"/>
                      <w:sz w:val="21"/>
                      <w:szCs w:val="21"/>
                      <w:highlight w:val="none"/>
                      <w:lang w:val="en-US" w:eastAsia="zh-CN"/>
                    </w:rPr>
                  </w:pPr>
                  <w:r>
                    <w:rPr>
                      <w:rFonts w:hint="eastAsia"/>
                      <w:bCs/>
                      <w:color w:val="auto"/>
                      <w:sz w:val="21"/>
                      <w:szCs w:val="21"/>
                      <w:highlight w:val="none"/>
                      <w:lang w:val="en-US" w:eastAsia="zh-CN"/>
                    </w:rPr>
                    <w:t>0.2826</w:t>
                  </w:r>
                </w:p>
              </w:tc>
              <w:tc>
                <w:tcPr>
                  <w:tcW w:w="464" w:type="dxa"/>
                  <w:tcBorders>
                    <w:tl2br w:val="nil"/>
                    <w:tr2bl w:val="nil"/>
                  </w:tcBorders>
                  <w:noWrap w:val="0"/>
                  <w:vAlign w:val="center"/>
                </w:tcPr>
                <w:p w14:paraId="5FCB3E58">
                  <w:pPr>
                    <w:keepNext w:val="0"/>
                    <w:keepLines w:val="0"/>
                    <w:suppressLineNumbers w:val="0"/>
                    <w:spacing w:before="0" w:beforeAutospacing="0" w:after="0" w:afterAutospacing="0"/>
                    <w:ind w:left="0" w:right="0"/>
                    <w:jc w:val="center"/>
                    <w:rPr>
                      <w:rFonts w:hint="eastAsia"/>
                      <w:color w:val="auto"/>
                      <w:kern w:val="2"/>
                      <w:sz w:val="21"/>
                      <w:szCs w:val="21"/>
                      <w:highlight w:val="none"/>
                      <w:lang w:val="en-US" w:eastAsia="zh-CN" w:bidi="ar-SA"/>
                    </w:rPr>
                  </w:pPr>
                  <w:r>
                    <w:rPr>
                      <w:rFonts w:hint="eastAsia"/>
                      <w:color w:val="auto"/>
                      <w:sz w:val="21"/>
                      <w:szCs w:val="21"/>
                      <w:highlight w:val="none"/>
                    </w:rPr>
                    <w:t>合计</w:t>
                  </w:r>
                </w:p>
              </w:tc>
              <w:tc>
                <w:tcPr>
                  <w:tcW w:w="910" w:type="dxa"/>
                  <w:tcBorders>
                    <w:tl2br w:val="nil"/>
                    <w:tr2bl w:val="nil"/>
                  </w:tcBorders>
                  <w:noWrap w:val="0"/>
                  <w:vAlign w:val="center"/>
                </w:tcPr>
                <w:p w14:paraId="4AF20B4B">
                  <w:pPr>
                    <w:keepNext w:val="0"/>
                    <w:keepLines w:val="0"/>
                    <w:suppressLineNumbers w:val="0"/>
                    <w:spacing w:before="0" w:beforeAutospacing="0" w:after="0" w:afterAutospacing="0"/>
                    <w:ind w:left="0" w:right="0"/>
                    <w:jc w:val="center"/>
                    <w:rPr>
                      <w:rFonts w:hint="default"/>
                      <w:bCs/>
                      <w:color w:val="auto"/>
                      <w:sz w:val="21"/>
                      <w:szCs w:val="21"/>
                      <w:highlight w:val="none"/>
                      <w:lang w:val="en-US"/>
                    </w:rPr>
                  </w:pPr>
                  <w:r>
                    <w:rPr>
                      <w:rFonts w:hint="eastAsia" w:eastAsia="宋体"/>
                      <w:bCs/>
                      <w:color w:val="auto"/>
                      <w:sz w:val="21"/>
                      <w:szCs w:val="21"/>
                      <w:highlight w:val="none"/>
                      <w:lang w:val="en-US" w:eastAsia="zh-CN"/>
                    </w:rPr>
                    <w:t>0.</w:t>
                  </w:r>
                  <w:r>
                    <w:rPr>
                      <w:rFonts w:hint="eastAsia"/>
                      <w:bCs/>
                      <w:color w:val="auto"/>
                      <w:sz w:val="21"/>
                      <w:szCs w:val="21"/>
                      <w:highlight w:val="none"/>
                      <w:lang w:val="en-US" w:eastAsia="zh-CN"/>
                    </w:rPr>
                    <w:t>1781</w:t>
                  </w:r>
                </w:p>
              </w:tc>
              <w:tc>
                <w:tcPr>
                  <w:tcW w:w="613" w:type="dxa"/>
                  <w:tcBorders>
                    <w:tl2br w:val="nil"/>
                    <w:tr2bl w:val="nil"/>
                  </w:tcBorders>
                  <w:noWrap w:val="0"/>
                  <w:vAlign w:val="center"/>
                </w:tcPr>
                <w:p w14:paraId="44B279C3">
                  <w:pPr>
                    <w:keepNext w:val="0"/>
                    <w:keepLines w:val="0"/>
                    <w:suppressLineNumbers w:val="0"/>
                    <w:spacing w:before="0" w:beforeAutospacing="0" w:after="0" w:afterAutospacing="0"/>
                    <w:ind w:left="0" w:right="0"/>
                    <w:jc w:val="center"/>
                    <w:rPr>
                      <w:rFonts w:hint="eastAsia"/>
                      <w:color w:val="auto"/>
                      <w:kern w:val="2"/>
                      <w:sz w:val="21"/>
                      <w:szCs w:val="21"/>
                      <w:highlight w:val="none"/>
                      <w:lang w:val="en-US" w:eastAsia="zh-CN" w:bidi="ar-SA"/>
                    </w:rPr>
                  </w:pPr>
                  <w:r>
                    <w:rPr>
                      <w:rFonts w:hint="eastAsia"/>
                      <w:color w:val="auto"/>
                      <w:sz w:val="21"/>
                      <w:szCs w:val="21"/>
                      <w:highlight w:val="none"/>
                    </w:rPr>
                    <w:t>合计</w:t>
                  </w:r>
                </w:p>
              </w:tc>
              <w:tc>
                <w:tcPr>
                  <w:tcW w:w="351" w:type="dxa"/>
                  <w:tcBorders>
                    <w:tl2br w:val="nil"/>
                    <w:tr2bl w:val="nil"/>
                  </w:tcBorders>
                  <w:noWrap w:val="0"/>
                  <w:vAlign w:val="center"/>
                </w:tcPr>
                <w:p w14:paraId="4F3433F9">
                  <w:pPr>
                    <w:keepNext w:val="0"/>
                    <w:keepLines w:val="0"/>
                    <w:suppressLineNumbers w:val="0"/>
                    <w:spacing w:before="0" w:beforeAutospacing="0" w:after="0" w:afterAutospacing="0"/>
                    <w:ind w:left="0" w:leftChars="0" w:right="0" w:rightChars="0"/>
                    <w:jc w:val="center"/>
                    <w:rPr>
                      <w:rFonts w:hint="default" w:eastAsia="宋体"/>
                      <w:bCs/>
                      <w:color w:val="auto"/>
                      <w:sz w:val="21"/>
                      <w:szCs w:val="21"/>
                      <w:highlight w:val="none"/>
                      <w:lang w:val="en-US" w:eastAsia="zh-CN"/>
                    </w:rPr>
                  </w:pPr>
                  <w:r>
                    <w:rPr>
                      <w:rFonts w:hint="eastAsia"/>
                      <w:bCs/>
                      <w:color w:val="auto"/>
                      <w:sz w:val="21"/>
                      <w:szCs w:val="21"/>
                      <w:highlight w:val="none"/>
                      <w:lang w:val="en-US" w:eastAsia="zh-CN"/>
                    </w:rPr>
                    <w:t>0.2826</w:t>
                  </w:r>
                </w:p>
              </w:tc>
              <w:tc>
                <w:tcPr>
                  <w:tcW w:w="480" w:type="dxa"/>
                  <w:tcBorders>
                    <w:tl2br w:val="nil"/>
                    <w:tr2bl w:val="nil"/>
                  </w:tcBorders>
                  <w:noWrap w:val="0"/>
                  <w:vAlign w:val="center"/>
                </w:tcPr>
                <w:p w14:paraId="5A87B2B7">
                  <w:pPr>
                    <w:keepNext w:val="0"/>
                    <w:keepLines w:val="0"/>
                    <w:suppressLineNumbers w:val="0"/>
                    <w:spacing w:before="0" w:beforeAutospacing="0" w:after="0" w:afterAutospacing="0"/>
                    <w:ind w:left="0" w:right="0"/>
                    <w:jc w:val="center"/>
                    <w:rPr>
                      <w:rFonts w:hint="eastAsia"/>
                      <w:color w:val="auto"/>
                      <w:kern w:val="2"/>
                      <w:sz w:val="21"/>
                      <w:szCs w:val="21"/>
                      <w:highlight w:val="none"/>
                      <w:lang w:val="en-US" w:eastAsia="zh-CN" w:bidi="ar-SA"/>
                    </w:rPr>
                  </w:pPr>
                  <w:r>
                    <w:rPr>
                      <w:rFonts w:hint="eastAsia"/>
                      <w:color w:val="auto"/>
                      <w:sz w:val="21"/>
                      <w:szCs w:val="21"/>
                      <w:highlight w:val="none"/>
                    </w:rPr>
                    <w:t>合计</w:t>
                  </w:r>
                </w:p>
              </w:tc>
              <w:tc>
                <w:tcPr>
                  <w:tcW w:w="826" w:type="dxa"/>
                  <w:tcBorders>
                    <w:tl2br w:val="nil"/>
                    <w:tr2bl w:val="nil"/>
                  </w:tcBorders>
                  <w:noWrap w:val="0"/>
                  <w:vAlign w:val="center"/>
                </w:tcPr>
                <w:p w14:paraId="7F8D0A25">
                  <w:pPr>
                    <w:keepNext w:val="0"/>
                    <w:keepLines w:val="0"/>
                    <w:suppressLineNumbers w:val="0"/>
                    <w:spacing w:before="0" w:beforeAutospacing="0" w:after="0" w:afterAutospacing="0"/>
                    <w:ind w:left="0" w:leftChars="0" w:right="0" w:rightChars="0"/>
                    <w:jc w:val="center"/>
                    <w:rPr>
                      <w:rFonts w:hint="default" w:eastAsia="宋体"/>
                      <w:bCs/>
                      <w:color w:val="auto"/>
                      <w:sz w:val="21"/>
                      <w:szCs w:val="21"/>
                      <w:highlight w:val="none"/>
                      <w:lang w:val="en-US" w:eastAsia="zh-CN"/>
                    </w:rPr>
                  </w:pPr>
                  <w:r>
                    <w:rPr>
                      <w:rFonts w:hint="eastAsia" w:eastAsia="宋体"/>
                      <w:bCs/>
                      <w:color w:val="auto"/>
                      <w:sz w:val="21"/>
                      <w:szCs w:val="21"/>
                      <w:highlight w:val="none"/>
                      <w:lang w:val="en-US" w:eastAsia="zh-CN"/>
                    </w:rPr>
                    <w:t>0.</w:t>
                  </w:r>
                  <w:r>
                    <w:rPr>
                      <w:rFonts w:hint="eastAsia"/>
                      <w:bCs/>
                      <w:color w:val="auto"/>
                      <w:sz w:val="21"/>
                      <w:szCs w:val="21"/>
                      <w:highlight w:val="none"/>
                      <w:lang w:val="en-US" w:eastAsia="zh-CN"/>
                    </w:rPr>
                    <w:t>1781</w:t>
                  </w:r>
                </w:p>
              </w:tc>
              <w:tc>
                <w:tcPr>
                  <w:tcW w:w="446" w:type="dxa"/>
                  <w:tcBorders>
                    <w:tl2br w:val="nil"/>
                    <w:tr2bl w:val="nil"/>
                  </w:tcBorders>
                  <w:noWrap w:val="0"/>
                  <w:vAlign w:val="center"/>
                </w:tcPr>
                <w:p w14:paraId="71AB6DB5">
                  <w:pPr>
                    <w:keepNext w:val="0"/>
                    <w:keepLines w:val="0"/>
                    <w:suppressLineNumbers w:val="0"/>
                    <w:spacing w:before="0" w:beforeAutospacing="0" w:after="0" w:afterAutospacing="0"/>
                    <w:ind w:left="0" w:right="0"/>
                    <w:jc w:val="center"/>
                    <w:rPr>
                      <w:rFonts w:hint="eastAsia"/>
                      <w:color w:val="auto"/>
                      <w:kern w:val="2"/>
                      <w:sz w:val="21"/>
                      <w:szCs w:val="21"/>
                      <w:highlight w:val="none"/>
                      <w:lang w:val="en-US" w:eastAsia="zh-CN" w:bidi="ar-SA"/>
                    </w:rPr>
                  </w:pPr>
                  <w:r>
                    <w:rPr>
                      <w:rFonts w:hint="eastAsia"/>
                      <w:color w:val="auto"/>
                      <w:sz w:val="21"/>
                      <w:szCs w:val="21"/>
                      <w:highlight w:val="none"/>
                    </w:rPr>
                    <w:t>合计</w:t>
                  </w:r>
                </w:p>
              </w:tc>
              <w:tc>
                <w:tcPr>
                  <w:tcW w:w="912" w:type="dxa"/>
                  <w:tcBorders>
                    <w:tl2br w:val="nil"/>
                    <w:tr2bl w:val="nil"/>
                  </w:tcBorders>
                  <w:noWrap w:val="0"/>
                  <w:vAlign w:val="center"/>
                </w:tcPr>
                <w:p w14:paraId="1AF95BAC">
                  <w:pPr>
                    <w:keepNext w:val="0"/>
                    <w:keepLines w:val="0"/>
                    <w:suppressLineNumbers w:val="0"/>
                    <w:spacing w:before="0" w:beforeAutospacing="0" w:after="0" w:afterAutospacing="0"/>
                    <w:ind w:left="0" w:right="0"/>
                    <w:jc w:val="center"/>
                    <w:rPr>
                      <w:rFonts w:hint="default"/>
                      <w:bCs/>
                      <w:color w:val="auto"/>
                      <w:sz w:val="21"/>
                      <w:szCs w:val="21"/>
                      <w:highlight w:val="none"/>
                      <w:lang w:val="en-US" w:eastAsia="zh-CN"/>
                    </w:rPr>
                  </w:pPr>
                  <w:r>
                    <w:rPr>
                      <w:rFonts w:hint="eastAsia"/>
                      <w:bCs/>
                      <w:color w:val="auto"/>
                      <w:sz w:val="21"/>
                      <w:szCs w:val="21"/>
                      <w:highlight w:val="none"/>
                      <w:lang w:val="en-US" w:eastAsia="zh-CN"/>
                    </w:rPr>
                    <w:t>-</w:t>
                  </w:r>
                  <w:r>
                    <w:rPr>
                      <w:rFonts w:hint="eastAsia" w:eastAsia="宋体"/>
                      <w:bCs/>
                      <w:color w:val="auto"/>
                      <w:sz w:val="21"/>
                      <w:szCs w:val="21"/>
                      <w:highlight w:val="none"/>
                      <w:lang w:val="en-US" w:eastAsia="zh-CN"/>
                    </w:rPr>
                    <w:t>0.</w:t>
                  </w:r>
                  <w:r>
                    <w:rPr>
                      <w:rFonts w:hint="eastAsia"/>
                      <w:bCs/>
                      <w:color w:val="auto"/>
                      <w:sz w:val="21"/>
                      <w:szCs w:val="21"/>
                      <w:highlight w:val="none"/>
                      <w:lang w:val="en-US" w:eastAsia="zh-CN"/>
                    </w:rPr>
                    <w:t>1045</w:t>
                  </w:r>
                </w:p>
              </w:tc>
            </w:tr>
            <w:tr w14:paraId="6A89D84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8" w:type="dxa"/>
                  <w:vMerge w:val="restart"/>
                  <w:tcBorders>
                    <w:tl2br w:val="nil"/>
                    <w:tr2bl w:val="nil"/>
                  </w:tcBorders>
                  <w:noWrap w:val="0"/>
                  <w:vAlign w:val="center"/>
                </w:tcPr>
                <w:p w14:paraId="5A83C420">
                  <w:pPr>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生</w:t>
                  </w:r>
                  <w:r>
                    <w:rPr>
                      <w:rFonts w:hint="default"/>
                      <w:color w:val="auto"/>
                      <w:sz w:val="21"/>
                      <w:szCs w:val="21"/>
                      <w:highlight w:val="none"/>
                    </w:rPr>
                    <w:t>活污水</w:t>
                  </w:r>
                </w:p>
              </w:tc>
              <w:tc>
                <w:tcPr>
                  <w:tcW w:w="829" w:type="dxa"/>
                  <w:tcBorders>
                    <w:tl2br w:val="nil"/>
                    <w:tr2bl w:val="nil"/>
                  </w:tcBorders>
                  <w:noWrap w:val="0"/>
                  <w:vAlign w:val="center"/>
                </w:tcPr>
                <w:p w14:paraId="0654E3E5">
                  <w:pPr>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废水</w:t>
                  </w:r>
                  <w:r>
                    <w:rPr>
                      <w:rFonts w:hint="default"/>
                      <w:color w:val="auto"/>
                      <w:sz w:val="21"/>
                      <w:szCs w:val="21"/>
                      <w:highlight w:val="none"/>
                    </w:rPr>
                    <w:t>量</w:t>
                  </w:r>
                </w:p>
              </w:tc>
              <w:tc>
                <w:tcPr>
                  <w:tcW w:w="964" w:type="dxa"/>
                  <w:gridSpan w:val="2"/>
                  <w:tcBorders>
                    <w:tl2br w:val="nil"/>
                    <w:tr2bl w:val="nil"/>
                  </w:tcBorders>
                  <w:noWrap w:val="0"/>
                  <w:vAlign w:val="center"/>
                </w:tcPr>
                <w:p w14:paraId="0B2144AF">
                  <w:pPr>
                    <w:keepNext w:val="0"/>
                    <w:keepLines w:val="0"/>
                    <w:suppressLineNumbers w:val="0"/>
                    <w:spacing w:before="0" w:beforeAutospacing="0" w:after="0" w:afterAutospacing="0"/>
                    <w:ind w:left="0" w:right="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739.8</w:t>
                  </w:r>
                </w:p>
              </w:tc>
              <w:tc>
                <w:tcPr>
                  <w:tcW w:w="1374" w:type="dxa"/>
                  <w:gridSpan w:val="2"/>
                  <w:tcBorders>
                    <w:tl2br w:val="nil"/>
                    <w:tr2bl w:val="nil"/>
                  </w:tcBorders>
                  <w:noWrap w:val="0"/>
                  <w:vAlign w:val="center"/>
                </w:tcPr>
                <w:p w14:paraId="11A60789">
                  <w:pPr>
                    <w:keepNext w:val="0"/>
                    <w:keepLines w:val="0"/>
                    <w:suppressLineNumbers w:val="0"/>
                    <w:spacing w:before="0" w:beforeAutospacing="0" w:after="0" w:afterAutospacing="0"/>
                    <w:ind w:left="0" w:right="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739.8</w:t>
                  </w:r>
                </w:p>
              </w:tc>
              <w:tc>
                <w:tcPr>
                  <w:tcW w:w="1374" w:type="dxa"/>
                  <w:gridSpan w:val="2"/>
                  <w:tcBorders>
                    <w:tl2br w:val="nil"/>
                    <w:tr2bl w:val="nil"/>
                  </w:tcBorders>
                  <w:noWrap w:val="0"/>
                  <w:vAlign w:val="center"/>
                </w:tcPr>
                <w:p w14:paraId="2A67DF11">
                  <w:pPr>
                    <w:keepNext w:val="0"/>
                    <w:keepLines w:val="0"/>
                    <w:suppressLineNumbers w:val="0"/>
                    <w:spacing w:before="0" w:beforeAutospacing="0" w:after="0" w:afterAutospacing="0"/>
                    <w:ind w:left="0" w:right="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168</w:t>
                  </w:r>
                </w:p>
              </w:tc>
              <w:tc>
                <w:tcPr>
                  <w:tcW w:w="964" w:type="dxa"/>
                  <w:gridSpan w:val="2"/>
                  <w:tcBorders>
                    <w:tl2br w:val="nil"/>
                    <w:tr2bl w:val="nil"/>
                  </w:tcBorders>
                  <w:noWrap w:val="0"/>
                  <w:vAlign w:val="center"/>
                </w:tcPr>
                <w:p w14:paraId="011E373E">
                  <w:pPr>
                    <w:keepNext w:val="0"/>
                    <w:keepLines w:val="0"/>
                    <w:suppressLineNumbers w:val="0"/>
                    <w:spacing w:before="0" w:beforeAutospacing="0" w:after="0" w:afterAutospacing="0"/>
                    <w:ind w:left="0" w:leftChars="0" w:right="0" w:rightChars="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739.8</w:t>
                  </w:r>
                </w:p>
              </w:tc>
              <w:tc>
                <w:tcPr>
                  <w:tcW w:w="1306" w:type="dxa"/>
                  <w:gridSpan w:val="2"/>
                  <w:tcBorders>
                    <w:tl2br w:val="nil"/>
                    <w:tr2bl w:val="nil"/>
                  </w:tcBorders>
                  <w:noWrap w:val="0"/>
                  <w:vAlign w:val="center"/>
                </w:tcPr>
                <w:p w14:paraId="112F9649">
                  <w:pPr>
                    <w:keepNext w:val="0"/>
                    <w:keepLines w:val="0"/>
                    <w:suppressLineNumbers w:val="0"/>
                    <w:spacing w:before="0" w:beforeAutospacing="0" w:after="0" w:afterAutospacing="0"/>
                    <w:ind w:left="0" w:leftChars="0" w:right="0" w:rightChars="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168</w:t>
                  </w:r>
                </w:p>
              </w:tc>
              <w:tc>
                <w:tcPr>
                  <w:tcW w:w="1358" w:type="dxa"/>
                  <w:gridSpan w:val="2"/>
                  <w:tcBorders>
                    <w:tl2br w:val="nil"/>
                    <w:tr2bl w:val="nil"/>
                  </w:tcBorders>
                  <w:noWrap w:val="0"/>
                  <w:vAlign w:val="center"/>
                </w:tcPr>
                <w:p w14:paraId="31E88B1B">
                  <w:pPr>
                    <w:keepNext w:val="0"/>
                    <w:keepLines w:val="0"/>
                    <w:suppressLineNumbers w:val="0"/>
                    <w:spacing w:before="0" w:beforeAutospacing="0" w:after="0" w:afterAutospacing="0"/>
                    <w:ind w:left="0" w:leftChars="0" w:right="0" w:rightChars="0"/>
                    <w:jc w:val="center"/>
                    <w:rPr>
                      <w:rFonts w:hint="default"/>
                      <w:color w:val="auto"/>
                      <w:sz w:val="21"/>
                      <w:szCs w:val="21"/>
                      <w:highlight w:val="none"/>
                    </w:rPr>
                  </w:pPr>
                  <w:r>
                    <w:rPr>
                      <w:rFonts w:hint="eastAsia"/>
                      <w:color w:val="auto"/>
                      <w:sz w:val="21"/>
                      <w:szCs w:val="21"/>
                      <w:highlight w:val="none"/>
                      <w:lang w:val="en-US" w:eastAsia="zh-CN"/>
                    </w:rPr>
                    <w:t>-739.8</w:t>
                  </w:r>
                </w:p>
              </w:tc>
            </w:tr>
            <w:tr w14:paraId="3BC1ED8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68" w:type="dxa"/>
                  <w:vMerge w:val="continue"/>
                  <w:tcBorders>
                    <w:tl2br w:val="nil"/>
                    <w:tr2bl w:val="nil"/>
                  </w:tcBorders>
                  <w:noWrap w:val="0"/>
                  <w:vAlign w:val="center"/>
                </w:tcPr>
                <w:p w14:paraId="28A44BE5">
                  <w:pPr>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829" w:type="dxa"/>
                  <w:tcBorders>
                    <w:tl2br w:val="nil"/>
                    <w:tr2bl w:val="nil"/>
                  </w:tcBorders>
                  <w:noWrap w:val="0"/>
                  <w:vAlign w:val="center"/>
                </w:tcPr>
                <w:p w14:paraId="5275A132">
                  <w:pPr>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COD</w:t>
                  </w:r>
                  <w:r>
                    <w:rPr>
                      <w:rFonts w:hint="default"/>
                      <w:color w:val="auto"/>
                      <w:sz w:val="21"/>
                      <w:szCs w:val="21"/>
                      <w:highlight w:val="none"/>
                      <w:vertAlign w:val="subscript"/>
                    </w:rPr>
                    <w:t>Cr</w:t>
                  </w:r>
                </w:p>
              </w:tc>
              <w:tc>
                <w:tcPr>
                  <w:tcW w:w="964" w:type="dxa"/>
                  <w:gridSpan w:val="2"/>
                  <w:tcBorders>
                    <w:tl2br w:val="nil"/>
                    <w:tr2bl w:val="nil"/>
                  </w:tcBorders>
                  <w:noWrap w:val="0"/>
                  <w:vAlign w:val="center"/>
                </w:tcPr>
                <w:p w14:paraId="04B26207">
                  <w:pPr>
                    <w:keepNext w:val="0"/>
                    <w:keepLines w:val="0"/>
                    <w:suppressLineNumbers w:val="0"/>
                    <w:spacing w:before="0" w:beforeAutospacing="0" w:after="0" w:afterAutospacing="0"/>
                    <w:ind w:left="0" w:right="0"/>
                    <w:jc w:val="center"/>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0.030</w:t>
                  </w:r>
                  <w:r>
                    <w:rPr>
                      <w:rFonts w:hint="eastAsia"/>
                      <w:color w:val="auto"/>
                      <w:sz w:val="21"/>
                      <w:szCs w:val="21"/>
                      <w:highlight w:val="none"/>
                      <w:lang w:val="en-US" w:eastAsia="zh-CN"/>
                    </w:rPr>
                    <w:t>0</w:t>
                  </w:r>
                </w:p>
              </w:tc>
              <w:tc>
                <w:tcPr>
                  <w:tcW w:w="1374" w:type="dxa"/>
                  <w:gridSpan w:val="2"/>
                  <w:tcBorders>
                    <w:tl2br w:val="nil"/>
                    <w:tr2bl w:val="nil"/>
                  </w:tcBorders>
                  <w:noWrap w:val="0"/>
                  <w:vAlign w:val="center"/>
                </w:tcPr>
                <w:p w14:paraId="6D0DD1D2">
                  <w:pPr>
                    <w:keepNext w:val="0"/>
                    <w:keepLines w:val="0"/>
                    <w:suppressLineNumbers w:val="0"/>
                    <w:spacing w:before="0" w:beforeAutospacing="0" w:after="0" w:afterAutospacing="0"/>
                    <w:ind w:left="0" w:leftChars="0" w:right="0" w:rightChars="0"/>
                    <w:jc w:val="center"/>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0.030</w:t>
                  </w:r>
                  <w:r>
                    <w:rPr>
                      <w:rFonts w:hint="eastAsia"/>
                      <w:color w:val="auto"/>
                      <w:sz w:val="21"/>
                      <w:szCs w:val="21"/>
                      <w:highlight w:val="none"/>
                      <w:lang w:val="en-US" w:eastAsia="zh-CN"/>
                    </w:rPr>
                    <w:t>0</w:t>
                  </w:r>
                </w:p>
              </w:tc>
              <w:tc>
                <w:tcPr>
                  <w:tcW w:w="1374" w:type="dxa"/>
                  <w:gridSpan w:val="2"/>
                  <w:tcBorders>
                    <w:tl2br w:val="nil"/>
                    <w:tr2bl w:val="nil"/>
                  </w:tcBorders>
                  <w:noWrap w:val="0"/>
                  <w:vAlign w:val="center"/>
                </w:tcPr>
                <w:p w14:paraId="0831703D">
                  <w:pPr>
                    <w:keepNext w:val="0"/>
                    <w:keepLines w:val="0"/>
                    <w:suppressLineNumbers w:val="0"/>
                    <w:spacing w:before="0" w:beforeAutospacing="0" w:after="0" w:afterAutospacing="0"/>
                    <w:ind w:left="0" w:right="0"/>
                    <w:jc w:val="center"/>
                    <w:rPr>
                      <w:rFonts w:hint="default"/>
                      <w:color w:val="auto"/>
                      <w:sz w:val="21"/>
                      <w:szCs w:val="21"/>
                      <w:highlight w:val="none"/>
                      <w:lang w:val="en-US"/>
                    </w:rPr>
                  </w:pPr>
                  <w:r>
                    <w:rPr>
                      <w:rFonts w:hint="eastAsia" w:eastAsia="宋体"/>
                      <w:color w:val="auto"/>
                      <w:sz w:val="21"/>
                      <w:szCs w:val="21"/>
                      <w:highlight w:val="none"/>
                      <w:lang w:val="en-US" w:eastAsia="zh-CN"/>
                    </w:rPr>
                    <w:t>0.006</w:t>
                  </w:r>
                  <w:r>
                    <w:rPr>
                      <w:rFonts w:hint="eastAsia"/>
                      <w:color w:val="auto"/>
                      <w:sz w:val="21"/>
                      <w:szCs w:val="21"/>
                      <w:highlight w:val="none"/>
                      <w:lang w:val="en-US" w:eastAsia="zh-CN"/>
                    </w:rPr>
                    <w:t>7</w:t>
                  </w:r>
                </w:p>
              </w:tc>
              <w:tc>
                <w:tcPr>
                  <w:tcW w:w="964" w:type="dxa"/>
                  <w:gridSpan w:val="2"/>
                  <w:tcBorders>
                    <w:tl2br w:val="nil"/>
                    <w:tr2bl w:val="nil"/>
                  </w:tcBorders>
                  <w:noWrap w:val="0"/>
                  <w:vAlign w:val="center"/>
                </w:tcPr>
                <w:p w14:paraId="1C2AF69B">
                  <w:pPr>
                    <w:keepNext w:val="0"/>
                    <w:keepLines w:val="0"/>
                    <w:suppressLineNumbers w:val="0"/>
                    <w:spacing w:before="0" w:beforeAutospacing="0" w:after="0" w:afterAutospacing="0"/>
                    <w:ind w:left="0" w:leftChars="0" w:right="0" w:rightChars="0"/>
                    <w:jc w:val="center"/>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0.030</w:t>
                  </w:r>
                  <w:r>
                    <w:rPr>
                      <w:rFonts w:hint="eastAsia"/>
                      <w:color w:val="auto"/>
                      <w:sz w:val="21"/>
                      <w:szCs w:val="21"/>
                      <w:highlight w:val="none"/>
                      <w:lang w:val="en-US" w:eastAsia="zh-CN"/>
                    </w:rPr>
                    <w:t>0</w:t>
                  </w:r>
                </w:p>
              </w:tc>
              <w:tc>
                <w:tcPr>
                  <w:tcW w:w="1306" w:type="dxa"/>
                  <w:gridSpan w:val="2"/>
                  <w:tcBorders>
                    <w:tl2br w:val="nil"/>
                    <w:tr2bl w:val="nil"/>
                  </w:tcBorders>
                  <w:noWrap w:val="0"/>
                  <w:vAlign w:val="center"/>
                </w:tcPr>
                <w:p w14:paraId="72096380">
                  <w:pPr>
                    <w:keepNext w:val="0"/>
                    <w:keepLines w:val="0"/>
                    <w:suppressLineNumbers w:val="0"/>
                    <w:spacing w:before="0" w:beforeAutospacing="0" w:after="0" w:afterAutospacing="0"/>
                    <w:ind w:left="0" w:leftChars="0" w:right="0" w:rightChars="0"/>
                    <w:jc w:val="center"/>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0.006</w:t>
                  </w:r>
                  <w:r>
                    <w:rPr>
                      <w:rFonts w:hint="eastAsia"/>
                      <w:color w:val="auto"/>
                      <w:sz w:val="21"/>
                      <w:szCs w:val="21"/>
                      <w:highlight w:val="none"/>
                      <w:lang w:val="en-US" w:eastAsia="zh-CN"/>
                    </w:rPr>
                    <w:t>7</w:t>
                  </w:r>
                </w:p>
              </w:tc>
              <w:tc>
                <w:tcPr>
                  <w:tcW w:w="1358" w:type="dxa"/>
                  <w:gridSpan w:val="2"/>
                  <w:tcBorders>
                    <w:tl2br w:val="nil"/>
                    <w:tr2bl w:val="nil"/>
                  </w:tcBorders>
                  <w:noWrap w:val="0"/>
                  <w:vAlign w:val="center"/>
                </w:tcPr>
                <w:p w14:paraId="4FD38C8E">
                  <w:pPr>
                    <w:keepNext w:val="0"/>
                    <w:keepLines w:val="0"/>
                    <w:suppressLineNumbers w:val="0"/>
                    <w:spacing w:before="0" w:beforeAutospacing="0" w:after="0" w:afterAutospacing="0"/>
                    <w:ind w:left="0" w:leftChars="0" w:right="0" w:rightChars="0"/>
                    <w:jc w:val="center"/>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-0.030</w:t>
                  </w:r>
                  <w:r>
                    <w:rPr>
                      <w:rFonts w:hint="eastAsia"/>
                      <w:color w:val="auto"/>
                      <w:sz w:val="21"/>
                      <w:szCs w:val="21"/>
                      <w:highlight w:val="none"/>
                      <w:lang w:val="en-US" w:eastAsia="zh-CN"/>
                    </w:rPr>
                    <w:t>0</w:t>
                  </w:r>
                </w:p>
              </w:tc>
            </w:tr>
            <w:tr w14:paraId="70293C0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468" w:type="dxa"/>
                  <w:vMerge w:val="continue"/>
                  <w:tcBorders>
                    <w:tl2br w:val="nil"/>
                    <w:tr2bl w:val="nil"/>
                  </w:tcBorders>
                  <w:noWrap w:val="0"/>
                  <w:vAlign w:val="center"/>
                </w:tcPr>
                <w:p w14:paraId="4BA4DDDF">
                  <w:pPr>
                    <w:keepNext w:val="0"/>
                    <w:keepLines w:val="0"/>
                    <w:suppressLineNumbers w:val="0"/>
                    <w:spacing w:before="0" w:beforeAutospacing="0" w:after="0" w:afterAutospacing="0"/>
                    <w:ind w:left="0" w:right="0"/>
                    <w:jc w:val="center"/>
                    <w:rPr>
                      <w:rFonts w:hint="default"/>
                      <w:color w:val="auto"/>
                      <w:sz w:val="21"/>
                      <w:szCs w:val="21"/>
                      <w:highlight w:val="none"/>
                    </w:rPr>
                  </w:pPr>
                </w:p>
              </w:tc>
              <w:tc>
                <w:tcPr>
                  <w:tcW w:w="829" w:type="dxa"/>
                  <w:tcBorders>
                    <w:tl2br w:val="nil"/>
                    <w:tr2bl w:val="nil"/>
                  </w:tcBorders>
                  <w:noWrap w:val="0"/>
                  <w:vAlign w:val="center"/>
                </w:tcPr>
                <w:p w14:paraId="399A4CDF">
                  <w:pPr>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color w:val="auto"/>
                      <w:sz w:val="21"/>
                      <w:szCs w:val="21"/>
                      <w:highlight w:val="none"/>
                    </w:rPr>
                    <w:t>氨</w:t>
                  </w:r>
                  <w:r>
                    <w:rPr>
                      <w:rFonts w:hint="default"/>
                      <w:color w:val="auto"/>
                      <w:sz w:val="21"/>
                      <w:szCs w:val="21"/>
                      <w:highlight w:val="none"/>
                    </w:rPr>
                    <w:t>氮</w:t>
                  </w:r>
                </w:p>
              </w:tc>
              <w:tc>
                <w:tcPr>
                  <w:tcW w:w="964" w:type="dxa"/>
                  <w:gridSpan w:val="2"/>
                  <w:tcBorders>
                    <w:tl2br w:val="nil"/>
                    <w:tr2bl w:val="nil"/>
                  </w:tcBorders>
                  <w:noWrap w:val="0"/>
                  <w:vAlign w:val="center"/>
                </w:tcPr>
                <w:p w14:paraId="571C3AFF">
                  <w:pPr>
                    <w:keepNext w:val="0"/>
                    <w:keepLines w:val="0"/>
                    <w:suppressLineNumbers w:val="0"/>
                    <w:spacing w:before="0" w:beforeAutospacing="0" w:after="0" w:afterAutospacing="0"/>
                    <w:ind w:left="0" w:right="0"/>
                    <w:jc w:val="center"/>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0.00</w:t>
                  </w:r>
                  <w:r>
                    <w:rPr>
                      <w:rFonts w:hint="eastAsia"/>
                      <w:color w:val="auto"/>
                      <w:sz w:val="21"/>
                      <w:szCs w:val="21"/>
                      <w:highlight w:val="none"/>
                      <w:lang w:val="en-US" w:eastAsia="zh-CN"/>
                    </w:rPr>
                    <w:t>15</w:t>
                  </w:r>
                </w:p>
              </w:tc>
              <w:tc>
                <w:tcPr>
                  <w:tcW w:w="1374" w:type="dxa"/>
                  <w:gridSpan w:val="2"/>
                  <w:tcBorders>
                    <w:tl2br w:val="nil"/>
                    <w:tr2bl w:val="nil"/>
                  </w:tcBorders>
                  <w:noWrap w:val="0"/>
                  <w:vAlign w:val="center"/>
                </w:tcPr>
                <w:p w14:paraId="004E3F43">
                  <w:pPr>
                    <w:keepNext w:val="0"/>
                    <w:keepLines w:val="0"/>
                    <w:suppressLineNumbers w:val="0"/>
                    <w:spacing w:before="0" w:beforeAutospacing="0" w:after="0" w:afterAutospacing="0"/>
                    <w:ind w:left="0" w:leftChars="0" w:right="0" w:rightChars="0"/>
                    <w:jc w:val="center"/>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0.00</w:t>
                  </w:r>
                  <w:r>
                    <w:rPr>
                      <w:rFonts w:hint="eastAsia"/>
                      <w:color w:val="auto"/>
                      <w:sz w:val="21"/>
                      <w:szCs w:val="21"/>
                      <w:highlight w:val="none"/>
                      <w:lang w:val="en-US" w:eastAsia="zh-CN"/>
                    </w:rPr>
                    <w:t>15</w:t>
                  </w:r>
                </w:p>
              </w:tc>
              <w:tc>
                <w:tcPr>
                  <w:tcW w:w="1374" w:type="dxa"/>
                  <w:gridSpan w:val="2"/>
                  <w:tcBorders>
                    <w:tl2br w:val="nil"/>
                    <w:tr2bl w:val="nil"/>
                  </w:tcBorders>
                  <w:noWrap w:val="0"/>
                  <w:vAlign w:val="center"/>
                </w:tcPr>
                <w:p w14:paraId="4734437F">
                  <w:pPr>
                    <w:keepNext w:val="0"/>
                    <w:keepLines w:val="0"/>
                    <w:suppressLineNumbers w:val="0"/>
                    <w:spacing w:before="0" w:beforeAutospacing="0" w:after="0" w:afterAutospacing="0"/>
                    <w:ind w:left="0" w:right="0"/>
                    <w:jc w:val="center"/>
                    <w:rPr>
                      <w:rFonts w:hint="default"/>
                      <w:color w:val="auto"/>
                      <w:sz w:val="21"/>
                      <w:szCs w:val="21"/>
                      <w:highlight w:val="none"/>
                    </w:rPr>
                  </w:pPr>
                  <w:r>
                    <w:rPr>
                      <w:rFonts w:hint="eastAsia" w:eastAsia="宋体"/>
                      <w:color w:val="auto"/>
                      <w:sz w:val="21"/>
                      <w:szCs w:val="21"/>
                      <w:highlight w:val="none"/>
                      <w:lang w:val="en-US" w:eastAsia="zh-CN"/>
                    </w:rPr>
                    <w:t>0.0003</w:t>
                  </w:r>
                </w:p>
              </w:tc>
              <w:tc>
                <w:tcPr>
                  <w:tcW w:w="964" w:type="dxa"/>
                  <w:gridSpan w:val="2"/>
                  <w:tcBorders>
                    <w:tl2br w:val="nil"/>
                    <w:tr2bl w:val="nil"/>
                  </w:tcBorders>
                  <w:noWrap w:val="0"/>
                  <w:vAlign w:val="center"/>
                </w:tcPr>
                <w:p w14:paraId="049ECFE2">
                  <w:pPr>
                    <w:keepNext w:val="0"/>
                    <w:keepLines w:val="0"/>
                    <w:suppressLineNumbers w:val="0"/>
                    <w:spacing w:before="0" w:beforeAutospacing="0" w:after="0" w:afterAutospacing="0"/>
                    <w:ind w:left="0" w:leftChars="0" w:right="0" w:rightChars="0"/>
                    <w:jc w:val="center"/>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0.00</w:t>
                  </w:r>
                  <w:r>
                    <w:rPr>
                      <w:rFonts w:hint="eastAsia"/>
                      <w:color w:val="auto"/>
                      <w:sz w:val="21"/>
                      <w:szCs w:val="21"/>
                      <w:highlight w:val="none"/>
                      <w:lang w:val="en-US" w:eastAsia="zh-CN"/>
                    </w:rPr>
                    <w:t>15</w:t>
                  </w:r>
                </w:p>
              </w:tc>
              <w:tc>
                <w:tcPr>
                  <w:tcW w:w="1306" w:type="dxa"/>
                  <w:gridSpan w:val="2"/>
                  <w:tcBorders>
                    <w:tl2br w:val="nil"/>
                    <w:tr2bl w:val="nil"/>
                  </w:tcBorders>
                  <w:noWrap w:val="0"/>
                  <w:vAlign w:val="center"/>
                </w:tcPr>
                <w:p w14:paraId="00545ECF">
                  <w:pPr>
                    <w:keepNext w:val="0"/>
                    <w:keepLines w:val="0"/>
                    <w:suppressLineNumbers w:val="0"/>
                    <w:spacing w:before="0" w:beforeAutospacing="0" w:after="0" w:afterAutospacing="0"/>
                    <w:ind w:left="0" w:leftChars="0" w:right="0" w:rightChars="0"/>
                    <w:jc w:val="center"/>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0.0003</w:t>
                  </w:r>
                </w:p>
              </w:tc>
              <w:tc>
                <w:tcPr>
                  <w:tcW w:w="1358" w:type="dxa"/>
                  <w:gridSpan w:val="2"/>
                  <w:tcBorders>
                    <w:tl2br w:val="nil"/>
                    <w:tr2bl w:val="nil"/>
                  </w:tcBorders>
                  <w:noWrap w:val="0"/>
                  <w:vAlign w:val="center"/>
                </w:tcPr>
                <w:p w14:paraId="447EC76E">
                  <w:pPr>
                    <w:keepNext w:val="0"/>
                    <w:keepLines w:val="0"/>
                    <w:suppressLineNumbers w:val="0"/>
                    <w:spacing w:before="0" w:beforeAutospacing="0" w:after="0" w:afterAutospacing="0"/>
                    <w:ind w:left="0" w:leftChars="0" w:right="0" w:rightChars="0"/>
                    <w:jc w:val="center"/>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-0.00</w:t>
                  </w:r>
                  <w:r>
                    <w:rPr>
                      <w:rFonts w:hint="eastAsia"/>
                      <w:color w:val="auto"/>
                      <w:sz w:val="21"/>
                      <w:szCs w:val="21"/>
                      <w:highlight w:val="none"/>
                      <w:lang w:val="en-US" w:eastAsia="zh-CN"/>
                    </w:rPr>
                    <w:t>15</w:t>
                  </w:r>
                </w:p>
              </w:tc>
            </w:tr>
          </w:tbl>
          <w:p w14:paraId="03BDF4D7">
            <w:pPr>
              <w:keepNext w:val="0"/>
              <w:keepLines w:val="0"/>
              <w:suppressLineNumbers w:val="0"/>
              <w:adjustRightInd w:val="0"/>
              <w:snapToGrid w:val="0"/>
              <w:spacing w:before="0" w:beforeAutospacing="0" w:after="0" w:afterAutospacing="0" w:line="336" w:lineRule="auto"/>
              <w:ind w:left="0" w:right="0" w:firstLine="360" w:firstLineChars="200"/>
              <w:jc w:val="both"/>
              <w:rPr>
                <w:rFonts w:hint="eastAsia" w:ascii="Times New Roman" w:hAnsi="Times New Roman" w:eastAsia="宋体" w:cs="Times New Roman"/>
                <w:color w:val="auto"/>
                <w:kern w:val="0"/>
                <w:sz w:val="21"/>
                <w:szCs w:val="21"/>
                <w:highlight w:val="none"/>
              </w:rPr>
            </w:pPr>
            <w:r>
              <w:rPr>
                <w:rFonts w:hint="eastAsia"/>
                <w:color w:val="auto"/>
                <w:sz w:val="18"/>
                <w:szCs w:val="18"/>
                <w:highlight w:val="none"/>
                <w:lang w:val="en-US" w:eastAsia="zh-CN"/>
              </w:rPr>
              <w:t>注：本项目大气污染物需申请总量指标为挥发性有机物，由惠州市生态环境局博罗分局调配。</w:t>
            </w:r>
          </w:p>
        </w:tc>
      </w:tr>
    </w:tbl>
    <w:p w14:paraId="493369EC">
      <w:pPr>
        <w:pStyle w:val="37"/>
        <w:jc w:val="center"/>
        <w:outlineLvl w:val="0"/>
        <w:rPr>
          <w:rFonts w:ascii="Times New Roman" w:hAnsi="Times New Roman" w:eastAsia="宋体"/>
          <w:snapToGrid w:val="0"/>
          <w:color w:val="auto"/>
          <w:sz w:val="36"/>
          <w:szCs w:val="36"/>
          <w:highlight w:val="none"/>
        </w:rPr>
        <w:sectPr>
          <w:pgSz w:w="11907" w:h="16840"/>
          <w:pgMar w:top="1361" w:right="1417" w:bottom="1361" w:left="1417" w:header="851" w:footer="851" w:gutter="0"/>
          <w:pgBorders>
            <w:top w:val="none" w:sz="0" w:space="0"/>
            <w:left w:val="none" w:sz="0" w:space="0"/>
            <w:bottom w:val="none" w:sz="0" w:space="0"/>
            <w:right w:val="none" w:sz="0" w:space="0"/>
          </w:pgBorders>
          <w:cols w:space="720" w:num="1"/>
          <w:docGrid w:linePitch="312" w:charSpace="0"/>
        </w:sectPr>
      </w:pPr>
    </w:p>
    <w:p w14:paraId="06109C28">
      <w:pPr>
        <w:pStyle w:val="37"/>
        <w:numPr>
          <w:ilvl w:val="0"/>
          <w:numId w:val="12"/>
        </w:numPr>
        <w:jc w:val="center"/>
        <w:outlineLvl w:val="0"/>
        <w:rPr>
          <w:rFonts w:ascii="Times New Roman" w:hAnsi="Times New Roman" w:eastAsia="宋体"/>
          <w:snapToGrid w:val="0"/>
          <w:color w:val="auto"/>
          <w:sz w:val="30"/>
          <w:szCs w:val="30"/>
          <w:highlight w:val="none"/>
        </w:rPr>
      </w:pPr>
      <w:r>
        <w:rPr>
          <w:rFonts w:ascii="Times New Roman" w:hAnsi="Times New Roman" w:eastAsia="宋体"/>
          <w:snapToGrid w:val="0"/>
          <w:color w:val="auto"/>
          <w:sz w:val="30"/>
          <w:szCs w:val="30"/>
          <w:highlight w:val="none"/>
        </w:rPr>
        <w:t>主要环境影响和保护措施</w:t>
      </w:r>
    </w:p>
    <w:tbl>
      <w:tblPr>
        <w:tblStyle w:val="4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7"/>
        <w:gridCol w:w="13753"/>
      </w:tblGrid>
      <w:tr w14:paraId="2F20E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dxa"/>
            <w:noWrap w:val="0"/>
            <w:vAlign w:val="center"/>
          </w:tcPr>
          <w:p w14:paraId="3EAAA447">
            <w:pPr>
              <w:pStyle w:val="37"/>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kern w:val="2"/>
                <w:sz w:val="21"/>
                <w:szCs w:val="21"/>
                <w:highlight w:val="none"/>
              </w:rPr>
            </w:pPr>
            <w:r>
              <w:rPr>
                <w:rFonts w:ascii="Times New Roman" w:hAnsi="Times New Roman" w:eastAsia="宋体" w:cs="Times New Roman"/>
                <w:color w:val="auto"/>
                <w:kern w:val="2"/>
                <w:sz w:val="21"/>
                <w:szCs w:val="21"/>
                <w:highlight w:val="none"/>
              </w:rPr>
              <w:t>施工</w:t>
            </w:r>
          </w:p>
          <w:p w14:paraId="1E5F2FB2">
            <w:pPr>
              <w:pStyle w:val="37"/>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kern w:val="2"/>
                <w:sz w:val="21"/>
                <w:szCs w:val="21"/>
                <w:highlight w:val="none"/>
              </w:rPr>
            </w:pPr>
            <w:r>
              <w:rPr>
                <w:rFonts w:ascii="Times New Roman" w:hAnsi="Times New Roman" w:eastAsia="宋体" w:cs="Times New Roman"/>
                <w:color w:val="auto"/>
                <w:kern w:val="2"/>
                <w:sz w:val="21"/>
                <w:szCs w:val="21"/>
                <w:highlight w:val="none"/>
              </w:rPr>
              <w:t>期环</w:t>
            </w:r>
          </w:p>
          <w:p w14:paraId="13C24CFC">
            <w:pPr>
              <w:pStyle w:val="37"/>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kern w:val="2"/>
                <w:sz w:val="21"/>
                <w:szCs w:val="21"/>
                <w:highlight w:val="none"/>
              </w:rPr>
            </w:pPr>
            <w:r>
              <w:rPr>
                <w:rFonts w:ascii="Times New Roman" w:hAnsi="Times New Roman" w:eastAsia="宋体" w:cs="Times New Roman"/>
                <w:color w:val="auto"/>
                <w:kern w:val="2"/>
                <w:sz w:val="21"/>
                <w:szCs w:val="21"/>
                <w:highlight w:val="none"/>
              </w:rPr>
              <w:t>境保</w:t>
            </w:r>
          </w:p>
          <w:p w14:paraId="54F64357">
            <w:pPr>
              <w:pStyle w:val="37"/>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kern w:val="2"/>
                <w:sz w:val="21"/>
                <w:szCs w:val="21"/>
                <w:highlight w:val="none"/>
              </w:rPr>
            </w:pPr>
            <w:r>
              <w:rPr>
                <w:rFonts w:ascii="Times New Roman" w:hAnsi="Times New Roman" w:eastAsia="宋体" w:cs="Times New Roman"/>
                <w:color w:val="auto"/>
                <w:kern w:val="2"/>
                <w:sz w:val="21"/>
                <w:szCs w:val="21"/>
                <w:highlight w:val="none"/>
              </w:rPr>
              <w:t>护措</w:t>
            </w:r>
          </w:p>
          <w:p w14:paraId="13FDCA95">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bCs/>
                <w:color w:val="auto"/>
                <w:sz w:val="21"/>
                <w:szCs w:val="21"/>
                <w:highlight w:val="none"/>
              </w:rPr>
            </w:pPr>
            <w:r>
              <w:rPr>
                <w:rFonts w:ascii="Times New Roman" w:hAnsi="Times New Roman" w:eastAsia="宋体" w:cs="Times New Roman"/>
                <w:color w:val="auto"/>
                <w:sz w:val="21"/>
                <w:szCs w:val="21"/>
                <w:highlight w:val="none"/>
              </w:rPr>
              <w:t>施</w:t>
            </w:r>
          </w:p>
        </w:tc>
        <w:tc>
          <w:tcPr>
            <w:tcW w:w="13753" w:type="dxa"/>
            <w:noWrap w:val="0"/>
            <w:vAlign w:val="center"/>
          </w:tcPr>
          <w:p w14:paraId="53E8E0EC">
            <w:pPr>
              <w:pStyle w:val="37"/>
              <w:keepNext w:val="0"/>
              <w:keepLines w:val="0"/>
              <w:suppressLineNumbers w:val="0"/>
              <w:spacing w:before="0" w:beforeAutospacing="0" w:after="0" w:afterAutospacing="0" w:line="360" w:lineRule="auto"/>
              <w:ind w:left="0" w:right="0" w:firstLine="420" w:firstLineChars="200"/>
              <w:outlineLvl w:val="0"/>
              <w:rPr>
                <w:rFonts w:ascii="Times New Roman" w:hAnsi="Times New Roman" w:eastAsia="宋体" w:cs="Times New Roman"/>
                <w:color w:val="auto"/>
                <w:sz w:val="21"/>
                <w:szCs w:val="21"/>
                <w:highlight w:val="none"/>
              </w:rPr>
            </w:pPr>
            <w:r>
              <w:rPr>
                <w:rFonts w:ascii="Times New Roman" w:hAnsi="Times New Roman" w:eastAsia="宋体" w:cs="Times New Roman"/>
                <w:bCs/>
                <w:color w:val="auto"/>
                <w:sz w:val="21"/>
                <w:szCs w:val="21"/>
                <w:highlight w:val="none"/>
              </w:rPr>
              <w:t>项目租用已建成的工业厂房，无需另外新建工业厂房，故不存在施工扬尘、废水、噪声、固废等施工期的环境影响问题</w:t>
            </w:r>
            <w:r>
              <w:rPr>
                <w:rFonts w:hint="eastAsia" w:ascii="Times New Roman" w:hAnsi="Times New Roman" w:eastAsia="宋体" w:cs="Times New Roman"/>
                <w:bCs/>
                <w:color w:val="auto"/>
                <w:sz w:val="21"/>
                <w:szCs w:val="21"/>
                <w:highlight w:val="none"/>
              </w:rPr>
              <w:t>。</w:t>
            </w:r>
          </w:p>
        </w:tc>
      </w:tr>
      <w:tr w14:paraId="730B3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7" w:type="dxa"/>
            <w:noWrap w:val="0"/>
            <w:vAlign w:val="center"/>
          </w:tcPr>
          <w:p w14:paraId="407D33F9">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bCs/>
                <w:color w:val="auto"/>
                <w:sz w:val="21"/>
                <w:szCs w:val="21"/>
                <w:highlight w:val="none"/>
              </w:rPr>
            </w:pPr>
            <w:r>
              <w:rPr>
                <w:rFonts w:ascii="Times New Roman" w:hAnsi="Times New Roman" w:eastAsia="宋体" w:cs="Times New Roman"/>
                <w:bCs/>
                <w:color w:val="auto"/>
                <w:sz w:val="21"/>
                <w:szCs w:val="21"/>
                <w:highlight w:val="none"/>
              </w:rPr>
              <w:t>运营</w:t>
            </w:r>
          </w:p>
          <w:p w14:paraId="377393FA">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bCs/>
                <w:color w:val="auto"/>
                <w:sz w:val="21"/>
                <w:szCs w:val="21"/>
                <w:highlight w:val="none"/>
              </w:rPr>
            </w:pPr>
            <w:r>
              <w:rPr>
                <w:rFonts w:ascii="Times New Roman" w:hAnsi="Times New Roman" w:eastAsia="宋体" w:cs="Times New Roman"/>
                <w:bCs/>
                <w:color w:val="auto"/>
                <w:sz w:val="21"/>
                <w:szCs w:val="21"/>
                <w:highlight w:val="none"/>
              </w:rPr>
              <w:t>期环</w:t>
            </w:r>
          </w:p>
          <w:p w14:paraId="23EFB591">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bCs/>
                <w:color w:val="auto"/>
                <w:sz w:val="21"/>
                <w:szCs w:val="21"/>
                <w:highlight w:val="none"/>
              </w:rPr>
            </w:pPr>
            <w:r>
              <w:rPr>
                <w:rFonts w:ascii="Times New Roman" w:hAnsi="Times New Roman" w:eastAsia="宋体" w:cs="Times New Roman"/>
                <w:bCs/>
                <w:color w:val="auto"/>
                <w:sz w:val="21"/>
                <w:szCs w:val="21"/>
                <w:highlight w:val="none"/>
              </w:rPr>
              <w:t>境影</w:t>
            </w:r>
          </w:p>
          <w:p w14:paraId="1BB03B0F">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bCs/>
                <w:color w:val="auto"/>
                <w:sz w:val="21"/>
                <w:szCs w:val="21"/>
                <w:highlight w:val="none"/>
              </w:rPr>
            </w:pPr>
            <w:r>
              <w:rPr>
                <w:rFonts w:ascii="Times New Roman" w:hAnsi="Times New Roman" w:eastAsia="宋体" w:cs="Times New Roman"/>
                <w:bCs/>
                <w:color w:val="auto"/>
                <w:sz w:val="21"/>
                <w:szCs w:val="21"/>
                <w:highlight w:val="none"/>
              </w:rPr>
              <w:t>响和</w:t>
            </w:r>
          </w:p>
          <w:p w14:paraId="5FCA0524">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snapToGrid w:val="0"/>
                <w:color w:val="auto"/>
                <w:sz w:val="21"/>
                <w:szCs w:val="21"/>
                <w:highlight w:val="none"/>
              </w:rPr>
            </w:pPr>
            <w:r>
              <w:rPr>
                <w:rFonts w:ascii="Times New Roman" w:hAnsi="Times New Roman" w:eastAsia="宋体" w:cs="Times New Roman"/>
                <w:bCs/>
                <w:color w:val="auto"/>
                <w:sz w:val="21"/>
                <w:szCs w:val="21"/>
                <w:highlight w:val="none"/>
              </w:rPr>
              <w:t>保护措施</w:t>
            </w:r>
          </w:p>
        </w:tc>
        <w:tc>
          <w:tcPr>
            <w:tcW w:w="13753" w:type="dxa"/>
            <w:noWrap w:val="0"/>
            <w:vAlign w:val="top"/>
          </w:tcPr>
          <w:p w14:paraId="2A3CFC23">
            <w:pPr>
              <w:keepNext w:val="0"/>
              <w:keepLines w:val="0"/>
              <w:numPr>
                <w:ilvl w:val="0"/>
                <w:numId w:val="0"/>
              </w:numPr>
              <w:suppressLineNumbers w:val="0"/>
              <w:adjustRightInd w:val="0"/>
              <w:snapToGrid w:val="0"/>
              <w:spacing w:before="0" w:beforeAutospacing="0" w:after="0" w:afterAutospacing="0" w:line="360" w:lineRule="auto"/>
              <w:ind w:left="420" w:leftChars="200" w:right="0" w:rightChars="0"/>
              <w:rPr>
                <w:rFonts w:ascii="Times New Roman" w:hAnsi="Times New Roman" w:eastAsia="宋体" w:cs="Times New Roman"/>
                <w:b/>
                <w:bCs/>
                <w:color w:val="auto"/>
                <w:sz w:val="21"/>
                <w:szCs w:val="21"/>
                <w:highlight w:val="none"/>
              </w:rPr>
            </w:pPr>
            <w:r>
              <w:rPr>
                <w:rFonts w:hint="eastAsia" w:cs="Times New Roman"/>
                <w:b/>
                <w:bCs/>
                <w:color w:val="auto"/>
                <w:sz w:val="21"/>
                <w:szCs w:val="21"/>
                <w:highlight w:val="none"/>
                <w:lang w:val="en-US" w:eastAsia="zh-CN"/>
              </w:rPr>
              <w:t>1、</w:t>
            </w:r>
            <w:r>
              <w:rPr>
                <w:rFonts w:ascii="Times New Roman" w:hAnsi="Times New Roman" w:eastAsia="宋体" w:cs="Times New Roman"/>
                <w:b/>
                <w:bCs/>
                <w:color w:val="auto"/>
                <w:sz w:val="21"/>
                <w:szCs w:val="21"/>
                <w:highlight w:val="none"/>
              </w:rPr>
              <w:t>废气</w:t>
            </w:r>
          </w:p>
          <w:p w14:paraId="491733D0">
            <w:pPr>
              <w:keepNext w:val="0"/>
              <w:keepLines w:val="0"/>
              <w:widowControl/>
              <w:suppressLineNumbers w:val="0"/>
              <w:spacing w:before="0" w:beforeAutospacing="0" w:after="0" w:afterAutospacing="0" w:line="360" w:lineRule="auto"/>
              <w:ind w:left="0" w:right="0" w:firstLine="422" w:firstLineChars="200"/>
              <w:jc w:val="left"/>
              <w:rPr>
                <w:rFonts w:hint="default" w:ascii="Times New Roman" w:hAnsi="Times New Roman" w:eastAsia="宋体"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1.1废气源强</w:t>
            </w:r>
          </w:p>
          <w:p w14:paraId="3C9AF8FF">
            <w:pPr>
              <w:keepNext w:val="0"/>
              <w:keepLines w:val="0"/>
              <w:widowControl/>
              <w:suppressLineNumbers w:val="0"/>
              <w:spacing w:before="0" w:beforeAutospacing="0" w:after="0" w:afterAutospacing="0" w:line="360" w:lineRule="auto"/>
              <w:ind w:left="0" w:right="0" w:firstLine="420" w:firstLineChars="200"/>
              <w:jc w:val="left"/>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本项目营运期排放的大气污染物主要为吸塑加工产生的有机废气和臭气浓度；包装纸箱印刷工序产生的有机废气，项目废气产排见下表。</w:t>
            </w:r>
          </w:p>
          <w:p w14:paraId="0E339E65">
            <w:pPr>
              <w:keepNext w:val="0"/>
              <w:keepLines w:val="0"/>
              <w:widowControl/>
              <w:numPr>
                <w:ilvl w:val="0"/>
                <w:numId w:val="4"/>
              </w:numPr>
              <w:suppressLineNumbers w:val="0"/>
              <w:spacing w:before="0" w:beforeAutospacing="0" w:after="0" w:afterAutospacing="0" w:line="360" w:lineRule="auto"/>
              <w:ind w:right="0"/>
              <w:jc w:val="center"/>
              <w:rPr>
                <w:rFonts w:hint="default" w:ascii="Times New Roman" w:hAnsi="Times New Roman" w:eastAsia="宋体" w:cs="Times New Roman"/>
                <w:b/>
                <w:color w:val="auto"/>
                <w:szCs w:val="21"/>
                <w:highlight w:val="none"/>
              </w:rPr>
            </w:pPr>
            <w:r>
              <w:rPr>
                <w:rFonts w:hint="eastAsia" w:ascii="Times New Roman" w:hAnsi="Times New Roman" w:eastAsia="宋体" w:cs="Times New Roman"/>
                <w:b/>
                <w:color w:val="auto"/>
                <w:szCs w:val="21"/>
                <w:highlight w:val="none"/>
                <w:lang w:val="en-US" w:eastAsia="zh-CN"/>
              </w:rPr>
              <w:t>本</w:t>
            </w:r>
            <w:r>
              <w:rPr>
                <w:rFonts w:hint="default" w:ascii="Times New Roman" w:hAnsi="Times New Roman" w:eastAsia="宋体" w:cs="Times New Roman"/>
                <w:b/>
                <w:color w:val="auto"/>
                <w:szCs w:val="21"/>
                <w:highlight w:val="none"/>
              </w:rPr>
              <w:t>项目大气污染物</w:t>
            </w:r>
            <w:r>
              <w:rPr>
                <w:rFonts w:hint="eastAsia" w:ascii="Times New Roman" w:hAnsi="Times New Roman" w:eastAsia="宋体" w:cs="Times New Roman"/>
                <w:b/>
                <w:color w:val="auto"/>
                <w:szCs w:val="21"/>
                <w:highlight w:val="none"/>
                <w:lang w:val="en-US" w:eastAsia="zh-CN"/>
              </w:rPr>
              <w:t>产</w:t>
            </w:r>
            <w:r>
              <w:rPr>
                <w:rFonts w:hint="default" w:ascii="Times New Roman" w:hAnsi="Times New Roman" w:eastAsia="宋体" w:cs="Times New Roman"/>
                <w:b/>
                <w:color w:val="auto"/>
                <w:szCs w:val="21"/>
                <w:highlight w:val="none"/>
              </w:rPr>
              <w:t>排情况一览表</w:t>
            </w:r>
          </w:p>
          <w:tbl>
            <w:tblPr>
              <w:tblStyle w:val="41"/>
              <w:tblW w:w="4998" w:type="pct"/>
              <w:jc w:val="center"/>
              <w:tblBorders>
                <w:top w:val="single" w:color="auto" w:sz="12" w:space="0"/>
                <w:left w:val="single" w:color="auto" w:sz="6" w:space="0"/>
                <w:bottom w:val="single" w:color="auto" w:sz="12"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638"/>
              <w:gridCol w:w="1125"/>
              <w:gridCol w:w="744"/>
              <w:gridCol w:w="899"/>
              <w:gridCol w:w="915"/>
              <w:gridCol w:w="950"/>
              <w:gridCol w:w="1318"/>
              <w:gridCol w:w="666"/>
              <w:gridCol w:w="1128"/>
              <w:gridCol w:w="812"/>
              <w:gridCol w:w="723"/>
              <w:gridCol w:w="794"/>
              <w:gridCol w:w="1020"/>
              <w:gridCol w:w="950"/>
              <w:gridCol w:w="835"/>
            </w:tblGrid>
            <w:tr w14:paraId="50D00EBE">
              <w:tblPrEx>
                <w:tblBorders>
                  <w:top w:val="single" w:color="auto" w:sz="12" w:space="0"/>
                  <w:left w:val="single" w:color="auto" w:sz="6" w:space="0"/>
                  <w:bottom w:val="single" w:color="auto" w:sz="12"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39" w:type="pct"/>
                  <w:vMerge w:val="restart"/>
                  <w:tcBorders>
                    <w:tl2br w:val="nil"/>
                    <w:tr2bl w:val="nil"/>
                  </w:tcBorders>
                  <w:vAlign w:val="center"/>
                </w:tcPr>
                <w:p w14:paraId="235EB7F0">
                  <w:pPr>
                    <w:keepNext w:val="0"/>
                    <w:keepLines w:val="0"/>
                    <w:suppressLineNumbers w:val="0"/>
                    <w:spacing w:before="0" w:beforeAutospacing="0" w:after="0" w:afterAutospacing="0"/>
                    <w:ind w:left="0" w:right="0"/>
                    <w:jc w:val="center"/>
                    <w:rPr>
                      <w:rFonts w:hint="default" w:ascii="Times New Roman" w:hAnsi="Times New Roman" w:eastAsia="宋体"/>
                      <w:b/>
                      <w:color w:val="auto"/>
                      <w:szCs w:val="21"/>
                      <w:highlight w:val="none"/>
                    </w:rPr>
                  </w:pPr>
                  <w:r>
                    <w:rPr>
                      <w:rFonts w:hint="default" w:ascii="Times New Roman" w:hAnsi="Times New Roman" w:eastAsia="宋体"/>
                      <w:b/>
                      <w:color w:val="auto"/>
                      <w:szCs w:val="21"/>
                      <w:highlight w:val="none"/>
                    </w:rPr>
                    <w:t>产排污环节</w:t>
                  </w:r>
                </w:p>
              </w:tc>
              <w:tc>
                <w:tcPr>
                  <w:tcW w:w="419" w:type="pct"/>
                  <w:vMerge w:val="restart"/>
                  <w:tcBorders>
                    <w:tl2br w:val="nil"/>
                    <w:tr2bl w:val="nil"/>
                  </w:tcBorders>
                  <w:vAlign w:val="center"/>
                </w:tcPr>
                <w:p w14:paraId="663388FD">
                  <w:pPr>
                    <w:keepNext w:val="0"/>
                    <w:keepLines w:val="0"/>
                    <w:suppressLineNumbers w:val="0"/>
                    <w:spacing w:before="0" w:beforeAutospacing="0" w:after="0" w:afterAutospacing="0"/>
                    <w:ind w:left="0" w:right="0"/>
                    <w:jc w:val="center"/>
                    <w:rPr>
                      <w:rFonts w:hint="default" w:ascii="Times New Roman" w:hAnsi="Times New Roman" w:eastAsia="宋体"/>
                      <w:b/>
                      <w:color w:val="auto"/>
                      <w:szCs w:val="21"/>
                      <w:highlight w:val="none"/>
                    </w:rPr>
                  </w:pPr>
                  <w:r>
                    <w:rPr>
                      <w:rFonts w:hint="default" w:ascii="Times New Roman" w:hAnsi="Times New Roman" w:eastAsia="宋体"/>
                      <w:b/>
                      <w:color w:val="auto"/>
                      <w:szCs w:val="21"/>
                      <w:highlight w:val="none"/>
                    </w:rPr>
                    <w:t>污染物种类</w:t>
                  </w:r>
                </w:p>
              </w:tc>
              <w:tc>
                <w:tcPr>
                  <w:tcW w:w="278" w:type="pct"/>
                  <w:vMerge w:val="restart"/>
                  <w:tcBorders>
                    <w:tl2br w:val="nil"/>
                    <w:tr2bl w:val="nil"/>
                  </w:tcBorders>
                  <w:vAlign w:val="center"/>
                </w:tcPr>
                <w:p w14:paraId="3874CA5D">
                  <w:pPr>
                    <w:keepNext w:val="0"/>
                    <w:keepLines w:val="0"/>
                    <w:suppressLineNumbers w:val="0"/>
                    <w:spacing w:before="0" w:beforeAutospacing="0" w:after="0" w:afterAutospacing="0"/>
                    <w:ind w:left="0" w:right="0"/>
                    <w:jc w:val="center"/>
                    <w:rPr>
                      <w:rFonts w:hint="default" w:ascii="Times New Roman" w:hAnsi="Times New Roman" w:eastAsia="宋体"/>
                      <w:b/>
                      <w:color w:val="auto"/>
                      <w:szCs w:val="21"/>
                      <w:highlight w:val="none"/>
                    </w:rPr>
                  </w:pPr>
                  <w:r>
                    <w:rPr>
                      <w:rFonts w:hint="default" w:ascii="Times New Roman" w:hAnsi="Times New Roman" w:eastAsia="宋体"/>
                      <w:b/>
                      <w:bCs/>
                      <w:color w:val="auto"/>
                      <w:szCs w:val="21"/>
                      <w:highlight w:val="none"/>
                    </w:rPr>
                    <w:t>排放形式</w:t>
                  </w:r>
                </w:p>
              </w:tc>
              <w:tc>
                <w:tcPr>
                  <w:tcW w:w="989" w:type="pct"/>
                  <w:gridSpan w:val="3"/>
                  <w:tcBorders>
                    <w:tl2br w:val="nil"/>
                    <w:tr2bl w:val="nil"/>
                  </w:tcBorders>
                  <w:vAlign w:val="center"/>
                </w:tcPr>
                <w:p w14:paraId="5C802724">
                  <w:pPr>
                    <w:keepNext w:val="0"/>
                    <w:keepLines w:val="0"/>
                    <w:suppressLineNumbers w:val="0"/>
                    <w:spacing w:before="0" w:beforeAutospacing="0" w:after="0" w:afterAutospacing="0"/>
                    <w:ind w:left="0" w:right="0"/>
                    <w:jc w:val="center"/>
                    <w:rPr>
                      <w:rFonts w:hint="default" w:ascii="Times New Roman" w:hAnsi="Times New Roman" w:eastAsia="宋体"/>
                      <w:b/>
                      <w:bCs/>
                      <w:color w:val="auto"/>
                      <w:szCs w:val="21"/>
                      <w:highlight w:val="none"/>
                    </w:rPr>
                  </w:pPr>
                  <w:r>
                    <w:rPr>
                      <w:rFonts w:hint="default" w:ascii="Times New Roman" w:hAnsi="Times New Roman" w:eastAsia="宋体"/>
                      <w:b/>
                      <w:color w:val="auto"/>
                      <w:szCs w:val="21"/>
                      <w:highlight w:val="none"/>
                    </w:rPr>
                    <w:t>污染物产生情况</w:t>
                  </w:r>
                </w:p>
              </w:tc>
              <w:tc>
                <w:tcPr>
                  <w:tcW w:w="1732" w:type="pct"/>
                  <w:gridSpan w:val="5"/>
                  <w:tcBorders>
                    <w:tl2br w:val="nil"/>
                    <w:tr2bl w:val="nil"/>
                  </w:tcBorders>
                  <w:vAlign w:val="center"/>
                </w:tcPr>
                <w:p w14:paraId="2B23BE36">
                  <w:pPr>
                    <w:keepNext w:val="0"/>
                    <w:keepLines w:val="0"/>
                    <w:suppressLineNumbers w:val="0"/>
                    <w:spacing w:before="0" w:beforeAutospacing="0" w:after="0" w:afterAutospacing="0"/>
                    <w:ind w:left="0" w:right="0"/>
                    <w:jc w:val="center"/>
                    <w:rPr>
                      <w:rFonts w:hint="default" w:ascii="Times New Roman" w:hAnsi="Times New Roman" w:eastAsia="宋体"/>
                      <w:b/>
                      <w:bCs/>
                      <w:color w:val="auto"/>
                      <w:szCs w:val="21"/>
                      <w:highlight w:val="none"/>
                    </w:rPr>
                  </w:pPr>
                  <w:r>
                    <w:rPr>
                      <w:rFonts w:hint="default" w:ascii="Times New Roman" w:hAnsi="Times New Roman" w:eastAsia="宋体"/>
                      <w:b/>
                      <w:bCs/>
                      <w:color w:val="auto"/>
                      <w:szCs w:val="21"/>
                      <w:highlight w:val="none"/>
                    </w:rPr>
                    <w:t>治理设施</w:t>
                  </w:r>
                </w:p>
              </w:tc>
              <w:tc>
                <w:tcPr>
                  <w:tcW w:w="1030" w:type="pct"/>
                  <w:gridSpan w:val="3"/>
                  <w:tcBorders>
                    <w:tl2br w:val="nil"/>
                    <w:tr2bl w:val="nil"/>
                  </w:tcBorders>
                  <w:vAlign w:val="center"/>
                </w:tcPr>
                <w:p w14:paraId="28DA30AD">
                  <w:pPr>
                    <w:keepNext w:val="0"/>
                    <w:keepLines w:val="0"/>
                    <w:suppressLineNumbers w:val="0"/>
                    <w:spacing w:before="0" w:beforeAutospacing="0" w:after="0" w:afterAutospacing="0"/>
                    <w:ind w:left="0" w:right="0"/>
                    <w:jc w:val="center"/>
                    <w:rPr>
                      <w:rFonts w:hint="default" w:ascii="Times New Roman" w:hAnsi="Times New Roman" w:eastAsia="宋体"/>
                      <w:b/>
                      <w:bCs/>
                      <w:color w:val="auto"/>
                      <w:szCs w:val="21"/>
                      <w:highlight w:val="none"/>
                    </w:rPr>
                  </w:pPr>
                  <w:r>
                    <w:rPr>
                      <w:rFonts w:hint="default" w:ascii="Times New Roman" w:hAnsi="Times New Roman" w:eastAsia="宋体"/>
                      <w:b/>
                      <w:bCs/>
                      <w:color w:val="auto"/>
                      <w:szCs w:val="21"/>
                      <w:highlight w:val="none"/>
                    </w:rPr>
                    <w:t>污染物排放情况</w:t>
                  </w:r>
                </w:p>
              </w:tc>
              <w:tc>
                <w:tcPr>
                  <w:tcW w:w="309" w:type="pct"/>
                  <w:vMerge w:val="restart"/>
                  <w:tcBorders>
                    <w:tl2br w:val="nil"/>
                    <w:tr2bl w:val="nil"/>
                  </w:tcBorders>
                  <w:vAlign w:val="center"/>
                </w:tcPr>
                <w:p w14:paraId="5AD4933D">
                  <w:pPr>
                    <w:keepNext w:val="0"/>
                    <w:keepLines w:val="0"/>
                    <w:suppressLineNumbers w:val="0"/>
                    <w:spacing w:before="0" w:beforeAutospacing="0" w:after="0" w:afterAutospacing="0"/>
                    <w:ind w:left="0" w:right="0"/>
                    <w:jc w:val="center"/>
                    <w:rPr>
                      <w:rFonts w:hint="default" w:ascii="Times New Roman" w:hAnsi="Times New Roman" w:eastAsia="宋体"/>
                      <w:b/>
                      <w:bCs/>
                      <w:color w:val="auto"/>
                      <w:szCs w:val="21"/>
                      <w:highlight w:val="none"/>
                    </w:rPr>
                  </w:pPr>
                  <w:r>
                    <w:rPr>
                      <w:rFonts w:hint="default" w:ascii="Times New Roman" w:hAnsi="Times New Roman" w:eastAsia="宋体"/>
                      <w:b/>
                      <w:bCs/>
                      <w:color w:val="auto"/>
                      <w:szCs w:val="21"/>
                      <w:highlight w:val="none"/>
                    </w:rPr>
                    <w:t>排放口编号</w:t>
                  </w:r>
                </w:p>
              </w:tc>
            </w:tr>
            <w:tr w14:paraId="524BDCDA">
              <w:tblPrEx>
                <w:tblBorders>
                  <w:top w:val="single" w:color="auto" w:sz="12" w:space="0"/>
                  <w:left w:val="single" w:color="auto" w:sz="6" w:space="0"/>
                  <w:bottom w:val="single" w:color="auto" w:sz="12"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39" w:type="pct"/>
                  <w:vMerge w:val="continue"/>
                  <w:tcBorders>
                    <w:tl2br w:val="nil"/>
                    <w:tr2bl w:val="nil"/>
                  </w:tcBorders>
                  <w:vAlign w:val="center"/>
                </w:tcPr>
                <w:p w14:paraId="6690B096">
                  <w:pPr>
                    <w:keepNext w:val="0"/>
                    <w:keepLines w:val="0"/>
                    <w:suppressLineNumbers w:val="0"/>
                    <w:spacing w:before="0" w:beforeAutospacing="0" w:after="0" w:afterAutospacing="0"/>
                    <w:ind w:left="0" w:right="0"/>
                    <w:jc w:val="center"/>
                    <w:rPr>
                      <w:rFonts w:hint="default" w:ascii="Times New Roman" w:hAnsi="Times New Roman" w:eastAsia="宋体"/>
                      <w:b/>
                      <w:color w:val="auto"/>
                      <w:szCs w:val="21"/>
                      <w:highlight w:val="none"/>
                    </w:rPr>
                  </w:pPr>
                </w:p>
              </w:tc>
              <w:tc>
                <w:tcPr>
                  <w:tcW w:w="419" w:type="pct"/>
                  <w:vMerge w:val="continue"/>
                  <w:tcBorders>
                    <w:tl2br w:val="nil"/>
                    <w:tr2bl w:val="nil"/>
                  </w:tcBorders>
                  <w:vAlign w:val="center"/>
                </w:tcPr>
                <w:p w14:paraId="25225376">
                  <w:pPr>
                    <w:keepNext w:val="0"/>
                    <w:keepLines w:val="0"/>
                    <w:suppressLineNumbers w:val="0"/>
                    <w:spacing w:before="0" w:beforeAutospacing="0" w:after="0" w:afterAutospacing="0"/>
                    <w:ind w:left="0" w:right="0"/>
                    <w:jc w:val="center"/>
                    <w:rPr>
                      <w:rFonts w:hint="default" w:ascii="Times New Roman" w:hAnsi="Times New Roman" w:eastAsia="宋体"/>
                      <w:b/>
                      <w:color w:val="auto"/>
                      <w:szCs w:val="21"/>
                      <w:highlight w:val="none"/>
                    </w:rPr>
                  </w:pPr>
                </w:p>
              </w:tc>
              <w:tc>
                <w:tcPr>
                  <w:tcW w:w="278" w:type="pct"/>
                  <w:vMerge w:val="continue"/>
                  <w:tcBorders>
                    <w:tl2br w:val="nil"/>
                    <w:tr2bl w:val="nil"/>
                  </w:tcBorders>
                  <w:vAlign w:val="center"/>
                </w:tcPr>
                <w:p w14:paraId="74AA95EC">
                  <w:pPr>
                    <w:keepNext w:val="0"/>
                    <w:keepLines w:val="0"/>
                    <w:suppressLineNumbers w:val="0"/>
                    <w:spacing w:before="0" w:beforeAutospacing="0" w:after="0" w:afterAutospacing="0"/>
                    <w:ind w:left="0" w:right="0"/>
                    <w:jc w:val="center"/>
                    <w:rPr>
                      <w:rFonts w:hint="default" w:ascii="Times New Roman" w:hAnsi="Times New Roman" w:eastAsia="宋体"/>
                      <w:b/>
                      <w:color w:val="auto"/>
                      <w:szCs w:val="21"/>
                      <w:highlight w:val="none"/>
                    </w:rPr>
                  </w:pPr>
                </w:p>
              </w:tc>
              <w:tc>
                <w:tcPr>
                  <w:tcW w:w="294" w:type="pct"/>
                  <w:tcBorders>
                    <w:tl2br w:val="nil"/>
                    <w:tr2bl w:val="nil"/>
                  </w:tcBorders>
                  <w:vAlign w:val="center"/>
                </w:tcPr>
                <w:p w14:paraId="3A738402">
                  <w:pPr>
                    <w:keepNext w:val="0"/>
                    <w:keepLines w:val="0"/>
                    <w:suppressLineNumbers w:val="0"/>
                    <w:spacing w:before="0" w:beforeAutospacing="0" w:after="0" w:afterAutospacing="0"/>
                    <w:ind w:left="0" w:right="0"/>
                    <w:jc w:val="center"/>
                    <w:rPr>
                      <w:rFonts w:hint="default" w:ascii="Times New Roman" w:hAnsi="Times New Roman" w:eastAsia="宋体"/>
                      <w:b/>
                      <w:bCs/>
                      <w:color w:val="auto"/>
                      <w:szCs w:val="21"/>
                      <w:highlight w:val="none"/>
                    </w:rPr>
                  </w:pPr>
                  <w:r>
                    <w:rPr>
                      <w:rFonts w:hint="default" w:ascii="Times New Roman" w:hAnsi="Times New Roman" w:eastAsia="宋体"/>
                      <w:b/>
                      <w:bCs/>
                      <w:color w:val="auto"/>
                      <w:szCs w:val="21"/>
                      <w:highlight w:val="none"/>
                    </w:rPr>
                    <w:t>产生量t/a</w:t>
                  </w:r>
                </w:p>
              </w:tc>
              <w:tc>
                <w:tcPr>
                  <w:tcW w:w="341" w:type="pct"/>
                  <w:tcBorders>
                    <w:tl2br w:val="nil"/>
                    <w:tr2bl w:val="nil"/>
                  </w:tcBorders>
                  <w:vAlign w:val="center"/>
                </w:tcPr>
                <w:p w14:paraId="766411EE">
                  <w:pPr>
                    <w:keepNext w:val="0"/>
                    <w:keepLines w:val="0"/>
                    <w:suppressLineNumbers w:val="0"/>
                    <w:spacing w:before="0" w:beforeAutospacing="0" w:after="0" w:afterAutospacing="0"/>
                    <w:ind w:left="0" w:right="0"/>
                    <w:jc w:val="center"/>
                    <w:rPr>
                      <w:rFonts w:hint="default" w:ascii="Times New Roman" w:hAnsi="Times New Roman" w:eastAsia="宋体"/>
                      <w:b/>
                      <w:bCs/>
                      <w:color w:val="auto"/>
                      <w:szCs w:val="21"/>
                      <w:highlight w:val="none"/>
                    </w:rPr>
                  </w:pPr>
                  <w:r>
                    <w:rPr>
                      <w:rFonts w:hint="default" w:ascii="Times New Roman" w:hAnsi="Times New Roman" w:eastAsia="宋体"/>
                      <w:b/>
                      <w:bCs/>
                      <w:color w:val="auto"/>
                      <w:szCs w:val="21"/>
                      <w:highlight w:val="none"/>
                    </w:rPr>
                    <w:t>产生</w:t>
                  </w:r>
                </w:p>
                <w:p w14:paraId="16546D35">
                  <w:pPr>
                    <w:keepNext w:val="0"/>
                    <w:keepLines w:val="0"/>
                    <w:suppressLineNumbers w:val="0"/>
                    <w:spacing w:before="0" w:beforeAutospacing="0" w:after="0" w:afterAutospacing="0"/>
                    <w:ind w:left="0" w:right="0"/>
                    <w:jc w:val="center"/>
                    <w:rPr>
                      <w:rFonts w:hint="default" w:ascii="Times New Roman" w:hAnsi="Times New Roman" w:eastAsia="宋体"/>
                      <w:b/>
                      <w:bCs/>
                      <w:color w:val="auto"/>
                      <w:szCs w:val="21"/>
                      <w:highlight w:val="none"/>
                    </w:rPr>
                  </w:pPr>
                  <w:r>
                    <w:rPr>
                      <w:rFonts w:hint="default" w:ascii="Times New Roman" w:hAnsi="Times New Roman" w:eastAsia="宋体"/>
                      <w:b/>
                      <w:bCs/>
                      <w:color w:val="auto"/>
                      <w:szCs w:val="21"/>
                      <w:highlight w:val="none"/>
                    </w:rPr>
                    <w:t>速率</w:t>
                  </w:r>
                  <w:r>
                    <w:rPr>
                      <w:rFonts w:hint="default" w:ascii="Times New Roman" w:hAnsi="Times New Roman" w:eastAsia="宋体"/>
                      <w:b/>
                      <w:color w:val="auto"/>
                      <w:szCs w:val="21"/>
                      <w:highlight w:val="none"/>
                    </w:rPr>
                    <w:t>kg/h</w:t>
                  </w:r>
                </w:p>
              </w:tc>
              <w:tc>
                <w:tcPr>
                  <w:tcW w:w="353" w:type="pct"/>
                  <w:tcBorders>
                    <w:tl2br w:val="nil"/>
                    <w:tr2bl w:val="nil"/>
                  </w:tcBorders>
                  <w:vAlign w:val="center"/>
                </w:tcPr>
                <w:p w14:paraId="0EDD30DC">
                  <w:pPr>
                    <w:keepNext w:val="0"/>
                    <w:keepLines w:val="0"/>
                    <w:suppressLineNumbers w:val="0"/>
                    <w:spacing w:before="0" w:beforeAutospacing="0" w:after="0" w:afterAutospacing="0"/>
                    <w:ind w:left="0" w:right="0"/>
                    <w:jc w:val="center"/>
                    <w:rPr>
                      <w:rFonts w:hint="default" w:ascii="Times New Roman" w:hAnsi="Times New Roman" w:eastAsia="宋体"/>
                      <w:b/>
                      <w:bCs/>
                      <w:color w:val="auto"/>
                      <w:szCs w:val="21"/>
                      <w:highlight w:val="none"/>
                    </w:rPr>
                  </w:pPr>
                  <w:r>
                    <w:rPr>
                      <w:rFonts w:hint="default" w:ascii="Times New Roman" w:hAnsi="Times New Roman" w:eastAsia="宋体"/>
                      <w:b/>
                      <w:bCs/>
                      <w:color w:val="auto"/>
                      <w:szCs w:val="21"/>
                      <w:highlight w:val="none"/>
                    </w:rPr>
                    <w:t>产生浓度</w:t>
                  </w:r>
                  <w:r>
                    <w:rPr>
                      <w:rFonts w:hint="default" w:ascii="Times New Roman" w:hAnsi="Times New Roman" w:eastAsia="宋体"/>
                      <w:b/>
                      <w:color w:val="auto"/>
                      <w:szCs w:val="21"/>
                      <w:highlight w:val="none"/>
                    </w:rPr>
                    <w:t>mg/m</w:t>
                  </w:r>
                  <w:r>
                    <w:rPr>
                      <w:rFonts w:hint="default" w:ascii="Times New Roman" w:hAnsi="Times New Roman" w:eastAsia="宋体"/>
                      <w:b/>
                      <w:color w:val="auto"/>
                      <w:szCs w:val="21"/>
                      <w:highlight w:val="none"/>
                      <w:vertAlign w:val="superscript"/>
                    </w:rPr>
                    <w:t>3</w:t>
                  </w:r>
                </w:p>
              </w:tc>
              <w:tc>
                <w:tcPr>
                  <w:tcW w:w="490" w:type="pct"/>
                  <w:tcBorders>
                    <w:tl2br w:val="nil"/>
                    <w:tr2bl w:val="nil"/>
                  </w:tcBorders>
                  <w:vAlign w:val="center"/>
                </w:tcPr>
                <w:p w14:paraId="3CBF60B1">
                  <w:pPr>
                    <w:keepNext w:val="0"/>
                    <w:keepLines w:val="0"/>
                    <w:suppressLineNumbers w:val="0"/>
                    <w:spacing w:before="0" w:beforeAutospacing="0" w:after="0" w:afterAutospacing="0"/>
                    <w:ind w:left="0" w:right="0"/>
                    <w:jc w:val="center"/>
                    <w:rPr>
                      <w:rFonts w:hint="default" w:ascii="Times New Roman" w:hAnsi="Times New Roman" w:eastAsia="宋体"/>
                      <w:b/>
                      <w:bCs/>
                      <w:color w:val="auto"/>
                      <w:szCs w:val="21"/>
                      <w:highlight w:val="none"/>
                    </w:rPr>
                  </w:pPr>
                  <w:r>
                    <w:rPr>
                      <w:rFonts w:hint="default" w:ascii="Times New Roman" w:hAnsi="Times New Roman" w:eastAsia="宋体"/>
                      <w:b/>
                      <w:bCs/>
                      <w:color w:val="auto"/>
                      <w:szCs w:val="21"/>
                      <w:highlight w:val="none"/>
                    </w:rPr>
                    <w:t>处理能力</w:t>
                  </w:r>
                  <w:r>
                    <w:rPr>
                      <w:rFonts w:hint="default" w:ascii="Times New Roman" w:hAnsi="Times New Roman" w:eastAsia="宋体"/>
                      <w:b/>
                      <w:color w:val="auto"/>
                      <w:szCs w:val="21"/>
                      <w:highlight w:val="none"/>
                    </w:rPr>
                    <w:t>m</w:t>
                  </w:r>
                  <w:r>
                    <w:rPr>
                      <w:rFonts w:hint="default" w:ascii="Times New Roman" w:hAnsi="Times New Roman" w:eastAsia="宋体"/>
                      <w:b/>
                      <w:color w:val="auto"/>
                      <w:szCs w:val="21"/>
                      <w:highlight w:val="none"/>
                      <w:vertAlign w:val="superscript"/>
                    </w:rPr>
                    <w:t>3</w:t>
                  </w:r>
                  <w:r>
                    <w:rPr>
                      <w:rFonts w:hint="default" w:ascii="Times New Roman" w:hAnsi="Times New Roman" w:eastAsia="宋体"/>
                      <w:b/>
                      <w:color w:val="auto"/>
                      <w:szCs w:val="21"/>
                      <w:highlight w:val="none"/>
                    </w:rPr>
                    <w:t>/h</w:t>
                  </w:r>
                </w:p>
              </w:tc>
              <w:tc>
                <w:tcPr>
                  <w:tcW w:w="249" w:type="pct"/>
                  <w:tcBorders>
                    <w:tl2br w:val="nil"/>
                    <w:tr2bl w:val="nil"/>
                  </w:tcBorders>
                  <w:vAlign w:val="center"/>
                </w:tcPr>
                <w:p w14:paraId="79FD21B4">
                  <w:pPr>
                    <w:keepNext w:val="0"/>
                    <w:keepLines w:val="0"/>
                    <w:suppressLineNumbers w:val="0"/>
                    <w:spacing w:before="0" w:beforeAutospacing="0" w:after="0" w:afterAutospacing="0"/>
                    <w:ind w:left="0" w:right="0"/>
                    <w:jc w:val="center"/>
                    <w:rPr>
                      <w:rFonts w:hint="default" w:ascii="Times New Roman" w:hAnsi="Times New Roman" w:eastAsia="宋体"/>
                      <w:b/>
                      <w:bCs/>
                      <w:color w:val="auto"/>
                      <w:szCs w:val="21"/>
                      <w:highlight w:val="none"/>
                    </w:rPr>
                  </w:pPr>
                  <w:r>
                    <w:rPr>
                      <w:rFonts w:hint="default" w:ascii="Times New Roman" w:hAnsi="Times New Roman" w:eastAsia="宋体"/>
                      <w:b/>
                      <w:bCs/>
                      <w:color w:val="auto"/>
                      <w:szCs w:val="21"/>
                      <w:highlight w:val="none"/>
                    </w:rPr>
                    <w:t>收集效率</w:t>
                  </w:r>
                </w:p>
              </w:tc>
              <w:tc>
                <w:tcPr>
                  <w:tcW w:w="420" w:type="pct"/>
                  <w:tcBorders>
                    <w:tl2br w:val="nil"/>
                    <w:tr2bl w:val="nil"/>
                  </w:tcBorders>
                  <w:vAlign w:val="center"/>
                </w:tcPr>
                <w:p w14:paraId="220E99EB">
                  <w:pPr>
                    <w:keepNext w:val="0"/>
                    <w:keepLines w:val="0"/>
                    <w:suppressLineNumbers w:val="0"/>
                    <w:spacing w:before="0" w:beforeAutospacing="0" w:after="0" w:afterAutospacing="0"/>
                    <w:ind w:left="0" w:right="0"/>
                    <w:jc w:val="center"/>
                    <w:rPr>
                      <w:rFonts w:hint="default" w:ascii="Times New Roman" w:hAnsi="Times New Roman" w:eastAsia="宋体"/>
                      <w:b/>
                      <w:bCs/>
                      <w:color w:val="auto"/>
                      <w:szCs w:val="21"/>
                      <w:highlight w:val="none"/>
                    </w:rPr>
                  </w:pPr>
                  <w:r>
                    <w:rPr>
                      <w:rFonts w:hint="default" w:ascii="Times New Roman" w:hAnsi="Times New Roman" w:eastAsia="宋体"/>
                      <w:b/>
                      <w:bCs/>
                      <w:color w:val="auto"/>
                      <w:szCs w:val="21"/>
                      <w:highlight w:val="none"/>
                    </w:rPr>
                    <w:t>治理工艺</w:t>
                  </w:r>
                </w:p>
              </w:tc>
              <w:tc>
                <w:tcPr>
                  <w:tcW w:w="303" w:type="pct"/>
                  <w:tcBorders>
                    <w:tl2br w:val="nil"/>
                    <w:tr2bl w:val="nil"/>
                  </w:tcBorders>
                  <w:vAlign w:val="center"/>
                </w:tcPr>
                <w:p w14:paraId="2E36F5EB">
                  <w:pPr>
                    <w:keepNext w:val="0"/>
                    <w:keepLines w:val="0"/>
                    <w:suppressLineNumbers w:val="0"/>
                    <w:spacing w:before="0" w:beforeAutospacing="0" w:after="0" w:afterAutospacing="0"/>
                    <w:ind w:left="0" w:right="0"/>
                    <w:jc w:val="center"/>
                    <w:rPr>
                      <w:rFonts w:hint="default" w:ascii="Times New Roman" w:hAnsi="Times New Roman" w:eastAsia="宋体"/>
                      <w:b/>
                      <w:bCs/>
                      <w:color w:val="auto"/>
                      <w:szCs w:val="21"/>
                      <w:highlight w:val="none"/>
                    </w:rPr>
                  </w:pPr>
                  <w:r>
                    <w:rPr>
                      <w:rFonts w:hint="default" w:ascii="Times New Roman" w:hAnsi="Times New Roman" w:eastAsia="宋体"/>
                      <w:b/>
                      <w:bCs/>
                      <w:color w:val="auto"/>
                      <w:szCs w:val="21"/>
                      <w:highlight w:val="none"/>
                    </w:rPr>
                    <w:t>治理工艺去除率</w:t>
                  </w:r>
                </w:p>
              </w:tc>
              <w:tc>
                <w:tcPr>
                  <w:tcW w:w="269" w:type="pct"/>
                  <w:tcBorders>
                    <w:tl2br w:val="nil"/>
                    <w:tr2bl w:val="nil"/>
                  </w:tcBorders>
                  <w:vAlign w:val="center"/>
                </w:tcPr>
                <w:p w14:paraId="4F19BB71">
                  <w:pPr>
                    <w:keepNext w:val="0"/>
                    <w:keepLines w:val="0"/>
                    <w:suppressLineNumbers w:val="0"/>
                    <w:spacing w:before="0" w:beforeAutospacing="0" w:after="0" w:afterAutospacing="0"/>
                    <w:ind w:left="0" w:right="0"/>
                    <w:jc w:val="center"/>
                    <w:rPr>
                      <w:rFonts w:hint="default" w:ascii="Times New Roman" w:hAnsi="Times New Roman" w:eastAsia="宋体"/>
                      <w:b/>
                      <w:bCs/>
                      <w:color w:val="auto"/>
                      <w:szCs w:val="21"/>
                      <w:highlight w:val="none"/>
                    </w:rPr>
                  </w:pPr>
                  <w:r>
                    <w:rPr>
                      <w:rFonts w:hint="default" w:ascii="Times New Roman" w:hAnsi="Times New Roman" w:eastAsia="宋体"/>
                      <w:b/>
                      <w:bCs/>
                      <w:color w:val="auto"/>
                      <w:szCs w:val="21"/>
                      <w:highlight w:val="none"/>
                    </w:rPr>
                    <w:t>是否为可行技术</w:t>
                  </w:r>
                </w:p>
              </w:tc>
              <w:tc>
                <w:tcPr>
                  <w:tcW w:w="295" w:type="pct"/>
                  <w:tcBorders>
                    <w:tl2br w:val="nil"/>
                    <w:tr2bl w:val="nil"/>
                  </w:tcBorders>
                  <w:vAlign w:val="center"/>
                </w:tcPr>
                <w:p w14:paraId="44DF7B3E">
                  <w:pPr>
                    <w:keepNext w:val="0"/>
                    <w:keepLines w:val="0"/>
                    <w:suppressLineNumbers w:val="0"/>
                    <w:spacing w:before="0" w:beforeAutospacing="0" w:after="0" w:afterAutospacing="0"/>
                    <w:ind w:left="0" w:right="0"/>
                    <w:jc w:val="center"/>
                    <w:rPr>
                      <w:rFonts w:hint="default" w:ascii="Times New Roman" w:hAnsi="Times New Roman" w:eastAsia="宋体"/>
                      <w:b/>
                      <w:bCs/>
                      <w:color w:val="auto"/>
                      <w:szCs w:val="21"/>
                      <w:highlight w:val="none"/>
                    </w:rPr>
                  </w:pPr>
                  <w:r>
                    <w:rPr>
                      <w:rFonts w:hint="default" w:ascii="Times New Roman" w:hAnsi="Times New Roman" w:eastAsia="宋体"/>
                      <w:b/>
                      <w:bCs/>
                      <w:color w:val="auto"/>
                      <w:szCs w:val="21"/>
                      <w:highlight w:val="none"/>
                    </w:rPr>
                    <w:t>排放量t/a</w:t>
                  </w:r>
                </w:p>
              </w:tc>
              <w:tc>
                <w:tcPr>
                  <w:tcW w:w="381" w:type="pct"/>
                  <w:tcBorders>
                    <w:tl2br w:val="nil"/>
                    <w:tr2bl w:val="nil"/>
                  </w:tcBorders>
                  <w:vAlign w:val="center"/>
                </w:tcPr>
                <w:p w14:paraId="659639E7">
                  <w:pPr>
                    <w:keepNext w:val="0"/>
                    <w:keepLines w:val="0"/>
                    <w:suppressLineNumbers w:val="0"/>
                    <w:spacing w:before="0" w:beforeAutospacing="0" w:after="0" w:afterAutospacing="0"/>
                    <w:ind w:left="0" w:right="0"/>
                    <w:jc w:val="center"/>
                    <w:rPr>
                      <w:rFonts w:hint="default" w:ascii="Times New Roman" w:hAnsi="Times New Roman" w:eastAsia="宋体"/>
                      <w:b/>
                      <w:bCs/>
                      <w:color w:val="auto"/>
                      <w:szCs w:val="21"/>
                      <w:highlight w:val="none"/>
                    </w:rPr>
                  </w:pPr>
                  <w:r>
                    <w:rPr>
                      <w:rFonts w:hint="default" w:ascii="Times New Roman" w:hAnsi="Times New Roman" w:eastAsia="宋体"/>
                      <w:b/>
                      <w:bCs/>
                      <w:color w:val="auto"/>
                      <w:szCs w:val="21"/>
                      <w:highlight w:val="none"/>
                    </w:rPr>
                    <w:t>排放速率</w:t>
                  </w:r>
                  <w:r>
                    <w:rPr>
                      <w:rFonts w:hint="default" w:ascii="Times New Roman" w:hAnsi="Times New Roman" w:eastAsia="宋体"/>
                      <w:b/>
                      <w:color w:val="auto"/>
                      <w:szCs w:val="21"/>
                      <w:highlight w:val="none"/>
                    </w:rPr>
                    <w:t>kg/h</w:t>
                  </w:r>
                </w:p>
              </w:tc>
              <w:tc>
                <w:tcPr>
                  <w:tcW w:w="354" w:type="pct"/>
                  <w:tcBorders>
                    <w:tl2br w:val="nil"/>
                    <w:tr2bl w:val="nil"/>
                  </w:tcBorders>
                  <w:vAlign w:val="center"/>
                </w:tcPr>
                <w:p w14:paraId="40EC484D">
                  <w:pPr>
                    <w:keepNext w:val="0"/>
                    <w:keepLines w:val="0"/>
                    <w:suppressLineNumbers w:val="0"/>
                    <w:spacing w:before="0" w:beforeAutospacing="0" w:after="0" w:afterAutospacing="0"/>
                    <w:ind w:left="0" w:right="0"/>
                    <w:jc w:val="center"/>
                    <w:rPr>
                      <w:rFonts w:hint="default" w:ascii="Times New Roman" w:hAnsi="Times New Roman" w:eastAsia="宋体"/>
                      <w:b/>
                      <w:bCs/>
                      <w:color w:val="auto"/>
                      <w:szCs w:val="21"/>
                      <w:highlight w:val="none"/>
                    </w:rPr>
                  </w:pPr>
                  <w:r>
                    <w:rPr>
                      <w:rFonts w:hint="default" w:ascii="Times New Roman" w:hAnsi="Times New Roman" w:eastAsia="宋体"/>
                      <w:b/>
                      <w:bCs/>
                      <w:color w:val="auto"/>
                      <w:szCs w:val="21"/>
                      <w:highlight w:val="none"/>
                    </w:rPr>
                    <w:t>排放浓度</w:t>
                  </w:r>
                  <w:r>
                    <w:rPr>
                      <w:rFonts w:hint="default" w:ascii="Times New Roman" w:hAnsi="Times New Roman" w:eastAsia="宋体"/>
                      <w:b/>
                      <w:color w:val="auto"/>
                      <w:szCs w:val="21"/>
                      <w:highlight w:val="none"/>
                    </w:rPr>
                    <w:t>mg/m</w:t>
                  </w:r>
                  <w:r>
                    <w:rPr>
                      <w:rFonts w:hint="default" w:ascii="Times New Roman" w:hAnsi="Times New Roman" w:eastAsia="宋体"/>
                      <w:b/>
                      <w:color w:val="auto"/>
                      <w:szCs w:val="21"/>
                      <w:highlight w:val="none"/>
                      <w:vertAlign w:val="superscript"/>
                    </w:rPr>
                    <w:t>3</w:t>
                  </w:r>
                </w:p>
              </w:tc>
              <w:tc>
                <w:tcPr>
                  <w:tcW w:w="309" w:type="pct"/>
                  <w:vMerge w:val="continue"/>
                  <w:tcBorders>
                    <w:tl2br w:val="nil"/>
                    <w:tr2bl w:val="nil"/>
                  </w:tcBorders>
                  <w:vAlign w:val="center"/>
                </w:tcPr>
                <w:p w14:paraId="7DD66D46">
                  <w:pPr>
                    <w:keepNext w:val="0"/>
                    <w:keepLines w:val="0"/>
                    <w:suppressLineNumbers w:val="0"/>
                    <w:spacing w:before="0" w:beforeAutospacing="0" w:after="0" w:afterAutospacing="0"/>
                    <w:ind w:left="0" w:right="0"/>
                    <w:jc w:val="center"/>
                    <w:rPr>
                      <w:rFonts w:hint="default" w:ascii="Times New Roman" w:hAnsi="Times New Roman" w:eastAsia="宋体"/>
                      <w:b/>
                      <w:bCs/>
                      <w:color w:val="auto"/>
                      <w:szCs w:val="21"/>
                      <w:highlight w:val="none"/>
                    </w:rPr>
                  </w:pPr>
                </w:p>
              </w:tc>
            </w:tr>
            <w:tr w14:paraId="0213F1F3">
              <w:tblPrEx>
                <w:tblBorders>
                  <w:top w:val="single" w:color="auto" w:sz="12" w:space="0"/>
                  <w:left w:val="single" w:color="auto" w:sz="6" w:space="0"/>
                  <w:bottom w:val="single" w:color="auto" w:sz="12"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39" w:type="pct"/>
                  <w:vMerge w:val="restart"/>
                  <w:tcBorders>
                    <w:tl2br w:val="nil"/>
                    <w:tr2bl w:val="nil"/>
                  </w:tcBorders>
                  <w:vAlign w:val="center"/>
                </w:tcPr>
                <w:p w14:paraId="03BD2F32">
                  <w:pPr>
                    <w:keepNext w:val="0"/>
                    <w:keepLines w:val="0"/>
                    <w:widowControl/>
                    <w:suppressLineNumbers w:val="0"/>
                    <w:spacing w:before="0" w:beforeAutospacing="0" w:after="0" w:afterAutospacing="0"/>
                    <w:ind w:left="0" w:right="0"/>
                    <w:jc w:val="center"/>
                    <w:rPr>
                      <w:rFonts w:hint="default" w:ascii="Times New Roman" w:hAnsi="Times New Roman" w:eastAsia="宋体"/>
                      <w:color w:val="auto"/>
                      <w:szCs w:val="21"/>
                      <w:highlight w:val="none"/>
                      <w:lang w:val="en-US" w:eastAsia="zh-CN"/>
                    </w:rPr>
                  </w:pPr>
                  <w:r>
                    <w:rPr>
                      <w:rFonts w:hint="eastAsia"/>
                      <w:color w:val="auto"/>
                      <w:szCs w:val="21"/>
                      <w:highlight w:val="none"/>
                      <w:lang w:val="en-US" w:eastAsia="zh-CN"/>
                    </w:rPr>
                    <w:t>吸塑、印刷</w:t>
                  </w:r>
                </w:p>
              </w:tc>
              <w:tc>
                <w:tcPr>
                  <w:tcW w:w="419" w:type="pct"/>
                  <w:tcBorders>
                    <w:tl2br w:val="nil"/>
                    <w:tr2bl w:val="nil"/>
                  </w:tcBorders>
                  <w:vAlign w:val="center"/>
                </w:tcPr>
                <w:p w14:paraId="0C2A6128">
                  <w:pPr>
                    <w:keepNext w:val="0"/>
                    <w:keepLines w:val="0"/>
                    <w:widowControl/>
                    <w:suppressLineNumbers w:val="0"/>
                    <w:spacing w:before="0" w:beforeAutospacing="0" w:after="0" w:afterAutospacing="0"/>
                    <w:ind w:left="0" w:right="0"/>
                    <w:jc w:val="center"/>
                    <w:rPr>
                      <w:rFonts w:hint="eastAsia" w:ascii="Times New Roman" w:hAnsi="Times New Roman" w:eastAsia="宋体"/>
                      <w:color w:val="auto"/>
                      <w:szCs w:val="21"/>
                      <w:highlight w:val="none"/>
                      <w:lang w:val="en-US" w:eastAsia="zh-CN"/>
                    </w:rPr>
                  </w:pPr>
                  <w:r>
                    <w:rPr>
                      <w:rFonts w:hint="eastAsia" w:cs="Times New Roman"/>
                      <w:color w:val="auto"/>
                      <w:highlight w:val="none"/>
                      <w:lang w:val="en-US" w:eastAsia="zh-CN"/>
                    </w:rPr>
                    <w:t>非甲烷总烃</w:t>
                  </w:r>
                </w:p>
              </w:tc>
              <w:tc>
                <w:tcPr>
                  <w:tcW w:w="278" w:type="pct"/>
                  <w:vMerge w:val="restart"/>
                  <w:tcBorders>
                    <w:tl2br w:val="nil"/>
                    <w:tr2bl w:val="nil"/>
                  </w:tcBorders>
                  <w:vAlign w:val="center"/>
                </w:tcPr>
                <w:p w14:paraId="69972047">
                  <w:pPr>
                    <w:keepNext w:val="0"/>
                    <w:keepLines w:val="0"/>
                    <w:widowControl/>
                    <w:suppressLineNumbers w:val="0"/>
                    <w:spacing w:before="0" w:beforeAutospacing="0" w:after="0" w:afterAutospacing="0"/>
                    <w:ind w:left="0" w:right="0"/>
                    <w:jc w:val="center"/>
                    <w:rPr>
                      <w:rFonts w:hint="default" w:ascii="Times New Roman" w:hAnsi="Times New Roman" w:eastAsia="宋体"/>
                      <w:color w:val="auto"/>
                      <w:szCs w:val="21"/>
                      <w:highlight w:val="none"/>
                      <w:lang w:val="en-US" w:eastAsia="zh-CN"/>
                    </w:rPr>
                  </w:pPr>
                  <w:r>
                    <w:rPr>
                      <w:rFonts w:hint="eastAsia"/>
                      <w:color w:val="auto"/>
                      <w:szCs w:val="21"/>
                      <w:highlight w:val="none"/>
                      <w:lang w:val="en-US" w:eastAsia="zh-CN"/>
                    </w:rPr>
                    <w:t>有组织</w:t>
                  </w:r>
                </w:p>
              </w:tc>
              <w:tc>
                <w:tcPr>
                  <w:tcW w:w="294" w:type="pct"/>
                  <w:tcBorders>
                    <w:tl2br w:val="nil"/>
                    <w:tr2bl w:val="nil"/>
                  </w:tcBorders>
                  <w:vAlign w:val="center"/>
                </w:tcPr>
                <w:p w14:paraId="61B03744">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olor w:val="auto"/>
                      <w:szCs w:val="21"/>
                      <w:highlight w:val="none"/>
                      <w:lang w:val="en-US" w:eastAsia="zh-CN"/>
                    </w:rPr>
                  </w:pPr>
                  <w:r>
                    <w:rPr>
                      <w:rFonts w:hint="eastAsia"/>
                      <w:color w:val="auto"/>
                      <w:szCs w:val="21"/>
                      <w:highlight w:val="none"/>
                      <w:lang w:val="en-US" w:eastAsia="zh-CN"/>
                    </w:rPr>
                    <w:t>0.14255</w:t>
                  </w:r>
                </w:p>
              </w:tc>
              <w:tc>
                <w:tcPr>
                  <w:tcW w:w="341" w:type="pct"/>
                  <w:tcBorders>
                    <w:tl2br w:val="nil"/>
                    <w:tr2bl w:val="nil"/>
                  </w:tcBorders>
                  <w:vAlign w:val="center"/>
                </w:tcPr>
                <w:p w14:paraId="2CF7C9F6">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olor w:val="auto"/>
                      <w:szCs w:val="21"/>
                      <w:highlight w:val="none"/>
                      <w:lang w:val="en-US" w:eastAsia="zh-CN"/>
                    </w:rPr>
                  </w:pPr>
                  <w:r>
                    <w:rPr>
                      <w:rFonts w:hint="eastAsia"/>
                      <w:color w:val="auto"/>
                      <w:szCs w:val="21"/>
                      <w:highlight w:val="none"/>
                      <w:lang w:val="en-US" w:eastAsia="zh-CN"/>
                    </w:rPr>
                    <w:t>0.0594</w:t>
                  </w:r>
                </w:p>
              </w:tc>
              <w:tc>
                <w:tcPr>
                  <w:tcW w:w="353" w:type="pct"/>
                  <w:tcBorders>
                    <w:tl2br w:val="nil"/>
                    <w:tr2bl w:val="nil"/>
                  </w:tcBorders>
                  <w:vAlign w:val="center"/>
                </w:tcPr>
                <w:p w14:paraId="10EAE804">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olor w:val="auto"/>
                      <w:szCs w:val="21"/>
                      <w:highlight w:val="none"/>
                      <w:lang w:val="en-US" w:eastAsia="zh-CN"/>
                    </w:rPr>
                  </w:pPr>
                  <w:r>
                    <w:rPr>
                      <w:rFonts w:hint="eastAsia"/>
                      <w:color w:val="auto"/>
                      <w:szCs w:val="21"/>
                      <w:highlight w:val="none"/>
                      <w:lang w:val="en-US" w:eastAsia="zh-CN"/>
                    </w:rPr>
                    <w:t>2.97</w:t>
                  </w:r>
                </w:p>
              </w:tc>
              <w:tc>
                <w:tcPr>
                  <w:tcW w:w="490" w:type="pct"/>
                  <w:vMerge w:val="restart"/>
                  <w:tcBorders>
                    <w:tl2br w:val="nil"/>
                    <w:tr2bl w:val="nil"/>
                  </w:tcBorders>
                  <w:vAlign w:val="center"/>
                </w:tcPr>
                <w:p w14:paraId="69DAD72C">
                  <w:pPr>
                    <w:keepNext w:val="0"/>
                    <w:keepLines w:val="0"/>
                    <w:widowControl/>
                    <w:suppressLineNumbers w:val="0"/>
                    <w:spacing w:before="0" w:beforeAutospacing="0" w:after="0" w:afterAutospacing="0"/>
                    <w:ind w:left="0" w:right="0"/>
                    <w:jc w:val="center"/>
                    <w:rPr>
                      <w:rFonts w:hint="default" w:ascii="Times New Roman" w:hAnsi="Times New Roman" w:eastAsia="宋体"/>
                      <w:color w:val="auto"/>
                      <w:szCs w:val="21"/>
                      <w:highlight w:val="none"/>
                    </w:rPr>
                  </w:pPr>
                  <w:r>
                    <w:rPr>
                      <w:rFonts w:hint="eastAsia" w:cs="Times New Roman"/>
                      <w:color w:val="auto"/>
                      <w:highlight w:val="none"/>
                      <w:lang w:val="en-US" w:eastAsia="zh-CN"/>
                    </w:rPr>
                    <w:t>20000</w:t>
                  </w:r>
                </w:p>
              </w:tc>
              <w:tc>
                <w:tcPr>
                  <w:tcW w:w="249" w:type="pct"/>
                  <w:tcBorders>
                    <w:tl2br w:val="nil"/>
                    <w:tr2bl w:val="nil"/>
                  </w:tcBorders>
                  <w:vAlign w:val="center"/>
                </w:tcPr>
                <w:p w14:paraId="4A4815E8">
                  <w:pPr>
                    <w:keepNext w:val="0"/>
                    <w:keepLines w:val="0"/>
                    <w:widowControl/>
                    <w:suppressLineNumbers w:val="0"/>
                    <w:spacing w:before="0" w:beforeAutospacing="0" w:after="0" w:afterAutospacing="0"/>
                    <w:ind w:left="0" w:right="0"/>
                    <w:jc w:val="center"/>
                    <w:rPr>
                      <w:rFonts w:hint="default" w:ascii="Times New Roman" w:hAnsi="Times New Roman" w:eastAsia="宋体"/>
                      <w:color w:val="auto"/>
                      <w:szCs w:val="21"/>
                      <w:highlight w:val="none"/>
                      <w:lang w:val="en-US" w:eastAsia="zh-CN"/>
                    </w:rPr>
                  </w:pPr>
                  <w:r>
                    <w:rPr>
                      <w:rFonts w:hint="eastAsia"/>
                      <w:color w:val="auto"/>
                      <w:szCs w:val="21"/>
                      <w:highlight w:val="none"/>
                      <w:lang w:val="en-US" w:eastAsia="zh-CN"/>
                    </w:rPr>
                    <w:t>50%</w:t>
                  </w:r>
                </w:p>
              </w:tc>
              <w:tc>
                <w:tcPr>
                  <w:tcW w:w="420" w:type="pct"/>
                  <w:tcBorders>
                    <w:tl2br w:val="nil"/>
                    <w:tr2bl w:val="nil"/>
                  </w:tcBorders>
                  <w:vAlign w:val="center"/>
                </w:tcPr>
                <w:p w14:paraId="1CD72C1D">
                  <w:pPr>
                    <w:keepNext w:val="0"/>
                    <w:keepLines w:val="0"/>
                    <w:widowControl/>
                    <w:suppressLineNumbers w:val="0"/>
                    <w:spacing w:before="0" w:beforeAutospacing="0" w:after="0" w:afterAutospacing="0"/>
                    <w:ind w:left="0" w:right="0"/>
                    <w:jc w:val="center"/>
                    <w:rPr>
                      <w:rFonts w:hint="default" w:ascii="Times New Roman" w:hAnsi="Times New Roman" w:eastAsia="宋体"/>
                      <w:color w:val="auto"/>
                      <w:szCs w:val="21"/>
                      <w:highlight w:val="none"/>
                      <w:lang w:val="en-US" w:eastAsia="zh-CN"/>
                    </w:rPr>
                  </w:pPr>
                  <w:r>
                    <w:rPr>
                      <w:rFonts w:hint="eastAsia" w:cs="Times New Roman"/>
                      <w:color w:val="auto"/>
                      <w:highlight w:val="none"/>
                      <w:lang w:val="en-US" w:eastAsia="zh-CN"/>
                    </w:rPr>
                    <w:t>空气冷却器+两级活性炭吸附</w:t>
                  </w:r>
                </w:p>
              </w:tc>
              <w:tc>
                <w:tcPr>
                  <w:tcW w:w="303" w:type="pct"/>
                  <w:tcBorders>
                    <w:tl2br w:val="nil"/>
                    <w:tr2bl w:val="nil"/>
                  </w:tcBorders>
                  <w:vAlign w:val="center"/>
                </w:tcPr>
                <w:p w14:paraId="315CA29B">
                  <w:pPr>
                    <w:keepNext w:val="0"/>
                    <w:keepLines w:val="0"/>
                    <w:widowControl/>
                    <w:suppressLineNumbers w:val="0"/>
                    <w:spacing w:before="0" w:beforeAutospacing="0" w:after="0" w:afterAutospacing="0"/>
                    <w:ind w:left="0" w:right="0"/>
                    <w:jc w:val="center"/>
                    <w:rPr>
                      <w:rFonts w:hint="default" w:ascii="Times New Roman" w:hAnsi="Times New Roman" w:eastAsia="宋体"/>
                      <w:color w:val="auto"/>
                      <w:szCs w:val="21"/>
                      <w:highlight w:val="none"/>
                      <w:lang w:val="en-US" w:eastAsia="zh-CN"/>
                    </w:rPr>
                  </w:pPr>
                  <w:r>
                    <w:rPr>
                      <w:rFonts w:hint="eastAsia"/>
                      <w:color w:val="auto"/>
                      <w:szCs w:val="21"/>
                      <w:highlight w:val="none"/>
                      <w:lang w:val="en-US" w:eastAsia="zh-CN"/>
                    </w:rPr>
                    <w:t>75%</w:t>
                  </w:r>
                </w:p>
              </w:tc>
              <w:tc>
                <w:tcPr>
                  <w:tcW w:w="269" w:type="pct"/>
                  <w:tcBorders>
                    <w:tl2br w:val="nil"/>
                    <w:tr2bl w:val="nil"/>
                  </w:tcBorders>
                  <w:vAlign w:val="center"/>
                </w:tcPr>
                <w:p w14:paraId="28535F69">
                  <w:pPr>
                    <w:keepNext w:val="0"/>
                    <w:keepLines w:val="0"/>
                    <w:widowControl/>
                    <w:suppressLineNumbers w:val="0"/>
                    <w:spacing w:before="0" w:beforeAutospacing="0" w:after="0" w:afterAutospacing="0"/>
                    <w:ind w:left="0" w:right="0"/>
                    <w:jc w:val="center"/>
                    <w:rPr>
                      <w:rFonts w:hint="eastAsia" w:ascii="Times New Roman" w:hAnsi="Times New Roman" w:eastAsia="宋体"/>
                      <w:color w:val="auto"/>
                      <w:szCs w:val="21"/>
                      <w:highlight w:val="none"/>
                      <w:lang w:eastAsia="zh-CN"/>
                    </w:rPr>
                  </w:pPr>
                  <w:r>
                    <w:rPr>
                      <w:rFonts w:hint="eastAsia" w:cs="Times New Roman"/>
                      <w:color w:val="auto"/>
                      <w:highlight w:val="none"/>
                      <w:lang w:val="en-US" w:eastAsia="zh-CN"/>
                    </w:rPr>
                    <w:t>是</w:t>
                  </w:r>
                </w:p>
              </w:tc>
              <w:tc>
                <w:tcPr>
                  <w:tcW w:w="295" w:type="pct"/>
                  <w:tcBorders>
                    <w:tl2br w:val="nil"/>
                    <w:tr2bl w:val="nil"/>
                  </w:tcBorders>
                  <w:vAlign w:val="center"/>
                </w:tcPr>
                <w:p w14:paraId="07870979">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olor w:val="auto"/>
                      <w:kern w:val="0"/>
                      <w:szCs w:val="21"/>
                      <w:highlight w:val="none"/>
                      <w:lang w:val="en-US" w:eastAsia="zh-CN"/>
                    </w:rPr>
                  </w:pPr>
                  <w:r>
                    <w:rPr>
                      <w:rFonts w:hint="eastAsia"/>
                      <w:color w:val="auto"/>
                      <w:kern w:val="0"/>
                      <w:szCs w:val="21"/>
                      <w:highlight w:val="none"/>
                      <w:lang w:val="en-US" w:eastAsia="zh-CN"/>
                    </w:rPr>
                    <w:t>0.0356</w:t>
                  </w:r>
                </w:p>
              </w:tc>
              <w:tc>
                <w:tcPr>
                  <w:tcW w:w="381" w:type="pct"/>
                  <w:tcBorders>
                    <w:tl2br w:val="nil"/>
                    <w:tr2bl w:val="nil"/>
                  </w:tcBorders>
                  <w:vAlign w:val="center"/>
                </w:tcPr>
                <w:p w14:paraId="774F4D72">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olor w:val="auto"/>
                      <w:szCs w:val="21"/>
                      <w:highlight w:val="none"/>
                      <w:lang w:val="en-US" w:eastAsia="zh-CN"/>
                    </w:rPr>
                  </w:pPr>
                  <w:r>
                    <w:rPr>
                      <w:rFonts w:hint="eastAsia"/>
                      <w:color w:val="auto"/>
                      <w:szCs w:val="21"/>
                      <w:highlight w:val="none"/>
                      <w:lang w:val="en-US" w:eastAsia="zh-CN"/>
                    </w:rPr>
                    <w:t>0.0148</w:t>
                  </w:r>
                </w:p>
              </w:tc>
              <w:tc>
                <w:tcPr>
                  <w:tcW w:w="354" w:type="pct"/>
                  <w:tcBorders>
                    <w:tl2br w:val="nil"/>
                    <w:tr2bl w:val="nil"/>
                  </w:tcBorders>
                  <w:vAlign w:val="center"/>
                </w:tcPr>
                <w:p w14:paraId="2B4BF33E">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olor w:val="auto"/>
                      <w:szCs w:val="21"/>
                      <w:highlight w:val="none"/>
                      <w:lang w:val="en-US" w:eastAsia="zh-CN"/>
                    </w:rPr>
                  </w:pPr>
                  <w:r>
                    <w:rPr>
                      <w:rFonts w:hint="eastAsia"/>
                      <w:color w:val="auto"/>
                      <w:szCs w:val="21"/>
                      <w:highlight w:val="none"/>
                      <w:lang w:val="en-US" w:eastAsia="zh-CN"/>
                    </w:rPr>
                    <w:t>0.74</w:t>
                  </w:r>
                </w:p>
              </w:tc>
              <w:tc>
                <w:tcPr>
                  <w:tcW w:w="309" w:type="pct"/>
                  <w:vMerge w:val="restart"/>
                  <w:tcBorders>
                    <w:tl2br w:val="nil"/>
                    <w:tr2bl w:val="nil"/>
                  </w:tcBorders>
                  <w:vAlign w:val="center"/>
                </w:tcPr>
                <w:p w14:paraId="52E0822B">
                  <w:pPr>
                    <w:keepNext w:val="0"/>
                    <w:keepLines w:val="0"/>
                    <w:widowControl/>
                    <w:suppressLineNumbers w:val="0"/>
                    <w:spacing w:before="0" w:beforeAutospacing="0" w:after="0" w:afterAutospacing="0"/>
                    <w:ind w:left="0" w:right="0"/>
                    <w:jc w:val="center"/>
                    <w:rPr>
                      <w:rFonts w:hint="default" w:ascii="Times New Roman" w:hAnsi="Times New Roman" w:eastAsia="宋体"/>
                      <w:color w:val="auto"/>
                      <w:szCs w:val="21"/>
                      <w:highlight w:val="none"/>
                      <w:lang w:val="en-US" w:eastAsia="zh-CN"/>
                    </w:rPr>
                  </w:pPr>
                  <w:r>
                    <w:rPr>
                      <w:rFonts w:hint="eastAsia"/>
                      <w:color w:val="auto"/>
                      <w:szCs w:val="21"/>
                      <w:highlight w:val="none"/>
                      <w:lang w:val="en-US" w:eastAsia="zh-CN"/>
                    </w:rPr>
                    <w:t>DA001</w:t>
                  </w:r>
                </w:p>
              </w:tc>
            </w:tr>
            <w:tr w14:paraId="5C74815E">
              <w:tblPrEx>
                <w:tblBorders>
                  <w:top w:val="single" w:color="auto" w:sz="12" w:space="0"/>
                  <w:left w:val="single" w:color="auto" w:sz="6" w:space="0"/>
                  <w:bottom w:val="single" w:color="auto" w:sz="12"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239" w:type="pct"/>
                  <w:vMerge w:val="continue"/>
                  <w:tcBorders>
                    <w:tl2br w:val="nil"/>
                    <w:tr2bl w:val="nil"/>
                  </w:tcBorders>
                  <w:vAlign w:val="center"/>
                </w:tcPr>
                <w:p w14:paraId="7412A244">
                  <w:pPr>
                    <w:keepNext w:val="0"/>
                    <w:keepLines w:val="0"/>
                    <w:widowControl/>
                    <w:suppressLineNumbers w:val="0"/>
                    <w:spacing w:before="0" w:beforeAutospacing="0" w:after="0" w:afterAutospacing="0"/>
                    <w:ind w:left="0" w:right="0"/>
                    <w:jc w:val="center"/>
                    <w:rPr>
                      <w:rFonts w:hint="eastAsia"/>
                      <w:color w:val="auto"/>
                      <w:szCs w:val="21"/>
                      <w:highlight w:val="none"/>
                      <w:lang w:val="en-US" w:eastAsia="zh-CN"/>
                    </w:rPr>
                  </w:pPr>
                </w:p>
              </w:tc>
              <w:tc>
                <w:tcPr>
                  <w:tcW w:w="419" w:type="pct"/>
                  <w:tcBorders>
                    <w:tl2br w:val="nil"/>
                    <w:tr2bl w:val="nil"/>
                  </w:tcBorders>
                  <w:vAlign w:val="center"/>
                </w:tcPr>
                <w:p w14:paraId="5BC00668">
                  <w:pPr>
                    <w:keepNext w:val="0"/>
                    <w:keepLines w:val="0"/>
                    <w:widowControl/>
                    <w:suppressLineNumbers w:val="0"/>
                    <w:spacing w:before="0" w:beforeAutospacing="0" w:after="0" w:afterAutospacing="0"/>
                    <w:ind w:left="0" w:right="0"/>
                    <w:jc w:val="center"/>
                    <w:rPr>
                      <w:rFonts w:hint="eastAsia"/>
                      <w:color w:val="auto"/>
                      <w:szCs w:val="21"/>
                      <w:highlight w:val="none"/>
                      <w:lang w:val="en-US" w:eastAsia="zh-CN"/>
                    </w:rPr>
                  </w:pPr>
                  <w:r>
                    <w:rPr>
                      <w:rFonts w:hint="eastAsia" w:cs="Times New Roman"/>
                      <w:color w:val="auto"/>
                      <w:highlight w:val="none"/>
                      <w:lang w:val="en-US" w:eastAsia="zh-CN"/>
                    </w:rPr>
                    <w:t>臭气浓度</w:t>
                  </w:r>
                </w:p>
              </w:tc>
              <w:tc>
                <w:tcPr>
                  <w:tcW w:w="278" w:type="pct"/>
                  <w:vMerge w:val="continue"/>
                  <w:tcBorders>
                    <w:tl2br w:val="nil"/>
                    <w:tr2bl w:val="nil"/>
                  </w:tcBorders>
                  <w:vAlign w:val="center"/>
                </w:tcPr>
                <w:p w14:paraId="03E916AC">
                  <w:pPr>
                    <w:keepNext w:val="0"/>
                    <w:keepLines w:val="0"/>
                    <w:widowControl/>
                    <w:suppressLineNumbers w:val="0"/>
                    <w:spacing w:before="0" w:beforeAutospacing="0" w:after="0" w:afterAutospacing="0"/>
                    <w:ind w:left="0" w:right="0"/>
                    <w:jc w:val="center"/>
                    <w:rPr>
                      <w:rFonts w:hint="eastAsia"/>
                      <w:color w:val="auto"/>
                      <w:szCs w:val="21"/>
                      <w:highlight w:val="none"/>
                      <w:lang w:val="en-US" w:eastAsia="zh-CN"/>
                    </w:rPr>
                  </w:pPr>
                </w:p>
              </w:tc>
              <w:tc>
                <w:tcPr>
                  <w:tcW w:w="294" w:type="pct"/>
                  <w:tcBorders>
                    <w:tl2br w:val="nil"/>
                    <w:tr2bl w:val="nil"/>
                  </w:tcBorders>
                  <w:vAlign w:val="center"/>
                </w:tcPr>
                <w:p w14:paraId="7C89F36C">
                  <w:pPr>
                    <w:keepNext w:val="0"/>
                    <w:keepLines w:val="0"/>
                    <w:widowControl/>
                    <w:suppressLineNumbers w:val="0"/>
                    <w:spacing w:before="0" w:beforeAutospacing="0" w:after="0" w:afterAutospacing="0"/>
                    <w:ind w:left="0" w:right="0"/>
                    <w:jc w:val="center"/>
                    <w:rPr>
                      <w:rFonts w:hint="eastAsia"/>
                      <w:color w:val="auto"/>
                      <w:szCs w:val="21"/>
                      <w:highlight w:val="none"/>
                      <w:lang w:val="en-US" w:eastAsia="zh-CN"/>
                    </w:rPr>
                  </w:pPr>
                  <w:r>
                    <w:rPr>
                      <w:rFonts w:hint="eastAsia" w:cs="Times New Roman"/>
                      <w:color w:val="auto"/>
                      <w:highlight w:val="none"/>
                      <w:lang w:val="en-US" w:eastAsia="zh-CN"/>
                    </w:rPr>
                    <w:t>少量</w:t>
                  </w:r>
                </w:p>
              </w:tc>
              <w:tc>
                <w:tcPr>
                  <w:tcW w:w="341" w:type="pct"/>
                  <w:tcBorders>
                    <w:tl2br w:val="nil"/>
                    <w:tr2bl w:val="nil"/>
                  </w:tcBorders>
                  <w:vAlign w:val="center"/>
                </w:tcPr>
                <w:p w14:paraId="22479258">
                  <w:pPr>
                    <w:keepNext w:val="0"/>
                    <w:keepLines w:val="0"/>
                    <w:widowControl/>
                    <w:suppressLineNumbers w:val="0"/>
                    <w:spacing w:before="0" w:beforeAutospacing="0" w:after="0" w:afterAutospacing="0"/>
                    <w:ind w:left="0" w:right="0"/>
                    <w:jc w:val="center"/>
                    <w:rPr>
                      <w:rFonts w:hint="eastAsia"/>
                      <w:color w:val="auto"/>
                      <w:szCs w:val="21"/>
                      <w:highlight w:val="none"/>
                      <w:lang w:val="en-US" w:eastAsia="zh-CN"/>
                    </w:rPr>
                  </w:pPr>
                  <w:r>
                    <w:rPr>
                      <w:rFonts w:hint="eastAsia" w:cs="Times New Roman"/>
                      <w:color w:val="auto"/>
                      <w:highlight w:val="none"/>
                      <w:lang w:val="en-US" w:eastAsia="zh-CN"/>
                    </w:rPr>
                    <w:t>/</w:t>
                  </w:r>
                </w:p>
              </w:tc>
              <w:tc>
                <w:tcPr>
                  <w:tcW w:w="353" w:type="pct"/>
                  <w:tcBorders>
                    <w:tl2br w:val="nil"/>
                    <w:tr2bl w:val="nil"/>
                  </w:tcBorders>
                  <w:vAlign w:val="center"/>
                </w:tcPr>
                <w:p w14:paraId="5D907728">
                  <w:pPr>
                    <w:keepNext w:val="0"/>
                    <w:keepLines w:val="0"/>
                    <w:widowControl/>
                    <w:suppressLineNumbers w:val="0"/>
                    <w:spacing w:before="0" w:beforeAutospacing="0" w:after="0" w:afterAutospacing="0"/>
                    <w:ind w:left="0" w:right="0"/>
                    <w:jc w:val="center"/>
                    <w:rPr>
                      <w:rFonts w:hint="eastAsia"/>
                      <w:color w:val="auto"/>
                      <w:szCs w:val="21"/>
                      <w:highlight w:val="none"/>
                      <w:lang w:val="en-US" w:eastAsia="zh-CN"/>
                    </w:rPr>
                  </w:pPr>
                  <w:r>
                    <w:rPr>
                      <w:rFonts w:hint="eastAsia" w:cs="Times New Roman"/>
                      <w:color w:val="auto"/>
                      <w:highlight w:val="none"/>
                      <w:lang w:val="en-US" w:eastAsia="zh-CN"/>
                    </w:rPr>
                    <w:t>/</w:t>
                  </w:r>
                </w:p>
              </w:tc>
              <w:tc>
                <w:tcPr>
                  <w:tcW w:w="490" w:type="pct"/>
                  <w:vMerge w:val="continue"/>
                  <w:tcBorders>
                    <w:tl2br w:val="nil"/>
                    <w:tr2bl w:val="nil"/>
                  </w:tcBorders>
                  <w:vAlign w:val="center"/>
                </w:tcPr>
                <w:p w14:paraId="77EEE42B">
                  <w:pPr>
                    <w:keepNext w:val="0"/>
                    <w:keepLines w:val="0"/>
                    <w:widowControl/>
                    <w:suppressLineNumbers w:val="0"/>
                    <w:spacing w:before="0" w:beforeAutospacing="0" w:after="0" w:afterAutospacing="0"/>
                    <w:ind w:left="0" w:right="0"/>
                    <w:jc w:val="center"/>
                    <w:rPr>
                      <w:rFonts w:hint="eastAsia"/>
                      <w:color w:val="auto"/>
                      <w:szCs w:val="21"/>
                      <w:highlight w:val="none"/>
                      <w:lang w:val="en-US" w:eastAsia="zh-CN"/>
                    </w:rPr>
                  </w:pPr>
                </w:p>
              </w:tc>
              <w:tc>
                <w:tcPr>
                  <w:tcW w:w="249" w:type="pct"/>
                  <w:tcBorders>
                    <w:tl2br w:val="nil"/>
                    <w:tr2bl w:val="nil"/>
                  </w:tcBorders>
                  <w:vAlign w:val="center"/>
                </w:tcPr>
                <w:p w14:paraId="4E8981E9">
                  <w:pPr>
                    <w:keepNext w:val="0"/>
                    <w:keepLines w:val="0"/>
                    <w:widowControl/>
                    <w:suppressLineNumbers w:val="0"/>
                    <w:spacing w:before="0" w:beforeAutospacing="0" w:after="0" w:afterAutospacing="0"/>
                    <w:ind w:left="0" w:right="0"/>
                    <w:jc w:val="center"/>
                    <w:rPr>
                      <w:rFonts w:hint="eastAsia"/>
                      <w:color w:val="auto"/>
                      <w:szCs w:val="21"/>
                      <w:highlight w:val="none"/>
                      <w:lang w:val="en-US" w:eastAsia="zh-CN"/>
                    </w:rPr>
                  </w:pPr>
                  <w:r>
                    <w:rPr>
                      <w:rFonts w:hint="eastAsia" w:cs="Times New Roman"/>
                      <w:color w:val="auto"/>
                      <w:highlight w:val="none"/>
                      <w:lang w:val="en-US" w:eastAsia="zh-CN"/>
                    </w:rPr>
                    <w:t>/</w:t>
                  </w:r>
                </w:p>
              </w:tc>
              <w:tc>
                <w:tcPr>
                  <w:tcW w:w="420" w:type="pct"/>
                  <w:tcBorders>
                    <w:tl2br w:val="nil"/>
                    <w:tr2bl w:val="nil"/>
                  </w:tcBorders>
                  <w:vAlign w:val="center"/>
                </w:tcPr>
                <w:p w14:paraId="5BCC4577">
                  <w:pPr>
                    <w:keepNext w:val="0"/>
                    <w:keepLines w:val="0"/>
                    <w:widowControl/>
                    <w:suppressLineNumbers w:val="0"/>
                    <w:spacing w:before="0" w:beforeAutospacing="0" w:after="0" w:afterAutospacing="0"/>
                    <w:ind w:left="0" w:right="0"/>
                    <w:jc w:val="center"/>
                    <w:rPr>
                      <w:rFonts w:hint="eastAsia"/>
                      <w:color w:val="auto"/>
                      <w:szCs w:val="21"/>
                      <w:highlight w:val="none"/>
                      <w:lang w:val="en-US" w:eastAsia="zh-CN"/>
                    </w:rPr>
                  </w:pPr>
                  <w:r>
                    <w:rPr>
                      <w:rFonts w:hint="eastAsia" w:cs="Times New Roman"/>
                      <w:color w:val="auto"/>
                      <w:highlight w:val="none"/>
                      <w:lang w:val="en-US" w:eastAsia="zh-CN"/>
                    </w:rPr>
                    <w:t>/</w:t>
                  </w:r>
                </w:p>
              </w:tc>
              <w:tc>
                <w:tcPr>
                  <w:tcW w:w="303" w:type="pct"/>
                  <w:tcBorders>
                    <w:tl2br w:val="nil"/>
                    <w:tr2bl w:val="nil"/>
                  </w:tcBorders>
                  <w:vAlign w:val="center"/>
                </w:tcPr>
                <w:p w14:paraId="46A73471">
                  <w:pPr>
                    <w:keepNext w:val="0"/>
                    <w:keepLines w:val="0"/>
                    <w:widowControl/>
                    <w:suppressLineNumbers w:val="0"/>
                    <w:spacing w:before="0" w:beforeAutospacing="0" w:after="0" w:afterAutospacing="0"/>
                    <w:ind w:left="0" w:right="0"/>
                    <w:jc w:val="center"/>
                    <w:rPr>
                      <w:rFonts w:hint="eastAsia"/>
                      <w:color w:val="auto"/>
                      <w:szCs w:val="21"/>
                      <w:highlight w:val="none"/>
                      <w:lang w:val="en-US" w:eastAsia="zh-CN"/>
                    </w:rPr>
                  </w:pPr>
                  <w:r>
                    <w:rPr>
                      <w:rFonts w:hint="eastAsia" w:cs="Times New Roman"/>
                      <w:color w:val="auto"/>
                      <w:highlight w:val="none"/>
                      <w:lang w:val="en-US" w:eastAsia="zh-CN"/>
                    </w:rPr>
                    <w:t>/</w:t>
                  </w:r>
                </w:p>
              </w:tc>
              <w:tc>
                <w:tcPr>
                  <w:tcW w:w="269" w:type="pct"/>
                  <w:tcBorders>
                    <w:tl2br w:val="nil"/>
                    <w:tr2bl w:val="nil"/>
                  </w:tcBorders>
                  <w:vAlign w:val="center"/>
                </w:tcPr>
                <w:p w14:paraId="4B4239C6">
                  <w:pPr>
                    <w:keepNext w:val="0"/>
                    <w:keepLines w:val="0"/>
                    <w:widowControl/>
                    <w:suppressLineNumbers w:val="0"/>
                    <w:spacing w:before="0" w:beforeAutospacing="0" w:after="0" w:afterAutospacing="0"/>
                    <w:ind w:left="0" w:right="0"/>
                    <w:jc w:val="center"/>
                    <w:rPr>
                      <w:rFonts w:hint="eastAsia"/>
                      <w:color w:val="auto"/>
                      <w:szCs w:val="21"/>
                      <w:highlight w:val="none"/>
                      <w:lang w:val="en-US" w:eastAsia="zh-CN"/>
                    </w:rPr>
                  </w:pPr>
                  <w:r>
                    <w:rPr>
                      <w:rFonts w:hint="eastAsia" w:cs="Times New Roman"/>
                      <w:color w:val="auto"/>
                      <w:highlight w:val="none"/>
                      <w:lang w:val="en-US" w:eastAsia="zh-CN"/>
                    </w:rPr>
                    <w:t>/</w:t>
                  </w:r>
                </w:p>
              </w:tc>
              <w:tc>
                <w:tcPr>
                  <w:tcW w:w="295" w:type="pct"/>
                  <w:tcBorders>
                    <w:tl2br w:val="nil"/>
                    <w:tr2bl w:val="nil"/>
                  </w:tcBorders>
                  <w:vAlign w:val="center"/>
                </w:tcPr>
                <w:p w14:paraId="0FA8E6A1">
                  <w:pPr>
                    <w:keepNext w:val="0"/>
                    <w:keepLines w:val="0"/>
                    <w:widowControl/>
                    <w:suppressLineNumbers w:val="0"/>
                    <w:spacing w:before="0" w:beforeAutospacing="0" w:after="0" w:afterAutospacing="0"/>
                    <w:ind w:left="0" w:right="0"/>
                    <w:jc w:val="center"/>
                    <w:rPr>
                      <w:rFonts w:hint="eastAsia"/>
                      <w:color w:val="auto"/>
                      <w:szCs w:val="21"/>
                      <w:highlight w:val="none"/>
                      <w:lang w:val="en-US" w:eastAsia="zh-CN"/>
                    </w:rPr>
                  </w:pPr>
                  <w:r>
                    <w:rPr>
                      <w:rFonts w:hint="eastAsia" w:cs="Times New Roman"/>
                      <w:color w:val="auto"/>
                      <w:highlight w:val="none"/>
                      <w:lang w:val="en-US" w:eastAsia="zh-CN"/>
                    </w:rPr>
                    <w:t>少量</w:t>
                  </w:r>
                </w:p>
              </w:tc>
              <w:tc>
                <w:tcPr>
                  <w:tcW w:w="381" w:type="pct"/>
                  <w:tcBorders>
                    <w:tl2br w:val="nil"/>
                    <w:tr2bl w:val="nil"/>
                  </w:tcBorders>
                  <w:vAlign w:val="center"/>
                </w:tcPr>
                <w:p w14:paraId="59B48CE0">
                  <w:pPr>
                    <w:keepNext w:val="0"/>
                    <w:keepLines w:val="0"/>
                    <w:widowControl/>
                    <w:suppressLineNumbers w:val="0"/>
                    <w:spacing w:before="0" w:beforeAutospacing="0" w:after="0" w:afterAutospacing="0"/>
                    <w:ind w:left="0" w:right="0"/>
                    <w:jc w:val="center"/>
                    <w:rPr>
                      <w:rFonts w:hint="eastAsia"/>
                      <w:color w:val="auto"/>
                      <w:szCs w:val="21"/>
                      <w:highlight w:val="none"/>
                      <w:lang w:val="en-US" w:eastAsia="zh-CN"/>
                    </w:rPr>
                  </w:pPr>
                  <w:r>
                    <w:rPr>
                      <w:rFonts w:hint="eastAsia" w:cs="Times New Roman"/>
                      <w:color w:val="auto"/>
                      <w:highlight w:val="none"/>
                      <w:lang w:val="en-US" w:eastAsia="zh-CN"/>
                    </w:rPr>
                    <w:t>/</w:t>
                  </w:r>
                </w:p>
              </w:tc>
              <w:tc>
                <w:tcPr>
                  <w:tcW w:w="354" w:type="pct"/>
                  <w:tcBorders>
                    <w:tl2br w:val="nil"/>
                    <w:tr2bl w:val="nil"/>
                  </w:tcBorders>
                  <w:vAlign w:val="center"/>
                </w:tcPr>
                <w:p w14:paraId="609CA4D6">
                  <w:pPr>
                    <w:keepNext w:val="0"/>
                    <w:keepLines w:val="0"/>
                    <w:widowControl/>
                    <w:suppressLineNumbers w:val="0"/>
                    <w:spacing w:before="0" w:beforeAutospacing="0" w:after="0" w:afterAutospacing="0"/>
                    <w:ind w:left="0" w:right="0"/>
                    <w:jc w:val="center"/>
                    <w:rPr>
                      <w:rFonts w:hint="eastAsia"/>
                      <w:color w:val="auto"/>
                      <w:szCs w:val="21"/>
                      <w:highlight w:val="none"/>
                      <w:lang w:val="en-US" w:eastAsia="zh-CN"/>
                    </w:rPr>
                  </w:pPr>
                  <w:r>
                    <w:rPr>
                      <w:rFonts w:hint="eastAsia" w:cs="Times New Roman"/>
                      <w:color w:val="auto"/>
                      <w:highlight w:val="none"/>
                      <w:lang w:val="en-US" w:eastAsia="zh-CN"/>
                    </w:rPr>
                    <w:t>/</w:t>
                  </w:r>
                </w:p>
              </w:tc>
              <w:tc>
                <w:tcPr>
                  <w:tcW w:w="309" w:type="pct"/>
                  <w:vMerge w:val="continue"/>
                  <w:tcBorders>
                    <w:tl2br w:val="nil"/>
                    <w:tr2bl w:val="nil"/>
                  </w:tcBorders>
                  <w:vAlign w:val="center"/>
                </w:tcPr>
                <w:p w14:paraId="7C27B443">
                  <w:pPr>
                    <w:keepNext w:val="0"/>
                    <w:keepLines w:val="0"/>
                    <w:widowControl/>
                    <w:suppressLineNumbers w:val="0"/>
                    <w:spacing w:before="0" w:beforeAutospacing="0" w:after="0" w:afterAutospacing="0"/>
                    <w:ind w:left="0" w:right="0"/>
                    <w:jc w:val="center"/>
                    <w:rPr>
                      <w:rFonts w:hint="eastAsia"/>
                      <w:color w:val="auto"/>
                      <w:szCs w:val="21"/>
                      <w:highlight w:val="none"/>
                      <w:lang w:val="en-US" w:eastAsia="zh-CN"/>
                    </w:rPr>
                  </w:pPr>
                </w:p>
              </w:tc>
            </w:tr>
            <w:tr w14:paraId="06C89131">
              <w:tblPrEx>
                <w:tblBorders>
                  <w:top w:val="single" w:color="auto" w:sz="12" w:space="0"/>
                  <w:left w:val="single" w:color="auto" w:sz="6" w:space="0"/>
                  <w:bottom w:val="single" w:color="auto" w:sz="12"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239" w:type="pct"/>
                  <w:vMerge w:val="continue"/>
                  <w:tcBorders>
                    <w:tl2br w:val="nil"/>
                    <w:tr2bl w:val="nil"/>
                  </w:tcBorders>
                  <w:vAlign w:val="center"/>
                </w:tcPr>
                <w:p w14:paraId="0D4F3876">
                  <w:pPr>
                    <w:keepNext w:val="0"/>
                    <w:keepLines w:val="0"/>
                    <w:widowControl/>
                    <w:suppressLineNumbers w:val="0"/>
                    <w:spacing w:before="0" w:beforeAutospacing="0" w:after="0" w:afterAutospacing="0"/>
                    <w:ind w:left="0" w:right="0"/>
                    <w:jc w:val="center"/>
                    <w:rPr>
                      <w:rFonts w:hint="eastAsia"/>
                      <w:color w:val="auto"/>
                      <w:szCs w:val="21"/>
                      <w:highlight w:val="none"/>
                      <w:lang w:val="en-US" w:eastAsia="zh-CN"/>
                    </w:rPr>
                  </w:pPr>
                </w:p>
              </w:tc>
              <w:tc>
                <w:tcPr>
                  <w:tcW w:w="419" w:type="pct"/>
                  <w:tcBorders>
                    <w:tl2br w:val="nil"/>
                    <w:tr2bl w:val="nil"/>
                  </w:tcBorders>
                  <w:vAlign w:val="center"/>
                </w:tcPr>
                <w:p w14:paraId="7729D22E">
                  <w:pPr>
                    <w:keepNext w:val="0"/>
                    <w:keepLines w:val="0"/>
                    <w:widowControl/>
                    <w:suppressLineNumbers w:val="0"/>
                    <w:spacing w:before="0" w:beforeAutospacing="0" w:after="0" w:afterAutospacing="0"/>
                    <w:ind w:left="0" w:right="0"/>
                    <w:jc w:val="center"/>
                    <w:rPr>
                      <w:rFonts w:hint="eastAsia" w:cs="Times New Roman"/>
                      <w:color w:val="auto"/>
                      <w:highlight w:val="none"/>
                      <w:lang w:val="en-US" w:eastAsia="zh-CN"/>
                    </w:rPr>
                  </w:pPr>
                  <w:r>
                    <w:rPr>
                      <w:rFonts w:hint="eastAsia" w:cs="Times New Roman"/>
                      <w:color w:val="auto"/>
                      <w:highlight w:val="none"/>
                      <w:lang w:val="en-US" w:eastAsia="zh-CN"/>
                    </w:rPr>
                    <w:t>非甲烷总烃</w:t>
                  </w:r>
                </w:p>
              </w:tc>
              <w:tc>
                <w:tcPr>
                  <w:tcW w:w="278" w:type="pct"/>
                  <w:vMerge w:val="restart"/>
                  <w:tcBorders>
                    <w:tl2br w:val="nil"/>
                    <w:tr2bl w:val="nil"/>
                  </w:tcBorders>
                  <w:vAlign w:val="center"/>
                </w:tcPr>
                <w:p w14:paraId="3F655209">
                  <w:pPr>
                    <w:keepNext w:val="0"/>
                    <w:keepLines w:val="0"/>
                    <w:widowControl/>
                    <w:suppressLineNumbers w:val="0"/>
                    <w:spacing w:before="0" w:beforeAutospacing="0" w:after="0" w:afterAutospacing="0"/>
                    <w:ind w:left="0" w:right="0"/>
                    <w:jc w:val="center"/>
                    <w:rPr>
                      <w:rFonts w:hint="default" w:cs="Times New Roman"/>
                      <w:color w:val="auto"/>
                      <w:highlight w:val="none"/>
                      <w:lang w:val="en-US" w:eastAsia="zh-CN"/>
                    </w:rPr>
                  </w:pPr>
                  <w:r>
                    <w:rPr>
                      <w:rFonts w:hint="eastAsia" w:cs="Times New Roman"/>
                      <w:color w:val="auto"/>
                      <w:highlight w:val="none"/>
                      <w:lang w:val="en-US" w:eastAsia="zh-CN"/>
                    </w:rPr>
                    <w:t>无组织</w:t>
                  </w:r>
                </w:p>
              </w:tc>
              <w:tc>
                <w:tcPr>
                  <w:tcW w:w="294" w:type="pct"/>
                  <w:tcBorders>
                    <w:tl2br w:val="nil"/>
                    <w:tr2bl w:val="nil"/>
                  </w:tcBorders>
                  <w:vAlign w:val="center"/>
                </w:tcPr>
                <w:p w14:paraId="52893404">
                  <w:pPr>
                    <w:keepNext w:val="0"/>
                    <w:keepLines w:val="0"/>
                    <w:widowControl/>
                    <w:suppressLineNumbers w:val="0"/>
                    <w:spacing w:before="0" w:beforeAutospacing="0" w:after="0" w:afterAutospacing="0"/>
                    <w:ind w:left="0" w:leftChars="0" w:right="0" w:rightChars="0"/>
                    <w:jc w:val="center"/>
                    <w:rPr>
                      <w:rFonts w:hint="default" w:cs="Times New Roman"/>
                      <w:color w:val="auto"/>
                      <w:highlight w:val="none"/>
                      <w:lang w:val="en-US" w:eastAsia="zh-CN"/>
                    </w:rPr>
                  </w:pPr>
                  <w:r>
                    <w:rPr>
                      <w:rFonts w:hint="eastAsia" w:cs="Times New Roman"/>
                      <w:color w:val="auto"/>
                      <w:highlight w:val="none"/>
                      <w:lang w:val="en-US" w:eastAsia="zh-CN"/>
                    </w:rPr>
                    <w:t>0.0998</w:t>
                  </w:r>
                </w:p>
              </w:tc>
              <w:tc>
                <w:tcPr>
                  <w:tcW w:w="341" w:type="pct"/>
                  <w:tcBorders>
                    <w:tl2br w:val="nil"/>
                    <w:tr2bl w:val="nil"/>
                  </w:tcBorders>
                  <w:vAlign w:val="center"/>
                </w:tcPr>
                <w:p w14:paraId="71517D3C">
                  <w:pPr>
                    <w:keepNext w:val="0"/>
                    <w:keepLines w:val="0"/>
                    <w:widowControl/>
                    <w:suppressLineNumbers w:val="0"/>
                    <w:spacing w:before="0" w:beforeAutospacing="0" w:after="0" w:afterAutospacing="0"/>
                    <w:ind w:left="0" w:leftChars="0" w:right="0" w:rightChars="0"/>
                    <w:jc w:val="center"/>
                    <w:rPr>
                      <w:rFonts w:hint="default" w:cs="Times New Roman"/>
                      <w:color w:val="auto"/>
                      <w:highlight w:val="none"/>
                      <w:lang w:val="en-US" w:eastAsia="zh-CN"/>
                    </w:rPr>
                  </w:pPr>
                  <w:r>
                    <w:rPr>
                      <w:rFonts w:hint="eastAsia" w:cs="Times New Roman"/>
                      <w:color w:val="auto"/>
                      <w:highlight w:val="none"/>
                      <w:lang w:val="en-US" w:eastAsia="zh-CN"/>
                    </w:rPr>
                    <w:t>0.0416</w:t>
                  </w:r>
                </w:p>
              </w:tc>
              <w:tc>
                <w:tcPr>
                  <w:tcW w:w="353" w:type="pct"/>
                  <w:tcBorders>
                    <w:tl2br w:val="nil"/>
                    <w:tr2bl w:val="nil"/>
                  </w:tcBorders>
                  <w:vAlign w:val="center"/>
                </w:tcPr>
                <w:p w14:paraId="1E040A57">
                  <w:pPr>
                    <w:keepNext w:val="0"/>
                    <w:keepLines w:val="0"/>
                    <w:widowControl/>
                    <w:suppressLineNumbers w:val="0"/>
                    <w:spacing w:before="0" w:beforeAutospacing="0" w:after="0" w:afterAutospacing="0"/>
                    <w:ind w:left="0" w:right="0"/>
                    <w:jc w:val="center"/>
                    <w:rPr>
                      <w:rFonts w:hint="eastAsia" w:cs="Times New Roman"/>
                      <w:color w:val="auto"/>
                      <w:highlight w:val="none"/>
                      <w:lang w:val="en-US" w:eastAsia="zh-CN"/>
                    </w:rPr>
                  </w:pPr>
                  <w:r>
                    <w:rPr>
                      <w:rFonts w:hint="eastAsia" w:cs="Times New Roman"/>
                      <w:color w:val="auto"/>
                      <w:highlight w:val="none"/>
                      <w:lang w:val="en-US" w:eastAsia="zh-CN"/>
                    </w:rPr>
                    <w:t>/</w:t>
                  </w:r>
                </w:p>
              </w:tc>
              <w:tc>
                <w:tcPr>
                  <w:tcW w:w="490" w:type="pct"/>
                  <w:vMerge w:val="restart"/>
                  <w:tcBorders>
                    <w:tl2br w:val="nil"/>
                    <w:tr2bl w:val="nil"/>
                  </w:tcBorders>
                  <w:vAlign w:val="center"/>
                </w:tcPr>
                <w:p w14:paraId="322B965E">
                  <w:pPr>
                    <w:keepNext w:val="0"/>
                    <w:keepLines w:val="0"/>
                    <w:widowControl/>
                    <w:suppressLineNumbers w:val="0"/>
                    <w:spacing w:before="0" w:beforeAutospacing="0" w:after="0" w:afterAutospacing="0"/>
                    <w:ind w:left="0" w:right="0"/>
                    <w:jc w:val="center"/>
                    <w:rPr>
                      <w:rFonts w:hint="eastAsia"/>
                      <w:color w:val="auto"/>
                      <w:szCs w:val="21"/>
                      <w:highlight w:val="none"/>
                      <w:lang w:val="en-US" w:eastAsia="zh-CN"/>
                    </w:rPr>
                  </w:pPr>
                  <w:r>
                    <w:rPr>
                      <w:rFonts w:hint="eastAsia" w:cs="Times New Roman"/>
                      <w:color w:val="auto"/>
                      <w:highlight w:val="none"/>
                      <w:lang w:val="en-US" w:eastAsia="zh-CN"/>
                    </w:rPr>
                    <w:t>加强车间密闭</w:t>
                  </w:r>
                </w:p>
              </w:tc>
              <w:tc>
                <w:tcPr>
                  <w:tcW w:w="249" w:type="pct"/>
                  <w:tcBorders>
                    <w:tl2br w:val="nil"/>
                    <w:tr2bl w:val="nil"/>
                  </w:tcBorders>
                  <w:vAlign w:val="center"/>
                </w:tcPr>
                <w:p w14:paraId="32E2487E">
                  <w:pPr>
                    <w:keepNext w:val="0"/>
                    <w:keepLines w:val="0"/>
                    <w:widowControl/>
                    <w:suppressLineNumbers w:val="0"/>
                    <w:spacing w:before="0" w:beforeAutospacing="0" w:after="0" w:afterAutospacing="0"/>
                    <w:ind w:left="0" w:right="0"/>
                    <w:jc w:val="center"/>
                    <w:rPr>
                      <w:rFonts w:hint="eastAsia" w:cs="Times New Roman"/>
                      <w:color w:val="auto"/>
                      <w:highlight w:val="none"/>
                      <w:lang w:val="en-US" w:eastAsia="zh-CN"/>
                    </w:rPr>
                  </w:pPr>
                  <w:r>
                    <w:rPr>
                      <w:rFonts w:hint="eastAsia" w:cs="Times New Roman"/>
                      <w:color w:val="auto"/>
                      <w:highlight w:val="none"/>
                      <w:lang w:val="en-US" w:eastAsia="zh-CN"/>
                    </w:rPr>
                    <w:t>/</w:t>
                  </w:r>
                </w:p>
              </w:tc>
              <w:tc>
                <w:tcPr>
                  <w:tcW w:w="420" w:type="pct"/>
                  <w:tcBorders>
                    <w:tl2br w:val="nil"/>
                    <w:tr2bl w:val="nil"/>
                  </w:tcBorders>
                  <w:vAlign w:val="center"/>
                </w:tcPr>
                <w:p w14:paraId="212418A8">
                  <w:pPr>
                    <w:keepNext w:val="0"/>
                    <w:keepLines w:val="0"/>
                    <w:widowControl/>
                    <w:suppressLineNumbers w:val="0"/>
                    <w:spacing w:before="0" w:beforeAutospacing="0" w:after="0" w:afterAutospacing="0"/>
                    <w:ind w:left="0" w:right="0"/>
                    <w:jc w:val="center"/>
                    <w:rPr>
                      <w:rFonts w:hint="eastAsia" w:cs="Times New Roman"/>
                      <w:color w:val="auto"/>
                      <w:highlight w:val="none"/>
                      <w:lang w:val="en-US" w:eastAsia="zh-CN"/>
                    </w:rPr>
                  </w:pPr>
                  <w:r>
                    <w:rPr>
                      <w:rFonts w:hint="eastAsia" w:cs="Times New Roman"/>
                      <w:color w:val="auto"/>
                      <w:highlight w:val="none"/>
                      <w:lang w:val="en-US" w:eastAsia="zh-CN"/>
                    </w:rPr>
                    <w:t>/</w:t>
                  </w:r>
                </w:p>
              </w:tc>
              <w:tc>
                <w:tcPr>
                  <w:tcW w:w="303" w:type="pct"/>
                  <w:tcBorders>
                    <w:tl2br w:val="nil"/>
                    <w:tr2bl w:val="nil"/>
                  </w:tcBorders>
                  <w:vAlign w:val="center"/>
                </w:tcPr>
                <w:p w14:paraId="627D8D67">
                  <w:pPr>
                    <w:keepNext w:val="0"/>
                    <w:keepLines w:val="0"/>
                    <w:widowControl/>
                    <w:suppressLineNumbers w:val="0"/>
                    <w:spacing w:before="0" w:beforeAutospacing="0" w:after="0" w:afterAutospacing="0"/>
                    <w:ind w:left="0" w:right="0"/>
                    <w:jc w:val="center"/>
                    <w:rPr>
                      <w:rFonts w:hint="eastAsia" w:cs="Times New Roman"/>
                      <w:color w:val="auto"/>
                      <w:highlight w:val="none"/>
                      <w:lang w:val="en-US" w:eastAsia="zh-CN"/>
                    </w:rPr>
                  </w:pPr>
                  <w:r>
                    <w:rPr>
                      <w:rFonts w:hint="eastAsia" w:cs="Times New Roman"/>
                      <w:color w:val="auto"/>
                      <w:highlight w:val="none"/>
                      <w:lang w:val="en-US" w:eastAsia="zh-CN"/>
                    </w:rPr>
                    <w:t>/</w:t>
                  </w:r>
                </w:p>
              </w:tc>
              <w:tc>
                <w:tcPr>
                  <w:tcW w:w="269" w:type="pct"/>
                  <w:tcBorders>
                    <w:tl2br w:val="nil"/>
                    <w:tr2bl w:val="nil"/>
                  </w:tcBorders>
                  <w:vAlign w:val="center"/>
                </w:tcPr>
                <w:p w14:paraId="4EA36576">
                  <w:pPr>
                    <w:keepNext w:val="0"/>
                    <w:keepLines w:val="0"/>
                    <w:widowControl/>
                    <w:suppressLineNumbers w:val="0"/>
                    <w:spacing w:before="0" w:beforeAutospacing="0" w:after="0" w:afterAutospacing="0"/>
                    <w:ind w:left="0" w:right="0"/>
                    <w:jc w:val="center"/>
                    <w:rPr>
                      <w:rFonts w:hint="eastAsia" w:cs="Times New Roman"/>
                      <w:color w:val="auto"/>
                      <w:highlight w:val="none"/>
                      <w:lang w:val="en-US" w:eastAsia="zh-CN"/>
                    </w:rPr>
                  </w:pPr>
                  <w:r>
                    <w:rPr>
                      <w:rFonts w:hint="eastAsia" w:cs="Times New Roman"/>
                      <w:color w:val="auto"/>
                      <w:highlight w:val="none"/>
                      <w:lang w:val="en-US" w:eastAsia="zh-CN"/>
                    </w:rPr>
                    <w:t>/</w:t>
                  </w:r>
                </w:p>
              </w:tc>
              <w:tc>
                <w:tcPr>
                  <w:tcW w:w="798" w:type="dxa"/>
                  <w:tcBorders>
                    <w:tl2br w:val="nil"/>
                    <w:tr2bl w:val="nil"/>
                  </w:tcBorders>
                  <w:vAlign w:val="center"/>
                </w:tcPr>
                <w:p w14:paraId="6E8FC7A8">
                  <w:pPr>
                    <w:keepNext w:val="0"/>
                    <w:keepLines w:val="0"/>
                    <w:widowControl/>
                    <w:suppressLineNumbers w:val="0"/>
                    <w:spacing w:before="0" w:beforeAutospacing="0" w:after="0" w:afterAutospacing="0"/>
                    <w:ind w:left="0" w:leftChars="0" w:right="0" w:rightChars="0"/>
                    <w:jc w:val="center"/>
                    <w:rPr>
                      <w:rFonts w:hint="eastAsia" w:cs="Times New Roman"/>
                      <w:color w:val="auto"/>
                      <w:highlight w:val="none"/>
                      <w:lang w:val="en-US" w:eastAsia="zh-CN"/>
                    </w:rPr>
                  </w:pPr>
                  <w:r>
                    <w:rPr>
                      <w:rFonts w:hint="eastAsia" w:cs="Times New Roman"/>
                      <w:color w:val="auto"/>
                      <w:highlight w:val="none"/>
                      <w:lang w:val="en-US" w:eastAsia="zh-CN"/>
                    </w:rPr>
                    <w:t>0.0998</w:t>
                  </w:r>
                </w:p>
              </w:tc>
              <w:tc>
                <w:tcPr>
                  <w:tcW w:w="1031" w:type="dxa"/>
                  <w:tcBorders>
                    <w:tl2br w:val="nil"/>
                    <w:tr2bl w:val="nil"/>
                  </w:tcBorders>
                  <w:vAlign w:val="center"/>
                </w:tcPr>
                <w:p w14:paraId="25D61D91">
                  <w:pPr>
                    <w:keepNext w:val="0"/>
                    <w:keepLines w:val="0"/>
                    <w:widowControl/>
                    <w:suppressLineNumbers w:val="0"/>
                    <w:spacing w:before="0" w:beforeAutospacing="0" w:after="0" w:afterAutospacing="0"/>
                    <w:ind w:left="0" w:leftChars="0" w:right="0" w:rightChars="0"/>
                    <w:jc w:val="center"/>
                    <w:rPr>
                      <w:rFonts w:hint="eastAsia" w:cs="Times New Roman"/>
                      <w:color w:val="auto"/>
                      <w:highlight w:val="none"/>
                      <w:lang w:val="en-US" w:eastAsia="zh-CN"/>
                    </w:rPr>
                  </w:pPr>
                  <w:r>
                    <w:rPr>
                      <w:rFonts w:hint="eastAsia" w:cs="Times New Roman"/>
                      <w:color w:val="auto"/>
                      <w:highlight w:val="none"/>
                      <w:lang w:val="en-US" w:eastAsia="zh-CN"/>
                    </w:rPr>
                    <w:t>0.0416</w:t>
                  </w:r>
                </w:p>
              </w:tc>
              <w:tc>
                <w:tcPr>
                  <w:tcW w:w="354" w:type="pct"/>
                  <w:tcBorders>
                    <w:tl2br w:val="nil"/>
                    <w:tr2bl w:val="nil"/>
                  </w:tcBorders>
                  <w:vAlign w:val="center"/>
                </w:tcPr>
                <w:p w14:paraId="0287C784">
                  <w:pPr>
                    <w:keepNext w:val="0"/>
                    <w:keepLines w:val="0"/>
                    <w:widowControl/>
                    <w:suppressLineNumbers w:val="0"/>
                    <w:spacing w:before="0" w:beforeAutospacing="0" w:after="0" w:afterAutospacing="0"/>
                    <w:ind w:left="0" w:right="0"/>
                    <w:jc w:val="center"/>
                    <w:rPr>
                      <w:rFonts w:hint="eastAsia" w:cs="Times New Roman"/>
                      <w:color w:val="auto"/>
                      <w:highlight w:val="none"/>
                      <w:lang w:val="en-US" w:eastAsia="zh-CN"/>
                    </w:rPr>
                  </w:pPr>
                  <w:r>
                    <w:rPr>
                      <w:rFonts w:hint="eastAsia" w:cs="Times New Roman"/>
                      <w:color w:val="auto"/>
                      <w:kern w:val="2"/>
                      <w:sz w:val="21"/>
                      <w:szCs w:val="24"/>
                      <w:highlight w:val="none"/>
                      <w:lang w:val="en-US" w:eastAsia="zh-CN" w:bidi="ar-SA"/>
                    </w:rPr>
                    <w:t>/</w:t>
                  </w:r>
                </w:p>
              </w:tc>
              <w:tc>
                <w:tcPr>
                  <w:tcW w:w="309" w:type="pct"/>
                  <w:vMerge w:val="restart"/>
                  <w:tcBorders>
                    <w:tl2br w:val="nil"/>
                    <w:tr2bl w:val="nil"/>
                  </w:tcBorders>
                  <w:vAlign w:val="center"/>
                </w:tcPr>
                <w:p w14:paraId="623A725F">
                  <w:pPr>
                    <w:keepNext w:val="0"/>
                    <w:keepLines w:val="0"/>
                    <w:widowControl/>
                    <w:suppressLineNumbers w:val="0"/>
                    <w:spacing w:before="0" w:beforeAutospacing="0" w:after="0" w:afterAutospacing="0"/>
                    <w:ind w:left="0" w:right="0"/>
                    <w:jc w:val="center"/>
                    <w:rPr>
                      <w:rFonts w:hint="default" w:cs="Times New Roman"/>
                      <w:color w:val="auto"/>
                      <w:highlight w:val="none"/>
                      <w:lang w:val="en-US" w:eastAsia="zh-CN"/>
                    </w:rPr>
                  </w:pPr>
                  <w:r>
                    <w:rPr>
                      <w:rFonts w:hint="eastAsia" w:cs="Times New Roman"/>
                      <w:color w:val="auto"/>
                      <w:highlight w:val="none"/>
                      <w:lang w:val="en-US" w:eastAsia="zh-CN"/>
                    </w:rPr>
                    <w:t>/</w:t>
                  </w:r>
                </w:p>
              </w:tc>
            </w:tr>
            <w:tr w14:paraId="7CEDEF49">
              <w:tblPrEx>
                <w:tblBorders>
                  <w:top w:val="single" w:color="auto" w:sz="12" w:space="0"/>
                  <w:left w:val="single" w:color="auto" w:sz="6" w:space="0"/>
                  <w:bottom w:val="single" w:color="auto" w:sz="12"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239" w:type="pct"/>
                  <w:vMerge w:val="continue"/>
                  <w:tcBorders>
                    <w:tl2br w:val="nil"/>
                    <w:tr2bl w:val="nil"/>
                  </w:tcBorders>
                  <w:vAlign w:val="center"/>
                </w:tcPr>
                <w:p w14:paraId="5264ABF1">
                  <w:pPr>
                    <w:keepNext w:val="0"/>
                    <w:keepLines w:val="0"/>
                    <w:widowControl/>
                    <w:suppressLineNumbers w:val="0"/>
                    <w:spacing w:before="0" w:beforeAutospacing="0" w:after="0" w:afterAutospacing="0"/>
                    <w:ind w:left="0" w:right="0"/>
                    <w:jc w:val="center"/>
                    <w:rPr>
                      <w:rFonts w:hint="eastAsia"/>
                      <w:color w:val="auto"/>
                      <w:szCs w:val="21"/>
                      <w:highlight w:val="none"/>
                      <w:lang w:val="en-US" w:eastAsia="zh-CN"/>
                    </w:rPr>
                  </w:pPr>
                </w:p>
              </w:tc>
              <w:tc>
                <w:tcPr>
                  <w:tcW w:w="419" w:type="pct"/>
                  <w:tcBorders>
                    <w:tl2br w:val="nil"/>
                    <w:tr2bl w:val="nil"/>
                  </w:tcBorders>
                  <w:vAlign w:val="center"/>
                </w:tcPr>
                <w:p w14:paraId="761583B0">
                  <w:pPr>
                    <w:keepNext w:val="0"/>
                    <w:keepLines w:val="0"/>
                    <w:widowControl/>
                    <w:suppressLineNumbers w:val="0"/>
                    <w:spacing w:before="0" w:beforeAutospacing="0" w:after="0" w:afterAutospacing="0"/>
                    <w:ind w:left="0" w:right="0"/>
                    <w:jc w:val="center"/>
                    <w:rPr>
                      <w:rFonts w:hint="eastAsia" w:cs="Times New Roman"/>
                      <w:color w:val="auto"/>
                      <w:highlight w:val="none"/>
                      <w:lang w:val="en-US" w:eastAsia="zh-CN"/>
                    </w:rPr>
                  </w:pPr>
                  <w:r>
                    <w:rPr>
                      <w:rFonts w:hint="eastAsia" w:cs="Times New Roman"/>
                      <w:color w:val="auto"/>
                      <w:highlight w:val="none"/>
                      <w:lang w:val="en-US" w:eastAsia="zh-CN"/>
                    </w:rPr>
                    <w:t>臭气浓度</w:t>
                  </w:r>
                </w:p>
              </w:tc>
              <w:tc>
                <w:tcPr>
                  <w:tcW w:w="278" w:type="pct"/>
                  <w:vMerge w:val="continue"/>
                  <w:tcBorders>
                    <w:tl2br w:val="nil"/>
                    <w:tr2bl w:val="nil"/>
                  </w:tcBorders>
                  <w:vAlign w:val="center"/>
                </w:tcPr>
                <w:p w14:paraId="6D4B0B4C">
                  <w:pPr>
                    <w:keepNext w:val="0"/>
                    <w:keepLines w:val="0"/>
                    <w:widowControl/>
                    <w:suppressLineNumbers w:val="0"/>
                    <w:spacing w:before="0" w:beforeAutospacing="0" w:after="0" w:afterAutospacing="0"/>
                    <w:ind w:left="0" w:right="0"/>
                    <w:jc w:val="center"/>
                    <w:rPr>
                      <w:rFonts w:hint="eastAsia" w:cs="Times New Roman"/>
                      <w:color w:val="auto"/>
                      <w:highlight w:val="none"/>
                      <w:lang w:val="en-US" w:eastAsia="zh-CN"/>
                    </w:rPr>
                  </w:pPr>
                </w:p>
              </w:tc>
              <w:tc>
                <w:tcPr>
                  <w:tcW w:w="294" w:type="pct"/>
                  <w:tcBorders>
                    <w:tl2br w:val="nil"/>
                    <w:tr2bl w:val="nil"/>
                  </w:tcBorders>
                  <w:vAlign w:val="center"/>
                </w:tcPr>
                <w:p w14:paraId="09AF3192">
                  <w:pPr>
                    <w:keepNext w:val="0"/>
                    <w:keepLines w:val="0"/>
                    <w:widowControl/>
                    <w:suppressLineNumbers w:val="0"/>
                    <w:spacing w:before="0" w:beforeAutospacing="0" w:after="0" w:afterAutospacing="0"/>
                    <w:ind w:left="0" w:right="0"/>
                    <w:jc w:val="center"/>
                    <w:rPr>
                      <w:rFonts w:hint="eastAsia" w:cs="Times New Roman"/>
                      <w:color w:val="auto"/>
                      <w:highlight w:val="none"/>
                      <w:lang w:val="en-US" w:eastAsia="zh-CN"/>
                    </w:rPr>
                  </w:pPr>
                  <w:r>
                    <w:rPr>
                      <w:rFonts w:hint="eastAsia" w:cs="Times New Roman"/>
                      <w:color w:val="auto"/>
                      <w:highlight w:val="none"/>
                      <w:lang w:val="en-US" w:eastAsia="zh-CN"/>
                    </w:rPr>
                    <w:t>少量</w:t>
                  </w:r>
                </w:p>
              </w:tc>
              <w:tc>
                <w:tcPr>
                  <w:tcW w:w="341" w:type="pct"/>
                  <w:tcBorders>
                    <w:tl2br w:val="nil"/>
                    <w:tr2bl w:val="nil"/>
                  </w:tcBorders>
                  <w:vAlign w:val="center"/>
                </w:tcPr>
                <w:p w14:paraId="5BBBE8D1">
                  <w:pPr>
                    <w:keepNext w:val="0"/>
                    <w:keepLines w:val="0"/>
                    <w:widowControl/>
                    <w:suppressLineNumbers w:val="0"/>
                    <w:spacing w:before="0" w:beforeAutospacing="0" w:after="0" w:afterAutospacing="0"/>
                    <w:ind w:left="0" w:right="0"/>
                    <w:jc w:val="center"/>
                    <w:rPr>
                      <w:rFonts w:hint="eastAsia" w:cs="Times New Roman"/>
                      <w:color w:val="auto"/>
                      <w:highlight w:val="none"/>
                      <w:lang w:val="en-US" w:eastAsia="zh-CN"/>
                    </w:rPr>
                  </w:pPr>
                  <w:r>
                    <w:rPr>
                      <w:rFonts w:hint="eastAsia" w:cs="Times New Roman"/>
                      <w:color w:val="auto"/>
                      <w:highlight w:val="none"/>
                      <w:lang w:val="en-US" w:eastAsia="zh-CN"/>
                    </w:rPr>
                    <w:t>/</w:t>
                  </w:r>
                </w:p>
              </w:tc>
              <w:tc>
                <w:tcPr>
                  <w:tcW w:w="353" w:type="pct"/>
                  <w:tcBorders>
                    <w:tl2br w:val="nil"/>
                    <w:tr2bl w:val="nil"/>
                  </w:tcBorders>
                  <w:vAlign w:val="center"/>
                </w:tcPr>
                <w:p w14:paraId="2570C322">
                  <w:pPr>
                    <w:keepNext w:val="0"/>
                    <w:keepLines w:val="0"/>
                    <w:widowControl/>
                    <w:suppressLineNumbers w:val="0"/>
                    <w:spacing w:before="0" w:beforeAutospacing="0" w:after="0" w:afterAutospacing="0"/>
                    <w:ind w:left="0" w:right="0"/>
                    <w:jc w:val="center"/>
                    <w:rPr>
                      <w:rFonts w:hint="eastAsia" w:cs="Times New Roman"/>
                      <w:color w:val="auto"/>
                      <w:highlight w:val="none"/>
                      <w:lang w:val="en-US" w:eastAsia="zh-CN"/>
                    </w:rPr>
                  </w:pPr>
                  <w:r>
                    <w:rPr>
                      <w:rFonts w:hint="eastAsia" w:cs="Times New Roman"/>
                      <w:color w:val="auto"/>
                      <w:highlight w:val="none"/>
                      <w:lang w:val="en-US" w:eastAsia="zh-CN"/>
                    </w:rPr>
                    <w:t>/</w:t>
                  </w:r>
                </w:p>
              </w:tc>
              <w:tc>
                <w:tcPr>
                  <w:tcW w:w="490" w:type="pct"/>
                  <w:vMerge w:val="continue"/>
                  <w:tcBorders>
                    <w:tl2br w:val="nil"/>
                    <w:tr2bl w:val="nil"/>
                  </w:tcBorders>
                  <w:vAlign w:val="center"/>
                </w:tcPr>
                <w:p w14:paraId="07F24A21">
                  <w:pPr>
                    <w:keepNext w:val="0"/>
                    <w:keepLines w:val="0"/>
                    <w:widowControl/>
                    <w:suppressLineNumbers w:val="0"/>
                    <w:spacing w:before="0" w:beforeAutospacing="0" w:after="0" w:afterAutospacing="0"/>
                    <w:ind w:left="0" w:right="0"/>
                    <w:jc w:val="center"/>
                    <w:rPr>
                      <w:rFonts w:hint="eastAsia"/>
                      <w:color w:val="auto"/>
                      <w:szCs w:val="21"/>
                      <w:highlight w:val="none"/>
                      <w:lang w:val="en-US" w:eastAsia="zh-CN"/>
                    </w:rPr>
                  </w:pPr>
                </w:p>
              </w:tc>
              <w:tc>
                <w:tcPr>
                  <w:tcW w:w="249" w:type="pct"/>
                  <w:tcBorders>
                    <w:tl2br w:val="nil"/>
                    <w:tr2bl w:val="nil"/>
                  </w:tcBorders>
                  <w:vAlign w:val="center"/>
                </w:tcPr>
                <w:p w14:paraId="66F55F89">
                  <w:pPr>
                    <w:keepNext w:val="0"/>
                    <w:keepLines w:val="0"/>
                    <w:widowControl/>
                    <w:suppressLineNumbers w:val="0"/>
                    <w:spacing w:before="0" w:beforeAutospacing="0" w:after="0" w:afterAutospacing="0"/>
                    <w:ind w:left="0" w:right="0"/>
                    <w:jc w:val="center"/>
                    <w:rPr>
                      <w:rFonts w:hint="eastAsia" w:cs="Times New Roman"/>
                      <w:color w:val="auto"/>
                      <w:highlight w:val="none"/>
                      <w:lang w:val="en-US" w:eastAsia="zh-CN"/>
                    </w:rPr>
                  </w:pPr>
                  <w:r>
                    <w:rPr>
                      <w:rFonts w:hint="eastAsia" w:cs="Times New Roman"/>
                      <w:color w:val="auto"/>
                      <w:highlight w:val="none"/>
                      <w:lang w:val="en-US" w:eastAsia="zh-CN"/>
                    </w:rPr>
                    <w:t>/</w:t>
                  </w:r>
                </w:p>
              </w:tc>
              <w:tc>
                <w:tcPr>
                  <w:tcW w:w="420" w:type="pct"/>
                  <w:tcBorders>
                    <w:tl2br w:val="nil"/>
                    <w:tr2bl w:val="nil"/>
                  </w:tcBorders>
                  <w:vAlign w:val="center"/>
                </w:tcPr>
                <w:p w14:paraId="718FFD0D">
                  <w:pPr>
                    <w:keepNext w:val="0"/>
                    <w:keepLines w:val="0"/>
                    <w:widowControl/>
                    <w:suppressLineNumbers w:val="0"/>
                    <w:spacing w:before="0" w:beforeAutospacing="0" w:after="0" w:afterAutospacing="0"/>
                    <w:ind w:left="0" w:right="0"/>
                    <w:jc w:val="center"/>
                    <w:rPr>
                      <w:rFonts w:hint="eastAsia" w:cs="Times New Roman"/>
                      <w:color w:val="auto"/>
                      <w:highlight w:val="none"/>
                      <w:lang w:val="en-US" w:eastAsia="zh-CN"/>
                    </w:rPr>
                  </w:pPr>
                  <w:r>
                    <w:rPr>
                      <w:rFonts w:hint="eastAsia" w:cs="Times New Roman"/>
                      <w:color w:val="auto"/>
                      <w:highlight w:val="none"/>
                      <w:lang w:val="en-US" w:eastAsia="zh-CN"/>
                    </w:rPr>
                    <w:t>/</w:t>
                  </w:r>
                </w:p>
              </w:tc>
              <w:tc>
                <w:tcPr>
                  <w:tcW w:w="303" w:type="pct"/>
                  <w:tcBorders>
                    <w:tl2br w:val="nil"/>
                    <w:tr2bl w:val="nil"/>
                  </w:tcBorders>
                  <w:vAlign w:val="center"/>
                </w:tcPr>
                <w:p w14:paraId="22D759DF">
                  <w:pPr>
                    <w:keepNext w:val="0"/>
                    <w:keepLines w:val="0"/>
                    <w:widowControl/>
                    <w:suppressLineNumbers w:val="0"/>
                    <w:spacing w:before="0" w:beforeAutospacing="0" w:after="0" w:afterAutospacing="0"/>
                    <w:ind w:left="0" w:right="0"/>
                    <w:jc w:val="center"/>
                    <w:rPr>
                      <w:rFonts w:hint="eastAsia" w:cs="Times New Roman"/>
                      <w:color w:val="auto"/>
                      <w:highlight w:val="none"/>
                      <w:lang w:val="en-US" w:eastAsia="zh-CN"/>
                    </w:rPr>
                  </w:pPr>
                  <w:r>
                    <w:rPr>
                      <w:rFonts w:hint="eastAsia" w:cs="Times New Roman"/>
                      <w:color w:val="auto"/>
                      <w:highlight w:val="none"/>
                      <w:lang w:val="en-US" w:eastAsia="zh-CN"/>
                    </w:rPr>
                    <w:t>/</w:t>
                  </w:r>
                </w:p>
              </w:tc>
              <w:tc>
                <w:tcPr>
                  <w:tcW w:w="269" w:type="pct"/>
                  <w:tcBorders>
                    <w:tl2br w:val="nil"/>
                    <w:tr2bl w:val="nil"/>
                  </w:tcBorders>
                  <w:vAlign w:val="center"/>
                </w:tcPr>
                <w:p w14:paraId="124BFB49">
                  <w:pPr>
                    <w:keepNext w:val="0"/>
                    <w:keepLines w:val="0"/>
                    <w:widowControl/>
                    <w:suppressLineNumbers w:val="0"/>
                    <w:spacing w:before="0" w:beforeAutospacing="0" w:after="0" w:afterAutospacing="0"/>
                    <w:ind w:left="0" w:right="0"/>
                    <w:jc w:val="center"/>
                    <w:rPr>
                      <w:rFonts w:hint="eastAsia" w:cs="Times New Roman"/>
                      <w:color w:val="auto"/>
                      <w:highlight w:val="none"/>
                      <w:lang w:val="en-US" w:eastAsia="zh-CN"/>
                    </w:rPr>
                  </w:pPr>
                  <w:r>
                    <w:rPr>
                      <w:rFonts w:hint="eastAsia" w:cs="Times New Roman"/>
                      <w:color w:val="auto"/>
                      <w:highlight w:val="none"/>
                      <w:lang w:val="en-US" w:eastAsia="zh-CN"/>
                    </w:rPr>
                    <w:t>/</w:t>
                  </w:r>
                </w:p>
              </w:tc>
              <w:tc>
                <w:tcPr>
                  <w:tcW w:w="295" w:type="pct"/>
                  <w:tcBorders>
                    <w:tl2br w:val="nil"/>
                    <w:tr2bl w:val="nil"/>
                  </w:tcBorders>
                  <w:vAlign w:val="center"/>
                </w:tcPr>
                <w:p w14:paraId="42EBC499">
                  <w:pPr>
                    <w:keepNext w:val="0"/>
                    <w:keepLines w:val="0"/>
                    <w:widowControl/>
                    <w:suppressLineNumbers w:val="0"/>
                    <w:spacing w:before="0" w:beforeAutospacing="0" w:after="0" w:afterAutospacing="0"/>
                    <w:ind w:left="0" w:right="0"/>
                    <w:jc w:val="center"/>
                    <w:rPr>
                      <w:rFonts w:hint="eastAsia" w:cs="Times New Roman"/>
                      <w:color w:val="auto"/>
                      <w:highlight w:val="none"/>
                      <w:lang w:val="en-US" w:eastAsia="zh-CN"/>
                    </w:rPr>
                  </w:pPr>
                  <w:r>
                    <w:rPr>
                      <w:rFonts w:hint="eastAsia" w:cs="Times New Roman"/>
                      <w:color w:val="auto"/>
                      <w:highlight w:val="none"/>
                      <w:lang w:val="en-US" w:eastAsia="zh-CN"/>
                    </w:rPr>
                    <w:t>少量</w:t>
                  </w:r>
                </w:p>
              </w:tc>
              <w:tc>
                <w:tcPr>
                  <w:tcW w:w="381" w:type="pct"/>
                  <w:tcBorders>
                    <w:tl2br w:val="nil"/>
                    <w:tr2bl w:val="nil"/>
                  </w:tcBorders>
                  <w:vAlign w:val="center"/>
                </w:tcPr>
                <w:p w14:paraId="447011F8">
                  <w:pPr>
                    <w:keepNext w:val="0"/>
                    <w:keepLines w:val="0"/>
                    <w:widowControl/>
                    <w:suppressLineNumbers w:val="0"/>
                    <w:spacing w:before="0" w:beforeAutospacing="0" w:after="0" w:afterAutospacing="0"/>
                    <w:ind w:left="0" w:right="0"/>
                    <w:jc w:val="center"/>
                    <w:rPr>
                      <w:rFonts w:hint="eastAsia" w:cs="Times New Roman"/>
                      <w:color w:val="auto"/>
                      <w:highlight w:val="none"/>
                      <w:lang w:val="en-US" w:eastAsia="zh-CN"/>
                    </w:rPr>
                  </w:pPr>
                  <w:r>
                    <w:rPr>
                      <w:rFonts w:hint="eastAsia" w:cs="Times New Roman"/>
                      <w:color w:val="auto"/>
                      <w:highlight w:val="none"/>
                      <w:lang w:val="en-US" w:eastAsia="zh-CN"/>
                    </w:rPr>
                    <w:t>/</w:t>
                  </w:r>
                </w:p>
              </w:tc>
              <w:tc>
                <w:tcPr>
                  <w:tcW w:w="354" w:type="pct"/>
                  <w:tcBorders>
                    <w:tl2br w:val="nil"/>
                    <w:tr2bl w:val="nil"/>
                  </w:tcBorders>
                  <w:vAlign w:val="center"/>
                </w:tcPr>
                <w:p w14:paraId="7D362C00">
                  <w:pPr>
                    <w:keepNext w:val="0"/>
                    <w:keepLines w:val="0"/>
                    <w:widowControl/>
                    <w:suppressLineNumbers w:val="0"/>
                    <w:spacing w:before="0" w:beforeAutospacing="0" w:after="0" w:afterAutospacing="0"/>
                    <w:ind w:left="0" w:right="0"/>
                    <w:jc w:val="center"/>
                    <w:rPr>
                      <w:rFonts w:hint="eastAsia" w:cs="Times New Roman"/>
                      <w:color w:val="auto"/>
                      <w:highlight w:val="none"/>
                      <w:lang w:val="en-US" w:eastAsia="zh-CN"/>
                    </w:rPr>
                  </w:pPr>
                  <w:r>
                    <w:rPr>
                      <w:rFonts w:hint="eastAsia" w:cs="Times New Roman"/>
                      <w:color w:val="auto"/>
                      <w:highlight w:val="none"/>
                      <w:lang w:val="en-US" w:eastAsia="zh-CN"/>
                    </w:rPr>
                    <w:t>/</w:t>
                  </w:r>
                </w:p>
              </w:tc>
              <w:tc>
                <w:tcPr>
                  <w:tcW w:w="309" w:type="pct"/>
                  <w:vMerge w:val="continue"/>
                  <w:tcBorders>
                    <w:tl2br w:val="nil"/>
                    <w:tr2bl w:val="nil"/>
                  </w:tcBorders>
                  <w:vAlign w:val="center"/>
                </w:tcPr>
                <w:p w14:paraId="63E56724">
                  <w:pPr>
                    <w:keepNext w:val="0"/>
                    <w:keepLines w:val="0"/>
                    <w:widowControl/>
                    <w:suppressLineNumbers w:val="0"/>
                    <w:spacing w:before="0" w:beforeAutospacing="0" w:after="0" w:afterAutospacing="0"/>
                    <w:ind w:left="0" w:right="0"/>
                    <w:jc w:val="center"/>
                    <w:rPr>
                      <w:rFonts w:hint="eastAsia" w:cs="Times New Roman"/>
                      <w:color w:val="auto"/>
                      <w:highlight w:val="none"/>
                      <w:lang w:val="en-US" w:eastAsia="zh-CN"/>
                    </w:rPr>
                  </w:pPr>
                </w:p>
              </w:tc>
            </w:tr>
          </w:tbl>
          <w:p w14:paraId="63E040E7">
            <w:pPr>
              <w:pStyle w:val="37"/>
              <w:keepNext w:val="0"/>
              <w:keepLines w:val="0"/>
              <w:suppressLineNumbers w:val="0"/>
              <w:ind w:left="0" w:right="0"/>
              <w:jc w:val="both"/>
              <w:outlineLvl w:val="0"/>
              <w:rPr>
                <w:rFonts w:ascii="Times New Roman" w:hAnsi="Times New Roman" w:eastAsia="宋体" w:cs="Times New Roman"/>
                <w:snapToGrid w:val="0"/>
                <w:color w:val="auto"/>
                <w:sz w:val="21"/>
                <w:szCs w:val="21"/>
                <w:highlight w:val="none"/>
              </w:rPr>
            </w:pPr>
          </w:p>
        </w:tc>
      </w:tr>
    </w:tbl>
    <w:p w14:paraId="1130F7F9">
      <w:pPr>
        <w:pStyle w:val="37"/>
        <w:jc w:val="both"/>
        <w:outlineLvl w:val="0"/>
        <w:rPr>
          <w:rFonts w:ascii="Times New Roman" w:hAnsi="Times New Roman" w:eastAsia="宋体"/>
          <w:snapToGrid w:val="0"/>
          <w:color w:val="auto"/>
          <w:sz w:val="30"/>
          <w:szCs w:val="30"/>
          <w:highlight w:val="none"/>
        </w:rPr>
        <w:sectPr>
          <w:pgSz w:w="16840" w:h="11907" w:orient="landscape"/>
          <w:pgMar w:top="1417" w:right="1418" w:bottom="1417" w:left="1418" w:header="851" w:footer="851" w:gutter="0"/>
          <w:pgBorders>
            <w:top w:val="none" w:sz="0" w:space="0"/>
            <w:left w:val="none" w:sz="0" w:space="0"/>
            <w:bottom w:val="none" w:sz="0" w:space="0"/>
            <w:right w:val="none" w:sz="0" w:space="0"/>
          </w:pgBorders>
          <w:cols w:space="720" w:num="1"/>
          <w:docGrid w:linePitch="312" w:charSpace="0"/>
        </w:sectPr>
      </w:pPr>
    </w:p>
    <w:tbl>
      <w:tblPr>
        <w:tblStyle w:val="41"/>
        <w:tblW w:w="920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42"/>
        <w:gridCol w:w="8865"/>
      </w:tblGrid>
      <w:tr w14:paraId="779830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9" w:type="dxa"/>
            <w:noWrap w:val="0"/>
            <w:tcMar>
              <w:left w:w="28" w:type="dxa"/>
              <w:right w:w="28" w:type="dxa"/>
            </w:tcMar>
            <w:vAlign w:val="center"/>
          </w:tcPr>
          <w:p w14:paraId="25819207">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bCs/>
                <w:color w:val="auto"/>
                <w:sz w:val="21"/>
                <w:szCs w:val="21"/>
                <w:highlight w:val="none"/>
              </w:rPr>
            </w:pPr>
            <w:r>
              <w:rPr>
                <w:rFonts w:hint="eastAsia" w:ascii="Times New Roman" w:hAnsi="Times New Roman" w:eastAsia="宋体" w:cs="Times New Roman"/>
                <w:bCs/>
                <w:color w:val="auto"/>
                <w:sz w:val="21"/>
                <w:szCs w:val="21"/>
                <w:highlight w:val="none"/>
              </w:rPr>
              <w:t>运营期环境影响和保护措施</w:t>
            </w:r>
          </w:p>
        </w:tc>
        <w:tc>
          <w:tcPr>
            <w:tcW w:w="8858" w:type="dxa"/>
            <w:noWrap w:val="0"/>
            <w:vAlign w:val="center"/>
          </w:tcPr>
          <w:p w14:paraId="2AA44B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2" w:firstLineChars="200"/>
              <w:textAlignment w:val="auto"/>
              <w:rPr>
                <w:rFonts w:hint="default" w:ascii="Times New Roman" w:hAnsi="Times New Roman" w:eastAsia="宋体"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1.2废气产排情况分析</w:t>
            </w:r>
          </w:p>
          <w:p w14:paraId="11E161E9">
            <w:pPr>
              <w:keepNext w:val="0"/>
              <w:keepLines w:val="0"/>
              <w:suppressLineNumbers w:val="0"/>
              <w:spacing w:before="0" w:beforeAutospacing="0" w:after="0" w:afterAutospacing="0" w:line="360" w:lineRule="auto"/>
              <w:ind w:left="0" w:right="0" w:firstLine="422" w:firstLineChars="200"/>
              <w:rPr>
                <w:rFonts w:hint="default" w:ascii="Times New Roman" w:hAnsi="Times New Roman" w:eastAsia="宋体"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（1）废气源强</w:t>
            </w:r>
          </w:p>
          <w:p w14:paraId="4053343C">
            <w:pPr>
              <w:keepNext w:val="0"/>
              <w:keepLines w:val="0"/>
              <w:suppressLineNumbers w:val="0"/>
              <w:spacing w:before="0" w:beforeAutospacing="0" w:after="0" w:afterAutospacing="0" w:line="360" w:lineRule="auto"/>
              <w:ind w:left="0" w:right="0" w:firstLine="422" w:firstLineChars="200"/>
              <w:rPr>
                <w:rFonts w:hint="default" w:ascii="Times New Roman" w:hAnsi="Times New Roman" w:eastAsia="宋体" w:cs="Times New Roman"/>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①</w:t>
            </w:r>
            <w:r>
              <w:rPr>
                <w:rFonts w:hint="eastAsia" w:cs="Times New Roman"/>
                <w:b/>
                <w:bCs/>
                <w:color w:val="auto"/>
                <w:sz w:val="21"/>
                <w:szCs w:val="21"/>
                <w:highlight w:val="none"/>
                <w:lang w:val="en-US" w:eastAsia="zh-CN"/>
              </w:rPr>
              <w:t>印刷有机废气：</w:t>
            </w:r>
            <w:r>
              <w:rPr>
                <w:rFonts w:hint="eastAsia" w:cs="Times New Roman"/>
                <w:b w:val="0"/>
                <w:bCs w:val="0"/>
                <w:color w:val="auto"/>
                <w:sz w:val="21"/>
                <w:szCs w:val="21"/>
                <w:highlight w:val="none"/>
                <w:lang w:val="en-US" w:eastAsia="zh-CN"/>
              </w:rPr>
              <w:t>项目印刷过程会产生少量的有机废气，根据《广东省生态环境厅关于印发工业源挥发性有机物和氮氧化物减排量核算方法的通知》（粤环函〔2023〕538号）表3.3-1，印刷工艺类型的核算方法为物料衡算法，根据建设单位提供的水性油墨VOCs检测报告（详见附件8），其VOCs含量为未检出，本报告以检测方法检出限0.1%计，另经核算项目水性油墨用量为0.144t/a，则印刷过程VOCs产生量为0.000144t/a，印刷工序年生产时间为500h，产生速率为0.000288kg/h；</w:t>
            </w:r>
          </w:p>
          <w:p w14:paraId="6D0EB56C">
            <w:pPr>
              <w:keepNext w:val="0"/>
              <w:keepLines w:val="0"/>
              <w:suppressLineNumbers w:val="0"/>
              <w:snapToGrid w:val="0"/>
              <w:spacing w:before="0" w:beforeAutospacing="0" w:after="0" w:afterAutospacing="0" w:line="360" w:lineRule="auto"/>
              <w:ind w:left="0" w:right="0" w:firstLine="422" w:firstLineChars="200"/>
              <w:rPr>
                <w:rFonts w:hint="eastAsia" w:ascii="Times New Roman" w:hAnsi="Times New Roman" w:eastAsia="宋体" w:cs="Times New Roman"/>
                <w:color w:val="auto"/>
                <w:szCs w:val="21"/>
                <w:highlight w:val="none"/>
                <w:lang w:val="en-US" w:eastAsia="zh-CN"/>
              </w:rPr>
            </w:pPr>
            <w:r>
              <w:rPr>
                <w:rFonts w:hint="eastAsia" w:ascii="宋体" w:hAnsi="宋体" w:eastAsia="宋体" w:cs="宋体"/>
                <w:b/>
                <w:bCs/>
                <w:color w:val="auto"/>
                <w:szCs w:val="21"/>
                <w:highlight w:val="none"/>
                <w:lang w:val="en-US" w:eastAsia="zh-CN"/>
              </w:rPr>
              <w:t>②</w:t>
            </w:r>
            <w:r>
              <w:rPr>
                <w:rFonts w:hint="eastAsia" w:ascii="Times New Roman" w:hAnsi="Times New Roman" w:eastAsia="宋体" w:cs="Times New Roman"/>
                <w:b/>
                <w:bCs/>
                <w:color w:val="auto"/>
                <w:szCs w:val="21"/>
                <w:highlight w:val="none"/>
                <w:lang w:val="en-US" w:eastAsia="zh-CN"/>
              </w:rPr>
              <w:t>吸塑废气：</w:t>
            </w:r>
            <w:r>
              <w:rPr>
                <w:rFonts w:hint="default" w:ascii="Times New Roman" w:hAnsi="Times New Roman" w:eastAsia="宋体" w:cs="Times New Roman"/>
                <w:color w:val="auto"/>
                <w:szCs w:val="21"/>
                <w:highlight w:val="none"/>
              </w:rPr>
              <w:t>a.有机废</w:t>
            </w:r>
            <w:r>
              <w:rPr>
                <w:rFonts w:hint="eastAsia" w:ascii="Times New Roman" w:hAnsi="Times New Roman" w:eastAsia="宋体" w:cs="Times New Roman"/>
                <w:color w:val="auto"/>
                <w:szCs w:val="21"/>
                <w:highlight w:val="none"/>
                <w:lang w:val="en-US" w:eastAsia="zh-CN"/>
              </w:rPr>
              <w:t>气。</w:t>
            </w:r>
          </w:p>
          <w:p w14:paraId="61017CCA">
            <w:pPr>
              <w:keepNext w:val="0"/>
              <w:keepLines w:val="0"/>
              <w:suppressLineNumbers w:val="0"/>
              <w:snapToGrid w:val="0"/>
              <w:spacing w:before="0" w:beforeAutospacing="0" w:after="0" w:afterAutospacing="0" w:line="360" w:lineRule="auto"/>
              <w:ind w:left="0" w:right="0" w:firstLine="420" w:firstLineChars="20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根据前文分析可知，本项目</w:t>
            </w:r>
            <w:r>
              <w:rPr>
                <w:rFonts w:hint="eastAsia" w:cs="Times New Roman"/>
                <w:color w:val="auto"/>
                <w:szCs w:val="21"/>
                <w:highlight w:val="none"/>
                <w:lang w:val="en-US" w:eastAsia="zh-CN"/>
              </w:rPr>
              <w:t>吸塑</w:t>
            </w:r>
            <w:r>
              <w:rPr>
                <w:rFonts w:hint="eastAsia" w:ascii="Times New Roman" w:hAnsi="Times New Roman" w:eastAsia="宋体" w:cs="Times New Roman"/>
                <w:color w:val="auto"/>
                <w:szCs w:val="21"/>
                <w:highlight w:val="none"/>
                <w:lang w:val="en-US" w:eastAsia="zh-CN"/>
              </w:rPr>
              <w:t>机工作温度均未达到PVC</w:t>
            </w:r>
            <w:r>
              <w:rPr>
                <w:rFonts w:hint="eastAsia" w:cs="Times New Roman"/>
                <w:color w:val="auto"/>
                <w:szCs w:val="21"/>
                <w:highlight w:val="none"/>
                <w:lang w:val="en-US" w:eastAsia="zh-CN"/>
              </w:rPr>
              <w:t>塑料膜</w:t>
            </w:r>
            <w:r>
              <w:rPr>
                <w:rFonts w:hint="eastAsia" w:ascii="Times New Roman" w:hAnsi="Times New Roman" w:eastAsia="宋体" w:cs="Times New Roman"/>
                <w:color w:val="auto"/>
                <w:szCs w:val="21"/>
                <w:highlight w:val="none"/>
                <w:lang w:val="en-US" w:eastAsia="zh-CN"/>
              </w:rPr>
              <w:t>、</w:t>
            </w:r>
            <w:r>
              <w:rPr>
                <w:rFonts w:hint="eastAsia" w:cs="Times New Roman"/>
                <w:color w:val="auto"/>
                <w:szCs w:val="21"/>
                <w:highlight w:val="none"/>
                <w:lang w:val="en-US" w:eastAsia="zh-CN"/>
              </w:rPr>
              <w:t>APET塑料膜、PP塑料膜、</w:t>
            </w:r>
            <w:r>
              <w:rPr>
                <w:rFonts w:hint="eastAsia" w:ascii="Times New Roman" w:hAnsi="Times New Roman" w:eastAsia="宋体" w:cs="Times New Roman"/>
                <w:color w:val="auto"/>
                <w:szCs w:val="21"/>
                <w:highlight w:val="none"/>
                <w:lang w:val="en-US" w:eastAsia="zh-CN"/>
              </w:rPr>
              <w:t>ABS</w:t>
            </w:r>
            <w:r>
              <w:rPr>
                <w:rFonts w:hint="eastAsia" w:cs="Times New Roman"/>
                <w:color w:val="auto"/>
                <w:szCs w:val="21"/>
                <w:highlight w:val="none"/>
                <w:lang w:val="en-US" w:eastAsia="zh-CN"/>
              </w:rPr>
              <w:t>塑料膜和HTPS塑料膜</w:t>
            </w:r>
            <w:r>
              <w:rPr>
                <w:rFonts w:hint="eastAsia" w:ascii="Times New Roman" w:hAnsi="Times New Roman" w:eastAsia="宋体" w:cs="Times New Roman"/>
                <w:color w:val="auto"/>
                <w:szCs w:val="21"/>
                <w:highlight w:val="none"/>
                <w:lang w:val="en-US" w:eastAsia="zh-CN"/>
              </w:rPr>
              <w:t>原料的分解温度，同时项目使用的PVC</w:t>
            </w:r>
            <w:r>
              <w:rPr>
                <w:rFonts w:hint="eastAsia" w:cs="Times New Roman"/>
                <w:color w:val="auto"/>
                <w:szCs w:val="21"/>
                <w:highlight w:val="none"/>
                <w:lang w:val="en-US" w:eastAsia="zh-CN"/>
              </w:rPr>
              <w:t>塑料膜</w:t>
            </w:r>
            <w:r>
              <w:rPr>
                <w:rFonts w:hint="eastAsia" w:ascii="Times New Roman" w:hAnsi="Times New Roman" w:eastAsia="宋体" w:cs="Times New Roman"/>
                <w:color w:val="auto"/>
                <w:szCs w:val="21"/>
                <w:highlight w:val="none"/>
                <w:lang w:val="en-US" w:eastAsia="zh-CN"/>
              </w:rPr>
              <w:t>含有一定量的稳定剂，因此PVC</w:t>
            </w:r>
            <w:r>
              <w:rPr>
                <w:rFonts w:hint="eastAsia" w:cs="Times New Roman"/>
                <w:color w:val="auto"/>
                <w:szCs w:val="21"/>
                <w:highlight w:val="none"/>
                <w:lang w:val="en-US" w:eastAsia="zh-CN"/>
              </w:rPr>
              <w:t>塑料膜</w:t>
            </w:r>
            <w:r>
              <w:rPr>
                <w:rFonts w:hint="eastAsia" w:ascii="Times New Roman" w:hAnsi="Times New Roman" w:eastAsia="宋体" w:cs="Times New Roman"/>
                <w:color w:val="auto"/>
                <w:szCs w:val="21"/>
                <w:highlight w:val="none"/>
                <w:lang w:val="en-US" w:eastAsia="zh-CN"/>
              </w:rPr>
              <w:t>、ABS</w:t>
            </w:r>
            <w:r>
              <w:rPr>
                <w:rFonts w:hint="eastAsia" w:cs="Times New Roman"/>
                <w:color w:val="auto"/>
                <w:szCs w:val="21"/>
                <w:highlight w:val="none"/>
                <w:lang w:val="en-US" w:eastAsia="zh-CN"/>
              </w:rPr>
              <w:t>塑料膜</w:t>
            </w:r>
            <w:r>
              <w:rPr>
                <w:rFonts w:hint="eastAsia" w:ascii="Times New Roman" w:hAnsi="Times New Roman" w:eastAsia="宋体" w:cs="Times New Roman"/>
                <w:color w:val="auto"/>
                <w:szCs w:val="21"/>
                <w:highlight w:val="none"/>
                <w:lang w:val="en-US" w:eastAsia="zh-CN"/>
              </w:rPr>
              <w:t>不会发生分解，但PVC</w:t>
            </w:r>
            <w:r>
              <w:rPr>
                <w:rFonts w:hint="eastAsia" w:cs="Times New Roman"/>
                <w:color w:val="auto"/>
                <w:szCs w:val="21"/>
                <w:highlight w:val="none"/>
                <w:lang w:val="en-US" w:eastAsia="zh-CN"/>
              </w:rPr>
              <w:t>塑料膜</w:t>
            </w:r>
            <w:r>
              <w:rPr>
                <w:rFonts w:hint="eastAsia" w:ascii="Times New Roman" w:hAnsi="Times New Roman" w:eastAsia="宋体" w:cs="Times New Roman"/>
                <w:color w:val="auto"/>
                <w:szCs w:val="21"/>
                <w:highlight w:val="none"/>
                <w:lang w:val="en-US" w:eastAsia="zh-CN"/>
              </w:rPr>
              <w:t>、ABS</w:t>
            </w:r>
            <w:r>
              <w:rPr>
                <w:rFonts w:hint="eastAsia" w:cs="Times New Roman"/>
                <w:color w:val="auto"/>
                <w:szCs w:val="21"/>
                <w:highlight w:val="none"/>
                <w:lang w:val="en-US" w:eastAsia="zh-CN"/>
              </w:rPr>
              <w:t>塑料膜</w:t>
            </w:r>
            <w:r>
              <w:rPr>
                <w:rFonts w:hint="eastAsia" w:ascii="Times New Roman" w:hAnsi="Times New Roman" w:eastAsia="宋体" w:cs="Times New Roman"/>
                <w:color w:val="auto"/>
                <w:szCs w:val="21"/>
                <w:highlight w:val="none"/>
                <w:lang w:val="en-US" w:eastAsia="zh-CN"/>
              </w:rPr>
              <w:t>在</w:t>
            </w:r>
            <w:r>
              <w:rPr>
                <w:rFonts w:hint="eastAsia" w:cs="Times New Roman"/>
                <w:color w:val="auto"/>
                <w:szCs w:val="21"/>
                <w:highlight w:val="none"/>
                <w:lang w:val="en-US" w:eastAsia="zh-CN"/>
              </w:rPr>
              <w:t>吸塑</w:t>
            </w:r>
            <w:r>
              <w:rPr>
                <w:rFonts w:hint="eastAsia" w:ascii="Times New Roman" w:hAnsi="Times New Roman" w:eastAsia="宋体" w:cs="Times New Roman"/>
                <w:color w:val="auto"/>
                <w:szCs w:val="21"/>
                <w:highlight w:val="none"/>
                <w:lang w:val="en-US" w:eastAsia="zh-CN"/>
              </w:rPr>
              <w:t>过程中处于高弹态，PVC原料会析出少量单体气体如氯化氢、氯乙烯，ABS原料会析出少量单体苯乙烯、1，3-丁二烯、丙烯腈、甲苯、乙苯</w:t>
            </w:r>
            <w:r>
              <w:rPr>
                <w:rFonts w:hint="eastAsia" w:cs="Times New Roman"/>
                <w:color w:val="auto"/>
                <w:szCs w:val="21"/>
                <w:highlight w:val="none"/>
                <w:lang w:val="en-US" w:eastAsia="zh-CN"/>
              </w:rPr>
              <w:t>，HTPS原料</w:t>
            </w:r>
            <w:r>
              <w:rPr>
                <w:rFonts w:hint="eastAsia" w:ascii="Times New Roman" w:hAnsi="Times New Roman" w:eastAsia="宋体" w:cs="Times New Roman"/>
                <w:color w:val="auto"/>
                <w:szCs w:val="21"/>
                <w:highlight w:val="none"/>
                <w:lang w:val="en-US" w:eastAsia="zh-CN"/>
              </w:rPr>
              <w:t>会析出少量单体甲苯、乙苯</w:t>
            </w:r>
            <w:r>
              <w:rPr>
                <w:rFonts w:hint="eastAsia" w:cs="Times New Roman"/>
                <w:color w:val="auto"/>
                <w:szCs w:val="21"/>
                <w:highlight w:val="none"/>
                <w:lang w:val="en-US" w:eastAsia="zh-CN"/>
              </w:rPr>
              <w:t>、</w:t>
            </w:r>
            <w:r>
              <w:rPr>
                <w:rFonts w:hint="eastAsia" w:ascii="Times New Roman" w:hAnsi="Times New Roman" w:eastAsia="宋体" w:cs="Times New Roman"/>
                <w:color w:val="auto"/>
                <w:szCs w:val="21"/>
                <w:highlight w:val="none"/>
                <w:lang w:val="en-US" w:eastAsia="zh-CN"/>
              </w:rPr>
              <w:t>苯乙烯。由于采购的</w:t>
            </w:r>
            <w:r>
              <w:rPr>
                <w:rFonts w:hint="eastAsia" w:cs="Times New Roman"/>
                <w:color w:val="auto"/>
                <w:szCs w:val="21"/>
                <w:highlight w:val="none"/>
                <w:lang w:val="en-US" w:eastAsia="zh-CN"/>
              </w:rPr>
              <w:t>塑料膜</w:t>
            </w:r>
            <w:r>
              <w:rPr>
                <w:rFonts w:hint="eastAsia" w:ascii="Times New Roman" w:hAnsi="Times New Roman" w:eastAsia="宋体" w:cs="Times New Roman"/>
                <w:color w:val="auto"/>
                <w:szCs w:val="21"/>
                <w:highlight w:val="none"/>
                <w:lang w:val="en-US" w:eastAsia="zh-CN"/>
              </w:rPr>
              <w:t>经过厂商质检属于合格产品，因此</w:t>
            </w:r>
            <w:r>
              <w:rPr>
                <w:rFonts w:hint="eastAsia" w:cs="Times New Roman"/>
                <w:color w:val="auto"/>
                <w:szCs w:val="21"/>
                <w:highlight w:val="none"/>
                <w:lang w:val="en-US" w:eastAsia="zh-CN"/>
              </w:rPr>
              <w:t>塑料膜</w:t>
            </w:r>
            <w:r>
              <w:rPr>
                <w:rFonts w:hint="eastAsia" w:ascii="Times New Roman" w:hAnsi="Times New Roman" w:eastAsia="宋体" w:cs="Times New Roman"/>
                <w:color w:val="auto"/>
                <w:szCs w:val="21"/>
                <w:highlight w:val="none"/>
                <w:lang w:val="en-US" w:eastAsia="zh-CN"/>
              </w:rPr>
              <w:t>中残留的单体类物质较少，加工过程中挥发量极少，本环评不对特征污染物进行定量核算，仅进行定性分析。建议企业后续通过自行监测进行管控。本环评以非甲烷总烃作为</w:t>
            </w:r>
            <w:r>
              <w:rPr>
                <w:rFonts w:hint="eastAsia" w:cs="Times New Roman"/>
                <w:color w:val="auto"/>
                <w:szCs w:val="21"/>
                <w:highlight w:val="none"/>
                <w:lang w:val="en-US" w:eastAsia="zh-CN"/>
              </w:rPr>
              <w:t>吸塑</w:t>
            </w:r>
            <w:r>
              <w:rPr>
                <w:rFonts w:hint="eastAsia" w:ascii="Times New Roman" w:hAnsi="Times New Roman" w:eastAsia="宋体" w:cs="Times New Roman"/>
                <w:color w:val="auto"/>
                <w:szCs w:val="21"/>
                <w:highlight w:val="none"/>
                <w:lang w:val="en-US" w:eastAsia="zh-CN"/>
              </w:rPr>
              <w:t>工序排放的挥发性有机物的综合管控指标核算排放总量。</w:t>
            </w:r>
          </w:p>
          <w:p w14:paraId="6321EA2F">
            <w:pPr>
              <w:keepNext w:val="0"/>
              <w:keepLines w:val="0"/>
              <w:suppressLineNumbers w:val="0"/>
              <w:snapToGrid w:val="0"/>
              <w:spacing w:before="0" w:beforeAutospacing="0" w:after="0" w:afterAutospacing="0" w:line="360" w:lineRule="auto"/>
              <w:ind w:left="0" w:right="0" w:firstLine="420" w:firstLineChars="20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参考《排放源统计调查产排污核算方法和系数手册》292塑料制品业系数手册中的2927日用塑料制品制造行业系数表（塑料</w:t>
            </w:r>
            <w:r>
              <w:rPr>
                <w:rFonts w:hint="eastAsia" w:cs="Times New Roman"/>
                <w:color w:val="auto"/>
                <w:szCs w:val="21"/>
                <w:highlight w:val="none"/>
                <w:lang w:val="en-US" w:eastAsia="zh-CN"/>
              </w:rPr>
              <w:t>零件</w:t>
            </w:r>
            <w:r>
              <w:rPr>
                <w:rFonts w:hint="eastAsia" w:ascii="Times New Roman" w:hAnsi="Times New Roman" w:eastAsia="宋体" w:cs="Times New Roman"/>
                <w:color w:val="auto"/>
                <w:szCs w:val="21"/>
                <w:highlight w:val="none"/>
                <w:lang w:val="en-US" w:eastAsia="zh-CN"/>
              </w:rPr>
              <w:t>—</w:t>
            </w:r>
            <w:r>
              <w:rPr>
                <w:rFonts w:hint="eastAsia" w:cs="Times New Roman"/>
                <w:color w:val="auto"/>
                <w:szCs w:val="21"/>
                <w:highlight w:val="none"/>
                <w:lang w:val="en-US" w:eastAsia="zh-CN"/>
              </w:rPr>
              <w:t>塑料片材</w:t>
            </w:r>
            <w:r>
              <w:rPr>
                <w:rFonts w:hint="eastAsia" w:ascii="Times New Roman" w:hAnsi="Times New Roman" w:eastAsia="宋体" w:cs="Times New Roman"/>
                <w:color w:val="auto"/>
                <w:szCs w:val="21"/>
                <w:highlight w:val="none"/>
                <w:lang w:val="en-US" w:eastAsia="zh-CN"/>
              </w:rPr>
              <w:t>—</w:t>
            </w:r>
            <w:r>
              <w:rPr>
                <w:rFonts w:hint="eastAsia" w:cs="Times New Roman"/>
                <w:color w:val="auto"/>
                <w:szCs w:val="21"/>
                <w:highlight w:val="none"/>
                <w:lang w:val="en-US" w:eastAsia="zh-CN"/>
              </w:rPr>
              <w:t>吸塑</w:t>
            </w:r>
            <w:r>
              <w:rPr>
                <w:rFonts w:hint="eastAsia" w:ascii="Times New Roman" w:hAnsi="Times New Roman" w:eastAsia="宋体" w:cs="Times New Roman"/>
                <w:color w:val="auto"/>
                <w:szCs w:val="21"/>
                <w:highlight w:val="none"/>
                <w:lang w:val="en-US" w:eastAsia="zh-CN"/>
              </w:rPr>
              <w:t>-</w:t>
            </w:r>
            <w:r>
              <w:rPr>
                <w:rFonts w:hint="eastAsia" w:cs="Times New Roman"/>
                <w:color w:val="auto"/>
                <w:szCs w:val="21"/>
                <w:highlight w:val="none"/>
                <w:lang w:val="en-US" w:eastAsia="zh-CN"/>
              </w:rPr>
              <w:t>裁切</w:t>
            </w:r>
            <w:r>
              <w:rPr>
                <w:rFonts w:hint="eastAsia" w:ascii="Times New Roman" w:hAnsi="Times New Roman" w:eastAsia="宋体" w:cs="Times New Roman"/>
                <w:color w:val="auto"/>
                <w:szCs w:val="21"/>
                <w:highlight w:val="none"/>
                <w:lang w:val="en-US" w:eastAsia="zh-CN"/>
              </w:rPr>
              <w:t>），挥发性有机物产污系数为</w:t>
            </w:r>
            <w:r>
              <w:rPr>
                <w:rFonts w:hint="eastAsia" w:cs="Times New Roman"/>
                <w:color w:val="auto"/>
                <w:szCs w:val="21"/>
                <w:highlight w:val="none"/>
                <w:lang w:val="en-US" w:eastAsia="zh-CN"/>
              </w:rPr>
              <w:t>1.90</w:t>
            </w:r>
            <w:r>
              <w:rPr>
                <w:rFonts w:hint="eastAsia" w:ascii="Times New Roman" w:hAnsi="Times New Roman" w:eastAsia="宋体" w:cs="Times New Roman"/>
                <w:color w:val="auto"/>
                <w:szCs w:val="21"/>
                <w:highlight w:val="none"/>
                <w:lang w:val="en-US" w:eastAsia="zh-CN"/>
              </w:rPr>
              <w:t>千克/吨-产品。项目</w:t>
            </w:r>
            <w:r>
              <w:rPr>
                <w:rFonts w:hint="eastAsia" w:cs="Times New Roman"/>
                <w:color w:val="auto"/>
                <w:szCs w:val="21"/>
                <w:highlight w:val="none"/>
                <w:lang w:val="en-US" w:eastAsia="zh-CN"/>
              </w:rPr>
              <w:t>吸塑</w:t>
            </w:r>
            <w:r>
              <w:rPr>
                <w:rFonts w:hint="eastAsia" w:ascii="Times New Roman" w:hAnsi="Times New Roman" w:eastAsia="宋体" w:cs="Times New Roman"/>
                <w:color w:val="auto"/>
                <w:szCs w:val="21"/>
                <w:highlight w:val="none"/>
                <w:lang w:val="en-US" w:eastAsia="zh-CN"/>
              </w:rPr>
              <w:t>产品产量</w:t>
            </w:r>
            <w:r>
              <w:rPr>
                <w:rFonts w:hint="eastAsia" w:cs="Times New Roman"/>
                <w:color w:val="auto"/>
                <w:szCs w:val="21"/>
                <w:highlight w:val="none"/>
                <w:lang w:val="en-US" w:eastAsia="zh-CN"/>
              </w:rPr>
              <w:t>为150</w:t>
            </w:r>
            <w:r>
              <w:rPr>
                <w:rFonts w:hint="eastAsia" w:ascii="Times New Roman" w:hAnsi="Times New Roman" w:eastAsia="宋体" w:cs="Times New Roman"/>
                <w:color w:val="auto"/>
                <w:szCs w:val="21"/>
                <w:highlight w:val="none"/>
                <w:lang w:val="en-US" w:eastAsia="zh-CN"/>
              </w:rPr>
              <w:t>t/a（单个重量</w:t>
            </w:r>
            <w:r>
              <w:rPr>
                <w:rFonts w:hint="eastAsia" w:cs="Times New Roman"/>
                <w:color w:val="auto"/>
                <w:szCs w:val="21"/>
                <w:highlight w:val="none"/>
                <w:lang w:val="en-US" w:eastAsia="zh-CN"/>
              </w:rPr>
              <w:t>约83</w:t>
            </w:r>
            <w:r>
              <w:rPr>
                <w:rFonts w:hint="eastAsia" w:ascii="Times New Roman" w:hAnsi="Times New Roman" w:eastAsia="宋体" w:cs="Times New Roman"/>
                <w:color w:val="auto"/>
                <w:szCs w:val="21"/>
                <w:highlight w:val="none"/>
                <w:lang w:val="en-US" w:eastAsia="zh-CN"/>
              </w:rPr>
              <w:t>g），则项目</w:t>
            </w:r>
            <w:r>
              <w:rPr>
                <w:rFonts w:hint="eastAsia" w:cs="Times New Roman"/>
                <w:color w:val="auto"/>
                <w:szCs w:val="21"/>
                <w:highlight w:val="none"/>
                <w:lang w:val="en-US" w:eastAsia="zh-CN"/>
              </w:rPr>
              <w:t>吸塑</w:t>
            </w:r>
            <w:r>
              <w:rPr>
                <w:rFonts w:hint="eastAsia" w:ascii="Times New Roman" w:hAnsi="Times New Roman" w:eastAsia="宋体" w:cs="Times New Roman"/>
                <w:color w:val="auto"/>
                <w:szCs w:val="21"/>
                <w:highlight w:val="none"/>
                <w:lang w:val="en-US" w:eastAsia="zh-CN"/>
              </w:rPr>
              <w:t>工序非甲烷总烃产生量约为</w:t>
            </w:r>
            <w:r>
              <w:rPr>
                <w:rFonts w:hint="eastAsia" w:cs="Times New Roman"/>
                <w:color w:val="auto"/>
                <w:szCs w:val="21"/>
                <w:highlight w:val="none"/>
                <w:lang w:val="en-US" w:eastAsia="zh-CN"/>
              </w:rPr>
              <w:t>0.285</w:t>
            </w:r>
            <w:r>
              <w:rPr>
                <w:rFonts w:hint="eastAsia" w:ascii="Times New Roman" w:hAnsi="Times New Roman" w:eastAsia="宋体" w:cs="Times New Roman"/>
                <w:color w:val="auto"/>
                <w:szCs w:val="21"/>
                <w:highlight w:val="none"/>
                <w:lang w:val="en-US" w:eastAsia="zh-CN"/>
              </w:rPr>
              <w:t>t/a，</w:t>
            </w:r>
            <w:r>
              <w:rPr>
                <w:rFonts w:hint="eastAsia" w:cs="Times New Roman"/>
                <w:color w:val="auto"/>
                <w:szCs w:val="21"/>
                <w:highlight w:val="none"/>
                <w:lang w:val="en-US" w:eastAsia="zh-CN"/>
              </w:rPr>
              <w:t>吸塑</w:t>
            </w:r>
            <w:r>
              <w:rPr>
                <w:rFonts w:hint="eastAsia" w:ascii="Times New Roman" w:hAnsi="Times New Roman" w:eastAsia="宋体" w:cs="Times New Roman"/>
                <w:color w:val="auto"/>
                <w:szCs w:val="21"/>
                <w:highlight w:val="none"/>
                <w:lang w:val="en-US" w:eastAsia="zh-CN"/>
              </w:rPr>
              <w:t>机年工作时间为2400h，则非甲烷总烃产生速率为0.</w:t>
            </w:r>
            <w:r>
              <w:rPr>
                <w:rFonts w:hint="eastAsia" w:cs="Times New Roman"/>
                <w:color w:val="auto"/>
                <w:szCs w:val="21"/>
                <w:highlight w:val="none"/>
                <w:lang w:val="en-US" w:eastAsia="zh-CN"/>
              </w:rPr>
              <w:t>1188</w:t>
            </w:r>
            <w:r>
              <w:rPr>
                <w:rFonts w:hint="eastAsia" w:ascii="Times New Roman" w:hAnsi="Times New Roman" w:eastAsia="宋体" w:cs="Times New Roman"/>
                <w:color w:val="auto"/>
                <w:szCs w:val="21"/>
                <w:highlight w:val="none"/>
                <w:lang w:val="en-US" w:eastAsia="zh-CN"/>
              </w:rPr>
              <w:t>kg/h。项目</w:t>
            </w:r>
            <w:r>
              <w:rPr>
                <w:rFonts w:hint="eastAsia" w:cs="Times New Roman"/>
                <w:color w:val="auto"/>
                <w:szCs w:val="21"/>
                <w:highlight w:val="none"/>
                <w:lang w:val="en-US" w:eastAsia="zh-CN"/>
              </w:rPr>
              <w:t>吸塑</w:t>
            </w:r>
            <w:r>
              <w:rPr>
                <w:rFonts w:hint="eastAsia" w:ascii="Times New Roman" w:hAnsi="Times New Roman" w:eastAsia="宋体" w:cs="Times New Roman"/>
                <w:color w:val="auto"/>
                <w:szCs w:val="21"/>
                <w:highlight w:val="none"/>
                <w:lang w:val="en-US" w:eastAsia="zh-CN"/>
              </w:rPr>
              <w:t>工序产生的非甲烷总烃经收集后通过“</w:t>
            </w:r>
            <w:r>
              <w:rPr>
                <w:rFonts w:hint="eastAsia" w:cs="Times New Roman"/>
                <w:color w:val="auto"/>
                <w:szCs w:val="21"/>
                <w:highlight w:val="none"/>
                <w:lang w:val="en-US" w:eastAsia="zh-CN"/>
              </w:rPr>
              <w:t>空气冷却器</w:t>
            </w:r>
            <w:r>
              <w:rPr>
                <w:rFonts w:hint="eastAsia" w:ascii="Times New Roman" w:hAnsi="Times New Roman" w:eastAsia="宋体" w:cs="Times New Roman"/>
                <w:color w:val="auto"/>
                <w:szCs w:val="21"/>
                <w:highlight w:val="none"/>
                <w:lang w:val="en-US" w:eastAsia="zh-CN"/>
              </w:rPr>
              <w:t>+</w:t>
            </w:r>
            <w:r>
              <w:rPr>
                <w:rFonts w:hint="eastAsia" w:cs="Times New Roman"/>
                <w:color w:val="auto"/>
                <w:szCs w:val="21"/>
                <w:highlight w:val="none"/>
                <w:lang w:val="en-US" w:eastAsia="zh-CN"/>
              </w:rPr>
              <w:t>两</w:t>
            </w:r>
            <w:r>
              <w:rPr>
                <w:rFonts w:hint="eastAsia" w:ascii="Times New Roman" w:hAnsi="Times New Roman" w:eastAsia="宋体" w:cs="Times New Roman"/>
                <w:color w:val="auto"/>
                <w:szCs w:val="21"/>
                <w:highlight w:val="none"/>
                <w:lang w:val="en-US" w:eastAsia="zh-CN"/>
              </w:rPr>
              <w:t>级活性炭吸附装置”处理达标后于</w:t>
            </w:r>
            <w:r>
              <w:rPr>
                <w:rFonts w:hint="eastAsia" w:cs="Times New Roman"/>
                <w:color w:val="auto"/>
                <w:szCs w:val="21"/>
                <w:highlight w:val="none"/>
                <w:lang w:val="en-US" w:eastAsia="zh-CN"/>
              </w:rPr>
              <w:t>4</w:t>
            </w:r>
            <w:r>
              <w:rPr>
                <w:rFonts w:hint="eastAsia" w:ascii="Times New Roman" w:hAnsi="Times New Roman" w:eastAsia="宋体" w:cs="Times New Roman"/>
                <w:color w:val="auto"/>
                <w:szCs w:val="21"/>
                <w:highlight w:val="none"/>
                <w:lang w:val="en-US" w:eastAsia="zh-CN"/>
              </w:rPr>
              <w:t>6m排气筒DA001高空排放。</w:t>
            </w:r>
          </w:p>
          <w:p w14:paraId="6DBA0838">
            <w:pPr>
              <w:keepNext w:val="0"/>
              <w:keepLines w:val="0"/>
              <w:widowControl/>
              <w:suppressLineNumbers w:val="0"/>
              <w:adjustRightInd w:val="0"/>
              <w:snapToGrid w:val="0"/>
              <w:spacing w:before="0" w:beforeAutospacing="0" w:after="0" w:afterAutospacing="0" w:line="360" w:lineRule="auto"/>
              <w:ind w:left="0" w:right="0" w:firstLine="420" w:firstLineChars="200"/>
              <w:rPr>
                <w:rFonts w:hint="default" w:ascii="Times New Roman" w:hAnsi="Times New Roman" w:eastAsia="宋体" w:cs="Times New Roman"/>
                <w:color w:val="auto"/>
                <w:szCs w:val="21"/>
                <w:highlight w:val="none"/>
              </w:rPr>
            </w:pPr>
            <w:r>
              <w:rPr>
                <w:rFonts w:hint="default" w:ascii="Times New Roman" w:hAnsi="Times New Roman" w:eastAsia="宋体" w:cs="Times New Roman"/>
                <w:bCs/>
                <w:color w:val="auto"/>
                <w:szCs w:val="21"/>
                <w:highlight w:val="none"/>
              </w:rPr>
              <w:t>b.臭气浓度</w:t>
            </w:r>
            <w:r>
              <w:rPr>
                <w:rFonts w:hint="eastAsia" w:ascii="Times New Roman" w:hAnsi="Times New Roman" w:eastAsia="宋体" w:cs="Times New Roman"/>
                <w:bCs/>
                <w:color w:val="auto"/>
                <w:szCs w:val="21"/>
                <w:highlight w:val="none"/>
                <w:lang w:eastAsia="zh-CN"/>
              </w:rPr>
              <w:t>。</w:t>
            </w:r>
            <w:r>
              <w:rPr>
                <w:rFonts w:hint="default" w:ascii="Times New Roman" w:hAnsi="Times New Roman" w:eastAsia="宋体" w:cs="Times New Roman"/>
                <w:color w:val="auto"/>
                <w:szCs w:val="21"/>
                <w:highlight w:val="none"/>
              </w:rPr>
              <w:t>企业在使用不同</w:t>
            </w:r>
            <w:r>
              <w:rPr>
                <w:rFonts w:hint="eastAsia" w:cs="Times New Roman"/>
                <w:color w:val="auto"/>
                <w:szCs w:val="21"/>
                <w:highlight w:val="none"/>
                <w:lang w:val="en-US" w:eastAsia="zh-CN"/>
              </w:rPr>
              <w:t>塑料原料</w:t>
            </w:r>
            <w:r>
              <w:rPr>
                <w:rFonts w:hint="default" w:ascii="Times New Roman" w:hAnsi="Times New Roman" w:eastAsia="宋体" w:cs="Times New Roman"/>
                <w:color w:val="auto"/>
                <w:szCs w:val="21"/>
                <w:highlight w:val="none"/>
              </w:rPr>
              <w:t>时，根据各原料成型、分解温度，严格设定</w:t>
            </w:r>
            <w:r>
              <w:rPr>
                <w:rFonts w:hint="eastAsia" w:ascii="Times New Roman" w:hAnsi="Times New Roman" w:eastAsia="宋体" w:cs="Times New Roman"/>
                <w:color w:val="auto"/>
                <w:szCs w:val="21"/>
                <w:highlight w:val="none"/>
                <w:lang w:val="en-US" w:eastAsia="zh-CN"/>
              </w:rPr>
              <w:t>吸塑</w:t>
            </w:r>
            <w:r>
              <w:rPr>
                <w:rFonts w:hint="default" w:ascii="Times New Roman" w:hAnsi="Times New Roman" w:eastAsia="宋体" w:cs="Times New Roman"/>
                <w:color w:val="auto"/>
                <w:szCs w:val="21"/>
                <w:highlight w:val="none"/>
              </w:rPr>
              <w:t>机</w:t>
            </w:r>
            <w:r>
              <w:rPr>
                <w:rFonts w:hint="eastAsia" w:ascii="Times New Roman" w:hAnsi="Times New Roman" w:eastAsia="宋体" w:cs="Times New Roman"/>
                <w:color w:val="auto"/>
                <w:szCs w:val="21"/>
                <w:highlight w:val="none"/>
                <w:lang w:val="en-US" w:eastAsia="zh-CN"/>
              </w:rPr>
              <w:t>加工</w:t>
            </w:r>
            <w:r>
              <w:rPr>
                <w:rFonts w:hint="default" w:ascii="Times New Roman" w:hAnsi="Times New Roman" w:eastAsia="宋体" w:cs="Times New Roman"/>
                <w:color w:val="auto"/>
                <w:szCs w:val="21"/>
                <w:highlight w:val="none"/>
              </w:rPr>
              <w:t>温度，使各种塑料在</w:t>
            </w:r>
            <w:r>
              <w:rPr>
                <w:rFonts w:hint="eastAsia" w:ascii="Times New Roman" w:hAnsi="Times New Roman" w:eastAsia="宋体" w:cs="Times New Roman"/>
                <w:color w:val="auto"/>
                <w:szCs w:val="21"/>
                <w:highlight w:val="none"/>
                <w:lang w:val="en-US" w:eastAsia="zh-CN"/>
              </w:rPr>
              <w:t>吸塑</w:t>
            </w:r>
            <w:r>
              <w:rPr>
                <w:rFonts w:hint="default" w:ascii="Times New Roman" w:hAnsi="Times New Roman" w:eastAsia="宋体" w:cs="Times New Roman"/>
                <w:color w:val="auto"/>
                <w:szCs w:val="21"/>
                <w:highlight w:val="none"/>
              </w:rPr>
              <w:t>过程中仅由固态变为熔融状态，不产生分解，但在加热过程中可能会导致</w:t>
            </w:r>
            <w:r>
              <w:rPr>
                <w:rFonts w:hint="eastAsia" w:ascii="Times New Roman" w:hAnsi="Times New Roman" w:eastAsia="宋体" w:cs="Times New Roman"/>
                <w:color w:val="auto"/>
                <w:szCs w:val="21"/>
                <w:highlight w:val="none"/>
                <w:lang w:val="en-US" w:eastAsia="zh-CN"/>
              </w:rPr>
              <w:t>原料</w:t>
            </w:r>
            <w:r>
              <w:rPr>
                <w:rFonts w:hint="default" w:ascii="Times New Roman" w:hAnsi="Times New Roman" w:eastAsia="宋体" w:cs="Times New Roman"/>
                <w:color w:val="auto"/>
                <w:szCs w:val="21"/>
                <w:highlight w:val="none"/>
              </w:rPr>
              <w:t>中其他侧链断裂，会有少量的有机废气产生，参考《排放源统计调查产排污核算方法和系数手册》（生态环境部公告2021年第24号）中292塑料制品行业系数手册，这些极少量的挥发性有机物、臭气浓度与原料品质有关，在严格品控的情况下，产生量极少。</w:t>
            </w:r>
          </w:p>
          <w:p w14:paraId="10D5DB63">
            <w:pPr>
              <w:keepNext w:val="0"/>
              <w:keepLines w:val="0"/>
              <w:suppressLineNumbers w:val="0"/>
              <w:adjustRightInd w:val="0"/>
              <w:snapToGrid w:val="0"/>
              <w:spacing w:before="0" w:beforeAutospacing="0" w:after="0" w:afterAutospacing="0" w:line="360" w:lineRule="auto"/>
              <w:ind w:left="0" w:right="0" w:firstLine="420" w:firstLineChars="200"/>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建议企业取得排污许可登记后通过自行监测。</w:t>
            </w:r>
            <w:r>
              <w:rPr>
                <w:rFonts w:hint="eastAsia" w:ascii="Times New Roman" w:hAnsi="Times New Roman" w:eastAsia="宋体" w:cs="Times New Roman"/>
                <w:color w:val="auto"/>
                <w:szCs w:val="21"/>
                <w:highlight w:val="none"/>
                <w:lang w:val="en-US" w:eastAsia="zh-CN"/>
              </w:rPr>
              <w:t>吸塑</w:t>
            </w:r>
            <w:r>
              <w:rPr>
                <w:rFonts w:hint="default" w:ascii="Times New Roman" w:hAnsi="Times New Roman" w:eastAsia="宋体" w:cs="Times New Roman"/>
                <w:color w:val="auto"/>
                <w:szCs w:val="21"/>
                <w:highlight w:val="none"/>
              </w:rPr>
              <w:t>过程中产生的极少量臭气浓度通过加强车间通风换气处理，经稀释扩散后对周围大气环境影响不大。</w:t>
            </w:r>
          </w:p>
          <w:p w14:paraId="54100A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2" w:firstLineChars="200"/>
              <w:textAlignment w:val="auto"/>
              <w:rPr>
                <w:rFonts w:hint="default" w:ascii="Times New Roman" w:hAnsi="Times New Roman" w:eastAsia="宋体" w:cs="Times New Roman"/>
                <w:b/>
                <w:bCs w:val="0"/>
                <w:color w:val="auto"/>
                <w:szCs w:val="21"/>
                <w:highlight w:val="none"/>
                <w:lang w:val="en-US" w:eastAsia="zh-CN"/>
              </w:rPr>
            </w:pPr>
            <w:r>
              <w:rPr>
                <w:rFonts w:hint="default" w:ascii="Times New Roman" w:hAnsi="Times New Roman" w:eastAsia="宋体" w:cs="Times New Roman"/>
                <w:b/>
                <w:bCs w:val="0"/>
                <w:color w:val="auto"/>
                <w:szCs w:val="21"/>
                <w:highlight w:val="none"/>
                <w:lang w:val="en-US" w:eastAsia="zh-CN"/>
              </w:rPr>
              <w:t>（2）拟采取的处理措施</w:t>
            </w:r>
          </w:p>
          <w:p w14:paraId="530169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2" w:firstLineChars="200"/>
              <w:textAlignment w:val="auto"/>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b/>
                <w:bCs w:val="0"/>
                <w:color w:val="auto"/>
                <w:szCs w:val="21"/>
                <w:highlight w:val="none"/>
                <w:lang w:val="en-US" w:eastAsia="zh-CN"/>
              </w:rPr>
              <w:t>废气</w:t>
            </w:r>
            <w:r>
              <w:rPr>
                <w:rFonts w:hint="default" w:ascii="Times New Roman" w:hAnsi="Times New Roman" w:eastAsia="宋体" w:cs="Times New Roman"/>
                <w:b/>
                <w:bCs/>
                <w:color w:val="auto"/>
                <w:szCs w:val="21"/>
                <w:highlight w:val="none"/>
              </w:rPr>
              <w:t>收集方式及效率</w:t>
            </w:r>
            <w:r>
              <w:rPr>
                <w:rFonts w:hint="default" w:ascii="Times New Roman" w:hAnsi="Times New Roman" w:eastAsia="宋体" w:cs="Times New Roman"/>
                <w:b/>
                <w:bCs/>
                <w:color w:val="auto"/>
                <w:szCs w:val="21"/>
                <w:highlight w:val="none"/>
                <w:lang w:eastAsia="zh-CN"/>
              </w:rPr>
              <w:t>：</w:t>
            </w:r>
            <w:r>
              <w:rPr>
                <w:rFonts w:hint="default" w:ascii="Times New Roman" w:hAnsi="Times New Roman" w:eastAsia="宋体" w:cs="Times New Roman"/>
                <w:color w:val="auto"/>
                <w:szCs w:val="21"/>
                <w:highlight w:val="none"/>
              </w:rPr>
              <w:t>项目拟在</w:t>
            </w:r>
            <w:r>
              <w:rPr>
                <w:rFonts w:hint="eastAsia" w:cs="Times New Roman"/>
                <w:color w:val="auto"/>
                <w:szCs w:val="21"/>
                <w:highlight w:val="none"/>
                <w:lang w:val="en-US" w:eastAsia="zh-CN"/>
              </w:rPr>
              <w:t>吸塑</w:t>
            </w:r>
            <w:r>
              <w:rPr>
                <w:rFonts w:hint="default" w:ascii="Times New Roman" w:hAnsi="Times New Roman" w:eastAsia="宋体" w:cs="Times New Roman"/>
                <w:color w:val="auto"/>
                <w:szCs w:val="21"/>
                <w:highlight w:val="none"/>
              </w:rPr>
              <w:t>机</w:t>
            </w:r>
            <w:r>
              <w:rPr>
                <w:rFonts w:hint="eastAsia" w:cs="Times New Roman"/>
                <w:color w:val="auto"/>
                <w:szCs w:val="21"/>
                <w:highlight w:val="none"/>
                <w:lang w:val="en-US" w:eastAsia="zh-CN"/>
              </w:rPr>
              <w:t>和印刷机</w:t>
            </w:r>
            <w:r>
              <w:rPr>
                <w:rFonts w:hint="default" w:ascii="Times New Roman" w:hAnsi="Times New Roman" w:eastAsia="宋体" w:cs="Times New Roman"/>
                <w:color w:val="auto"/>
                <w:szCs w:val="21"/>
                <w:highlight w:val="none"/>
              </w:rPr>
              <w:t>上方设置</w:t>
            </w:r>
            <w:r>
              <w:rPr>
                <w:rFonts w:hint="default" w:ascii="Times New Roman" w:hAnsi="Times New Roman" w:eastAsia="宋体" w:cs="Times New Roman"/>
                <w:color w:val="auto"/>
                <w:szCs w:val="21"/>
                <w:highlight w:val="none"/>
                <w:lang w:val="en-US" w:eastAsia="zh-CN"/>
              </w:rPr>
              <w:t>集气</w:t>
            </w:r>
            <w:r>
              <w:rPr>
                <w:rFonts w:hint="eastAsia" w:cs="Times New Roman"/>
                <w:color w:val="auto"/>
                <w:szCs w:val="21"/>
                <w:highlight w:val="none"/>
                <w:lang w:val="en-US" w:eastAsia="zh-CN"/>
              </w:rPr>
              <w:t>罩</w:t>
            </w:r>
            <w:r>
              <w:rPr>
                <w:rFonts w:hint="default" w:ascii="Times New Roman" w:hAnsi="Times New Roman" w:eastAsia="宋体" w:cs="Times New Roman"/>
                <w:color w:val="auto"/>
                <w:szCs w:val="21"/>
                <w:highlight w:val="none"/>
              </w:rPr>
              <w:t>收集废气，</w:t>
            </w:r>
            <w:r>
              <w:rPr>
                <w:rFonts w:hint="eastAsia" w:cs="Times New Roman"/>
                <w:color w:val="auto"/>
                <w:szCs w:val="21"/>
                <w:highlight w:val="none"/>
                <w:lang w:val="en-US" w:eastAsia="zh-CN"/>
              </w:rPr>
              <w:t>包围</w:t>
            </w:r>
            <w:r>
              <w:rPr>
                <w:rFonts w:hint="default" w:ascii="Times New Roman" w:hAnsi="Times New Roman" w:eastAsia="宋体" w:cs="Times New Roman"/>
                <w:color w:val="auto"/>
                <w:szCs w:val="21"/>
                <w:highlight w:val="none"/>
              </w:rPr>
              <w:t>型集气罩仅保留物料进出通道，且在集气罩四周设置橡胶裙带进行围挡</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根据《广东省生态环境厅关于印发工业源挥发性有机物和氮氧化物减排量核算方法的通知》（粤环函〔2023〕538号）</w:t>
            </w:r>
            <w:r>
              <w:rPr>
                <w:rFonts w:hint="default" w:ascii="Times New Roman" w:hAnsi="Times New Roman" w:eastAsia="宋体" w:cs="Times New Roman"/>
                <w:color w:val="auto"/>
                <w:szCs w:val="21"/>
                <w:highlight w:val="none"/>
                <w:lang w:val="en-US" w:eastAsia="zh-CN"/>
              </w:rPr>
              <w:t>附件《广东省工业源挥发性有机物减排量核算方法（2023年修订版）》中表3.3-2</w:t>
            </w:r>
            <w:r>
              <w:rPr>
                <w:rFonts w:hint="default" w:ascii="Times New Roman" w:hAnsi="Times New Roman" w:eastAsia="宋体" w:cs="Times New Roman"/>
                <w:color w:val="auto"/>
                <w:szCs w:val="21"/>
                <w:highlight w:val="none"/>
              </w:rPr>
              <w:t>废气收集集气效率参考值，</w:t>
            </w:r>
            <w:r>
              <w:rPr>
                <w:rFonts w:hint="default" w:ascii="Times New Roman" w:hAnsi="Times New Roman" w:eastAsia="宋体" w:cs="Times New Roman"/>
                <w:color w:val="auto"/>
                <w:szCs w:val="21"/>
                <w:highlight w:val="none"/>
                <w:lang w:val="en-US" w:eastAsia="zh-CN"/>
              </w:rPr>
              <w:t>采用</w:t>
            </w:r>
            <w:r>
              <w:rPr>
                <w:rFonts w:hint="eastAsia" w:cs="Times New Roman"/>
                <w:color w:val="auto"/>
                <w:szCs w:val="21"/>
                <w:highlight w:val="none"/>
                <w:lang w:val="en-US" w:eastAsia="zh-CN"/>
              </w:rPr>
              <w:t>包围</w:t>
            </w:r>
            <w:r>
              <w:rPr>
                <w:rFonts w:hint="default" w:ascii="Times New Roman" w:hAnsi="Times New Roman" w:eastAsia="宋体" w:cs="Times New Roman"/>
                <w:color w:val="auto"/>
                <w:szCs w:val="21"/>
                <w:highlight w:val="none"/>
                <w:lang w:val="en-US" w:eastAsia="zh-CN"/>
              </w:rPr>
              <w:t>型集气</w:t>
            </w:r>
            <w:r>
              <w:rPr>
                <w:rFonts w:hint="eastAsia" w:cs="Times New Roman"/>
                <w:color w:val="auto"/>
                <w:szCs w:val="21"/>
                <w:highlight w:val="none"/>
                <w:lang w:val="en-US" w:eastAsia="zh-CN"/>
              </w:rPr>
              <w:t>罩</w:t>
            </w:r>
            <w:r>
              <w:rPr>
                <w:rFonts w:hint="default" w:ascii="Times New Roman" w:hAnsi="Times New Roman" w:eastAsia="宋体" w:cs="Times New Roman"/>
                <w:color w:val="auto"/>
                <w:szCs w:val="21"/>
                <w:highlight w:val="none"/>
                <w:lang w:val="en-US" w:eastAsia="zh-CN"/>
              </w:rPr>
              <w:t>，通过软质垂帘四周围挡（偶有部分敞开）</w:t>
            </w:r>
            <w:r>
              <w:rPr>
                <w:rFonts w:hint="eastAsia" w:cs="Times New Roman"/>
                <w:color w:val="auto"/>
                <w:szCs w:val="21"/>
                <w:highlight w:val="none"/>
                <w:lang w:val="en-US" w:eastAsia="zh-CN"/>
              </w:rPr>
              <w:t>，</w:t>
            </w:r>
            <w:r>
              <w:rPr>
                <w:rFonts w:hint="default" w:ascii="Times New Roman" w:hAnsi="Times New Roman" w:eastAsia="宋体" w:cs="Times New Roman"/>
                <w:color w:val="auto"/>
                <w:szCs w:val="21"/>
                <w:highlight w:val="none"/>
                <w:lang w:val="en-US" w:eastAsia="zh-CN"/>
              </w:rPr>
              <w:t>敞开面控制风速不小于0.3m/s，废气收集效率取</w:t>
            </w:r>
            <w:r>
              <w:rPr>
                <w:rFonts w:hint="eastAsia" w:cs="Times New Roman"/>
                <w:color w:val="auto"/>
                <w:szCs w:val="21"/>
                <w:highlight w:val="none"/>
                <w:lang w:val="en-US" w:eastAsia="zh-CN"/>
              </w:rPr>
              <w:t>50</w:t>
            </w:r>
            <w:r>
              <w:rPr>
                <w:rFonts w:hint="default" w:ascii="Times New Roman" w:hAnsi="Times New Roman" w:eastAsia="宋体" w:cs="Times New Roman"/>
                <w:color w:val="auto"/>
                <w:szCs w:val="21"/>
                <w:highlight w:val="none"/>
                <w:lang w:val="en-US" w:eastAsia="zh-CN"/>
              </w:rPr>
              <w:t>%。</w:t>
            </w:r>
          </w:p>
          <w:p w14:paraId="78893542">
            <w:pPr>
              <w:pStyle w:val="2"/>
              <w:keepNext w:val="0"/>
              <w:keepLines w:val="0"/>
              <w:suppressLineNumbers w:val="0"/>
              <w:spacing w:before="0" w:beforeAutospacing="0" w:after="0" w:afterAutospacing="0"/>
              <w:ind w:left="0" w:right="0"/>
              <w:jc w:val="center"/>
              <w:rPr>
                <w:rFonts w:hint="eastAsia"/>
                <w:color w:val="auto"/>
                <w:highlight w:val="none"/>
                <w:lang w:eastAsia="zh-CN"/>
              </w:rPr>
            </w:pPr>
            <w:r>
              <w:rPr>
                <w:rFonts w:hint="eastAsia" w:eastAsia="等线"/>
                <w:color w:val="auto"/>
                <w:highlight w:val="none"/>
                <w:vertAlign w:val="baseline"/>
                <w:lang w:eastAsia="zh-CN"/>
              </w:rPr>
              <w:drawing>
                <wp:inline distT="0" distB="0" distL="114300" distR="114300">
                  <wp:extent cx="2465705" cy="2228850"/>
                  <wp:effectExtent l="0" t="0" r="3175" b="11430"/>
                  <wp:docPr id="239" name="图片 239" descr="集气罩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图片 239" descr="集气罩示意图"/>
                          <pic:cNvPicPr>
                            <a:picLocks noChangeAspect="1"/>
                          </pic:cNvPicPr>
                        </pic:nvPicPr>
                        <pic:blipFill>
                          <a:blip r:embed="rId14"/>
                          <a:stretch>
                            <a:fillRect/>
                          </a:stretch>
                        </pic:blipFill>
                        <pic:spPr>
                          <a:xfrm>
                            <a:off x="0" y="0"/>
                            <a:ext cx="2465705" cy="2228850"/>
                          </a:xfrm>
                          <a:prstGeom prst="rect">
                            <a:avLst/>
                          </a:prstGeom>
                        </pic:spPr>
                      </pic:pic>
                    </a:graphicData>
                  </a:graphic>
                </wp:inline>
              </w:drawing>
            </w:r>
          </w:p>
          <w:p w14:paraId="7A43C2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157" w:afterLines="50" w:afterAutospacing="0"/>
              <w:ind w:left="0" w:right="0"/>
              <w:jc w:val="center"/>
              <w:textAlignment w:val="auto"/>
              <w:rPr>
                <w:rFonts w:hint="default" w:ascii="Times New Roman" w:hAnsi="Times New Roman" w:eastAsia="宋体" w:cs="Times New Roman"/>
                <w:b/>
                <w:bCs/>
                <w:color w:val="auto"/>
                <w:szCs w:val="21"/>
                <w:highlight w:val="none"/>
                <w:lang w:val="en-US" w:eastAsia="zh-CN"/>
              </w:rPr>
            </w:pPr>
            <w:r>
              <w:rPr>
                <w:rFonts w:hint="eastAsia" w:ascii="Times New Roman" w:hAnsi="Times New Roman" w:eastAsia="宋体" w:cs="Times New Roman"/>
                <w:b/>
                <w:bCs/>
                <w:color w:val="auto"/>
                <w:szCs w:val="21"/>
                <w:highlight w:val="none"/>
                <w:lang w:val="en-US" w:eastAsia="zh-CN"/>
              </w:rPr>
              <w:t>图4-1 项目集气设施示意图</w:t>
            </w:r>
          </w:p>
          <w:p w14:paraId="2AE8D84B">
            <w:pPr>
              <w:keepNext w:val="0"/>
              <w:keepLines w:val="0"/>
              <w:widowControl/>
              <w:suppressLineNumbers w:val="0"/>
              <w:adjustRightInd w:val="0"/>
              <w:snapToGrid w:val="0"/>
              <w:spacing w:before="0" w:beforeAutospacing="0" w:after="0" w:afterAutospacing="0" w:line="360" w:lineRule="auto"/>
              <w:ind w:left="0" w:right="0" w:firstLine="422" w:firstLineChars="200"/>
              <w:rPr>
                <w:rFonts w:hint="eastAsia" w:ascii="Times New Roman" w:hAnsi="Times New Roman" w:eastAsia="宋体" w:cs="Times New Roman"/>
                <w:color w:val="auto"/>
                <w:szCs w:val="21"/>
                <w:highlight w:val="none"/>
                <w:lang w:eastAsia="zh-CN"/>
              </w:rPr>
            </w:pPr>
            <w:r>
              <w:rPr>
                <w:rFonts w:hint="default" w:ascii="Times New Roman" w:hAnsi="Times New Roman" w:eastAsia="宋体" w:cs="Times New Roman"/>
                <w:b/>
                <w:bCs/>
                <w:color w:val="auto"/>
                <w:szCs w:val="21"/>
                <w:highlight w:val="none"/>
              </w:rPr>
              <w:t>风量核算</w:t>
            </w:r>
            <w:r>
              <w:rPr>
                <w:rFonts w:hint="default" w:ascii="Times New Roman" w:hAnsi="Times New Roman" w:eastAsia="宋体" w:cs="Times New Roman"/>
                <w:b/>
                <w:bCs/>
                <w:color w:val="auto"/>
                <w:szCs w:val="21"/>
                <w:highlight w:val="none"/>
                <w:lang w:eastAsia="zh-CN"/>
              </w:rPr>
              <w:t>：</w:t>
            </w:r>
            <w:r>
              <w:rPr>
                <w:rFonts w:hint="default" w:ascii="Times New Roman" w:hAnsi="Times New Roman" w:eastAsia="宋体" w:cs="Times New Roman"/>
                <w:color w:val="auto"/>
                <w:szCs w:val="21"/>
                <w:highlight w:val="none"/>
              </w:rPr>
              <w:t>根据《环境工程技术手册</w:t>
            </w:r>
            <w:r>
              <w:rPr>
                <w:rFonts w:hint="eastAsia"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废气处理工程技术手册》（王纯、张殿印主编，化学工业出版社，2013年1月第1版），上部伞形集气罩（三侧有围挡时）风量确定计算公式</w:t>
            </w:r>
            <w:r>
              <w:rPr>
                <w:rFonts w:hint="eastAsia" w:cs="Times New Roman"/>
                <w:color w:val="auto"/>
                <w:szCs w:val="21"/>
                <w:highlight w:val="none"/>
                <w:lang w:eastAsia="zh-CN"/>
              </w:rPr>
              <w:t>：</w:t>
            </w:r>
          </w:p>
          <w:p w14:paraId="0FCCE1F9">
            <w:pPr>
              <w:keepNext w:val="0"/>
              <w:keepLines w:val="0"/>
              <w:widowControl/>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Q=</w:t>
            </w:r>
            <w:r>
              <w:rPr>
                <w:rFonts w:hint="eastAsia" w:ascii="Times New Roman" w:hAnsi="Times New Roman" w:eastAsia="宋体" w:cs="Times New Roman"/>
                <w:color w:val="auto"/>
                <w:szCs w:val="21"/>
                <w:highlight w:val="none"/>
                <w:lang w:val="en-US" w:eastAsia="zh-CN"/>
              </w:rPr>
              <w:t>3600</w:t>
            </w:r>
            <w:r>
              <w:rPr>
                <w:rFonts w:hint="default" w:ascii="Times New Roman" w:hAnsi="Times New Roman" w:eastAsia="宋体" w:cs="Times New Roman"/>
                <w:color w:val="auto"/>
                <w:szCs w:val="21"/>
                <w:highlight w:val="none"/>
              </w:rPr>
              <w:t>WHVx</w:t>
            </w:r>
          </w:p>
          <w:p w14:paraId="6ABF6E16">
            <w:pPr>
              <w:keepNext w:val="0"/>
              <w:keepLines w:val="0"/>
              <w:widowControl/>
              <w:suppressLineNumbers w:val="0"/>
              <w:adjustRightInd w:val="0"/>
              <w:snapToGrid w:val="0"/>
              <w:spacing w:before="0" w:beforeAutospacing="0" w:after="0" w:afterAutospacing="0" w:line="360" w:lineRule="auto"/>
              <w:ind w:left="0" w:right="0" w:firstLine="420" w:firstLineChars="200"/>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式中</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Q</w:t>
            </w:r>
            <w:r>
              <w:rPr>
                <w:rFonts w:hint="eastAsia" w:cs="Times New Roman"/>
                <w:color w:val="auto"/>
                <w:szCs w:val="21"/>
                <w:highlight w:val="none"/>
                <w:lang w:eastAsia="zh-CN"/>
              </w:rPr>
              <w:t>——</w:t>
            </w:r>
            <w:r>
              <w:rPr>
                <w:rFonts w:hint="default" w:ascii="Times New Roman" w:hAnsi="Times New Roman" w:eastAsia="宋体" w:cs="Times New Roman"/>
                <w:color w:val="auto"/>
                <w:szCs w:val="21"/>
                <w:highlight w:val="none"/>
              </w:rPr>
              <w:t>集气罩排风量，m</w:t>
            </w:r>
            <w:r>
              <w:rPr>
                <w:rFonts w:hint="default" w:ascii="Times New Roman" w:hAnsi="Times New Roman" w:eastAsia="宋体" w:cs="Times New Roman"/>
                <w:color w:val="auto"/>
                <w:szCs w:val="21"/>
                <w:highlight w:val="none"/>
                <w:vertAlign w:val="superscript"/>
              </w:rPr>
              <w:t>3</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h</w:t>
            </w:r>
            <w:r>
              <w:rPr>
                <w:rFonts w:hint="default" w:ascii="Times New Roman" w:hAnsi="Times New Roman" w:eastAsia="宋体" w:cs="Times New Roman"/>
                <w:color w:val="auto"/>
                <w:szCs w:val="21"/>
                <w:highlight w:val="none"/>
              </w:rPr>
              <w:t>；</w:t>
            </w:r>
          </w:p>
          <w:p w14:paraId="4DA91FB6">
            <w:pPr>
              <w:keepNext w:val="0"/>
              <w:keepLines w:val="0"/>
              <w:widowControl/>
              <w:suppressLineNumbers w:val="0"/>
              <w:adjustRightInd w:val="0"/>
              <w:snapToGrid w:val="0"/>
              <w:spacing w:before="0" w:beforeAutospacing="0" w:after="0" w:afterAutospacing="0" w:line="360" w:lineRule="auto"/>
              <w:ind w:left="0" w:right="0" w:firstLine="420" w:firstLineChars="200"/>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w:t>
            </w:r>
            <w:r>
              <w:rPr>
                <w:rFonts w:hint="eastAsia" w:cs="Times New Roman"/>
                <w:color w:val="auto"/>
                <w:szCs w:val="21"/>
                <w:highlight w:val="none"/>
                <w:lang w:eastAsia="zh-CN"/>
              </w:rPr>
              <w:t>——</w:t>
            </w:r>
            <w:r>
              <w:rPr>
                <w:rFonts w:hint="default" w:ascii="Times New Roman" w:hAnsi="Times New Roman" w:eastAsia="宋体" w:cs="Times New Roman"/>
                <w:color w:val="auto"/>
                <w:szCs w:val="21"/>
                <w:highlight w:val="none"/>
              </w:rPr>
              <w:t>罩口的长度，m；</w:t>
            </w:r>
          </w:p>
          <w:p w14:paraId="2B07796F">
            <w:pPr>
              <w:keepNext w:val="0"/>
              <w:keepLines w:val="0"/>
              <w:widowControl/>
              <w:suppressLineNumbers w:val="0"/>
              <w:adjustRightInd w:val="0"/>
              <w:snapToGrid w:val="0"/>
              <w:spacing w:before="0" w:beforeAutospacing="0" w:after="0" w:afterAutospacing="0" w:line="360" w:lineRule="auto"/>
              <w:ind w:left="0" w:right="0" w:firstLine="420" w:firstLineChars="200"/>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H</w:t>
            </w:r>
            <w:r>
              <w:rPr>
                <w:rFonts w:hint="eastAsia" w:cs="Times New Roman"/>
                <w:color w:val="auto"/>
                <w:szCs w:val="21"/>
                <w:highlight w:val="none"/>
                <w:lang w:eastAsia="zh-CN"/>
              </w:rPr>
              <w:t>——</w:t>
            </w:r>
            <w:r>
              <w:rPr>
                <w:rFonts w:hint="default" w:ascii="Times New Roman" w:hAnsi="Times New Roman" w:eastAsia="宋体" w:cs="Times New Roman"/>
                <w:color w:val="auto"/>
                <w:szCs w:val="21"/>
                <w:highlight w:val="none"/>
              </w:rPr>
              <w:t>污染源至罩口的距离，m，本项目取0.</w:t>
            </w:r>
            <w:r>
              <w:rPr>
                <w:rFonts w:hint="eastAsia" w:ascii="Times New Roman" w:hAnsi="Times New Roman" w:eastAsia="宋体" w:cs="Times New Roman"/>
                <w:color w:val="auto"/>
                <w:szCs w:val="21"/>
                <w:highlight w:val="none"/>
                <w:lang w:val="en-US" w:eastAsia="zh-CN"/>
              </w:rPr>
              <w:t>5</w:t>
            </w:r>
            <w:r>
              <w:rPr>
                <w:rFonts w:hint="default" w:ascii="Times New Roman" w:hAnsi="Times New Roman" w:eastAsia="宋体" w:cs="Times New Roman"/>
                <w:color w:val="auto"/>
                <w:szCs w:val="21"/>
                <w:highlight w:val="none"/>
              </w:rPr>
              <w:t>m；</w:t>
            </w:r>
          </w:p>
          <w:p w14:paraId="2284CF04">
            <w:pPr>
              <w:keepNext w:val="0"/>
              <w:keepLines w:val="0"/>
              <w:widowControl/>
              <w:suppressLineNumbers w:val="0"/>
              <w:adjustRightInd w:val="0"/>
              <w:snapToGrid w:val="0"/>
              <w:spacing w:before="0" w:beforeAutospacing="0" w:after="0" w:afterAutospacing="0" w:line="360" w:lineRule="auto"/>
              <w:ind w:left="0" w:right="0" w:firstLine="420" w:firstLineChars="200"/>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Vx=0.25~2.5m/s，</w:t>
            </w:r>
            <w:r>
              <w:rPr>
                <w:rFonts w:hint="eastAsia" w:cs="Times New Roman"/>
                <w:color w:val="auto"/>
                <w:szCs w:val="21"/>
                <w:highlight w:val="none"/>
                <w:lang w:eastAsia="zh-CN"/>
              </w:rPr>
              <w:t>——</w:t>
            </w:r>
            <w:r>
              <w:rPr>
                <w:rFonts w:hint="default" w:ascii="Times New Roman" w:hAnsi="Times New Roman" w:eastAsia="宋体" w:cs="Times New Roman"/>
                <w:color w:val="auto"/>
                <w:szCs w:val="21"/>
                <w:highlight w:val="none"/>
              </w:rPr>
              <w:t>最小控制风速，m/s，本项目取0.5m/s。</w:t>
            </w:r>
          </w:p>
          <w:p w14:paraId="28E2921D">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157" w:afterLines="50" w:afterAutospacing="0"/>
              <w:ind w:right="0"/>
              <w:jc w:val="center"/>
              <w:textAlignment w:val="auto"/>
              <w:rPr>
                <w:rFonts w:hint="default" w:ascii="Times New Roman" w:hAnsi="Times New Roman" w:eastAsia="宋体" w:cs="Times New Roman"/>
                <w:b/>
                <w:bCs/>
                <w:color w:val="auto"/>
                <w:szCs w:val="21"/>
                <w:highlight w:val="none"/>
              </w:rPr>
            </w:pPr>
            <w:r>
              <w:rPr>
                <w:rFonts w:hint="eastAsia" w:cs="Times New Roman"/>
                <w:b/>
                <w:bCs/>
                <w:color w:val="auto"/>
                <w:szCs w:val="21"/>
                <w:highlight w:val="none"/>
                <w:lang w:val="en-US" w:eastAsia="zh-CN"/>
              </w:rPr>
              <w:t>吸塑和印刷</w:t>
            </w:r>
            <w:r>
              <w:rPr>
                <w:rFonts w:hint="default" w:ascii="Times New Roman" w:hAnsi="Times New Roman" w:eastAsia="宋体" w:cs="Times New Roman"/>
                <w:b/>
                <w:bCs/>
                <w:color w:val="auto"/>
                <w:szCs w:val="21"/>
                <w:highlight w:val="none"/>
              </w:rPr>
              <w:t>废气收集系统风量设计参数表</w:t>
            </w:r>
          </w:p>
          <w:tbl>
            <w:tblPr>
              <w:tblStyle w:val="42"/>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4"/>
              <w:gridCol w:w="975"/>
              <w:gridCol w:w="1142"/>
              <w:gridCol w:w="1177"/>
              <w:gridCol w:w="1027"/>
              <w:gridCol w:w="857"/>
              <w:gridCol w:w="1457"/>
              <w:gridCol w:w="1450"/>
            </w:tblGrid>
            <w:tr w14:paraId="5C0A196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1" w:type="pct"/>
                  <w:tcBorders>
                    <w:tl2br w:val="nil"/>
                    <w:tr2bl w:val="nil"/>
                  </w:tcBorders>
                  <w:vAlign w:val="center"/>
                </w:tcPr>
                <w:p w14:paraId="4E695516">
                  <w:pPr>
                    <w:keepNext w:val="0"/>
                    <w:keepLines w:val="0"/>
                    <w:suppressLineNumbers w:val="0"/>
                    <w:spacing w:before="0" w:beforeAutospacing="0" w:after="0" w:afterAutospacing="0"/>
                    <w:ind w:left="0" w:right="0"/>
                    <w:jc w:val="center"/>
                    <w:textAlignment w:val="baseline"/>
                    <w:rPr>
                      <w:rFonts w:hint="default" w:ascii="Times New Roman" w:hAnsi="Times New Roman" w:eastAsia="宋体" w:cs="Times New Roman"/>
                      <w:b/>
                      <w:color w:val="auto"/>
                      <w:kern w:val="0"/>
                      <w:szCs w:val="20"/>
                      <w:highlight w:val="none"/>
                    </w:rPr>
                  </w:pPr>
                  <w:r>
                    <w:rPr>
                      <w:rFonts w:hint="default" w:ascii="Times New Roman" w:hAnsi="Times New Roman" w:eastAsia="宋体" w:cs="Times New Roman"/>
                      <w:b/>
                      <w:color w:val="auto"/>
                      <w:kern w:val="0"/>
                      <w:szCs w:val="20"/>
                      <w:highlight w:val="none"/>
                    </w:rPr>
                    <w:t>设备</w:t>
                  </w:r>
                </w:p>
              </w:tc>
              <w:tc>
                <w:tcPr>
                  <w:tcW w:w="564" w:type="pct"/>
                  <w:tcBorders>
                    <w:tl2br w:val="nil"/>
                    <w:tr2bl w:val="nil"/>
                  </w:tcBorders>
                  <w:vAlign w:val="center"/>
                </w:tcPr>
                <w:p w14:paraId="78CEDFA5">
                  <w:pPr>
                    <w:keepNext w:val="0"/>
                    <w:keepLines w:val="0"/>
                    <w:suppressLineNumbers w:val="0"/>
                    <w:spacing w:before="0" w:beforeAutospacing="0" w:after="0" w:afterAutospacing="0"/>
                    <w:ind w:left="0" w:right="0"/>
                    <w:jc w:val="center"/>
                    <w:textAlignment w:val="baseline"/>
                    <w:rPr>
                      <w:rFonts w:hint="default" w:ascii="Times New Roman" w:hAnsi="Times New Roman" w:eastAsia="宋体" w:cs="Times New Roman"/>
                      <w:b/>
                      <w:color w:val="auto"/>
                      <w:kern w:val="0"/>
                      <w:szCs w:val="20"/>
                      <w:highlight w:val="none"/>
                    </w:rPr>
                  </w:pPr>
                  <w:r>
                    <w:rPr>
                      <w:rFonts w:hint="default" w:ascii="Times New Roman" w:hAnsi="Times New Roman" w:eastAsia="宋体" w:cs="Times New Roman"/>
                      <w:b/>
                      <w:color w:val="auto"/>
                      <w:kern w:val="0"/>
                      <w:szCs w:val="20"/>
                      <w:highlight w:val="none"/>
                    </w:rPr>
                    <w:t>数量（台）</w:t>
                  </w:r>
                </w:p>
              </w:tc>
              <w:tc>
                <w:tcPr>
                  <w:tcW w:w="661" w:type="pct"/>
                  <w:tcBorders>
                    <w:tl2br w:val="nil"/>
                    <w:tr2bl w:val="nil"/>
                  </w:tcBorders>
                  <w:vAlign w:val="center"/>
                </w:tcPr>
                <w:p w14:paraId="7401F229">
                  <w:pPr>
                    <w:keepNext w:val="0"/>
                    <w:keepLines w:val="0"/>
                    <w:suppressLineNumbers w:val="0"/>
                    <w:spacing w:before="0" w:beforeAutospacing="0" w:after="0" w:afterAutospacing="0"/>
                    <w:ind w:left="0" w:right="0"/>
                    <w:jc w:val="center"/>
                    <w:textAlignment w:val="baseline"/>
                    <w:rPr>
                      <w:rFonts w:hint="default" w:ascii="Times New Roman" w:hAnsi="Times New Roman" w:eastAsia="宋体" w:cs="Times New Roman"/>
                      <w:b/>
                      <w:color w:val="auto"/>
                      <w:kern w:val="0"/>
                      <w:szCs w:val="20"/>
                      <w:highlight w:val="none"/>
                    </w:rPr>
                  </w:pPr>
                  <w:r>
                    <w:rPr>
                      <w:rFonts w:hint="default" w:ascii="Times New Roman" w:hAnsi="Times New Roman" w:eastAsia="宋体" w:cs="Times New Roman"/>
                      <w:b/>
                      <w:color w:val="auto"/>
                      <w:kern w:val="0"/>
                      <w:szCs w:val="20"/>
                      <w:highlight w:val="none"/>
                    </w:rPr>
                    <w:t>罩口的长度（m）</w:t>
                  </w:r>
                </w:p>
              </w:tc>
              <w:tc>
                <w:tcPr>
                  <w:tcW w:w="681" w:type="pct"/>
                  <w:tcBorders>
                    <w:tl2br w:val="nil"/>
                    <w:tr2bl w:val="nil"/>
                  </w:tcBorders>
                  <w:vAlign w:val="center"/>
                </w:tcPr>
                <w:p w14:paraId="7E32EEC3">
                  <w:pPr>
                    <w:keepNext w:val="0"/>
                    <w:keepLines w:val="0"/>
                    <w:suppressLineNumbers w:val="0"/>
                    <w:spacing w:before="0" w:beforeAutospacing="0" w:after="0" w:afterAutospacing="0"/>
                    <w:ind w:left="0" w:right="0"/>
                    <w:jc w:val="center"/>
                    <w:textAlignment w:val="baseline"/>
                    <w:rPr>
                      <w:rFonts w:hint="default" w:ascii="Times New Roman" w:hAnsi="Times New Roman" w:eastAsia="宋体" w:cs="Times New Roman"/>
                      <w:b/>
                      <w:color w:val="auto"/>
                      <w:kern w:val="0"/>
                      <w:szCs w:val="20"/>
                      <w:highlight w:val="none"/>
                    </w:rPr>
                  </w:pPr>
                  <w:r>
                    <w:rPr>
                      <w:rFonts w:hint="default" w:ascii="Times New Roman" w:hAnsi="Times New Roman" w:eastAsia="宋体" w:cs="Times New Roman"/>
                      <w:b/>
                      <w:color w:val="auto"/>
                      <w:kern w:val="0"/>
                      <w:szCs w:val="20"/>
                      <w:highlight w:val="none"/>
                    </w:rPr>
                    <w:t>集气罩数量（个）</w:t>
                  </w:r>
                </w:p>
              </w:tc>
              <w:tc>
                <w:tcPr>
                  <w:tcW w:w="594" w:type="pct"/>
                  <w:tcBorders>
                    <w:tl2br w:val="nil"/>
                    <w:tr2bl w:val="nil"/>
                  </w:tcBorders>
                  <w:vAlign w:val="center"/>
                </w:tcPr>
                <w:p w14:paraId="60EE5766">
                  <w:pPr>
                    <w:keepNext w:val="0"/>
                    <w:keepLines w:val="0"/>
                    <w:suppressLineNumbers w:val="0"/>
                    <w:spacing w:before="0" w:beforeAutospacing="0" w:after="0" w:afterAutospacing="0"/>
                    <w:ind w:left="0" w:right="0"/>
                    <w:jc w:val="center"/>
                    <w:textAlignment w:val="baseline"/>
                    <w:rPr>
                      <w:rFonts w:hint="default" w:ascii="Times New Roman" w:hAnsi="Times New Roman" w:eastAsia="宋体" w:cs="Times New Roman"/>
                      <w:b/>
                      <w:color w:val="auto"/>
                      <w:kern w:val="0"/>
                      <w:szCs w:val="20"/>
                      <w:highlight w:val="none"/>
                    </w:rPr>
                  </w:pPr>
                  <w:r>
                    <w:rPr>
                      <w:rFonts w:hint="default" w:ascii="Times New Roman" w:hAnsi="Times New Roman" w:eastAsia="宋体" w:cs="Times New Roman"/>
                      <w:b/>
                      <w:color w:val="auto"/>
                      <w:kern w:val="0"/>
                      <w:szCs w:val="20"/>
                      <w:highlight w:val="none"/>
                    </w:rPr>
                    <w:t>Vx（m/s）</w:t>
                  </w:r>
                </w:p>
              </w:tc>
              <w:tc>
                <w:tcPr>
                  <w:tcW w:w="496" w:type="pct"/>
                  <w:tcBorders>
                    <w:tl2br w:val="nil"/>
                    <w:tr2bl w:val="nil"/>
                  </w:tcBorders>
                  <w:vAlign w:val="center"/>
                </w:tcPr>
                <w:p w14:paraId="4402FF3A">
                  <w:pPr>
                    <w:keepNext w:val="0"/>
                    <w:keepLines w:val="0"/>
                    <w:suppressLineNumbers w:val="0"/>
                    <w:spacing w:before="0" w:beforeAutospacing="0" w:after="0" w:afterAutospacing="0"/>
                    <w:ind w:left="0" w:right="0"/>
                    <w:jc w:val="center"/>
                    <w:textAlignment w:val="baseline"/>
                    <w:rPr>
                      <w:rFonts w:hint="default" w:ascii="Times New Roman" w:hAnsi="Times New Roman" w:eastAsia="宋体" w:cs="Times New Roman"/>
                      <w:b/>
                      <w:color w:val="auto"/>
                      <w:kern w:val="0"/>
                      <w:szCs w:val="20"/>
                      <w:highlight w:val="none"/>
                    </w:rPr>
                  </w:pPr>
                  <w:r>
                    <w:rPr>
                      <w:rFonts w:hint="default" w:ascii="Times New Roman" w:hAnsi="Times New Roman" w:eastAsia="宋体" w:cs="Times New Roman"/>
                      <w:b/>
                      <w:color w:val="auto"/>
                      <w:kern w:val="0"/>
                      <w:szCs w:val="20"/>
                      <w:highlight w:val="none"/>
                    </w:rPr>
                    <w:t>H（m）</w:t>
                  </w:r>
                </w:p>
              </w:tc>
              <w:tc>
                <w:tcPr>
                  <w:tcW w:w="839" w:type="pct"/>
                  <w:tcBorders>
                    <w:tl2br w:val="nil"/>
                    <w:tr2bl w:val="nil"/>
                  </w:tcBorders>
                  <w:vAlign w:val="center"/>
                </w:tcPr>
                <w:p w14:paraId="62E4378C">
                  <w:pPr>
                    <w:keepNext w:val="0"/>
                    <w:keepLines w:val="0"/>
                    <w:suppressLineNumbers w:val="0"/>
                    <w:spacing w:before="0" w:beforeAutospacing="0" w:after="0" w:afterAutospacing="0"/>
                    <w:ind w:left="0" w:right="0"/>
                    <w:jc w:val="center"/>
                    <w:textAlignment w:val="baseline"/>
                    <w:rPr>
                      <w:rFonts w:hint="default" w:ascii="Times New Roman" w:hAnsi="Times New Roman" w:eastAsia="宋体" w:cs="Times New Roman"/>
                      <w:b/>
                      <w:color w:val="auto"/>
                      <w:kern w:val="0"/>
                      <w:szCs w:val="20"/>
                      <w:highlight w:val="none"/>
                    </w:rPr>
                  </w:pPr>
                  <w:r>
                    <w:rPr>
                      <w:rFonts w:hint="default" w:ascii="Times New Roman" w:hAnsi="Times New Roman" w:eastAsia="宋体" w:cs="Times New Roman"/>
                      <w:b/>
                      <w:color w:val="auto"/>
                      <w:kern w:val="0"/>
                      <w:szCs w:val="20"/>
                      <w:highlight w:val="none"/>
                    </w:rPr>
                    <w:t>单台设计风量（m</w:t>
                  </w:r>
                  <w:r>
                    <w:rPr>
                      <w:rFonts w:hint="default" w:ascii="Times New Roman" w:hAnsi="Times New Roman" w:eastAsia="宋体" w:cs="Times New Roman"/>
                      <w:b/>
                      <w:color w:val="auto"/>
                      <w:kern w:val="0"/>
                      <w:szCs w:val="20"/>
                      <w:highlight w:val="none"/>
                      <w:vertAlign w:val="superscript"/>
                    </w:rPr>
                    <w:t>3</w:t>
                  </w:r>
                  <w:r>
                    <w:rPr>
                      <w:rFonts w:hint="default" w:ascii="Times New Roman" w:hAnsi="Times New Roman" w:eastAsia="宋体" w:cs="Times New Roman"/>
                      <w:b/>
                      <w:color w:val="auto"/>
                      <w:kern w:val="0"/>
                      <w:szCs w:val="20"/>
                      <w:highlight w:val="none"/>
                    </w:rPr>
                    <w:t>/h）</w:t>
                  </w:r>
                </w:p>
              </w:tc>
              <w:tc>
                <w:tcPr>
                  <w:tcW w:w="839" w:type="pct"/>
                  <w:tcBorders>
                    <w:tl2br w:val="nil"/>
                    <w:tr2bl w:val="nil"/>
                  </w:tcBorders>
                  <w:vAlign w:val="center"/>
                </w:tcPr>
                <w:p w14:paraId="08C3EF63">
                  <w:pPr>
                    <w:keepNext w:val="0"/>
                    <w:keepLines w:val="0"/>
                    <w:suppressLineNumbers w:val="0"/>
                    <w:spacing w:before="0" w:beforeAutospacing="0" w:after="0" w:afterAutospacing="0"/>
                    <w:ind w:left="0" w:right="0"/>
                    <w:jc w:val="center"/>
                    <w:textAlignment w:val="baseline"/>
                    <w:rPr>
                      <w:rFonts w:hint="default" w:ascii="Times New Roman" w:hAnsi="Times New Roman" w:eastAsia="宋体" w:cs="Times New Roman"/>
                      <w:b/>
                      <w:color w:val="auto"/>
                      <w:kern w:val="0"/>
                      <w:szCs w:val="20"/>
                      <w:highlight w:val="none"/>
                    </w:rPr>
                  </w:pPr>
                  <w:r>
                    <w:rPr>
                      <w:rFonts w:hint="default" w:ascii="Times New Roman" w:hAnsi="Times New Roman" w:eastAsia="宋体" w:cs="Times New Roman"/>
                      <w:b/>
                      <w:color w:val="auto"/>
                      <w:kern w:val="0"/>
                      <w:szCs w:val="20"/>
                      <w:highlight w:val="none"/>
                    </w:rPr>
                    <w:t>计算风量合计（m</w:t>
                  </w:r>
                  <w:r>
                    <w:rPr>
                      <w:rFonts w:hint="default" w:ascii="Times New Roman" w:hAnsi="Times New Roman" w:eastAsia="宋体" w:cs="Times New Roman"/>
                      <w:b/>
                      <w:color w:val="auto"/>
                      <w:kern w:val="0"/>
                      <w:szCs w:val="20"/>
                      <w:highlight w:val="none"/>
                      <w:vertAlign w:val="superscript"/>
                    </w:rPr>
                    <w:t>3</w:t>
                  </w:r>
                  <w:r>
                    <w:rPr>
                      <w:rFonts w:hint="default" w:ascii="Times New Roman" w:hAnsi="Times New Roman" w:eastAsia="宋体" w:cs="Times New Roman"/>
                      <w:b/>
                      <w:color w:val="auto"/>
                      <w:kern w:val="0"/>
                      <w:szCs w:val="20"/>
                      <w:highlight w:val="none"/>
                    </w:rPr>
                    <w:t>/h）</w:t>
                  </w:r>
                </w:p>
              </w:tc>
            </w:tr>
            <w:tr w14:paraId="03949FC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1" w:type="pct"/>
                  <w:tcBorders>
                    <w:tl2br w:val="nil"/>
                    <w:tr2bl w:val="nil"/>
                  </w:tcBorders>
                  <w:vAlign w:val="center"/>
                </w:tcPr>
                <w:p w14:paraId="08D8AC2C">
                  <w:pPr>
                    <w:keepNext w:val="0"/>
                    <w:keepLines w:val="0"/>
                    <w:suppressLineNumbers w:val="0"/>
                    <w:spacing w:before="0" w:beforeAutospacing="0" w:after="0" w:afterAutospacing="0"/>
                    <w:ind w:left="0" w:right="0"/>
                    <w:jc w:val="center"/>
                    <w:textAlignment w:val="baseline"/>
                    <w:rPr>
                      <w:rFonts w:hint="default" w:ascii="Times New Roman" w:hAnsi="Times New Roman" w:eastAsia="宋体" w:cs="Times New Roman"/>
                      <w:color w:val="auto"/>
                      <w:szCs w:val="21"/>
                      <w:highlight w:val="none"/>
                    </w:rPr>
                  </w:pPr>
                  <w:r>
                    <w:rPr>
                      <w:rFonts w:hint="eastAsia" w:cs="Times New Roman"/>
                      <w:color w:val="auto"/>
                      <w:szCs w:val="21"/>
                      <w:highlight w:val="none"/>
                      <w:lang w:val="en-US" w:eastAsia="zh-CN"/>
                    </w:rPr>
                    <w:t>吸</w:t>
                  </w:r>
                  <w:r>
                    <w:rPr>
                      <w:rFonts w:hint="default" w:ascii="Times New Roman" w:hAnsi="Times New Roman" w:eastAsia="宋体" w:cs="Times New Roman"/>
                      <w:color w:val="auto"/>
                      <w:szCs w:val="21"/>
                      <w:highlight w:val="none"/>
                    </w:rPr>
                    <w:t>塑机</w:t>
                  </w:r>
                </w:p>
              </w:tc>
              <w:tc>
                <w:tcPr>
                  <w:tcW w:w="564" w:type="pct"/>
                  <w:tcBorders>
                    <w:tl2br w:val="nil"/>
                    <w:tr2bl w:val="nil"/>
                  </w:tcBorders>
                  <w:vAlign w:val="center"/>
                </w:tcPr>
                <w:p w14:paraId="45A932A0">
                  <w:pPr>
                    <w:keepNext w:val="0"/>
                    <w:keepLines w:val="0"/>
                    <w:suppressLineNumbers w:val="0"/>
                    <w:spacing w:before="0" w:beforeAutospacing="0" w:after="0" w:afterAutospacing="0"/>
                    <w:ind w:left="0" w:right="0"/>
                    <w:jc w:val="center"/>
                    <w:textAlignment w:val="baseline"/>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6</w:t>
                  </w:r>
                </w:p>
              </w:tc>
              <w:tc>
                <w:tcPr>
                  <w:tcW w:w="661" w:type="pct"/>
                  <w:tcBorders>
                    <w:tl2br w:val="nil"/>
                    <w:tr2bl w:val="nil"/>
                  </w:tcBorders>
                  <w:vAlign w:val="center"/>
                </w:tcPr>
                <w:p w14:paraId="646094F6">
                  <w:pPr>
                    <w:keepNext w:val="0"/>
                    <w:keepLines w:val="0"/>
                    <w:suppressLineNumbers w:val="0"/>
                    <w:spacing w:before="0" w:beforeAutospacing="0" w:after="0" w:afterAutospacing="0"/>
                    <w:ind w:left="0" w:right="0"/>
                    <w:jc w:val="center"/>
                    <w:textAlignment w:val="baseline"/>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2.5</w:t>
                  </w:r>
                </w:p>
              </w:tc>
              <w:tc>
                <w:tcPr>
                  <w:tcW w:w="681" w:type="pct"/>
                  <w:tcBorders>
                    <w:tl2br w:val="nil"/>
                    <w:tr2bl w:val="nil"/>
                  </w:tcBorders>
                  <w:vAlign w:val="center"/>
                </w:tcPr>
                <w:p w14:paraId="1D79C618">
                  <w:pPr>
                    <w:keepNext w:val="0"/>
                    <w:keepLines w:val="0"/>
                    <w:suppressLineNumbers w:val="0"/>
                    <w:spacing w:before="0" w:beforeAutospacing="0" w:after="0" w:afterAutospacing="0"/>
                    <w:ind w:left="0" w:right="0"/>
                    <w:jc w:val="center"/>
                    <w:textAlignment w:val="baseline"/>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6</w:t>
                  </w:r>
                </w:p>
              </w:tc>
              <w:tc>
                <w:tcPr>
                  <w:tcW w:w="594" w:type="pct"/>
                  <w:tcBorders>
                    <w:tl2br w:val="nil"/>
                    <w:tr2bl w:val="nil"/>
                  </w:tcBorders>
                  <w:vAlign w:val="center"/>
                </w:tcPr>
                <w:p w14:paraId="0DC5EAAA">
                  <w:pPr>
                    <w:keepNext w:val="0"/>
                    <w:keepLines w:val="0"/>
                    <w:suppressLineNumbers w:val="0"/>
                    <w:spacing w:before="0" w:beforeAutospacing="0" w:after="0" w:afterAutospacing="0"/>
                    <w:ind w:left="0" w:right="0"/>
                    <w:jc w:val="center"/>
                    <w:textAlignment w:val="baseline"/>
                    <w:rPr>
                      <w:rFonts w:hint="default" w:ascii="Times New Roman" w:hAnsi="Times New Roman" w:cs="Times New Roman"/>
                      <w:color w:val="auto"/>
                      <w:highlight w:val="none"/>
                    </w:rPr>
                  </w:pPr>
                  <w:r>
                    <w:rPr>
                      <w:rFonts w:hint="default" w:ascii="Times New Roman" w:hAnsi="Times New Roman" w:eastAsia="宋体" w:cs="Times New Roman"/>
                      <w:color w:val="auto"/>
                      <w:szCs w:val="21"/>
                      <w:highlight w:val="none"/>
                    </w:rPr>
                    <w:t>0.5</w:t>
                  </w:r>
                </w:p>
              </w:tc>
              <w:tc>
                <w:tcPr>
                  <w:tcW w:w="496" w:type="pct"/>
                  <w:tcBorders>
                    <w:tl2br w:val="nil"/>
                    <w:tr2bl w:val="nil"/>
                  </w:tcBorders>
                  <w:vAlign w:val="center"/>
                </w:tcPr>
                <w:p w14:paraId="6989A442">
                  <w:pPr>
                    <w:keepNext w:val="0"/>
                    <w:keepLines w:val="0"/>
                    <w:suppressLineNumbers w:val="0"/>
                    <w:spacing w:before="0" w:beforeAutospacing="0" w:after="0" w:afterAutospacing="0"/>
                    <w:ind w:left="0" w:right="0"/>
                    <w:jc w:val="center"/>
                    <w:textAlignment w:val="baseline"/>
                    <w:rPr>
                      <w:rFonts w:hint="eastAsia"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0.</w:t>
                  </w:r>
                  <w:r>
                    <w:rPr>
                      <w:rFonts w:hint="eastAsia" w:ascii="Times New Roman" w:hAnsi="Times New Roman" w:eastAsia="宋体" w:cs="Times New Roman"/>
                      <w:color w:val="auto"/>
                      <w:szCs w:val="21"/>
                      <w:highlight w:val="none"/>
                      <w:lang w:val="en-US" w:eastAsia="zh-CN"/>
                    </w:rPr>
                    <w:t>5</w:t>
                  </w:r>
                </w:p>
              </w:tc>
              <w:tc>
                <w:tcPr>
                  <w:tcW w:w="839" w:type="pct"/>
                  <w:tcBorders>
                    <w:tl2br w:val="nil"/>
                    <w:tr2bl w:val="nil"/>
                  </w:tcBorders>
                  <w:vAlign w:val="center"/>
                </w:tcPr>
                <w:p w14:paraId="619CFE63">
                  <w:pPr>
                    <w:keepNext w:val="0"/>
                    <w:keepLines w:val="0"/>
                    <w:suppressLineNumbers w:val="0"/>
                    <w:spacing w:before="0" w:beforeAutospacing="0" w:after="0" w:afterAutospacing="0"/>
                    <w:ind w:left="0" w:right="0"/>
                    <w:jc w:val="center"/>
                    <w:textAlignment w:val="baseline"/>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2250</w:t>
                  </w:r>
                </w:p>
              </w:tc>
              <w:tc>
                <w:tcPr>
                  <w:tcW w:w="839" w:type="pct"/>
                  <w:tcBorders>
                    <w:tl2br w:val="nil"/>
                    <w:tr2bl w:val="nil"/>
                  </w:tcBorders>
                  <w:vAlign w:val="center"/>
                </w:tcPr>
                <w:p w14:paraId="2C630E1E">
                  <w:pPr>
                    <w:keepNext w:val="0"/>
                    <w:keepLines w:val="0"/>
                    <w:suppressLineNumbers w:val="0"/>
                    <w:spacing w:before="0" w:beforeAutospacing="0" w:after="0" w:afterAutospacing="0"/>
                    <w:ind w:left="0" w:right="0"/>
                    <w:jc w:val="center"/>
                    <w:textAlignment w:val="baseline"/>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r>
                    <w:rPr>
                      <w:rFonts w:hint="eastAsia" w:cs="Times New Roman"/>
                      <w:color w:val="auto"/>
                      <w:szCs w:val="21"/>
                      <w:highlight w:val="none"/>
                      <w:lang w:val="en-US" w:eastAsia="zh-CN"/>
                    </w:rPr>
                    <w:t>3500</w:t>
                  </w:r>
                </w:p>
              </w:tc>
            </w:tr>
            <w:tr w14:paraId="36DFE44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1" w:type="pct"/>
                  <w:tcBorders>
                    <w:tl2br w:val="nil"/>
                    <w:tr2bl w:val="nil"/>
                  </w:tcBorders>
                  <w:vAlign w:val="center"/>
                </w:tcPr>
                <w:p w14:paraId="35DB4B5D">
                  <w:pPr>
                    <w:keepNext w:val="0"/>
                    <w:keepLines w:val="0"/>
                    <w:suppressLineNumbers w:val="0"/>
                    <w:spacing w:before="0" w:beforeAutospacing="0" w:after="0" w:afterAutospacing="0"/>
                    <w:ind w:left="0" w:right="0"/>
                    <w:jc w:val="center"/>
                    <w:textAlignment w:val="baseline"/>
                    <w:rPr>
                      <w:rFonts w:hint="eastAsia"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印刷机</w:t>
                  </w:r>
                </w:p>
              </w:tc>
              <w:tc>
                <w:tcPr>
                  <w:tcW w:w="564" w:type="pct"/>
                  <w:tcBorders>
                    <w:tl2br w:val="nil"/>
                    <w:tr2bl w:val="nil"/>
                  </w:tcBorders>
                  <w:vAlign w:val="center"/>
                </w:tcPr>
                <w:p w14:paraId="349121A4">
                  <w:pPr>
                    <w:keepNext w:val="0"/>
                    <w:keepLines w:val="0"/>
                    <w:suppressLineNumbers w:val="0"/>
                    <w:spacing w:before="0" w:beforeAutospacing="0" w:after="0" w:afterAutospacing="0"/>
                    <w:ind w:left="0" w:right="0"/>
                    <w:jc w:val="center"/>
                    <w:textAlignment w:val="baseline"/>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2</w:t>
                  </w:r>
                </w:p>
              </w:tc>
              <w:tc>
                <w:tcPr>
                  <w:tcW w:w="661" w:type="pct"/>
                  <w:tcBorders>
                    <w:tl2br w:val="nil"/>
                    <w:tr2bl w:val="nil"/>
                  </w:tcBorders>
                  <w:vAlign w:val="center"/>
                </w:tcPr>
                <w:p w14:paraId="6BCD739A">
                  <w:pPr>
                    <w:keepNext w:val="0"/>
                    <w:keepLines w:val="0"/>
                    <w:suppressLineNumbers w:val="0"/>
                    <w:spacing w:before="0" w:beforeAutospacing="0" w:after="0" w:afterAutospacing="0"/>
                    <w:ind w:left="0" w:right="0"/>
                    <w:jc w:val="center"/>
                    <w:textAlignment w:val="baseline"/>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2.0</w:t>
                  </w:r>
                </w:p>
              </w:tc>
              <w:tc>
                <w:tcPr>
                  <w:tcW w:w="681" w:type="pct"/>
                  <w:tcBorders>
                    <w:tl2br w:val="nil"/>
                    <w:tr2bl w:val="nil"/>
                  </w:tcBorders>
                  <w:vAlign w:val="center"/>
                </w:tcPr>
                <w:p w14:paraId="1E4E7F1F">
                  <w:pPr>
                    <w:keepNext w:val="0"/>
                    <w:keepLines w:val="0"/>
                    <w:suppressLineNumbers w:val="0"/>
                    <w:spacing w:before="0" w:beforeAutospacing="0" w:after="0" w:afterAutospacing="0"/>
                    <w:ind w:left="0" w:right="0"/>
                    <w:jc w:val="center"/>
                    <w:textAlignment w:val="baseline"/>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2</w:t>
                  </w:r>
                </w:p>
              </w:tc>
              <w:tc>
                <w:tcPr>
                  <w:tcW w:w="594" w:type="pct"/>
                  <w:tcBorders>
                    <w:tl2br w:val="nil"/>
                    <w:tr2bl w:val="nil"/>
                  </w:tcBorders>
                  <w:vAlign w:val="center"/>
                </w:tcPr>
                <w:p w14:paraId="33C443CA">
                  <w:pPr>
                    <w:keepNext w:val="0"/>
                    <w:keepLines w:val="0"/>
                    <w:suppressLineNumbers w:val="0"/>
                    <w:spacing w:before="0" w:beforeAutospacing="0" w:after="0" w:afterAutospacing="0"/>
                    <w:ind w:left="0" w:right="0"/>
                    <w:jc w:val="center"/>
                    <w:textAlignment w:val="baseline"/>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0.5</w:t>
                  </w:r>
                </w:p>
              </w:tc>
              <w:tc>
                <w:tcPr>
                  <w:tcW w:w="496" w:type="pct"/>
                  <w:tcBorders>
                    <w:tl2br w:val="nil"/>
                    <w:tr2bl w:val="nil"/>
                  </w:tcBorders>
                  <w:vAlign w:val="center"/>
                </w:tcPr>
                <w:p w14:paraId="1C2605D0">
                  <w:pPr>
                    <w:keepNext w:val="0"/>
                    <w:keepLines w:val="0"/>
                    <w:suppressLineNumbers w:val="0"/>
                    <w:spacing w:before="0" w:beforeAutospacing="0" w:after="0" w:afterAutospacing="0"/>
                    <w:ind w:left="0" w:right="0"/>
                    <w:jc w:val="center"/>
                    <w:textAlignment w:val="baseline"/>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0.5</w:t>
                  </w:r>
                </w:p>
              </w:tc>
              <w:tc>
                <w:tcPr>
                  <w:tcW w:w="839" w:type="pct"/>
                  <w:tcBorders>
                    <w:tl2br w:val="nil"/>
                    <w:tr2bl w:val="nil"/>
                  </w:tcBorders>
                  <w:vAlign w:val="center"/>
                </w:tcPr>
                <w:p w14:paraId="098F908B">
                  <w:pPr>
                    <w:keepNext w:val="0"/>
                    <w:keepLines w:val="0"/>
                    <w:suppressLineNumbers w:val="0"/>
                    <w:spacing w:before="0" w:beforeAutospacing="0" w:after="0" w:afterAutospacing="0"/>
                    <w:ind w:left="0" w:right="0"/>
                    <w:jc w:val="center"/>
                    <w:textAlignment w:val="baseline"/>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1800</w:t>
                  </w:r>
                </w:p>
              </w:tc>
              <w:tc>
                <w:tcPr>
                  <w:tcW w:w="839" w:type="pct"/>
                  <w:tcBorders>
                    <w:tl2br w:val="nil"/>
                    <w:tr2bl w:val="nil"/>
                  </w:tcBorders>
                  <w:vAlign w:val="center"/>
                </w:tcPr>
                <w:p w14:paraId="53BC152B">
                  <w:pPr>
                    <w:keepNext w:val="0"/>
                    <w:keepLines w:val="0"/>
                    <w:suppressLineNumbers w:val="0"/>
                    <w:spacing w:before="0" w:beforeAutospacing="0" w:after="0" w:afterAutospacing="0"/>
                    <w:ind w:left="0" w:right="0"/>
                    <w:jc w:val="center"/>
                    <w:textAlignment w:val="baseline"/>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3600</w:t>
                  </w:r>
                </w:p>
              </w:tc>
            </w:tr>
            <w:tr w14:paraId="36FFDF3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60" w:type="pct"/>
                  <w:gridSpan w:val="7"/>
                  <w:tcBorders>
                    <w:tl2br w:val="nil"/>
                    <w:tr2bl w:val="nil"/>
                  </w:tcBorders>
                  <w:vAlign w:val="center"/>
                </w:tcPr>
                <w:p w14:paraId="3FA95AD4">
                  <w:pPr>
                    <w:keepNext w:val="0"/>
                    <w:keepLines w:val="0"/>
                    <w:suppressLineNumbers w:val="0"/>
                    <w:spacing w:before="0" w:beforeAutospacing="0" w:after="0" w:afterAutospacing="0"/>
                    <w:ind w:left="0" w:right="0"/>
                    <w:jc w:val="center"/>
                    <w:textAlignment w:val="baseline"/>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总计</w:t>
                  </w:r>
                </w:p>
              </w:tc>
              <w:tc>
                <w:tcPr>
                  <w:tcW w:w="839" w:type="pct"/>
                  <w:tcBorders>
                    <w:tl2br w:val="nil"/>
                    <w:tr2bl w:val="nil"/>
                  </w:tcBorders>
                  <w:vAlign w:val="center"/>
                </w:tcPr>
                <w:p w14:paraId="4BD1D7A1">
                  <w:pPr>
                    <w:keepNext w:val="0"/>
                    <w:keepLines w:val="0"/>
                    <w:suppressLineNumbers w:val="0"/>
                    <w:spacing w:before="0" w:beforeAutospacing="0" w:after="0" w:afterAutospacing="0"/>
                    <w:ind w:left="0" w:right="0"/>
                    <w:jc w:val="center"/>
                    <w:textAlignment w:val="baseline"/>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17100</w:t>
                  </w:r>
                </w:p>
              </w:tc>
            </w:tr>
          </w:tbl>
          <w:p w14:paraId="28B286DF">
            <w:pPr>
              <w:keepNext w:val="0"/>
              <w:keepLines w:val="0"/>
              <w:suppressLineNumbers w:val="0"/>
              <w:adjustRightInd w:val="0"/>
              <w:snapToGrid w:val="0"/>
              <w:spacing w:before="120" w:beforeLines="50" w:beforeAutospacing="0" w:after="0" w:afterAutospacing="0" w:line="360" w:lineRule="auto"/>
              <w:ind w:left="0" w:right="0" w:firstLine="42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经验公式计算得出，本项目</w:t>
            </w:r>
            <w:r>
              <w:rPr>
                <w:rFonts w:hint="eastAsia" w:cs="Times New Roman"/>
                <w:color w:val="auto"/>
                <w:highlight w:val="none"/>
                <w:lang w:val="en-US" w:eastAsia="zh-CN"/>
              </w:rPr>
              <w:t>吸塑工序和印刷工序</w:t>
            </w:r>
            <w:r>
              <w:rPr>
                <w:rFonts w:hint="default" w:ascii="Times New Roman" w:hAnsi="Times New Roman" w:eastAsia="宋体" w:cs="Times New Roman"/>
                <w:color w:val="auto"/>
                <w:highlight w:val="none"/>
              </w:rPr>
              <w:t>废气收集所需风量为</w:t>
            </w:r>
            <w:r>
              <w:rPr>
                <w:rFonts w:hint="eastAsia" w:ascii="Times New Roman" w:hAnsi="Times New Roman" w:eastAsia="宋体" w:cs="Times New Roman"/>
                <w:color w:val="auto"/>
                <w:highlight w:val="none"/>
                <w:lang w:val="en-US" w:eastAsia="zh-CN"/>
              </w:rPr>
              <w:t>1</w:t>
            </w:r>
            <w:r>
              <w:rPr>
                <w:rFonts w:hint="eastAsia" w:cs="Times New Roman"/>
                <w:color w:val="auto"/>
                <w:highlight w:val="none"/>
                <w:lang w:val="en-US" w:eastAsia="zh-CN"/>
              </w:rPr>
              <w:t>71</w:t>
            </w:r>
            <w:r>
              <w:rPr>
                <w:rFonts w:hint="eastAsia" w:ascii="Times New Roman" w:hAnsi="Times New Roman" w:eastAsia="宋体" w:cs="Times New Roman"/>
                <w:color w:val="auto"/>
                <w:highlight w:val="none"/>
                <w:lang w:val="en-US" w:eastAsia="zh-CN"/>
              </w:rPr>
              <w:t>00</w:t>
            </w:r>
            <w:r>
              <w:rPr>
                <w:rFonts w:hint="default" w:ascii="Times New Roman" w:hAnsi="Times New Roman" w:eastAsia="宋体" w:cs="Times New Roman"/>
                <w:color w:val="auto"/>
                <w:highlight w:val="none"/>
              </w:rPr>
              <w:t>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/h，考虑风量损失，风机设计风量取</w:t>
            </w:r>
            <w:r>
              <w:rPr>
                <w:rFonts w:hint="eastAsia" w:ascii="Times New Roman" w:hAnsi="Times New Roman" w:eastAsia="宋体" w:cs="Times New Roman"/>
                <w:color w:val="auto"/>
                <w:highlight w:val="none"/>
                <w:lang w:val="en-US" w:eastAsia="zh-CN"/>
              </w:rPr>
              <w:t>20000</w:t>
            </w:r>
            <w:r>
              <w:rPr>
                <w:rFonts w:hint="default" w:ascii="Times New Roman" w:hAnsi="Times New Roman" w:eastAsia="宋体" w:cs="Times New Roman"/>
                <w:color w:val="auto"/>
                <w:highlight w:val="none"/>
              </w:rPr>
              <w:t>m</w:t>
            </w:r>
            <w:r>
              <w:rPr>
                <w:rFonts w:hint="default" w:ascii="Times New Roman" w:hAnsi="Times New Roman" w:eastAsia="宋体" w:cs="Times New Roman"/>
                <w:color w:val="auto"/>
                <w:highlight w:val="none"/>
                <w:vertAlign w:val="superscript"/>
              </w:rPr>
              <w:t>3</w:t>
            </w:r>
            <w:r>
              <w:rPr>
                <w:rFonts w:hint="default" w:ascii="Times New Roman" w:hAnsi="Times New Roman" w:eastAsia="宋体" w:cs="Times New Roman"/>
                <w:color w:val="auto"/>
                <w:highlight w:val="none"/>
              </w:rPr>
              <w:t>/h。</w:t>
            </w:r>
          </w:p>
          <w:p w14:paraId="1245FCA8">
            <w:pPr>
              <w:keepNext w:val="0"/>
              <w:keepLines w:val="0"/>
              <w:suppressLineNumbers w:val="0"/>
              <w:snapToGrid w:val="0"/>
              <w:spacing w:before="0" w:beforeAutospacing="0" w:after="0" w:afterAutospacing="0" w:line="360" w:lineRule="auto"/>
              <w:ind w:left="0" w:right="0" w:firstLine="422" w:firstLineChars="200"/>
              <w:rPr>
                <w:rFonts w:hint="default" w:ascii="Times New Roman" w:hAnsi="Times New Roman" w:eastAsia="宋体" w:cs="Times New Roman"/>
                <w:color w:val="auto"/>
                <w:szCs w:val="21"/>
                <w:highlight w:val="none"/>
              </w:rPr>
            </w:pPr>
            <w:r>
              <w:rPr>
                <w:rFonts w:hint="default" w:ascii="Times New Roman" w:hAnsi="Times New Roman" w:eastAsia="宋体" w:cs="Times New Roman"/>
                <w:b/>
                <w:bCs/>
                <w:color w:val="auto"/>
                <w:highlight w:val="none"/>
              </w:rPr>
              <w:t>处理工艺及效率</w:t>
            </w:r>
            <w:r>
              <w:rPr>
                <w:rFonts w:hint="default" w:ascii="Times New Roman" w:hAnsi="Times New Roman" w:eastAsia="宋体" w:cs="Times New Roman"/>
                <w:b/>
                <w:bCs/>
                <w:color w:val="auto"/>
                <w:highlight w:val="none"/>
                <w:lang w:eastAsia="zh-CN"/>
              </w:rPr>
              <w:t>：</w:t>
            </w:r>
            <w:r>
              <w:rPr>
                <w:rFonts w:hint="default" w:ascii="Times New Roman" w:hAnsi="Times New Roman" w:eastAsia="宋体" w:cs="Times New Roman"/>
                <w:color w:val="auto"/>
                <w:szCs w:val="21"/>
                <w:highlight w:val="none"/>
              </w:rPr>
              <w:t>项目拟设</w:t>
            </w:r>
            <w:r>
              <w:rPr>
                <w:rFonts w:hint="eastAsia" w:ascii="Times New Roman" w:hAnsi="Times New Roman" w:eastAsia="宋体" w:cs="Times New Roman"/>
                <w:color w:val="auto"/>
                <w:szCs w:val="21"/>
                <w:highlight w:val="none"/>
                <w:lang w:eastAsia="zh-CN"/>
              </w:rPr>
              <w:t>“</w:t>
            </w:r>
            <w:r>
              <w:rPr>
                <w:rFonts w:hint="eastAsia" w:ascii="Times New Roman" w:hAnsi="Times New Roman" w:eastAsia="宋体" w:cs="Times New Roman"/>
                <w:color w:val="auto"/>
                <w:szCs w:val="21"/>
                <w:highlight w:val="none"/>
                <w:lang w:val="en-US" w:eastAsia="zh-CN"/>
              </w:rPr>
              <w:t>空气冷却器+两</w:t>
            </w:r>
            <w:r>
              <w:rPr>
                <w:rFonts w:hint="default" w:ascii="Times New Roman" w:hAnsi="Times New Roman" w:eastAsia="宋体" w:cs="Times New Roman"/>
                <w:color w:val="auto"/>
                <w:szCs w:val="21"/>
                <w:highlight w:val="none"/>
              </w:rPr>
              <w:t>级活性炭吸附装置</w:t>
            </w:r>
            <w:r>
              <w:rPr>
                <w:rFonts w:hint="eastAsia"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对</w:t>
            </w:r>
            <w:r>
              <w:rPr>
                <w:rFonts w:hint="eastAsia" w:cs="Times New Roman"/>
                <w:color w:val="auto"/>
                <w:szCs w:val="21"/>
                <w:highlight w:val="none"/>
                <w:lang w:val="en-US" w:eastAsia="zh-CN"/>
              </w:rPr>
              <w:t>吸塑</w:t>
            </w:r>
            <w:r>
              <w:rPr>
                <w:rFonts w:hint="default" w:ascii="Times New Roman" w:hAnsi="Times New Roman" w:eastAsia="宋体" w:cs="Times New Roman"/>
                <w:color w:val="auto"/>
                <w:szCs w:val="21"/>
                <w:highlight w:val="none"/>
              </w:rPr>
              <w:t>废气</w:t>
            </w:r>
            <w:r>
              <w:rPr>
                <w:rFonts w:hint="eastAsia" w:cs="Times New Roman"/>
                <w:color w:val="auto"/>
                <w:szCs w:val="21"/>
                <w:highlight w:val="none"/>
                <w:lang w:val="en-US" w:eastAsia="zh-CN"/>
              </w:rPr>
              <w:t>和印刷废气</w:t>
            </w:r>
            <w:r>
              <w:rPr>
                <w:rFonts w:hint="default" w:ascii="Times New Roman" w:hAnsi="Times New Roman" w:eastAsia="宋体" w:cs="Times New Roman"/>
                <w:color w:val="auto"/>
                <w:szCs w:val="21"/>
                <w:highlight w:val="none"/>
              </w:rPr>
              <w:t>进行处理，处理后废气经</w:t>
            </w:r>
            <w:r>
              <w:rPr>
                <w:rFonts w:hint="eastAsia" w:cs="Times New Roman"/>
                <w:color w:val="auto"/>
                <w:szCs w:val="21"/>
                <w:highlight w:val="none"/>
                <w:lang w:val="en-US" w:eastAsia="zh-CN"/>
              </w:rPr>
              <w:t>46</w:t>
            </w:r>
            <w:r>
              <w:rPr>
                <w:rFonts w:hint="default" w:ascii="Times New Roman" w:hAnsi="Times New Roman" w:eastAsia="宋体" w:cs="Times New Roman"/>
                <w:color w:val="auto"/>
                <w:szCs w:val="21"/>
                <w:highlight w:val="none"/>
              </w:rPr>
              <w:t>m高的排气筒（DA001）达标排放。参考《广东省家具行业挥发性有机化合物废气治理技术指南》</w:t>
            </w:r>
            <w:r>
              <w:rPr>
                <w:rFonts w:hint="eastAsia" w:cs="Times New Roman"/>
                <w:color w:val="auto"/>
                <w:szCs w:val="21"/>
                <w:highlight w:val="none"/>
                <w:lang w:eastAsia="zh-CN"/>
              </w:rPr>
              <w:t>（</w:t>
            </w:r>
            <w:r>
              <w:rPr>
                <w:rFonts w:hint="default" w:ascii="Times New Roman" w:hAnsi="Times New Roman" w:eastAsia="宋体" w:cs="Times New Roman"/>
                <w:color w:val="auto"/>
                <w:szCs w:val="21"/>
                <w:highlight w:val="none"/>
              </w:rPr>
              <w:t>粤环</w:t>
            </w:r>
            <w:r>
              <w:rPr>
                <w:rFonts w:hint="eastAsia" w:cs="Times New Roman"/>
                <w:color w:val="auto"/>
                <w:szCs w:val="21"/>
                <w:highlight w:val="none"/>
                <w:lang w:val="en-US" w:eastAsia="zh-CN"/>
              </w:rPr>
              <w:t>[</w:t>
            </w:r>
            <w:r>
              <w:rPr>
                <w:rFonts w:hint="default" w:ascii="Times New Roman" w:hAnsi="Times New Roman" w:eastAsia="宋体" w:cs="Times New Roman"/>
                <w:color w:val="auto"/>
                <w:szCs w:val="21"/>
                <w:highlight w:val="none"/>
              </w:rPr>
              <w:t>2014</w:t>
            </w:r>
            <w:r>
              <w:rPr>
                <w:rFonts w:hint="eastAsia" w:cs="Times New Roman"/>
                <w:color w:val="auto"/>
                <w:szCs w:val="21"/>
                <w:highlight w:val="none"/>
                <w:lang w:val="en-US" w:eastAsia="zh-CN"/>
              </w:rPr>
              <w:t>]</w:t>
            </w:r>
            <w:r>
              <w:rPr>
                <w:rFonts w:hint="default" w:ascii="Times New Roman" w:hAnsi="Times New Roman" w:eastAsia="宋体" w:cs="Times New Roman"/>
                <w:color w:val="auto"/>
                <w:szCs w:val="21"/>
                <w:highlight w:val="none"/>
              </w:rPr>
              <w:t>116号</w:t>
            </w:r>
            <w:r>
              <w:rPr>
                <w:rFonts w:hint="eastAsia" w:cs="Times New Roman"/>
                <w:color w:val="auto"/>
                <w:szCs w:val="21"/>
                <w:highlight w:val="none"/>
                <w:lang w:eastAsia="zh-CN"/>
              </w:rPr>
              <w:t>）</w:t>
            </w:r>
            <w:r>
              <w:rPr>
                <w:rFonts w:hint="default" w:ascii="Times New Roman" w:hAnsi="Times New Roman" w:eastAsia="宋体" w:cs="Times New Roman"/>
                <w:color w:val="auto"/>
                <w:szCs w:val="21"/>
                <w:highlight w:val="none"/>
              </w:rPr>
              <w:t>中</w:t>
            </w:r>
            <w:r>
              <w:rPr>
                <w:rFonts w:hint="eastAsia"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表4典型治理技术的经济成本及环境效益</w:t>
            </w:r>
            <w:r>
              <w:rPr>
                <w:rFonts w:hint="eastAsia"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活性炭吸附法处理效率为50%~80%。由于项目废气产生浓度较低，本次分析第一级活性炭吸附装置的处理效率取60%，第二级活性炭吸附装置的处理效率取60%。当存在两种或两种以上治理设施联合治理时，治理效率可按公式n=1-</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1-nj</w:t>
            </w:r>
            <w:r>
              <w:rPr>
                <w:rFonts w:hint="default" w:ascii="Times New Roman" w:hAnsi="Times New Roman" w:eastAsia="宋体" w:cs="Times New Roman"/>
                <w:color w:val="auto"/>
                <w:szCs w:val="21"/>
                <w:highlight w:val="none"/>
                <w:lang w:eastAsia="zh-CN"/>
              </w:rPr>
              <w:t>）</w:t>
            </w:r>
            <w:r>
              <w:rPr>
                <w:rFonts w:hint="default" w:ascii="Times New Roman" w:hAnsi="Times New Roman" w:cs="Times New Roman"/>
                <w:color w:val="auto"/>
                <w:szCs w:val="21"/>
                <w:highlight w:val="none"/>
                <w:lang w:val="en-US" w:eastAsia="zh-CN"/>
              </w:rPr>
              <w:t>×</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1-n2</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1-nj</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进行计算，则</w:t>
            </w:r>
            <w:r>
              <w:rPr>
                <w:rFonts w:hint="default" w:ascii="Times New Roman" w:hAnsi="Times New Roman" w:eastAsia="宋体" w:cs="Times New Roman"/>
                <w:color w:val="auto"/>
                <w:szCs w:val="21"/>
                <w:highlight w:val="none"/>
                <w:lang w:val="en-US" w:eastAsia="zh-CN"/>
              </w:rPr>
              <w:t>两</w:t>
            </w:r>
            <w:r>
              <w:rPr>
                <w:rFonts w:hint="default" w:ascii="Times New Roman" w:hAnsi="Times New Roman" w:eastAsia="宋体" w:cs="Times New Roman"/>
                <w:color w:val="auto"/>
                <w:szCs w:val="21"/>
                <w:highlight w:val="none"/>
              </w:rPr>
              <w:t>级活性炭吸附装置的综合处理效率为：1-</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1-60%</w:t>
            </w:r>
            <w:r>
              <w:rPr>
                <w:rFonts w:hint="default" w:ascii="Times New Roman" w:hAnsi="Times New Roman" w:eastAsia="宋体" w:cs="Times New Roman"/>
                <w:color w:val="auto"/>
                <w:szCs w:val="21"/>
                <w:highlight w:val="none"/>
                <w:lang w:eastAsia="zh-CN"/>
              </w:rPr>
              <w:t>）</w:t>
            </w:r>
            <w:r>
              <w:rPr>
                <w:rFonts w:hint="default" w:ascii="Times New Roman" w:hAnsi="Times New Roman" w:cs="Times New Roman"/>
                <w:color w:val="auto"/>
                <w:szCs w:val="21"/>
                <w:highlight w:val="none"/>
                <w:lang w:val="en-US" w:eastAsia="zh-CN"/>
              </w:rPr>
              <w:t>×</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1-60%</w:t>
            </w:r>
            <w:r>
              <w:rPr>
                <w:rFonts w:hint="default"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=84%，保守起见，本次分析有机废气处理效率取保守值75%。</w:t>
            </w:r>
          </w:p>
          <w:p w14:paraId="46687830">
            <w:pPr>
              <w:keepNext w:val="0"/>
              <w:keepLines w:val="0"/>
              <w:suppressLineNumbers w:val="0"/>
              <w:adjustRightInd w:val="0"/>
              <w:snapToGrid w:val="0"/>
              <w:spacing w:before="0" w:beforeAutospacing="0" w:after="0" w:afterAutospacing="0" w:line="360" w:lineRule="auto"/>
              <w:ind w:left="0" w:right="0" w:firstLine="420" w:firstLineChars="200"/>
              <w:rPr>
                <w:rFonts w:hint="default" w:ascii="Times New Roman" w:hAnsi="Times New Roman" w:eastAsia="宋体" w:cs="Times New Roman"/>
                <w:bCs/>
                <w:color w:val="auto"/>
                <w:highlight w:val="none"/>
              </w:rPr>
            </w:pPr>
            <w:r>
              <w:rPr>
                <w:rFonts w:hint="default" w:ascii="Times New Roman" w:hAnsi="Times New Roman" w:eastAsia="宋体" w:cs="Times New Roman"/>
                <w:color w:val="auto"/>
                <w:highlight w:val="none"/>
              </w:rPr>
              <w:t>综上所述，项目</w:t>
            </w:r>
            <w:r>
              <w:rPr>
                <w:rFonts w:hint="eastAsia" w:cs="Times New Roman"/>
                <w:color w:val="auto"/>
                <w:highlight w:val="none"/>
                <w:lang w:val="en-US" w:eastAsia="zh-CN"/>
              </w:rPr>
              <w:t>吸塑和印刷</w:t>
            </w:r>
            <w:r>
              <w:rPr>
                <w:rFonts w:hint="default" w:ascii="Times New Roman" w:hAnsi="Times New Roman" w:eastAsia="宋体" w:cs="Times New Roman"/>
                <w:color w:val="auto"/>
                <w:highlight w:val="none"/>
              </w:rPr>
              <w:t>废气排放如下表所示</w:t>
            </w:r>
            <w:r>
              <w:rPr>
                <w:rFonts w:hint="default" w:ascii="Times New Roman" w:hAnsi="Times New Roman" w:eastAsia="宋体" w:cs="Times New Roman"/>
                <w:bCs/>
                <w:color w:val="auto"/>
                <w:highlight w:val="none"/>
              </w:rPr>
              <w:t>。</w:t>
            </w:r>
          </w:p>
          <w:p w14:paraId="4DA76DEC">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157" w:afterLines="50" w:afterAutospacing="0"/>
              <w:ind w:right="0"/>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项目</w:t>
            </w:r>
            <w:r>
              <w:rPr>
                <w:rFonts w:hint="eastAsia" w:cs="Times New Roman"/>
                <w:b/>
                <w:bCs/>
                <w:color w:val="auto"/>
                <w:szCs w:val="21"/>
                <w:highlight w:val="none"/>
                <w:lang w:val="en-US" w:eastAsia="zh-CN"/>
              </w:rPr>
              <w:t>吸塑和印刷</w:t>
            </w:r>
            <w:r>
              <w:rPr>
                <w:rFonts w:hint="default" w:ascii="Times New Roman" w:hAnsi="Times New Roman" w:eastAsia="宋体" w:cs="Times New Roman"/>
                <w:b/>
                <w:bCs/>
                <w:color w:val="auto"/>
                <w:szCs w:val="21"/>
                <w:highlight w:val="none"/>
              </w:rPr>
              <w:t>废气排放情况一览表</w:t>
            </w:r>
          </w:p>
          <w:tbl>
            <w:tblPr>
              <w:tblStyle w:val="41"/>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9"/>
              <w:gridCol w:w="1194"/>
              <w:gridCol w:w="1030"/>
              <w:gridCol w:w="1227"/>
              <w:gridCol w:w="1070"/>
              <w:gridCol w:w="1538"/>
              <w:gridCol w:w="1311"/>
            </w:tblGrid>
            <w:tr w14:paraId="5730DC0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735" w:type="pct"/>
                  <w:vMerge w:val="restart"/>
                  <w:tcBorders>
                    <w:tl2br w:val="nil"/>
                    <w:tr2bl w:val="nil"/>
                  </w:tcBorders>
                  <w:vAlign w:val="center"/>
                </w:tcPr>
                <w:p w14:paraId="4634E8A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产污工序</w:t>
                  </w:r>
                </w:p>
              </w:tc>
              <w:tc>
                <w:tcPr>
                  <w:tcW w:w="691" w:type="pct"/>
                  <w:vMerge w:val="restart"/>
                  <w:tcBorders>
                    <w:tl2br w:val="nil"/>
                    <w:tr2bl w:val="nil"/>
                  </w:tcBorders>
                  <w:vAlign w:val="center"/>
                </w:tcPr>
                <w:p w14:paraId="5F47913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污染物</w:t>
                  </w:r>
                </w:p>
              </w:tc>
              <w:tc>
                <w:tcPr>
                  <w:tcW w:w="1306" w:type="pct"/>
                  <w:gridSpan w:val="2"/>
                  <w:tcBorders>
                    <w:tl2br w:val="nil"/>
                    <w:tr2bl w:val="nil"/>
                  </w:tcBorders>
                  <w:vAlign w:val="center"/>
                </w:tcPr>
                <w:p w14:paraId="5DC4BED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产生情况</w:t>
                  </w:r>
                </w:p>
              </w:tc>
              <w:tc>
                <w:tcPr>
                  <w:tcW w:w="2268" w:type="pct"/>
                  <w:gridSpan w:val="3"/>
                  <w:tcBorders>
                    <w:tl2br w:val="nil"/>
                    <w:tr2bl w:val="nil"/>
                  </w:tcBorders>
                  <w:vAlign w:val="center"/>
                </w:tcPr>
                <w:p w14:paraId="714B5F4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收集情况</w:t>
                  </w:r>
                </w:p>
              </w:tc>
            </w:tr>
            <w:tr w14:paraId="2B6FF24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735" w:type="pct"/>
                  <w:vMerge w:val="continue"/>
                  <w:tcBorders>
                    <w:tl2br w:val="nil"/>
                    <w:tr2bl w:val="nil"/>
                  </w:tcBorders>
                  <w:vAlign w:val="center"/>
                </w:tcPr>
                <w:p w14:paraId="5829D1E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p>
              </w:tc>
              <w:tc>
                <w:tcPr>
                  <w:tcW w:w="691" w:type="pct"/>
                  <w:vMerge w:val="continue"/>
                  <w:tcBorders>
                    <w:tl2br w:val="nil"/>
                    <w:tr2bl w:val="nil"/>
                  </w:tcBorders>
                  <w:vAlign w:val="center"/>
                </w:tcPr>
                <w:p w14:paraId="3F3676E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p>
              </w:tc>
              <w:tc>
                <w:tcPr>
                  <w:tcW w:w="1306" w:type="pct"/>
                  <w:gridSpan w:val="2"/>
                  <w:tcBorders>
                    <w:tl2br w:val="nil"/>
                    <w:tr2bl w:val="nil"/>
                  </w:tcBorders>
                  <w:vAlign w:val="center"/>
                </w:tcPr>
                <w:p w14:paraId="69D509E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产生量</w:t>
                  </w:r>
                </w:p>
                <w:p w14:paraId="6CA079C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t/a</w:t>
                  </w:r>
                </w:p>
              </w:tc>
              <w:tc>
                <w:tcPr>
                  <w:tcW w:w="619" w:type="pct"/>
                  <w:tcBorders>
                    <w:tl2br w:val="nil"/>
                    <w:tr2bl w:val="nil"/>
                  </w:tcBorders>
                  <w:vAlign w:val="center"/>
                </w:tcPr>
                <w:p w14:paraId="62264CA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收集量</w:t>
                  </w:r>
                </w:p>
                <w:p w14:paraId="3C0F2EF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t/a</w:t>
                  </w:r>
                </w:p>
              </w:tc>
              <w:tc>
                <w:tcPr>
                  <w:tcW w:w="890" w:type="pct"/>
                  <w:tcBorders>
                    <w:tl2br w:val="nil"/>
                    <w:tr2bl w:val="nil"/>
                  </w:tcBorders>
                  <w:vAlign w:val="center"/>
                </w:tcPr>
                <w:p w14:paraId="21ABEF8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产生速率kg/h</w:t>
                  </w:r>
                </w:p>
              </w:tc>
              <w:tc>
                <w:tcPr>
                  <w:tcW w:w="759" w:type="pct"/>
                  <w:tcBorders>
                    <w:tl2br w:val="nil"/>
                    <w:tr2bl w:val="nil"/>
                  </w:tcBorders>
                  <w:vAlign w:val="center"/>
                </w:tcPr>
                <w:p w14:paraId="0C760B7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产生浓度</w:t>
                  </w:r>
                </w:p>
                <w:p w14:paraId="6018599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mg/m</w:t>
                  </w:r>
                  <w:r>
                    <w:rPr>
                      <w:rFonts w:hint="default" w:ascii="Times New Roman" w:hAnsi="Times New Roman" w:eastAsia="宋体" w:cs="Times New Roman"/>
                      <w:b/>
                      <w:bCs/>
                      <w:color w:val="auto"/>
                      <w:szCs w:val="21"/>
                      <w:highlight w:val="none"/>
                      <w:vertAlign w:val="superscript"/>
                    </w:rPr>
                    <w:t>3</w:t>
                  </w:r>
                </w:p>
              </w:tc>
            </w:tr>
            <w:tr w14:paraId="2079970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pct"/>
                  <w:tcBorders>
                    <w:tl2br w:val="nil"/>
                    <w:tr2bl w:val="nil"/>
                  </w:tcBorders>
                  <w:vAlign w:val="center"/>
                </w:tcPr>
                <w:p w14:paraId="0C61F02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吸塑、印刷</w:t>
                  </w:r>
                </w:p>
              </w:tc>
              <w:tc>
                <w:tcPr>
                  <w:tcW w:w="691" w:type="pct"/>
                  <w:tcBorders>
                    <w:tl2br w:val="nil"/>
                    <w:tr2bl w:val="nil"/>
                  </w:tcBorders>
                  <w:vAlign w:val="center"/>
                </w:tcPr>
                <w:p w14:paraId="7520550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非甲烷总烃</w:t>
                  </w:r>
                </w:p>
              </w:tc>
              <w:tc>
                <w:tcPr>
                  <w:tcW w:w="1306" w:type="pct"/>
                  <w:gridSpan w:val="2"/>
                  <w:tcBorders>
                    <w:tl2br w:val="nil"/>
                    <w:tr2bl w:val="nil"/>
                  </w:tcBorders>
                  <w:vAlign w:val="center"/>
                </w:tcPr>
                <w:p w14:paraId="1247443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r>
                    <w:rPr>
                      <w:rFonts w:hint="eastAsia" w:cs="Times New Roman"/>
                      <w:color w:val="auto"/>
                      <w:szCs w:val="21"/>
                      <w:highlight w:val="none"/>
                      <w:lang w:val="en-US" w:eastAsia="zh-CN"/>
                    </w:rPr>
                    <w:t>2851</w:t>
                  </w:r>
                </w:p>
              </w:tc>
              <w:tc>
                <w:tcPr>
                  <w:tcW w:w="619" w:type="pct"/>
                  <w:tcBorders>
                    <w:tl2br w:val="nil"/>
                    <w:tr2bl w:val="nil"/>
                  </w:tcBorders>
                  <w:vAlign w:val="center"/>
                </w:tcPr>
                <w:p w14:paraId="67C7AA4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r>
                    <w:rPr>
                      <w:rFonts w:hint="eastAsia" w:cs="Times New Roman"/>
                      <w:color w:val="auto"/>
                      <w:szCs w:val="21"/>
                      <w:highlight w:val="none"/>
                      <w:lang w:val="en-US" w:eastAsia="zh-CN"/>
                    </w:rPr>
                    <w:t>14255</w:t>
                  </w:r>
                </w:p>
              </w:tc>
              <w:tc>
                <w:tcPr>
                  <w:tcW w:w="890" w:type="pct"/>
                  <w:tcBorders>
                    <w:tl2br w:val="nil"/>
                    <w:tr2bl w:val="nil"/>
                  </w:tcBorders>
                  <w:vAlign w:val="center"/>
                </w:tcPr>
                <w:p w14:paraId="579893B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r>
                    <w:rPr>
                      <w:rFonts w:hint="eastAsia" w:cs="Times New Roman"/>
                      <w:color w:val="auto"/>
                      <w:szCs w:val="21"/>
                      <w:highlight w:val="none"/>
                      <w:lang w:val="en-US" w:eastAsia="zh-CN"/>
                    </w:rPr>
                    <w:t>0594</w:t>
                  </w:r>
                </w:p>
              </w:tc>
              <w:tc>
                <w:tcPr>
                  <w:tcW w:w="759" w:type="pct"/>
                  <w:tcBorders>
                    <w:tl2br w:val="nil"/>
                    <w:tr2bl w:val="nil"/>
                  </w:tcBorders>
                  <w:vAlign w:val="center"/>
                </w:tcPr>
                <w:p w14:paraId="249C16C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2.97</w:t>
                  </w:r>
                </w:p>
              </w:tc>
            </w:tr>
            <w:tr w14:paraId="270B6B8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pct"/>
                  <w:vMerge w:val="restart"/>
                  <w:tcBorders>
                    <w:tl2br w:val="nil"/>
                    <w:tr2bl w:val="nil"/>
                  </w:tcBorders>
                  <w:vAlign w:val="center"/>
                </w:tcPr>
                <w:p w14:paraId="550B2EA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产污工序</w:t>
                  </w:r>
                </w:p>
              </w:tc>
              <w:tc>
                <w:tcPr>
                  <w:tcW w:w="691" w:type="pct"/>
                  <w:vMerge w:val="restart"/>
                  <w:tcBorders>
                    <w:tl2br w:val="nil"/>
                    <w:tr2bl w:val="nil"/>
                  </w:tcBorders>
                  <w:vAlign w:val="center"/>
                </w:tcPr>
                <w:p w14:paraId="317A40F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污染物</w:t>
                  </w:r>
                </w:p>
              </w:tc>
              <w:tc>
                <w:tcPr>
                  <w:tcW w:w="1306" w:type="pct"/>
                  <w:gridSpan w:val="2"/>
                  <w:tcBorders>
                    <w:tl2br w:val="nil"/>
                    <w:tr2bl w:val="nil"/>
                  </w:tcBorders>
                  <w:vAlign w:val="center"/>
                </w:tcPr>
                <w:p w14:paraId="283EA77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无组织排放情况</w:t>
                  </w:r>
                </w:p>
              </w:tc>
              <w:tc>
                <w:tcPr>
                  <w:tcW w:w="2268" w:type="pct"/>
                  <w:gridSpan w:val="3"/>
                  <w:tcBorders>
                    <w:tl2br w:val="nil"/>
                    <w:tr2bl w:val="nil"/>
                  </w:tcBorders>
                  <w:vAlign w:val="center"/>
                </w:tcPr>
                <w:p w14:paraId="3AE1615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有组织排放情况</w:t>
                  </w:r>
                </w:p>
              </w:tc>
            </w:tr>
            <w:tr w14:paraId="6442148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735" w:type="pct"/>
                  <w:vMerge w:val="continue"/>
                  <w:tcBorders>
                    <w:tl2br w:val="nil"/>
                    <w:tr2bl w:val="nil"/>
                  </w:tcBorders>
                  <w:vAlign w:val="center"/>
                </w:tcPr>
                <w:p w14:paraId="35AA33E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p>
              </w:tc>
              <w:tc>
                <w:tcPr>
                  <w:tcW w:w="691" w:type="pct"/>
                  <w:vMerge w:val="continue"/>
                  <w:tcBorders>
                    <w:tl2br w:val="nil"/>
                    <w:tr2bl w:val="nil"/>
                  </w:tcBorders>
                  <w:vAlign w:val="center"/>
                </w:tcPr>
                <w:p w14:paraId="26E7D5A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p>
              </w:tc>
              <w:tc>
                <w:tcPr>
                  <w:tcW w:w="596" w:type="pct"/>
                  <w:tcBorders>
                    <w:tl2br w:val="nil"/>
                    <w:tr2bl w:val="nil"/>
                  </w:tcBorders>
                  <w:vAlign w:val="center"/>
                </w:tcPr>
                <w:p w14:paraId="4A77643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排放量</w:t>
                  </w:r>
                </w:p>
                <w:p w14:paraId="59C01FE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t/a</w:t>
                  </w:r>
                </w:p>
              </w:tc>
              <w:tc>
                <w:tcPr>
                  <w:tcW w:w="710" w:type="pct"/>
                  <w:tcBorders>
                    <w:tl2br w:val="nil"/>
                    <w:tr2bl w:val="nil"/>
                  </w:tcBorders>
                  <w:vAlign w:val="center"/>
                </w:tcPr>
                <w:p w14:paraId="0EE0591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排放速率</w:t>
                  </w:r>
                </w:p>
                <w:p w14:paraId="0C09ECB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kg/h</w:t>
                  </w:r>
                </w:p>
              </w:tc>
              <w:tc>
                <w:tcPr>
                  <w:tcW w:w="619" w:type="pct"/>
                  <w:tcBorders>
                    <w:tl2br w:val="nil"/>
                    <w:tr2bl w:val="nil"/>
                  </w:tcBorders>
                  <w:vAlign w:val="center"/>
                </w:tcPr>
                <w:p w14:paraId="4CD2DDC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排放量</w:t>
                  </w:r>
                </w:p>
                <w:p w14:paraId="45880E8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t/a</w:t>
                  </w:r>
                </w:p>
              </w:tc>
              <w:tc>
                <w:tcPr>
                  <w:tcW w:w="890" w:type="pct"/>
                  <w:tcBorders>
                    <w:tl2br w:val="nil"/>
                    <w:tr2bl w:val="nil"/>
                  </w:tcBorders>
                  <w:vAlign w:val="center"/>
                </w:tcPr>
                <w:p w14:paraId="3C7CDF8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排放速率kg/h</w:t>
                  </w:r>
                </w:p>
              </w:tc>
              <w:tc>
                <w:tcPr>
                  <w:tcW w:w="759" w:type="pct"/>
                  <w:tcBorders>
                    <w:tl2br w:val="nil"/>
                    <w:tr2bl w:val="nil"/>
                  </w:tcBorders>
                  <w:vAlign w:val="center"/>
                </w:tcPr>
                <w:p w14:paraId="5E35153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排放浓度</w:t>
                  </w:r>
                </w:p>
                <w:p w14:paraId="3D9EEDF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mg/m</w:t>
                  </w:r>
                  <w:r>
                    <w:rPr>
                      <w:rFonts w:hint="default" w:ascii="Times New Roman" w:hAnsi="Times New Roman" w:eastAsia="宋体" w:cs="Times New Roman"/>
                      <w:b/>
                      <w:bCs/>
                      <w:color w:val="auto"/>
                      <w:szCs w:val="21"/>
                      <w:highlight w:val="none"/>
                      <w:vertAlign w:val="superscript"/>
                    </w:rPr>
                    <w:t>3</w:t>
                  </w:r>
                </w:p>
              </w:tc>
            </w:tr>
            <w:tr w14:paraId="0E9F3A1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pct"/>
                  <w:tcBorders>
                    <w:tl2br w:val="nil"/>
                    <w:tr2bl w:val="nil"/>
                  </w:tcBorders>
                  <w:vAlign w:val="center"/>
                </w:tcPr>
                <w:p w14:paraId="07F3513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eastAsia" w:cs="Times New Roman"/>
                      <w:color w:val="auto"/>
                      <w:szCs w:val="21"/>
                      <w:highlight w:val="none"/>
                      <w:lang w:val="en-US" w:eastAsia="zh-CN"/>
                    </w:rPr>
                    <w:t>吸塑、印刷</w:t>
                  </w:r>
                </w:p>
              </w:tc>
              <w:tc>
                <w:tcPr>
                  <w:tcW w:w="691" w:type="pct"/>
                  <w:tcBorders>
                    <w:tl2br w:val="nil"/>
                    <w:tr2bl w:val="nil"/>
                  </w:tcBorders>
                  <w:vAlign w:val="center"/>
                </w:tcPr>
                <w:p w14:paraId="5E3834B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非甲烷总烃</w:t>
                  </w:r>
                </w:p>
              </w:tc>
              <w:tc>
                <w:tcPr>
                  <w:tcW w:w="596" w:type="pct"/>
                  <w:tcBorders>
                    <w:tl2br w:val="nil"/>
                    <w:tr2bl w:val="nil"/>
                  </w:tcBorders>
                  <w:vAlign w:val="center"/>
                </w:tcPr>
                <w:p w14:paraId="436C12FE">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szCs w:val="21"/>
                      <w:highlight w:val="none"/>
                    </w:rPr>
                    <w:t>0.</w:t>
                  </w:r>
                  <w:r>
                    <w:rPr>
                      <w:rFonts w:hint="eastAsia" w:cs="Times New Roman"/>
                      <w:color w:val="auto"/>
                      <w:szCs w:val="21"/>
                      <w:highlight w:val="none"/>
                      <w:lang w:val="en-US" w:eastAsia="zh-CN"/>
                    </w:rPr>
                    <w:t>14255</w:t>
                  </w:r>
                </w:p>
              </w:tc>
              <w:tc>
                <w:tcPr>
                  <w:tcW w:w="710" w:type="pct"/>
                  <w:tcBorders>
                    <w:tl2br w:val="nil"/>
                    <w:tr2bl w:val="nil"/>
                  </w:tcBorders>
                  <w:vAlign w:val="center"/>
                </w:tcPr>
                <w:p w14:paraId="596924E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szCs w:val="21"/>
                      <w:highlight w:val="none"/>
                    </w:rPr>
                    <w:t>0.</w:t>
                  </w:r>
                  <w:r>
                    <w:rPr>
                      <w:rFonts w:hint="eastAsia" w:ascii="Times New Roman" w:hAnsi="Times New Roman" w:eastAsia="宋体" w:cs="Times New Roman"/>
                      <w:color w:val="auto"/>
                      <w:szCs w:val="21"/>
                      <w:highlight w:val="none"/>
                      <w:lang w:val="en-US" w:eastAsia="zh-CN"/>
                    </w:rPr>
                    <w:t>0</w:t>
                  </w:r>
                  <w:r>
                    <w:rPr>
                      <w:rFonts w:hint="eastAsia" w:cs="Times New Roman"/>
                      <w:color w:val="auto"/>
                      <w:szCs w:val="21"/>
                      <w:highlight w:val="none"/>
                      <w:lang w:val="en-US" w:eastAsia="zh-CN"/>
                    </w:rPr>
                    <w:t>594</w:t>
                  </w:r>
                </w:p>
              </w:tc>
              <w:tc>
                <w:tcPr>
                  <w:tcW w:w="1108" w:type="dxa"/>
                  <w:tcBorders>
                    <w:tl2br w:val="nil"/>
                    <w:tr2bl w:val="nil"/>
                  </w:tcBorders>
                  <w:vAlign w:val="center"/>
                </w:tcPr>
                <w:p w14:paraId="2D9CF36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szCs w:val="21"/>
                      <w:highlight w:val="none"/>
                    </w:rPr>
                    <w:t>0.</w:t>
                  </w:r>
                  <w:r>
                    <w:rPr>
                      <w:rFonts w:hint="eastAsia" w:ascii="Times New Roman" w:hAnsi="Times New Roman" w:eastAsia="宋体" w:cs="Times New Roman"/>
                      <w:color w:val="auto"/>
                      <w:szCs w:val="21"/>
                      <w:highlight w:val="none"/>
                      <w:lang w:val="en-US" w:eastAsia="zh-CN"/>
                    </w:rPr>
                    <w:t>0</w:t>
                  </w:r>
                  <w:r>
                    <w:rPr>
                      <w:rFonts w:hint="eastAsia" w:cs="Times New Roman"/>
                      <w:color w:val="auto"/>
                      <w:szCs w:val="21"/>
                      <w:highlight w:val="none"/>
                      <w:lang w:val="en-US" w:eastAsia="zh-CN"/>
                    </w:rPr>
                    <w:t>356</w:t>
                  </w:r>
                </w:p>
              </w:tc>
              <w:tc>
                <w:tcPr>
                  <w:tcW w:w="1593" w:type="dxa"/>
                  <w:tcBorders>
                    <w:tl2br w:val="nil"/>
                    <w:tr2bl w:val="nil"/>
                  </w:tcBorders>
                  <w:vAlign w:val="center"/>
                </w:tcPr>
                <w:p w14:paraId="46D1A56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0.</w:t>
                  </w:r>
                  <w:r>
                    <w:rPr>
                      <w:rFonts w:hint="eastAsia" w:ascii="Times New Roman" w:hAnsi="Times New Roman" w:eastAsia="宋体" w:cs="Times New Roman"/>
                      <w:color w:val="auto"/>
                      <w:szCs w:val="21"/>
                      <w:highlight w:val="none"/>
                      <w:lang w:val="en-US" w:eastAsia="zh-CN"/>
                    </w:rPr>
                    <w:t>0</w:t>
                  </w:r>
                  <w:r>
                    <w:rPr>
                      <w:rFonts w:hint="eastAsia" w:cs="Times New Roman"/>
                      <w:color w:val="auto"/>
                      <w:szCs w:val="21"/>
                      <w:highlight w:val="none"/>
                      <w:lang w:val="en-US" w:eastAsia="zh-CN"/>
                    </w:rPr>
                    <w:t>148</w:t>
                  </w:r>
                </w:p>
              </w:tc>
              <w:tc>
                <w:tcPr>
                  <w:tcW w:w="759" w:type="pct"/>
                  <w:tcBorders>
                    <w:tl2br w:val="nil"/>
                    <w:tr2bl w:val="nil"/>
                  </w:tcBorders>
                  <w:vAlign w:val="center"/>
                </w:tcPr>
                <w:p w14:paraId="11934F6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0.74</w:t>
                  </w:r>
                </w:p>
              </w:tc>
            </w:tr>
          </w:tbl>
          <w:p w14:paraId="366E3C38">
            <w:pPr>
              <w:pStyle w:val="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20" w:firstLineChars="200"/>
              <w:textAlignment w:val="auto"/>
              <w:rPr>
                <w:rFonts w:hint="eastAsia" w:cs="Times New Roman"/>
                <w:b w:val="0"/>
                <w:bCs/>
                <w:color w:val="auto"/>
                <w:sz w:val="21"/>
                <w:szCs w:val="21"/>
                <w:highlight w:val="none"/>
                <w:lang w:val="en-US" w:eastAsia="zh-CN"/>
              </w:rPr>
            </w:pPr>
            <w:r>
              <w:rPr>
                <w:rFonts w:hint="eastAsia" w:cs="Times New Roman"/>
                <w:b w:val="0"/>
                <w:bCs/>
                <w:color w:val="auto"/>
                <w:sz w:val="21"/>
                <w:szCs w:val="21"/>
                <w:highlight w:val="none"/>
                <w:lang w:val="en-US" w:eastAsia="zh-CN"/>
              </w:rPr>
              <w:t>项目DA001排气筒的设计风量为20000m</w:t>
            </w:r>
            <w:r>
              <w:rPr>
                <w:rFonts w:hint="eastAsia" w:cs="Times New Roman"/>
                <w:b w:val="0"/>
                <w:bCs/>
                <w:color w:val="auto"/>
                <w:sz w:val="21"/>
                <w:szCs w:val="21"/>
                <w:highlight w:val="none"/>
                <w:vertAlign w:val="superscript"/>
                <w:lang w:val="en-US" w:eastAsia="zh-CN"/>
              </w:rPr>
              <w:t>3</w:t>
            </w:r>
            <w:r>
              <w:rPr>
                <w:rFonts w:hint="eastAsia" w:cs="Times New Roman"/>
                <w:b w:val="0"/>
                <w:bCs/>
                <w:color w:val="auto"/>
                <w:sz w:val="21"/>
                <w:szCs w:val="21"/>
                <w:highlight w:val="none"/>
                <w:lang w:val="en-US" w:eastAsia="zh-CN"/>
              </w:rPr>
              <w:t>/h，活性炭吸附装置主要技术参数见下表。</w:t>
            </w:r>
          </w:p>
          <w:p w14:paraId="2F2A041F">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157" w:afterLines="50" w:afterAutospacing="0"/>
              <w:ind w:right="0"/>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项目</w:t>
            </w:r>
            <w:r>
              <w:rPr>
                <w:rFonts w:hint="eastAsia" w:cs="Times New Roman"/>
                <w:b/>
                <w:bCs/>
                <w:color w:val="auto"/>
                <w:szCs w:val="21"/>
                <w:highlight w:val="none"/>
                <w:lang w:val="en-US" w:eastAsia="zh-CN"/>
              </w:rPr>
              <w:t>吸塑和印刷</w:t>
            </w:r>
            <w:r>
              <w:rPr>
                <w:rFonts w:hint="default" w:ascii="Times New Roman" w:hAnsi="Times New Roman" w:eastAsia="宋体" w:cs="Times New Roman"/>
                <w:b/>
                <w:bCs/>
                <w:color w:val="auto"/>
                <w:szCs w:val="21"/>
                <w:highlight w:val="none"/>
              </w:rPr>
              <w:t>废气排放情况一览表</w:t>
            </w:r>
          </w:p>
          <w:tbl>
            <w:tblPr>
              <w:tblStyle w:val="42"/>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1"/>
              <w:gridCol w:w="6488"/>
            </w:tblGrid>
            <w:tr w14:paraId="3858371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pct"/>
                  <w:tcBorders>
                    <w:tl2br w:val="nil"/>
                    <w:tr2bl w:val="nil"/>
                  </w:tcBorders>
                  <w:vAlign w:val="center"/>
                </w:tcPr>
                <w:p w14:paraId="4A53A239">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highlight w:val="none"/>
                      <w:vertAlign w:val="baseline"/>
                      <w:lang w:val="en-US" w:eastAsia="zh-CN"/>
                    </w:rPr>
                  </w:pPr>
                  <w:r>
                    <w:rPr>
                      <w:rFonts w:hint="default" w:ascii="Times New Roman" w:hAnsi="Times New Roman" w:cs="Times New Roman"/>
                      <w:b/>
                      <w:bCs/>
                      <w:color w:val="auto"/>
                      <w:highlight w:val="none"/>
                      <w:vertAlign w:val="baseline"/>
                      <w:lang w:val="en-US" w:eastAsia="zh-CN"/>
                    </w:rPr>
                    <w:t>参数</w:t>
                  </w:r>
                </w:p>
              </w:tc>
              <w:tc>
                <w:tcPr>
                  <w:tcW w:w="3754" w:type="pct"/>
                  <w:tcBorders>
                    <w:tl2br w:val="nil"/>
                    <w:tr2bl w:val="nil"/>
                  </w:tcBorders>
                  <w:vAlign w:val="center"/>
                </w:tcPr>
                <w:p w14:paraId="16B276A4">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highlight w:val="none"/>
                      <w:vertAlign w:val="baseline"/>
                      <w:lang w:val="en-US" w:eastAsia="zh-CN"/>
                    </w:rPr>
                  </w:pPr>
                  <w:r>
                    <w:rPr>
                      <w:rFonts w:hint="default" w:ascii="Times New Roman" w:hAnsi="Times New Roman" w:cs="Times New Roman"/>
                      <w:b/>
                      <w:bCs/>
                      <w:color w:val="auto"/>
                      <w:highlight w:val="none"/>
                      <w:vertAlign w:val="baseline"/>
                      <w:lang w:val="en-US" w:eastAsia="zh-CN"/>
                    </w:rPr>
                    <w:t>DA001排气筒</w:t>
                  </w:r>
                </w:p>
              </w:tc>
            </w:tr>
            <w:tr w14:paraId="5B78A10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pct"/>
                  <w:tcBorders>
                    <w:tl2br w:val="nil"/>
                    <w:tr2bl w:val="nil"/>
                  </w:tcBorders>
                  <w:vAlign w:val="center"/>
                </w:tcPr>
                <w:p w14:paraId="3A1E5E27">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设计处理风量</w:t>
                  </w:r>
                </w:p>
              </w:tc>
              <w:tc>
                <w:tcPr>
                  <w:tcW w:w="3754" w:type="pct"/>
                  <w:tcBorders>
                    <w:tl2br w:val="nil"/>
                    <w:tr2bl w:val="nil"/>
                  </w:tcBorders>
                  <w:vAlign w:val="center"/>
                </w:tcPr>
                <w:p w14:paraId="2CA6ED71">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eastAsia" w:cs="Times New Roman"/>
                      <w:color w:val="auto"/>
                      <w:highlight w:val="none"/>
                      <w:vertAlign w:val="baseline"/>
                      <w:lang w:val="en-US" w:eastAsia="zh-CN"/>
                    </w:rPr>
                    <w:t>2</w:t>
                  </w:r>
                  <w:r>
                    <w:rPr>
                      <w:rFonts w:hint="default" w:ascii="Times New Roman" w:hAnsi="Times New Roman" w:cs="Times New Roman"/>
                      <w:color w:val="auto"/>
                      <w:highlight w:val="none"/>
                      <w:vertAlign w:val="baseline"/>
                      <w:lang w:val="en-US" w:eastAsia="zh-CN"/>
                    </w:rPr>
                    <w:t>0000m</w:t>
                  </w:r>
                  <w:r>
                    <w:rPr>
                      <w:rFonts w:hint="default" w:ascii="Times New Roman" w:hAnsi="Times New Roman" w:cs="Times New Roman"/>
                      <w:color w:val="auto"/>
                      <w:highlight w:val="none"/>
                      <w:vertAlign w:val="superscript"/>
                      <w:lang w:val="en-US" w:eastAsia="zh-CN"/>
                    </w:rPr>
                    <w:t>3</w:t>
                  </w:r>
                  <w:r>
                    <w:rPr>
                      <w:rFonts w:hint="default" w:ascii="Times New Roman" w:hAnsi="Times New Roman" w:cs="Times New Roman"/>
                      <w:color w:val="auto"/>
                      <w:highlight w:val="none"/>
                      <w:vertAlign w:val="baseline"/>
                      <w:lang w:val="en-US" w:eastAsia="zh-CN"/>
                    </w:rPr>
                    <w:t>/h</w:t>
                  </w:r>
                </w:p>
              </w:tc>
            </w:tr>
            <w:tr w14:paraId="0EA4EDE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pct"/>
                  <w:tcBorders>
                    <w:tl2br w:val="nil"/>
                    <w:tr2bl w:val="nil"/>
                  </w:tcBorders>
                  <w:vAlign w:val="center"/>
                </w:tcPr>
                <w:p w14:paraId="215310A7">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单级活性炭塔体尺寸</w:t>
                  </w:r>
                </w:p>
              </w:tc>
              <w:tc>
                <w:tcPr>
                  <w:tcW w:w="3754" w:type="pct"/>
                  <w:tcBorders>
                    <w:tl2br w:val="nil"/>
                    <w:tr2bl w:val="nil"/>
                  </w:tcBorders>
                  <w:vAlign w:val="center"/>
                </w:tcPr>
                <w:p w14:paraId="1E132DB1">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L17</w:t>
                  </w:r>
                  <w:r>
                    <w:rPr>
                      <w:rFonts w:hint="eastAsia" w:cs="Times New Roman"/>
                      <w:color w:val="auto"/>
                      <w:highlight w:val="none"/>
                      <w:vertAlign w:val="baseline"/>
                      <w:lang w:val="en-US" w:eastAsia="zh-CN"/>
                    </w:rPr>
                    <w:t>5</w:t>
                  </w:r>
                  <w:r>
                    <w:rPr>
                      <w:rFonts w:hint="default" w:ascii="Times New Roman" w:hAnsi="Times New Roman" w:cs="Times New Roman"/>
                      <w:color w:val="auto"/>
                      <w:highlight w:val="none"/>
                      <w:vertAlign w:val="baseline"/>
                      <w:lang w:val="en-US" w:eastAsia="zh-CN"/>
                    </w:rPr>
                    <w:t>0（炭层长度12</w:t>
                  </w:r>
                  <w:r>
                    <w:rPr>
                      <w:rFonts w:hint="eastAsia" w:cs="Times New Roman"/>
                      <w:color w:val="auto"/>
                      <w:highlight w:val="none"/>
                      <w:vertAlign w:val="baseline"/>
                      <w:lang w:val="en-US" w:eastAsia="zh-CN"/>
                    </w:rPr>
                    <w:t>5</w:t>
                  </w:r>
                  <w:r>
                    <w:rPr>
                      <w:rFonts w:hint="default" w:ascii="Times New Roman" w:hAnsi="Times New Roman" w:cs="Times New Roman"/>
                      <w:color w:val="auto"/>
                      <w:highlight w:val="none"/>
                      <w:vertAlign w:val="baseline"/>
                      <w:lang w:val="en-US" w:eastAsia="zh-CN"/>
                    </w:rPr>
                    <w:t>0+空隙长度500）mm×W</w:t>
                  </w:r>
                  <w:r>
                    <w:rPr>
                      <w:rFonts w:hint="eastAsia" w:cs="Times New Roman"/>
                      <w:color w:val="auto"/>
                      <w:highlight w:val="none"/>
                      <w:vertAlign w:val="baseline"/>
                      <w:lang w:val="en-US" w:eastAsia="zh-CN"/>
                    </w:rPr>
                    <w:t>2</w:t>
                  </w:r>
                  <w:r>
                    <w:rPr>
                      <w:rFonts w:hint="default" w:ascii="Times New Roman" w:hAnsi="Times New Roman" w:cs="Times New Roman"/>
                      <w:color w:val="auto"/>
                      <w:highlight w:val="none"/>
                      <w:vertAlign w:val="baseline"/>
                      <w:lang w:val="en-US" w:eastAsia="zh-CN"/>
                    </w:rPr>
                    <w:t>500（炭层宽度</w:t>
                  </w:r>
                  <w:r>
                    <w:rPr>
                      <w:rFonts w:hint="eastAsia" w:cs="Times New Roman"/>
                      <w:color w:val="auto"/>
                      <w:highlight w:val="none"/>
                      <w:vertAlign w:val="baseline"/>
                      <w:lang w:val="en-US" w:eastAsia="zh-CN"/>
                    </w:rPr>
                    <w:t>2</w:t>
                  </w:r>
                  <w:r>
                    <w:rPr>
                      <w:rFonts w:hint="default" w:ascii="Times New Roman" w:hAnsi="Times New Roman" w:cs="Times New Roman"/>
                      <w:color w:val="auto"/>
                      <w:highlight w:val="none"/>
                      <w:vertAlign w:val="baseline"/>
                      <w:lang w:val="en-US" w:eastAsia="zh-CN"/>
                    </w:rPr>
                    <w:t>000+空隙宽度500）mm×H1450（炭层高度600+空隙高度850）mm</w:t>
                  </w:r>
                </w:p>
              </w:tc>
            </w:tr>
            <w:tr w14:paraId="16EB9F6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pct"/>
                  <w:tcBorders>
                    <w:tl2br w:val="nil"/>
                    <w:tr2bl w:val="nil"/>
                  </w:tcBorders>
                  <w:vAlign w:val="center"/>
                </w:tcPr>
                <w:p w14:paraId="3547F2B7">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两级活性炭塔体尺寸</w:t>
                  </w:r>
                </w:p>
              </w:tc>
              <w:tc>
                <w:tcPr>
                  <w:tcW w:w="3754" w:type="pct"/>
                  <w:tcBorders>
                    <w:tl2br w:val="nil"/>
                    <w:tr2bl w:val="nil"/>
                  </w:tcBorders>
                  <w:vAlign w:val="center"/>
                </w:tcPr>
                <w:p w14:paraId="1818D198">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L3</w:t>
                  </w:r>
                  <w:r>
                    <w:rPr>
                      <w:rFonts w:hint="eastAsia" w:cs="Times New Roman"/>
                      <w:color w:val="auto"/>
                      <w:highlight w:val="none"/>
                      <w:vertAlign w:val="baseline"/>
                      <w:lang w:val="en-US" w:eastAsia="zh-CN"/>
                    </w:rPr>
                    <w:t>5</w:t>
                  </w:r>
                  <w:r>
                    <w:rPr>
                      <w:rFonts w:hint="default" w:ascii="Times New Roman" w:hAnsi="Times New Roman" w:cs="Times New Roman"/>
                      <w:color w:val="auto"/>
                      <w:highlight w:val="none"/>
                      <w:vertAlign w:val="baseline"/>
                      <w:lang w:val="en-US" w:eastAsia="zh-CN"/>
                    </w:rPr>
                    <w:t>00（炭层长度2</w:t>
                  </w:r>
                  <w:r>
                    <w:rPr>
                      <w:rFonts w:hint="eastAsia" w:cs="Times New Roman"/>
                      <w:color w:val="auto"/>
                      <w:highlight w:val="none"/>
                      <w:vertAlign w:val="baseline"/>
                      <w:lang w:val="en-US" w:eastAsia="zh-CN"/>
                    </w:rPr>
                    <w:t>5</w:t>
                  </w:r>
                  <w:r>
                    <w:rPr>
                      <w:rFonts w:hint="default" w:ascii="Times New Roman" w:hAnsi="Times New Roman" w:cs="Times New Roman"/>
                      <w:color w:val="auto"/>
                      <w:highlight w:val="none"/>
                      <w:vertAlign w:val="baseline"/>
                      <w:lang w:val="en-US" w:eastAsia="zh-CN"/>
                    </w:rPr>
                    <w:t>00+空隙长度1000）mm×W</w:t>
                  </w:r>
                  <w:r>
                    <w:rPr>
                      <w:rFonts w:hint="eastAsia" w:cs="Times New Roman"/>
                      <w:color w:val="auto"/>
                      <w:highlight w:val="none"/>
                      <w:vertAlign w:val="baseline"/>
                      <w:lang w:val="en-US" w:eastAsia="zh-CN"/>
                    </w:rPr>
                    <w:t>2</w:t>
                  </w:r>
                  <w:r>
                    <w:rPr>
                      <w:rFonts w:hint="default" w:ascii="Times New Roman" w:hAnsi="Times New Roman" w:cs="Times New Roman"/>
                      <w:color w:val="auto"/>
                      <w:highlight w:val="none"/>
                      <w:vertAlign w:val="baseline"/>
                      <w:lang w:val="en-US" w:eastAsia="zh-CN"/>
                    </w:rPr>
                    <w:t>500（炭层宽度</w:t>
                  </w:r>
                  <w:r>
                    <w:rPr>
                      <w:rFonts w:hint="eastAsia" w:cs="Times New Roman"/>
                      <w:color w:val="auto"/>
                      <w:highlight w:val="none"/>
                      <w:vertAlign w:val="baseline"/>
                      <w:lang w:val="en-US" w:eastAsia="zh-CN"/>
                    </w:rPr>
                    <w:t>2</w:t>
                  </w:r>
                  <w:r>
                    <w:rPr>
                      <w:rFonts w:hint="default" w:ascii="Times New Roman" w:hAnsi="Times New Roman" w:cs="Times New Roman"/>
                      <w:color w:val="auto"/>
                      <w:highlight w:val="none"/>
                      <w:vertAlign w:val="baseline"/>
                      <w:lang w:val="en-US" w:eastAsia="zh-CN"/>
                    </w:rPr>
                    <w:t>000+空隙宽度500）mm×H1450（炭层高度600+空隙高度850）mm</w:t>
                  </w:r>
                </w:p>
              </w:tc>
            </w:tr>
            <w:tr w14:paraId="6A3706C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pct"/>
                  <w:tcBorders>
                    <w:tl2br w:val="nil"/>
                    <w:tr2bl w:val="nil"/>
                  </w:tcBorders>
                  <w:vAlign w:val="center"/>
                </w:tcPr>
                <w:p w14:paraId="6E0C3E40">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活性炭炭层截面积</w:t>
                  </w:r>
                </w:p>
              </w:tc>
              <w:tc>
                <w:tcPr>
                  <w:tcW w:w="3754" w:type="pct"/>
                  <w:tcBorders>
                    <w:tl2br w:val="nil"/>
                    <w:tr2bl w:val="nil"/>
                  </w:tcBorders>
                  <w:vAlign w:val="center"/>
                </w:tcPr>
                <w:p w14:paraId="73B1B5A6">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eastAsia" w:cs="Times New Roman"/>
                      <w:color w:val="auto"/>
                      <w:highlight w:val="none"/>
                      <w:vertAlign w:val="baseline"/>
                      <w:lang w:val="en-US" w:eastAsia="zh-CN"/>
                    </w:rPr>
                    <w:t>5</w:t>
                  </w:r>
                  <w:r>
                    <w:rPr>
                      <w:rFonts w:hint="default" w:ascii="Times New Roman" w:hAnsi="Times New Roman" w:cs="Times New Roman"/>
                      <w:color w:val="auto"/>
                      <w:highlight w:val="none"/>
                      <w:vertAlign w:val="baseline"/>
                      <w:lang w:val="en-US" w:eastAsia="zh-CN"/>
                    </w:rPr>
                    <w:t>m</w:t>
                  </w:r>
                  <w:r>
                    <w:rPr>
                      <w:rFonts w:hint="default" w:ascii="Times New Roman" w:hAnsi="Times New Roman" w:cs="Times New Roman"/>
                      <w:color w:val="auto"/>
                      <w:highlight w:val="none"/>
                      <w:vertAlign w:val="superscript"/>
                      <w:lang w:val="en-US" w:eastAsia="zh-CN"/>
                    </w:rPr>
                    <w:t>2</w:t>
                  </w:r>
                  <w:r>
                    <w:rPr>
                      <w:rFonts w:hint="default" w:ascii="Times New Roman" w:hAnsi="Times New Roman" w:cs="Times New Roman"/>
                      <w:color w:val="auto"/>
                      <w:highlight w:val="none"/>
                      <w:vertAlign w:val="baseline"/>
                      <w:lang w:val="en-US" w:eastAsia="zh-CN"/>
                    </w:rPr>
                    <w:t>（2.</w:t>
                  </w:r>
                  <w:r>
                    <w:rPr>
                      <w:rFonts w:hint="eastAsia" w:cs="Times New Roman"/>
                      <w:color w:val="auto"/>
                      <w:highlight w:val="none"/>
                      <w:vertAlign w:val="baseline"/>
                      <w:lang w:val="en-US" w:eastAsia="zh-CN"/>
                    </w:rPr>
                    <w:t>5</w:t>
                  </w:r>
                  <w:r>
                    <w:rPr>
                      <w:rFonts w:hint="default" w:ascii="Times New Roman" w:hAnsi="Times New Roman" w:cs="Times New Roman"/>
                      <w:color w:val="auto"/>
                      <w:highlight w:val="none"/>
                      <w:vertAlign w:val="baseline"/>
                      <w:lang w:val="en-US" w:eastAsia="zh-CN"/>
                    </w:rPr>
                    <w:t>×</w:t>
                  </w:r>
                  <w:r>
                    <w:rPr>
                      <w:rFonts w:hint="eastAsia" w:cs="Times New Roman"/>
                      <w:color w:val="auto"/>
                      <w:highlight w:val="none"/>
                      <w:vertAlign w:val="baseline"/>
                      <w:lang w:val="en-US" w:eastAsia="zh-CN"/>
                    </w:rPr>
                    <w:t>2</w:t>
                  </w:r>
                  <w:r>
                    <w:rPr>
                      <w:rFonts w:hint="default" w:ascii="Times New Roman" w:hAnsi="Times New Roman" w:cs="Times New Roman"/>
                      <w:color w:val="auto"/>
                      <w:highlight w:val="none"/>
                      <w:vertAlign w:val="baseline"/>
                      <w:lang w:val="en-US" w:eastAsia="zh-CN"/>
                    </w:rPr>
                    <w:t>.0m）</w:t>
                  </w:r>
                </w:p>
              </w:tc>
            </w:tr>
            <w:tr w14:paraId="6FC6DB0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pct"/>
                  <w:tcBorders>
                    <w:tl2br w:val="nil"/>
                    <w:tr2bl w:val="nil"/>
                  </w:tcBorders>
                  <w:vAlign w:val="center"/>
                </w:tcPr>
                <w:p w14:paraId="1096E69A">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过滤风速</w:t>
                  </w:r>
                </w:p>
              </w:tc>
              <w:tc>
                <w:tcPr>
                  <w:tcW w:w="3754" w:type="pct"/>
                  <w:tcBorders>
                    <w:tl2br w:val="nil"/>
                    <w:tr2bl w:val="nil"/>
                  </w:tcBorders>
                  <w:vAlign w:val="center"/>
                </w:tcPr>
                <w:p w14:paraId="4CAF2D87">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1.1</w:t>
                  </w:r>
                  <w:r>
                    <w:rPr>
                      <w:rFonts w:hint="eastAsia" w:cs="Times New Roman"/>
                      <w:color w:val="auto"/>
                      <w:highlight w:val="none"/>
                      <w:vertAlign w:val="baseline"/>
                      <w:lang w:val="en-US" w:eastAsia="zh-CN"/>
                    </w:rPr>
                    <w:t>1</w:t>
                  </w:r>
                  <w:r>
                    <w:rPr>
                      <w:rFonts w:hint="default" w:ascii="Times New Roman" w:hAnsi="Times New Roman" w:cs="Times New Roman"/>
                      <w:color w:val="auto"/>
                      <w:highlight w:val="none"/>
                      <w:vertAlign w:val="baseline"/>
                      <w:lang w:val="en-US" w:eastAsia="zh-CN"/>
                    </w:rPr>
                    <w:t>m/s（</w:t>
                  </w:r>
                  <w:r>
                    <w:rPr>
                      <w:rFonts w:hint="eastAsia" w:cs="Times New Roman"/>
                      <w:color w:val="auto"/>
                      <w:highlight w:val="none"/>
                      <w:vertAlign w:val="baseline"/>
                      <w:lang w:val="en-US" w:eastAsia="zh-CN"/>
                    </w:rPr>
                    <w:t>2</w:t>
                  </w:r>
                  <w:r>
                    <w:rPr>
                      <w:rFonts w:hint="default" w:ascii="Times New Roman" w:hAnsi="Times New Roman" w:cs="Times New Roman"/>
                      <w:color w:val="auto"/>
                      <w:highlight w:val="none"/>
                      <w:vertAlign w:val="baseline"/>
                      <w:lang w:val="en-US" w:eastAsia="zh-CN"/>
                    </w:rPr>
                    <w:t>0000m</w:t>
                  </w:r>
                  <w:r>
                    <w:rPr>
                      <w:rFonts w:hint="default" w:ascii="Times New Roman" w:hAnsi="Times New Roman" w:cs="Times New Roman"/>
                      <w:color w:val="auto"/>
                      <w:highlight w:val="none"/>
                      <w:vertAlign w:val="superscript"/>
                      <w:lang w:val="en-US" w:eastAsia="zh-CN"/>
                    </w:rPr>
                    <w:t>3</w:t>
                  </w:r>
                  <w:r>
                    <w:rPr>
                      <w:rFonts w:hint="default" w:ascii="Times New Roman" w:hAnsi="Times New Roman" w:cs="Times New Roman"/>
                      <w:color w:val="auto"/>
                      <w:highlight w:val="none"/>
                      <w:vertAlign w:val="baseline"/>
                      <w:lang w:val="en-US" w:eastAsia="zh-CN"/>
                    </w:rPr>
                    <w:t>/h÷3600s/h÷</w:t>
                  </w:r>
                  <w:r>
                    <w:rPr>
                      <w:rFonts w:hint="eastAsia" w:cs="Times New Roman"/>
                      <w:color w:val="auto"/>
                      <w:highlight w:val="none"/>
                      <w:vertAlign w:val="baseline"/>
                      <w:lang w:val="en-US" w:eastAsia="zh-CN"/>
                    </w:rPr>
                    <w:t>5</w:t>
                  </w:r>
                  <w:r>
                    <w:rPr>
                      <w:rFonts w:hint="default" w:ascii="Times New Roman" w:hAnsi="Times New Roman" w:cs="Times New Roman"/>
                      <w:color w:val="auto"/>
                      <w:highlight w:val="none"/>
                      <w:vertAlign w:val="baseline"/>
                      <w:lang w:val="en-US" w:eastAsia="zh-CN"/>
                    </w:rPr>
                    <w:t>m</w:t>
                  </w:r>
                  <w:r>
                    <w:rPr>
                      <w:rFonts w:hint="default" w:ascii="Times New Roman" w:hAnsi="Times New Roman" w:cs="Times New Roman"/>
                      <w:color w:val="auto"/>
                      <w:highlight w:val="none"/>
                      <w:vertAlign w:val="superscript"/>
                      <w:lang w:val="en-US" w:eastAsia="zh-CN"/>
                    </w:rPr>
                    <w:t>2</w:t>
                  </w:r>
                  <w:r>
                    <w:rPr>
                      <w:rFonts w:hint="default" w:ascii="Times New Roman" w:hAnsi="Times New Roman" w:cs="Times New Roman"/>
                      <w:color w:val="auto"/>
                      <w:highlight w:val="none"/>
                      <w:vertAlign w:val="baseline"/>
                      <w:lang w:val="en-US" w:eastAsia="zh-CN"/>
                    </w:rPr>
                    <w:t>）</w:t>
                  </w:r>
                </w:p>
              </w:tc>
            </w:tr>
            <w:tr w14:paraId="47CAA3B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pct"/>
                  <w:tcBorders>
                    <w:tl2br w:val="nil"/>
                    <w:tr2bl w:val="nil"/>
                  </w:tcBorders>
                  <w:vAlign w:val="center"/>
                </w:tcPr>
                <w:p w14:paraId="605E0EA7">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堆积密度</w:t>
                  </w:r>
                </w:p>
              </w:tc>
              <w:tc>
                <w:tcPr>
                  <w:tcW w:w="3754" w:type="pct"/>
                  <w:tcBorders>
                    <w:tl2br w:val="nil"/>
                    <w:tr2bl w:val="nil"/>
                  </w:tcBorders>
                  <w:vAlign w:val="center"/>
                </w:tcPr>
                <w:p w14:paraId="4E751C85">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0.35g/cm</w:t>
                  </w:r>
                  <w:r>
                    <w:rPr>
                      <w:rFonts w:hint="default" w:ascii="Times New Roman" w:hAnsi="Times New Roman" w:cs="Times New Roman"/>
                      <w:color w:val="auto"/>
                      <w:highlight w:val="none"/>
                      <w:vertAlign w:val="superscript"/>
                      <w:lang w:val="en-US" w:eastAsia="zh-CN"/>
                    </w:rPr>
                    <w:t>3</w:t>
                  </w:r>
                </w:p>
              </w:tc>
            </w:tr>
            <w:tr w14:paraId="26CBD16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pct"/>
                  <w:tcBorders>
                    <w:tl2br w:val="nil"/>
                    <w:tr2bl w:val="nil"/>
                  </w:tcBorders>
                  <w:vAlign w:val="center"/>
                </w:tcPr>
                <w:p w14:paraId="1E857277">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活性炭填装个数及尺寸</w:t>
                  </w:r>
                </w:p>
              </w:tc>
              <w:tc>
                <w:tcPr>
                  <w:tcW w:w="3754" w:type="pct"/>
                  <w:tcBorders>
                    <w:tl2br w:val="nil"/>
                    <w:tr2bl w:val="nil"/>
                  </w:tcBorders>
                  <w:vAlign w:val="center"/>
                </w:tcPr>
                <w:p w14:paraId="5C0DBDAB">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eastAsia" w:cs="Times New Roman"/>
                      <w:color w:val="auto"/>
                      <w:highlight w:val="none"/>
                      <w:vertAlign w:val="baseline"/>
                      <w:lang w:val="en-US" w:eastAsia="zh-CN"/>
                    </w:rPr>
                    <w:t>16</w:t>
                  </w:r>
                  <w:r>
                    <w:rPr>
                      <w:rFonts w:hint="default" w:ascii="Times New Roman" w:hAnsi="Times New Roman" w:cs="Times New Roman"/>
                      <w:color w:val="auto"/>
                      <w:highlight w:val="none"/>
                      <w:vertAlign w:val="baseline"/>
                      <w:lang w:val="en-US" w:eastAsia="zh-CN"/>
                    </w:rPr>
                    <w:t>个抽屉（四行</w:t>
                  </w:r>
                  <w:r>
                    <w:rPr>
                      <w:rFonts w:hint="eastAsia" w:cs="Times New Roman"/>
                      <w:color w:val="auto"/>
                      <w:highlight w:val="none"/>
                      <w:vertAlign w:val="baseline"/>
                      <w:lang w:val="en-US" w:eastAsia="zh-CN"/>
                    </w:rPr>
                    <w:t>四</w:t>
                  </w:r>
                  <w:r>
                    <w:rPr>
                      <w:rFonts w:hint="default" w:ascii="Times New Roman" w:hAnsi="Times New Roman" w:cs="Times New Roman"/>
                      <w:color w:val="auto"/>
                      <w:highlight w:val="none"/>
                      <w:vertAlign w:val="baseline"/>
                      <w:lang w:val="en-US" w:eastAsia="zh-CN"/>
                    </w:rPr>
                    <w:t>排）</w:t>
                  </w:r>
                </w:p>
                <w:p w14:paraId="7F0917FC">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单个抽屉规格为：600mm×500mm×600mm</w:t>
                  </w:r>
                </w:p>
                <w:p w14:paraId="259B2453">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单个抽屉放置180个蜂窝活性炭（六行五排六层）：</w:t>
                  </w:r>
                </w:p>
                <w:p w14:paraId="0D68FF4A">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单个蜂窝活性炭规格为100mm×100mm×100mm</w:t>
                  </w:r>
                </w:p>
              </w:tc>
            </w:tr>
            <w:tr w14:paraId="23E581A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pct"/>
                  <w:tcBorders>
                    <w:tl2br w:val="nil"/>
                    <w:tr2bl w:val="nil"/>
                  </w:tcBorders>
                  <w:vAlign w:val="center"/>
                </w:tcPr>
                <w:p w14:paraId="362D196A">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活性炭填充厚度</w:t>
                  </w:r>
                </w:p>
              </w:tc>
              <w:tc>
                <w:tcPr>
                  <w:tcW w:w="3754" w:type="pct"/>
                  <w:tcBorders>
                    <w:tl2br w:val="nil"/>
                    <w:tr2bl w:val="nil"/>
                  </w:tcBorders>
                  <w:vAlign w:val="center"/>
                </w:tcPr>
                <w:p w14:paraId="74B5C889">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600mm</w:t>
                  </w:r>
                </w:p>
              </w:tc>
            </w:tr>
            <w:tr w14:paraId="6AC7C22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pct"/>
                  <w:tcBorders>
                    <w:tl2br w:val="nil"/>
                    <w:tr2bl w:val="nil"/>
                  </w:tcBorders>
                  <w:vAlign w:val="center"/>
                </w:tcPr>
                <w:p w14:paraId="2B8789C0">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活性炭形态</w:t>
                  </w:r>
                </w:p>
              </w:tc>
              <w:tc>
                <w:tcPr>
                  <w:tcW w:w="3754" w:type="pct"/>
                  <w:tcBorders>
                    <w:tl2br w:val="nil"/>
                    <w:tr2bl w:val="nil"/>
                  </w:tcBorders>
                  <w:vAlign w:val="center"/>
                </w:tcPr>
                <w:p w14:paraId="7DF80286">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蜂窝状</w:t>
                  </w:r>
                </w:p>
              </w:tc>
            </w:tr>
            <w:tr w14:paraId="1A25634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pct"/>
                  <w:tcBorders>
                    <w:tl2br w:val="nil"/>
                    <w:tr2bl w:val="nil"/>
                  </w:tcBorders>
                  <w:vAlign w:val="center"/>
                </w:tcPr>
                <w:p w14:paraId="0AA952A8">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碳层停留时间</w:t>
                  </w:r>
                </w:p>
              </w:tc>
              <w:tc>
                <w:tcPr>
                  <w:tcW w:w="3754" w:type="pct"/>
                  <w:tcBorders>
                    <w:tl2br w:val="nil"/>
                    <w:tr2bl w:val="nil"/>
                  </w:tcBorders>
                  <w:vAlign w:val="center"/>
                </w:tcPr>
                <w:p w14:paraId="69F0EF74">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0.5</w:t>
                  </w:r>
                  <w:r>
                    <w:rPr>
                      <w:rFonts w:hint="eastAsia" w:cs="Times New Roman"/>
                      <w:color w:val="auto"/>
                      <w:highlight w:val="none"/>
                      <w:vertAlign w:val="baseline"/>
                      <w:lang w:val="en-US" w:eastAsia="zh-CN"/>
                    </w:rPr>
                    <w:t>4</w:t>
                  </w:r>
                  <w:r>
                    <w:rPr>
                      <w:rFonts w:hint="default" w:ascii="Times New Roman" w:hAnsi="Times New Roman" w:cs="Times New Roman"/>
                      <w:color w:val="auto"/>
                      <w:highlight w:val="none"/>
                      <w:vertAlign w:val="baseline"/>
                      <w:lang w:val="en-US" w:eastAsia="zh-CN"/>
                    </w:rPr>
                    <w:t>s（0.6m÷1.1</w:t>
                  </w:r>
                  <w:r>
                    <w:rPr>
                      <w:rFonts w:hint="eastAsia" w:cs="Times New Roman"/>
                      <w:color w:val="auto"/>
                      <w:highlight w:val="none"/>
                      <w:vertAlign w:val="baseline"/>
                      <w:lang w:val="en-US" w:eastAsia="zh-CN"/>
                    </w:rPr>
                    <w:t>1</w:t>
                  </w:r>
                  <w:r>
                    <w:rPr>
                      <w:rFonts w:hint="default" w:ascii="Times New Roman" w:hAnsi="Times New Roman" w:cs="Times New Roman"/>
                      <w:color w:val="auto"/>
                      <w:highlight w:val="none"/>
                      <w:vertAlign w:val="baseline"/>
                      <w:lang w:val="en-US" w:eastAsia="zh-CN"/>
                    </w:rPr>
                    <w:t>m/s）</w:t>
                  </w:r>
                </w:p>
              </w:tc>
            </w:tr>
            <w:tr w14:paraId="075C772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pct"/>
                  <w:tcBorders>
                    <w:tl2br w:val="nil"/>
                    <w:tr2bl w:val="nil"/>
                  </w:tcBorders>
                  <w:vAlign w:val="center"/>
                </w:tcPr>
                <w:p w14:paraId="37D29060">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两级活性炭单次活性炭填充量</w:t>
                  </w:r>
                </w:p>
              </w:tc>
              <w:tc>
                <w:tcPr>
                  <w:tcW w:w="3754" w:type="pct"/>
                  <w:tcBorders>
                    <w:tl2br w:val="nil"/>
                    <w:tr2bl w:val="nil"/>
                  </w:tcBorders>
                  <w:vAlign w:val="center"/>
                </w:tcPr>
                <w:p w14:paraId="5025F50B">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1.</w:t>
                  </w:r>
                  <w:r>
                    <w:rPr>
                      <w:rFonts w:hint="eastAsia" w:cs="Times New Roman"/>
                      <w:color w:val="auto"/>
                      <w:highlight w:val="none"/>
                      <w:vertAlign w:val="baseline"/>
                      <w:lang w:val="en-US" w:eastAsia="zh-CN"/>
                    </w:rPr>
                    <w:t>05</w:t>
                  </w:r>
                  <w:r>
                    <w:rPr>
                      <w:rFonts w:hint="default" w:ascii="Times New Roman" w:hAnsi="Times New Roman" w:cs="Times New Roman"/>
                      <w:color w:val="auto"/>
                      <w:highlight w:val="none"/>
                      <w:vertAlign w:val="baseline"/>
                      <w:lang w:val="en-US" w:eastAsia="zh-CN"/>
                    </w:rPr>
                    <w:t>t</w:t>
                  </w:r>
                </w:p>
              </w:tc>
            </w:tr>
            <w:tr w14:paraId="3886DBC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pct"/>
                  <w:tcBorders>
                    <w:tl2br w:val="nil"/>
                    <w:tr2bl w:val="nil"/>
                  </w:tcBorders>
                  <w:vAlign w:val="center"/>
                </w:tcPr>
                <w:p w14:paraId="36CBD0C0">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活性炭年更换频次</w:t>
                  </w:r>
                </w:p>
              </w:tc>
              <w:tc>
                <w:tcPr>
                  <w:tcW w:w="3754" w:type="pct"/>
                  <w:tcBorders>
                    <w:tl2br w:val="nil"/>
                    <w:tr2bl w:val="nil"/>
                  </w:tcBorders>
                  <w:vAlign w:val="center"/>
                </w:tcPr>
                <w:p w14:paraId="482CD296">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3</w:t>
                  </w:r>
                  <w:r>
                    <w:rPr>
                      <w:rFonts w:hint="eastAsia" w:ascii="Times New Roman" w:hAnsi="Times New Roman" w:cs="Times New Roman"/>
                      <w:color w:val="auto"/>
                      <w:highlight w:val="none"/>
                      <w:vertAlign w:val="baseline"/>
                      <w:lang w:val="en-US" w:eastAsia="zh-CN"/>
                    </w:rPr>
                    <w:t>个</w:t>
                  </w:r>
                  <w:r>
                    <w:rPr>
                      <w:rFonts w:hint="default" w:ascii="Times New Roman" w:hAnsi="Times New Roman" w:cs="Times New Roman"/>
                      <w:color w:val="auto"/>
                      <w:highlight w:val="none"/>
                      <w:vertAlign w:val="baseline"/>
                      <w:lang w:val="en-US" w:eastAsia="zh-CN"/>
                    </w:rPr>
                    <w:t>月/次（1年4次）</w:t>
                  </w:r>
                </w:p>
              </w:tc>
            </w:tr>
            <w:tr w14:paraId="63145B0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5" w:type="pct"/>
                  <w:tcBorders>
                    <w:tl2br w:val="nil"/>
                    <w:tr2bl w:val="nil"/>
                  </w:tcBorders>
                  <w:vAlign w:val="center"/>
                </w:tcPr>
                <w:p w14:paraId="2FFBAA6A">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年总填装量</w:t>
                  </w:r>
                </w:p>
              </w:tc>
              <w:tc>
                <w:tcPr>
                  <w:tcW w:w="3754" w:type="pct"/>
                  <w:tcBorders>
                    <w:tl2br w:val="nil"/>
                    <w:tr2bl w:val="nil"/>
                  </w:tcBorders>
                  <w:vAlign w:val="center"/>
                </w:tcPr>
                <w:p w14:paraId="0E20FFAF">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vertAlign w:val="baseline"/>
                      <w:lang w:val="en-US" w:eastAsia="zh-CN"/>
                    </w:rPr>
                  </w:pPr>
                  <w:r>
                    <w:rPr>
                      <w:rFonts w:hint="eastAsia" w:cs="Times New Roman"/>
                      <w:color w:val="auto"/>
                      <w:highlight w:val="none"/>
                      <w:vertAlign w:val="baseline"/>
                      <w:lang w:val="en-US" w:eastAsia="zh-CN"/>
                    </w:rPr>
                    <w:t>4.2</w:t>
                  </w:r>
                  <w:r>
                    <w:rPr>
                      <w:rFonts w:hint="default" w:ascii="Times New Roman" w:hAnsi="Times New Roman" w:cs="Times New Roman"/>
                      <w:color w:val="auto"/>
                      <w:highlight w:val="none"/>
                      <w:vertAlign w:val="baseline"/>
                      <w:lang w:val="en-US" w:eastAsia="zh-CN"/>
                    </w:rPr>
                    <w:t>t</w:t>
                  </w:r>
                </w:p>
              </w:tc>
            </w:tr>
            <w:tr w14:paraId="6CA3F3A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2"/>
                  <w:tcBorders>
                    <w:tl2br w:val="nil"/>
                    <w:tr2bl w:val="nil"/>
                  </w:tcBorders>
                  <w:vAlign w:val="center"/>
                </w:tcPr>
                <w:p w14:paraId="2D4CAF43">
                  <w:pPr>
                    <w:pStyle w:val="75"/>
                    <w:keepNext w:val="0"/>
                    <w:keepLines w:val="0"/>
                    <w:suppressLineNumbers w:val="0"/>
                    <w:spacing w:before="0" w:beforeAutospacing="0" w:after="0" w:afterAutospacing="0"/>
                    <w:ind w:left="0" w:right="0" w:firstLine="0" w:firstLineChars="0"/>
                    <w:jc w:val="both"/>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备注：</w:t>
                  </w:r>
                </w:p>
                <w:p w14:paraId="288BF7C4">
                  <w:pPr>
                    <w:pStyle w:val="75"/>
                    <w:keepNext w:val="0"/>
                    <w:keepLines w:val="0"/>
                    <w:suppressLineNumbers w:val="0"/>
                    <w:spacing w:before="0" w:beforeAutospacing="0" w:after="0" w:afterAutospacing="0"/>
                    <w:ind w:left="0" w:right="0" w:firstLine="0" w:firstLineChars="0"/>
                    <w:jc w:val="both"/>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①参考《广东省生态环境厅关于印发工业源挥发性有机物和氮氧化物减排量核算方法的通知》（粤环函</w:t>
                  </w:r>
                  <w:r>
                    <w:rPr>
                      <w:rFonts w:hint="default" w:ascii="Times New Roman" w:hAnsi="Times New Roman" w:cs="Times New Roman"/>
                      <w:color w:val="auto"/>
                      <w:kern w:val="18"/>
                      <w:sz w:val="18"/>
                      <w:szCs w:val="18"/>
                      <w:highlight w:val="none"/>
                    </w:rPr>
                    <w:t>〔2023〕</w:t>
                  </w:r>
                  <w:r>
                    <w:rPr>
                      <w:rFonts w:hint="default" w:ascii="Times New Roman" w:hAnsi="Times New Roman" w:eastAsia="宋体" w:cs="Times New Roman"/>
                      <w:color w:val="auto"/>
                      <w:sz w:val="18"/>
                      <w:szCs w:val="18"/>
                      <w:highlight w:val="none"/>
                      <w:lang w:val="en-US" w:eastAsia="zh-CN"/>
                    </w:rPr>
                    <w:t>538号）表3.3-4颗粒物活性炭过滤风速＜0.5m/s，同时活性炭层装填厚度不低于300mm，可计算出停留时间不低于0.6s；</w:t>
                  </w:r>
                </w:p>
                <w:p w14:paraId="0A18B4E1">
                  <w:pPr>
                    <w:pStyle w:val="75"/>
                    <w:keepNext w:val="0"/>
                    <w:keepLines w:val="0"/>
                    <w:suppressLineNumbers w:val="0"/>
                    <w:spacing w:before="0" w:beforeAutospacing="0" w:after="0" w:afterAutospacing="0"/>
                    <w:ind w:left="0" w:right="0" w:firstLine="0" w:firstLineChars="0"/>
                    <w:jc w:val="both"/>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②同时根据表3.3-3吸附技术VOCs削减量</w:t>
                  </w:r>
                  <w:r>
                    <w:rPr>
                      <w:rFonts w:hint="eastAsia" w:ascii="宋体" w:hAnsi="宋体" w:eastAsia="宋体" w:cs="宋体"/>
                      <w:color w:val="auto"/>
                      <w:sz w:val="18"/>
                      <w:szCs w:val="18"/>
                      <w:highlight w:val="none"/>
                      <w:lang w:val="en-US" w:eastAsia="zh-CN"/>
                    </w:rPr>
                    <w:t>为“活</w:t>
                  </w:r>
                  <w:r>
                    <w:rPr>
                      <w:rFonts w:hint="default" w:ascii="Times New Roman" w:hAnsi="Times New Roman" w:eastAsia="宋体" w:cs="Times New Roman"/>
                      <w:color w:val="auto"/>
                      <w:sz w:val="18"/>
                      <w:szCs w:val="18"/>
                      <w:highlight w:val="none"/>
                      <w:lang w:val="en-US" w:eastAsia="zh-CN"/>
                    </w:rPr>
                    <w:t>性炭年更换量×活性炭吸附</w:t>
                  </w:r>
                  <w:r>
                    <w:rPr>
                      <w:rFonts w:hint="eastAsia" w:ascii="宋体" w:hAnsi="宋体" w:eastAsia="宋体" w:cs="宋体"/>
                      <w:color w:val="auto"/>
                      <w:sz w:val="18"/>
                      <w:szCs w:val="18"/>
                      <w:highlight w:val="none"/>
                      <w:lang w:val="en-US" w:eastAsia="zh-CN"/>
                    </w:rPr>
                    <w:t>比例”，</w:t>
                  </w:r>
                  <w:r>
                    <w:rPr>
                      <w:rFonts w:hint="default" w:ascii="Times New Roman" w:hAnsi="Times New Roman" w:eastAsia="宋体" w:cs="Times New Roman"/>
                      <w:color w:val="auto"/>
                      <w:sz w:val="18"/>
                      <w:szCs w:val="18"/>
                      <w:highlight w:val="none"/>
                      <w:lang w:val="en-US" w:eastAsia="zh-CN"/>
                    </w:rPr>
                    <w:t>颗粒炭吸附比例建议取值15%。</w:t>
                  </w:r>
                </w:p>
                <w:p w14:paraId="6573A892">
                  <w:pPr>
                    <w:pStyle w:val="7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firstLine="0" w:firstLineChars="0"/>
                    <w:jc w:val="both"/>
                    <w:textAlignment w:val="auto"/>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此外，活性炭吸附装置参数应符合《吸附法工业有机废气治理工程技术规范》相关要求：</w:t>
                  </w:r>
                </w:p>
                <w:p w14:paraId="7360350F">
                  <w:pPr>
                    <w:pStyle w:val="75"/>
                    <w:keepNext w:val="0"/>
                    <w:keepLines w:val="0"/>
                    <w:suppressLineNumbers w:val="0"/>
                    <w:spacing w:before="0" w:beforeAutospacing="0" w:after="0" w:afterAutospacing="0"/>
                    <w:ind w:left="0" w:right="0" w:firstLine="0" w:firstLineChars="0"/>
                    <w:jc w:val="both"/>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1、进入吸附装置的颗粒物含量宜低于1mg/m</w:t>
                  </w:r>
                  <w:r>
                    <w:rPr>
                      <w:rFonts w:hint="default" w:ascii="Times New Roman" w:hAnsi="Times New Roman" w:eastAsia="宋体" w:cs="Times New Roman"/>
                      <w:color w:val="auto"/>
                      <w:sz w:val="18"/>
                      <w:szCs w:val="18"/>
                      <w:highlight w:val="none"/>
                      <w:vertAlign w:val="superscript"/>
                      <w:lang w:val="en-US" w:eastAsia="zh-CN"/>
                    </w:rPr>
                    <w:t>3</w:t>
                  </w:r>
                  <w:r>
                    <w:rPr>
                      <w:rFonts w:hint="default" w:ascii="Times New Roman" w:hAnsi="Times New Roman" w:eastAsia="宋体" w:cs="Times New Roman"/>
                      <w:color w:val="auto"/>
                      <w:sz w:val="18"/>
                      <w:szCs w:val="18"/>
                      <w:highlight w:val="none"/>
                      <w:lang w:val="en-US" w:eastAsia="zh-CN"/>
                    </w:rPr>
                    <w:t>；</w:t>
                  </w:r>
                </w:p>
                <w:p w14:paraId="14F2E58A">
                  <w:pPr>
                    <w:pStyle w:val="75"/>
                    <w:keepNext w:val="0"/>
                    <w:keepLines w:val="0"/>
                    <w:suppressLineNumbers w:val="0"/>
                    <w:spacing w:before="0" w:beforeAutospacing="0" w:after="0" w:afterAutospacing="0"/>
                    <w:ind w:left="0" w:right="0" w:firstLine="0" w:firstLineChars="0"/>
                    <w:jc w:val="both"/>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color w:val="auto"/>
                      <w:sz w:val="18"/>
                      <w:szCs w:val="18"/>
                      <w:highlight w:val="none"/>
                      <w:lang w:val="en-US" w:eastAsia="zh-CN"/>
                    </w:rPr>
                    <w:t>2、进入吸附装置的废气温度宜低于40℃；</w:t>
                  </w:r>
                </w:p>
                <w:p w14:paraId="116889E4">
                  <w:pPr>
                    <w:keepNext w:val="0"/>
                    <w:keepLines w:val="0"/>
                    <w:suppressLineNumbers w:val="0"/>
                    <w:spacing w:before="0" w:beforeAutospacing="0" w:after="0" w:afterAutospacing="0"/>
                    <w:ind w:left="0" w:right="0"/>
                    <w:jc w:val="both"/>
                    <w:rPr>
                      <w:rFonts w:hint="default" w:ascii="Times New Roman" w:hAnsi="Times New Roman" w:cs="Times New Roman"/>
                      <w:color w:val="auto"/>
                      <w:highlight w:val="none"/>
                      <w:vertAlign w:val="baseline"/>
                      <w:lang w:val="en-US" w:eastAsia="zh-CN"/>
                    </w:rPr>
                  </w:pPr>
                  <w:r>
                    <w:rPr>
                      <w:rFonts w:hint="default" w:ascii="Times New Roman" w:hAnsi="Times New Roman" w:eastAsia="宋体" w:cs="Times New Roman"/>
                      <w:color w:val="auto"/>
                      <w:sz w:val="18"/>
                      <w:szCs w:val="18"/>
                      <w:highlight w:val="none"/>
                      <w:lang w:val="en-US" w:eastAsia="zh-CN"/>
                    </w:rPr>
                    <w:t>3、采用纤维状吸附剂时，吸附单元的压力损失宜低于4kPa；采用其他形状吸附剂时，吸附单元的压力损失宜低于2.5kPa。</w:t>
                  </w:r>
                </w:p>
              </w:tc>
            </w:tr>
          </w:tbl>
          <w:p w14:paraId="3A815924">
            <w:pPr>
              <w:pStyle w:val="50"/>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0" w:afterAutospacing="0" w:line="360" w:lineRule="auto"/>
              <w:ind w:left="0" w:right="0" w:firstLine="420" w:firstLineChars="200"/>
              <w:jc w:val="both"/>
              <w:textAlignment w:val="baseline"/>
              <w:rPr>
                <w:rFonts w:hint="default"/>
                <w:color w:val="auto"/>
                <w:highlight w:val="none"/>
                <w:lang w:val="en-US" w:eastAsia="zh-CN"/>
              </w:rPr>
            </w:pPr>
            <w:r>
              <w:rPr>
                <w:rFonts w:hint="eastAsia" w:ascii="Times New Roman" w:hAnsi="Times New Roman" w:eastAsia="宋体" w:cs="Times New Roman"/>
                <w:color w:val="auto"/>
                <w:sz w:val="21"/>
                <w:szCs w:val="21"/>
                <w:highlight w:val="none"/>
                <w:lang w:val="en-US" w:eastAsia="zh-CN"/>
              </w:rPr>
              <w:t>项目</w:t>
            </w:r>
            <w:r>
              <w:rPr>
                <w:rFonts w:hint="eastAsia" w:ascii="Times New Roman" w:cs="Times New Roman"/>
                <w:color w:val="auto"/>
                <w:sz w:val="21"/>
                <w:szCs w:val="21"/>
                <w:highlight w:val="none"/>
                <w:lang w:val="en-US" w:eastAsia="zh-CN"/>
              </w:rPr>
              <w:t>吸塑工序产生</w:t>
            </w:r>
            <w:r>
              <w:rPr>
                <w:rFonts w:hint="eastAsia" w:ascii="Times New Roman" w:hAnsi="Times New Roman" w:eastAsia="宋体" w:cs="Times New Roman"/>
                <w:color w:val="auto"/>
                <w:sz w:val="21"/>
                <w:szCs w:val="21"/>
                <w:highlight w:val="none"/>
                <w:lang w:val="en-US" w:eastAsia="zh-CN"/>
              </w:rPr>
              <w:t>的废气温度较高，需要进行降温才能排入两级活性炭吸附装置进行处置，本项目拟用空气冷却器对废气进行冷却，空气冷却器的工作原理主要是利用空气来冷却热流体的换热设备，其核心在于通过对流或辐射方式将热量从内部介质传递到周围空气。常见的空气冷却器由管束、通风机和构架组成，热流体在管内流动，而空气则在管束外吹过，通过管壁和翅片与管内的热流体进行换热。由于空气侧的传热分系数较小，通常会在管外增加翅片来增大传热面积和流体湍动，从而减小热阻，提高换热效率。废气经过冷却后可进入活性炭吸附装置处理。</w:t>
            </w:r>
          </w:p>
          <w:p w14:paraId="752DD81E">
            <w:pPr>
              <w:pStyle w:val="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firstLine="422" w:firstLineChars="200"/>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1.3排气筒设置情况</w:t>
            </w:r>
          </w:p>
          <w:p w14:paraId="3A3D7D4C">
            <w:pPr>
              <w:keepNext w:val="0"/>
              <w:keepLines w:val="0"/>
              <w:suppressLineNumbers w:val="0"/>
              <w:adjustRightInd w:val="0"/>
              <w:snapToGrid w:val="0"/>
              <w:spacing w:before="0" w:beforeAutospacing="0" w:after="0" w:afterAutospacing="0" w:line="360" w:lineRule="auto"/>
              <w:ind w:left="0" w:right="0" w:firstLine="420" w:firstLineChars="200"/>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根据《排污许可证申请与核发技术规范 总则》（HJ942-2018）、《排污许可证申请与核发技术规范 印刷工业》（HJ1066-2020）及《排污许可证申请与核发技术规范 橡胶和塑料制品工业》（HJ1122—2020），项目排气口设置计划见下表。</w:t>
            </w:r>
          </w:p>
          <w:p w14:paraId="0AE2F073">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157" w:afterLines="50" w:afterAutospacing="0"/>
              <w:ind w:right="0"/>
              <w:jc w:val="center"/>
              <w:textAlignment w:val="auto"/>
              <w:rPr>
                <w:rFonts w:hint="default" w:ascii="Times New Roman" w:hAnsi="Times New Roman" w:eastAsia="宋体" w:cs="Times New Roman"/>
                <w:b/>
                <w:bCs/>
                <w:color w:val="auto"/>
                <w:szCs w:val="21"/>
                <w:highlight w:val="none"/>
              </w:rPr>
            </w:pPr>
            <w:r>
              <w:rPr>
                <w:rFonts w:hint="eastAsia" w:ascii="Times New Roman" w:hAnsi="Times New Roman" w:eastAsia="宋体" w:cs="Times New Roman"/>
                <w:b/>
                <w:bCs/>
                <w:color w:val="auto"/>
                <w:szCs w:val="21"/>
                <w:highlight w:val="none"/>
                <w:lang w:val="en-US" w:eastAsia="zh-CN"/>
              </w:rPr>
              <w:t>本项目排气筒设置情况</w:t>
            </w:r>
          </w:p>
          <w:tbl>
            <w:tblPr>
              <w:tblStyle w:val="42"/>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1"/>
              <w:gridCol w:w="1050"/>
              <w:gridCol w:w="1973"/>
              <w:gridCol w:w="1567"/>
              <w:gridCol w:w="852"/>
              <w:gridCol w:w="565"/>
              <w:gridCol w:w="733"/>
              <w:gridCol w:w="718"/>
              <w:gridCol w:w="690"/>
            </w:tblGrid>
            <w:tr w14:paraId="1A57F53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4" w:type="pct"/>
                  <w:vMerge w:val="restart"/>
                  <w:tcBorders>
                    <w:tl2br w:val="nil"/>
                    <w:tr2bl w:val="nil"/>
                  </w:tcBorders>
                  <w:vAlign w:val="center"/>
                </w:tcPr>
                <w:p w14:paraId="159FF927">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eastAsia" w:ascii="Times New Roman" w:hAnsi="Times New Roman" w:eastAsia="宋体" w:cs="Times New Roman"/>
                      <w:b/>
                      <w:bCs w:val="0"/>
                      <w:color w:val="auto"/>
                      <w:sz w:val="21"/>
                      <w:szCs w:val="21"/>
                      <w:highlight w:val="none"/>
                      <w:vertAlign w:val="baseline"/>
                      <w:lang w:val="en-US" w:eastAsia="zh-CN"/>
                    </w:rPr>
                  </w:pPr>
                  <w:r>
                    <w:rPr>
                      <w:rFonts w:hint="eastAsia" w:cs="Times New Roman"/>
                      <w:b/>
                      <w:bCs w:val="0"/>
                      <w:color w:val="auto"/>
                      <w:sz w:val="21"/>
                      <w:szCs w:val="21"/>
                      <w:highlight w:val="none"/>
                      <w:vertAlign w:val="baseline"/>
                      <w:lang w:val="en-US" w:eastAsia="zh-CN"/>
                    </w:rPr>
                    <w:t>序号</w:t>
                  </w:r>
                </w:p>
              </w:tc>
              <w:tc>
                <w:tcPr>
                  <w:tcW w:w="607" w:type="pct"/>
                  <w:vMerge w:val="restart"/>
                  <w:tcBorders>
                    <w:tl2br w:val="nil"/>
                    <w:tr2bl w:val="nil"/>
                  </w:tcBorders>
                  <w:vAlign w:val="center"/>
                </w:tcPr>
                <w:p w14:paraId="796D7A32">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eastAsia" w:ascii="Times New Roman" w:hAnsi="Times New Roman" w:eastAsia="宋体" w:cs="Times New Roman"/>
                      <w:b/>
                      <w:bCs w:val="0"/>
                      <w:color w:val="auto"/>
                      <w:sz w:val="21"/>
                      <w:szCs w:val="21"/>
                      <w:highlight w:val="none"/>
                      <w:vertAlign w:val="baseline"/>
                      <w:lang w:val="en-US" w:eastAsia="zh-CN"/>
                    </w:rPr>
                  </w:pPr>
                  <w:r>
                    <w:rPr>
                      <w:rFonts w:hint="eastAsia" w:cs="Times New Roman"/>
                      <w:b/>
                      <w:bCs w:val="0"/>
                      <w:color w:val="auto"/>
                      <w:sz w:val="21"/>
                      <w:szCs w:val="21"/>
                      <w:highlight w:val="none"/>
                      <w:vertAlign w:val="baseline"/>
                      <w:lang w:val="en-US" w:eastAsia="zh-CN"/>
                    </w:rPr>
                    <w:t>排气筒名称</w:t>
                  </w:r>
                </w:p>
              </w:tc>
              <w:tc>
                <w:tcPr>
                  <w:tcW w:w="1141" w:type="pct"/>
                  <w:vMerge w:val="restart"/>
                  <w:tcBorders>
                    <w:tl2br w:val="nil"/>
                    <w:tr2bl w:val="nil"/>
                  </w:tcBorders>
                  <w:vAlign w:val="center"/>
                </w:tcPr>
                <w:p w14:paraId="71D5A38F">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cs="Times New Roman"/>
                      <w:b/>
                      <w:bCs w:val="0"/>
                      <w:color w:val="auto"/>
                      <w:sz w:val="21"/>
                      <w:szCs w:val="21"/>
                      <w:highlight w:val="none"/>
                      <w:vertAlign w:val="baseline"/>
                      <w:lang w:val="en-US" w:eastAsia="zh-CN"/>
                    </w:rPr>
                    <w:t>污染物种类</w:t>
                  </w:r>
                </w:p>
              </w:tc>
              <w:tc>
                <w:tcPr>
                  <w:tcW w:w="906" w:type="pct"/>
                  <w:vMerge w:val="restart"/>
                  <w:tcBorders>
                    <w:tl2br w:val="nil"/>
                    <w:tr2bl w:val="nil"/>
                  </w:tcBorders>
                  <w:vAlign w:val="center"/>
                </w:tcPr>
                <w:p w14:paraId="165968C8">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cs="Times New Roman"/>
                      <w:b/>
                      <w:bCs w:val="0"/>
                      <w:color w:val="auto"/>
                      <w:sz w:val="21"/>
                      <w:szCs w:val="21"/>
                      <w:highlight w:val="none"/>
                      <w:vertAlign w:val="baseline"/>
                      <w:lang w:val="en-US" w:eastAsia="zh-CN"/>
                    </w:rPr>
                    <w:t>排气筒中心坐标</w:t>
                  </w:r>
                </w:p>
              </w:tc>
              <w:tc>
                <w:tcPr>
                  <w:tcW w:w="493" w:type="pct"/>
                  <w:vMerge w:val="restart"/>
                  <w:tcBorders>
                    <w:tl2br w:val="nil"/>
                    <w:tr2bl w:val="nil"/>
                  </w:tcBorders>
                  <w:vAlign w:val="center"/>
                </w:tcPr>
                <w:p w14:paraId="218C286C">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cs="Times New Roman"/>
                      <w:b/>
                      <w:bCs w:val="0"/>
                      <w:color w:val="auto"/>
                      <w:sz w:val="21"/>
                      <w:szCs w:val="21"/>
                      <w:highlight w:val="none"/>
                      <w:vertAlign w:val="baseline"/>
                      <w:lang w:val="en-US" w:eastAsia="zh-CN"/>
                    </w:rPr>
                    <w:t>排气温</w:t>
                  </w:r>
                  <w:r>
                    <w:rPr>
                      <w:rFonts w:hint="default" w:ascii="Times New Roman" w:hAnsi="Times New Roman" w:cs="Times New Roman"/>
                      <w:b/>
                      <w:bCs w:val="0"/>
                      <w:color w:val="auto"/>
                      <w:sz w:val="21"/>
                      <w:szCs w:val="21"/>
                      <w:highlight w:val="none"/>
                      <w:vertAlign w:val="baseline"/>
                      <w:lang w:val="en-US" w:eastAsia="zh-CN"/>
                    </w:rPr>
                    <w:t>度℃</w:t>
                  </w:r>
                </w:p>
              </w:tc>
              <w:tc>
                <w:tcPr>
                  <w:tcW w:w="1166" w:type="pct"/>
                  <w:gridSpan w:val="3"/>
                  <w:tcBorders>
                    <w:tl2br w:val="nil"/>
                    <w:tr2bl w:val="nil"/>
                  </w:tcBorders>
                  <w:vAlign w:val="center"/>
                </w:tcPr>
                <w:p w14:paraId="78CBD2C0">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eastAsia" w:ascii="Times New Roman" w:hAnsi="Times New Roman" w:eastAsia="宋体" w:cs="Times New Roman"/>
                      <w:b/>
                      <w:bCs w:val="0"/>
                      <w:color w:val="auto"/>
                      <w:sz w:val="21"/>
                      <w:szCs w:val="21"/>
                      <w:highlight w:val="none"/>
                      <w:vertAlign w:val="baseline"/>
                    </w:rPr>
                  </w:pPr>
                  <w:r>
                    <w:rPr>
                      <w:rFonts w:hint="eastAsia" w:cs="Times New Roman"/>
                      <w:b/>
                      <w:bCs w:val="0"/>
                      <w:color w:val="auto"/>
                      <w:sz w:val="21"/>
                      <w:szCs w:val="21"/>
                      <w:highlight w:val="none"/>
                      <w:vertAlign w:val="baseline"/>
                      <w:lang w:val="en-US" w:eastAsia="zh-CN"/>
                    </w:rPr>
                    <w:t>排气筒</w:t>
                  </w:r>
                </w:p>
              </w:tc>
              <w:tc>
                <w:tcPr>
                  <w:tcW w:w="399" w:type="pct"/>
                  <w:vMerge w:val="restart"/>
                  <w:tcBorders>
                    <w:tl2br w:val="nil"/>
                    <w:tr2bl w:val="nil"/>
                  </w:tcBorders>
                  <w:vAlign w:val="center"/>
                </w:tcPr>
                <w:p w14:paraId="3543BE43">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cs="Times New Roman"/>
                      <w:b/>
                      <w:bCs w:val="0"/>
                      <w:color w:val="auto"/>
                      <w:sz w:val="21"/>
                      <w:szCs w:val="21"/>
                      <w:highlight w:val="none"/>
                      <w:vertAlign w:val="baseline"/>
                      <w:lang w:val="en-US" w:eastAsia="zh-CN"/>
                    </w:rPr>
                    <w:t>排口类型</w:t>
                  </w:r>
                </w:p>
              </w:tc>
            </w:tr>
            <w:tr w14:paraId="6FDC531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4" w:type="pct"/>
                  <w:vMerge w:val="continue"/>
                  <w:tcBorders>
                    <w:tl2br w:val="nil"/>
                    <w:tr2bl w:val="nil"/>
                  </w:tcBorders>
                  <w:vAlign w:val="center"/>
                </w:tcPr>
                <w:p w14:paraId="6A17C764">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color w:val="auto"/>
                      <w:highlight w:val="none"/>
                    </w:rPr>
                  </w:pPr>
                </w:p>
              </w:tc>
              <w:tc>
                <w:tcPr>
                  <w:tcW w:w="607" w:type="pct"/>
                  <w:vMerge w:val="continue"/>
                  <w:tcBorders>
                    <w:tl2br w:val="nil"/>
                    <w:tr2bl w:val="nil"/>
                  </w:tcBorders>
                  <w:vAlign w:val="center"/>
                </w:tcPr>
                <w:p w14:paraId="3ABE0F27">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color w:val="auto"/>
                      <w:highlight w:val="none"/>
                    </w:rPr>
                  </w:pPr>
                </w:p>
              </w:tc>
              <w:tc>
                <w:tcPr>
                  <w:tcW w:w="1141" w:type="pct"/>
                  <w:vMerge w:val="continue"/>
                  <w:tcBorders>
                    <w:tl2br w:val="nil"/>
                    <w:tr2bl w:val="nil"/>
                  </w:tcBorders>
                  <w:vAlign w:val="center"/>
                </w:tcPr>
                <w:p w14:paraId="3BE540C3">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color w:val="auto"/>
                      <w:highlight w:val="none"/>
                    </w:rPr>
                  </w:pPr>
                </w:p>
              </w:tc>
              <w:tc>
                <w:tcPr>
                  <w:tcW w:w="906" w:type="pct"/>
                  <w:vMerge w:val="continue"/>
                  <w:tcBorders>
                    <w:tl2br w:val="nil"/>
                    <w:tr2bl w:val="nil"/>
                  </w:tcBorders>
                  <w:vAlign w:val="center"/>
                </w:tcPr>
                <w:p w14:paraId="4DD555A7">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color w:val="auto"/>
                      <w:highlight w:val="none"/>
                    </w:rPr>
                  </w:pPr>
                </w:p>
              </w:tc>
              <w:tc>
                <w:tcPr>
                  <w:tcW w:w="493" w:type="pct"/>
                  <w:vMerge w:val="continue"/>
                  <w:tcBorders>
                    <w:tl2br w:val="nil"/>
                    <w:tr2bl w:val="nil"/>
                  </w:tcBorders>
                  <w:vAlign w:val="center"/>
                </w:tcPr>
                <w:p w14:paraId="19812379">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color w:val="auto"/>
                      <w:highlight w:val="none"/>
                    </w:rPr>
                  </w:pPr>
                </w:p>
              </w:tc>
              <w:tc>
                <w:tcPr>
                  <w:tcW w:w="327" w:type="pct"/>
                  <w:tcBorders>
                    <w:tl2br w:val="nil"/>
                    <w:tr2bl w:val="nil"/>
                  </w:tcBorders>
                  <w:vAlign w:val="center"/>
                </w:tcPr>
                <w:p w14:paraId="53DC87A3">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cs="Times New Roman"/>
                      <w:b/>
                      <w:bCs w:val="0"/>
                      <w:color w:val="auto"/>
                      <w:sz w:val="21"/>
                      <w:szCs w:val="21"/>
                      <w:highlight w:val="none"/>
                      <w:vertAlign w:val="baseline"/>
                      <w:lang w:val="en-US" w:eastAsia="zh-CN"/>
                    </w:rPr>
                    <w:t>高度m</w:t>
                  </w:r>
                </w:p>
              </w:tc>
              <w:tc>
                <w:tcPr>
                  <w:tcW w:w="424" w:type="pct"/>
                  <w:tcBorders>
                    <w:tl2br w:val="nil"/>
                    <w:tr2bl w:val="nil"/>
                  </w:tcBorders>
                  <w:vAlign w:val="center"/>
                </w:tcPr>
                <w:p w14:paraId="15AE3A2B">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cs="Times New Roman"/>
                      <w:b/>
                      <w:bCs w:val="0"/>
                      <w:color w:val="auto"/>
                      <w:sz w:val="21"/>
                      <w:szCs w:val="21"/>
                      <w:highlight w:val="none"/>
                      <w:vertAlign w:val="baseline"/>
                      <w:lang w:val="en-US" w:eastAsia="zh-CN"/>
                    </w:rPr>
                    <w:t>排口内径m</w:t>
                  </w:r>
                </w:p>
              </w:tc>
              <w:tc>
                <w:tcPr>
                  <w:tcW w:w="414" w:type="pct"/>
                  <w:tcBorders>
                    <w:tl2br w:val="nil"/>
                    <w:tr2bl w:val="nil"/>
                  </w:tcBorders>
                  <w:vAlign w:val="center"/>
                </w:tcPr>
                <w:p w14:paraId="5136926B">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cs="Times New Roman"/>
                      <w:b/>
                      <w:bCs w:val="0"/>
                      <w:color w:val="auto"/>
                      <w:sz w:val="21"/>
                      <w:szCs w:val="21"/>
                      <w:highlight w:val="none"/>
                      <w:vertAlign w:val="baseline"/>
                      <w:lang w:val="en-US" w:eastAsia="zh-CN"/>
                    </w:rPr>
                    <w:t>风速m/s</w:t>
                  </w:r>
                </w:p>
              </w:tc>
              <w:tc>
                <w:tcPr>
                  <w:tcW w:w="399" w:type="pct"/>
                  <w:vMerge w:val="continue"/>
                  <w:tcBorders>
                    <w:tl2br w:val="nil"/>
                    <w:tr2bl w:val="nil"/>
                  </w:tcBorders>
                  <w:vAlign w:val="center"/>
                </w:tcPr>
                <w:p w14:paraId="2EB24C41">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eastAsia" w:ascii="Times New Roman" w:hAnsi="Times New Roman" w:eastAsia="宋体" w:cs="Times New Roman"/>
                      <w:b w:val="0"/>
                      <w:bCs/>
                      <w:color w:val="auto"/>
                      <w:sz w:val="21"/>
                      <w:szCs w:val="21"/>
                      <w:highlight w:val="none"/>
                      <w:vertAlign w:val="baseline"/>
                    </w:rPr>
                  </w:pPr>
                </w:p>
              </w:tc>
            </w:tr>
            <w:tr w14:paraId="1C21252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4" w:type="pct"/>
                  <w:tcBorders>
                    <w:tl2br w:val="nil"/>
                    <w:tr2bl w:val="nil"/>
                  </w:tcBorders>
                  <w:vAlign w:val="center"/>
                </w:tcPr>
                <w:p w14:paraId="1CE73384">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eastAsia"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1</w:t>
                  </w:r>
                </w:p>
              </w:tc>
              <w:tc>
                <w:tcPr>
                  <w:tcW w:w="607" w:type="pct"/>
                  <w:tcBorders>
                    <w:tl2br w:val="nil"/>
                    <w:tr2bl w:val="nil"/>
                  </w:tcBorders>
                  <w:vAlign w:val="center"/>
                </w:tcPr>
                <w:p w14:paraId="63B0D6E4">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DA001排气筒</w:t>
                  </w:r>
                </w:p>
              </w:tc>
              <w:tc>
                <w:tcPr>
                  <w:tcW w:w="1141" w:type="pct"/>
                  <w:tcBorders>
                    <w:tl2br w:val="nil"/>
                    <w:tr2bl w:val="nil"/>
                  </w:tcBorders>
                  <w:vAlign w:val="center"/>
                </w:tcPr>
                <w:p w14:paraId="1605888D">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非甲烷总烃、总VOCs、TVOC、臭气浓度</w:t>
                  </w:r>
                </w:p>
              </w:tc>
              <w:tc>
                <w:tcPr>
                  <w:tcW w:w="906" w:type="pct"/>
                  <w:tcBorders>
                    <w:tl2br w:val="nil"/>
                    <w:tr2bl w:val="nil"/>
                  </w:tcBorders>
                  <w:vAlign w:val="center"/>
                </w:tcPr>
                <w:p w14:paraId="4A57B37B">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eastAsia"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N23.20332°</w:t>
                  </w:r>
                </w:p>
                <w:p w14:paraId="17EF8EDB">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E114.25857°</w:t>
                  </w:r>
                </w:p>
              </w:tc>
              <w:tc>
                <w:tcPr>
                  <w:tcW w:w="493" w:type="pct"/>
                  <w:tcBorders>
                    <w:tl2br w:val="nil"/>
                    <w:tr2bl w:val="nil"/>
                  </w:tcBorders>
                  <w:vAlign w:val="center"/>
                </w:tcPr>
                <w:p w14:paraId="0AFDEE20">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eastAsia"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常温</w:t>
                  </w:r>
                </w:p>
              </w:tc>
              <w:tc>
                <w:tcPr>
                  <w:tcW w:w="327" w:type="pct"/>
                  <w:tcBorders>
                    <w:tl2br w:val="nil"/>
                    <w:tr2bl w:val="nil"/>
                  </w:tcBorders>
                  <w:vAlign w:val="center"/>
                </w:tcPr>
                <w:p w14:paraId="0513298F">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46</w:t>
                  </w:r>
                </w:p>
              </w:tc>
              <w:tc>
                <w:tcPr>
                  <w:tcW w:w="424" w:type="pct"/>
                  <w:tcBorders>
                    <w:tl2br w:val="nil"/>
                    <w:tr2bl w:val="nil"/>
                  </w:tcBorders>
                  <w:vAlign w:val="center"/>
                </w:tcPr>
                <w:p w14:paraId="24565AF2">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0.8</w:t>
                  </w:r>
                </w:p>
              </w:tc>
              <w:tc>
                <w:tcPr>
                  <w:tcW w:w="414" w:type="pct"/>
                  <w:tcBorders>
                    <w:tl2br w:val="nil"/>
                    <w:tr2bl w:val="nil"/>
                  </w:tcBorders>
                  <w:vAlign w:val="center"/>
                </w:tcPr>
                <w:p w14:paraId="026170DE">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16.6</w:t>
                  </w:r>
                </w:p>
              </w:tc>
              <w:tc>
                <w:tcPr>
                  <w:tcW w:w="399" w:type="pct"/>
                  <w:tcBorders>
                    <w:tl2br w:val="nil"/>
                    <w:tr2bl w:val="nil"/>
                  </w:tcBorders>
                  <w:vAlign w:val="center"/>
                </w:tcPr>
                <w:p w14:paraId="72CFC751">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ascii="Times New Roman" w:hAnsi="Times New Roman" w:eastAsia="宋体" w:cs="Times New Roman"/>
                      <w:b w:val="0"/>
                      <w:bCs/>
                      <w:color w:val="auto"/>
                      <w:sz w:val="21"/>
                      <w:szCs w:val="21"/>
                      <w:highlight w:val="none"/>
                      <w:vertAlign w:val="baseline"/>
                      <w:lang w:val="en-US" w:eastAsia="zh-CN"/>
                    </w:rPr>
                  </w:pPr>
                  <w:r>
                    <w:rPr>
                      <w:rFonts w:hint="eastAsia" w:cs="Times New Roman"/>
                      <w:b w:val="0"/>
                      <w:bCs/>
                      <w:color w:val="auto"/>
                      <w:sz w:val="21"/>
                      <w:szCs w:val="21"/>
                      <w:highlight w:val="none"/>
                      <w:vertAlign w:val="baseline"/>
                      <w:lang w:val="en-US" w:eastAsia="zh-CN"/>
                    </w:rPr>
                    <w:t>一般排放口</w:t>
                  </w:r>
                </w:p>
              </w:tc>
            </w:tr>
          </w:tbl>
          <w:p w14:paraId="65C9915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157" w:beforeLines="50" w:beforeAutospacing="0" w:after="0" w:afterAutospacing="0" w:line="348" w:lineRule="auto"/>
              <w:ind w:left="0" w:right="0" w:rightChars="0" w:firstLine="422" w:firstLineChars="200"/>
              <w:jc w:val="left"/>
              <w:textAlignment w:val="auto"/>
              <w:rPr>
                <w:rFonts w:hint="eastAsia"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1.4废气监测要求</w:t>
            </w:r>
          </w:p>
          <w:p w14:paraId="20E547B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b w:val="0"/>
                <w:bCs w:val="0"/>
                <w:color w:val="auto"/>
                <w:spacing w:val="0"/>
                <w:sz w:val="21"/>
                <w:szCs w:val="21"/>
                <w:highlight w:val="none"/>
                <w:lang w:val="en-US" w:eastAsia="zh-CN"/>
              </w:rPr>
            </w:pPr>
            <w:r>
              <w:rPr>
                <w:rFonts w:hint="default" w:ascii="Times New Roman" w:hAnsi="Times New Roman" w:eastAsia="宋体" w:cs="Times New Roman"/>
                <w:b w:val="0"/>
                <w:bCs w:val="0"/>
                <w:color w:val="auto"/>
                <w:spacing w:val="0"/>
                <w:sz w:val="21"/>
                <w:szCs w:val="21"/>
                <w:highlight w:val="none"/>
                <w:lang w:val="en-US" w:eastAsia="zh-CN"/>
              </w:rPr>
              <w:t>根据《固定污染源排污许可分类管理名录（2019年版）可知本项目属于登记管理，参照《排污单位自行监测技术指南 总则》（HJ819-2017）、《排污单位自行监测技术指南 印刷工业》（HJ1246-2022）及《排污单位自行监测技术指南 橡胶和塑料制品》（HJ1207-2021），本项目废气的监测要求详见下表。</w:t>
            </w:r>
          </w:p>
          <w:p w14:paraId="25254C19">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157" w:afterLines="50" w:afterAutospacing="0"/>
              <w:ind w:right="0"/>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 xml:space="preserve"> </w:t>
            </w:r>
            <w:r>
              <w:rPr>
                <w:rFonts w:hint="default" w:ascii="Times New Roman" w:hAnsi="Times New Roman" w:eastAsia="宋体" w:cs="Times New Roman"/>
                <w:b/>
                <w:bCs/>
                <w:color w:val="auto"/>
                <w:sz w:val="21"/>
                <w:szCs w:val="21"/>
                <w:highlight w:val="none"/>
                <w:lang w:val="en-US" w:eastAsia="zh-CN"/>
              </w:rPr>
              <w:t>监测要求一览表</w:t>
            </w:r>
          </w:p>
          <w:tbl>
            <w:tblPr>
              <w:tblStyle w:val="41"/>
              <w:tblW w:w="5000" w:type="pct"/>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
              <w:gridCol w:w="847"/>
              <w:gridCol w:w="918"/>
              <w:gridCol w:w="807"/>
              <w:gridCol w:w="1099"/>
              <w:gridCol w:w="942"/>
              <w:gridCol w:w="3123"/>
            </w:tblGrid>
            <w:tr w14:paraId="57B9D2F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3" w:type="pct"/>
                  <w:vMerge w:val="restart"/>
                  <w:tcBorders>
                    <w:tl2br w:val="nil"/>
                    <w:tr2bl w:val="nil"/>
                  </w:tcBorders>
                  <w:noWrap w:val="0"/>
                  <w:vAlign w:val="center"/>
                </w:tcPr>
                <w:p w14:paraId="1327927D">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cs="Times New Roman"/>
                      <w:b/>
                      <w:bCs w:val="0"/>
                      <w:color w:val="auto"/>
                      <w:sz w:val="21"/>
                      <w:szCs w:val="21"/>
                      <w:highlight w:val="none"/>
                      <w:vertAlign w:val="baseline"/>
                      <w:lang w:val="en-US" w:eastAsia="zh-CN"/>
                    </w:rPr>
                    <w:t>排气口编号</w:t>
                  </w:r>
                </w:p>
              </w:tc>
              <w:tc>
                <w:tcPr>
                  <w:tcW w:w="490" w:type="pct"/>
                  <w:vMerge w:val="restart"/>
                  <w:tcBorders>
                    <w:tl2br w:val="nil"/>
                    <w:tr2bl w:val="nil"/>
                  </w:tcBorders>
                  <w:noWrap w:val="0"/>
                  <w:vAlign w:val="center"/>
                </w:tcPr>
                <w:p w14:paraId="5B63C727">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cs="Times New Roman"/>
                      <w:b/>
                      <w:bCs w:val="0"/>
                      <w:color w:val="auto"/>
                      <w:sz w:val="21"/>
                      <w:szCs w:val="21"/>
                      <w:highlight w:val="none"/>
                      <w:vertAlign w:val="baseline"/>
                      <w:lang w:val="en-US" w:eastAsia="zh-CN"/>
                    </w:rPr>
                    <w:t>排气口名称</w:t>
                  </w:r>
                </w:p>
              </w:tc>
              <w:tc>
                <w:tcPr>
                  <w:tcW w:w="998" w:type="pct"/>
                  <w:gridSpan w:val="2"/>
                  <w:tcBorders>
                    <w:tl2br w:val="nil"/>
                    <w:tr2bl w:val="nil"/>
                  </w:tcBorders>
                  <w:noWrap w:val="0"/>
                  <w:vAlign w:val="center"/>
                </w:tcPr>
                <w:p w14:paraId="2B72DAD0">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ascii="Times New Roman" w:hAnsi="Times New Roman" w:eastAsia="宋体" w:cs="Times New Roman"/>
                      <w:b/>
                      <w:bCs w:val="0"/>
                      <w:color w:val="auto"/>
                      <w:sz w:val="21"/>
                      <w:szCs w:val="21"/>
                      <w:highlight w:val="none"/>
                      <w:vertAlign w:val="baseline"/>
                      <w:lang w:val="en-US" w:eastAsia="zh-CN"/>
                    </w:rPr>
                    <w:t>监测要求</w:t>
                  </w:r>
                </w:p>
              </w:tc>
              <w:tc>
                <w:tcPr>
                  <w:tcW w:w="2988" w:type="pct"/>
                  <w:gridSpan w:val="3"/>
                  <w:tcBorders>
                    <w:tl2br w:val="nil"/>
                    <w:tr2bl w:val="nil"/>
                  </w:tcBorders>
                  <w:noWrap w:val="0"/>
                  <w:vAlign w:val="center"/>
                </w:tcPr>
                <w:p w14:paraId="00277F94">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ascii="Times New Roman" w:hAnsi="Times New Roman" w:eastAsia="宋体" w:cs="Times New Roman"/>
                      <w:b/>
                      <w:bCs w:val="0"/>
                      <w:color w:val="auto"/>
                      <w:sz w:val="21"/>
                      <w:szCs w:val="21"/>
                      <w:highlight w:val="none"/>
                      <w:vertAlign w:val="baseline"/>
                      <w:lang w:val="en-US" w:eastAsia="zh-CN"/>
                    </w:rPr>
                    <w:t>排放标准</w:t>
                  </w:r>
                </w:p>
              </w:tc>
            </w:tr>
            <w:tr w14:paraId="7701DBD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3" w:type="pct"/>
                  <w:vMerge w:val="continue"/>
                  <w:tcBorders>
                    <w:tl2br w:val="nil"/>
                    <w:tr2bl w:val="nil"/>
                  </w:tcBorders>
                  <w:noWrap w:val="0"/>
                  <w:vAlign w:val="center"/>
                </w:tcPr>
                <w:p w14:paraId="0C0E6D83">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p>
              </w:tc>
              <w:tc>
                <w:tcPr>
                  <w:tcW w:w="490" w:type="pct"/>
                  <w:vMerge w:val="continue"/>
                  <w:tcBorders>
                    <w:tl2br w:val="nil"/>
                    <w:tr2bl w:val="nil"/>
                  </w:tcBorders>
                  <w:noWrap w:val="0"/>
                  <w:vAlign w:val="center"/>
                </w:tcPr>
                <w:p w14:paraId="6B5993A8">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p>
              </w:tc>
              <w:tc>
                <w:tcPr>
                  <w:tcW w:w="531" w:type="pct"/>
                  <w:tcBorders>
                    <w:tl2br w:val="nil"/>
                    <w:tr2bl w:val="nil"/>
                  </w:tcBorders>
                  <w:noWrap w:val="0"/>
                  <w:vAlign w:val="center"/>
                </w:tcPr>
                <w:p w14:paraId="3C08D2CA">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ascii="Times New Roman" w:hAnsi="Times New Roman" w:eastAsia="宋体" w:cs="Times New Roman"/>
                      <w:b/>
                      <w:bCs w:val="0"/>
                      <w:color w:val="auto"/>
                      <w:sz w:val="21"/>
                      <w:szCs w:val="21"/>
                      <w:highlight w:val="none"/>
                      <w:vertAlign w:val="baseline"/>
                      <w:lang w:val="en-US" w:eastAsia="zh-CN"/>
                    </w:rPr>
                    <w:t>监测因子</w:t>
                  </w:r>
                </w:p>
              </w:tc>
              <w:tc>
                <w:tcPr>
                  <w:tcW w:w="467" w:type="pct"/>
                  <w:tcBorders>
                    <w:tl2br w:val="nil"/>
                    <w:tr2bl w:val="nil"/>
                  </w:tcBorders>
                  <w:noWrap w:val="0"/>
                  <w:vAlign w:val="center"/>
                </w:tcPr>
                <w:p w14:paraId="0137EC10">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cs="Times New Roman"/>
                      <w:b/>
                      <w:bCs w:val="0"/>
                      <w:color w:val="auto"/>
                      <w:sz w:val="21"/>
                      <w:szCs w:val="21"/>
                      <w:highlight w:val="none"/>
                      <w:vertAlign w:val="baseline"/>
                      <w:lang w:val="en-US" w:eastAsia="zh-CN"/>
                    </w:rPr>
                    <w:t>监测频次</w:t>
                  </w:r>
                </w:p>
              </w:tc>
              <w:tc>
                <w:tcPr>
                  <w:tcW w:w="636" w:type="pct"/>
                  <w:tcBorders>
                    <w:tl2br w:val="nil"/>
                    <w:tr2bl w:val="nil"/>
                  </w:tcBorders>
                  <w:noWrap w:val="0"/>
                  <w:vAlign w:val="center"/>
                </w:tcPr>
                <w:p w14:paraId="6B9AA5D3">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cs="Times New Roman"/>
                      <w:b/>
                      <w:bCs w:val="0"/>
                      <w:color w:val="auto"/>
                      <w:sz w:val="21"/>
                      <w:szCs w:val="21"/>
                      <w:highlight w:val="none"/>
                      <w:vertAlign w:val="baseline"/>
                      <w:lang w:val="en-US" w:eastAsia="zh-CN"/>
                    </w:rPr>
                    <w:t>浓度限值mg/m</w:t>
                  </w:r>
                  <w:r>
                    <w:rPr>
                      <w:rFonts w:hint="eastAsia" w:cs="Times New Roman"/>
                      <w:b/>
                      <w:bCs w:val="0"/>
                      <w:color w:val="auto"/>
                      <w:sz w:val="21"/>
                      <w:szCs w:val="21"/>
                      <w:highlight w:val="none"/>
                      <w:vertAlign w:val="superscript"/>
                      <w:lang w:val="en-US" w:eastAsia="zh-CN"/>
                    </w:rPr>
                    <w:t>3</w:t>
                  </w:r>
                </w:p>
              </w:tc>
              <w:tc>
                <w:tcPr>
                  <w:tcW w:w="545" w:type="pct"/>
                  <w:tcBorders>
                    <w:tl2br w:val="nil"/>
                    <w:tr2bl w:val="nil"/>
                  </w:tcBorders>
                  <w:noWrap w:val="0"/>
                  <w:vAlign w:val="center"/>
                </w:tcPr>
                <w:p w14:paraId="5D090337">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cs="Times New Roman"/>
                      <w:b/>
                      <w:bCs w:val="0"/>
                      <w:color w:val="auto"/>
                      <w:sz w:val="21"/>
                      <w:szCs w:val="21"/>
                      <w:highlight w:val="none"/>
                      <w:vertAlign w:val="baseline"/>
                      <w:lang w:val="en-US" w:eastAsia="zh-CN"/>
                    </w:rPr>
                    <w:t>速率限值kg/h</w:t>
                  </w:r>
                </w:p>
              </w:tc>
              <w:tc>
                <w:tcPr>
                  <w:tcW w:w="1806" w:type="pct"/>
                  <w:tcBorders>
                    <w:tl2br w:val="nil"/>
                    <w:tr2bl w:val="nil"/>
                  </w:tcBorders>
                  <w:noWrap w:val="0"/>
                  <w:vAlign w:val="center"/>
                </w:tcPr>
                <w:p w14:paraId="1043D37D">
                  <w:pPr>
                    <w:pStyle w:val="3"/>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ascii="Times New Roman" w:hAnsi="Times New Roman" w:eastAsia="宋体" w:cs="Times New Roman"/>
                      <w:b/>
                      <w:bCs w:val="0"/>
                      <w:color w:val="auto"/>
                      <w:sz w:val="21"/>
                      <w:szCs w:val="21"/>
                      <w:highlight w:val="none"/>
                      <w:vertAlign w:val="baseline"/>
                      <w:lang w:val="en-US" w:eastAsia="zh-CN"/>
                    </w:rPr>
                  </w:pPr>
                  <w:r>
                    <w:rPr>
                      <w:rFonts w:hint="eastAsia" w:cs="Times New Roman"/>
                      <w:b/>
                      <w:bCs w:val="0"/>
                      <w:color w:val="auto"/>
                      <w:sz w:val="21"/>
                      <w:szCs w:val="21"/>
                      <w:highlight w:val="none"/>
                      <w:vertAlign w:val="baseline"/>
                      <w:lang w:val="en-US" w:eastAsia="zh-CN"/>
                    </w:rPr>
                    <w:t>标准名称</w:t>
                  </w:r>
                </w:p>
              </w:tc>
            </w:tr>
            <w:tr w14:paraId="18C50C8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3" w:type="pct"/>
                  <w:vMerge w:val="restart"/>
                  <w:tcBorders>
                    <w:tl2br w:val="nil"/>
                    <w:tr2bl w:val="nil"/>
                  </w:tcBorders>
                  <w:noWrap w:val="0"/>
                  <w:vAlign w:val="center"/>
                </w:tcPr>
                <w:p w14:paraId="102B523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DA00</w:t>
                  </w:r>
                  <w:r>
                    <w:rPr>
                      <w:rFonts w:hint="eastAsia"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排气筒</w:t>
                  </w:r>
                </w:p>
              </w:tc>
              <w:tc>
                <w:tcPr>
                  <w:tcW w:w="490" w:type="pct"/>
                  <w:vMerge w:val="restart"/>
                  <w:tcBorders>
                    <w:tl2br w:val="nil"/>
                    <w:tr2bl w:val="nil"/>
                  </w:tcBorders>
                  <w:noWrap w:val="0"/>
                  <w:vAlign w:val="center"/>
                </w:tcPr>
                <w:p w14:paraId="1B912A5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有机废气排放口</w:t>
                  </w:r>
                </w:p>
              </w:tc>
              <w:tc>
                <w:tcPr>
                  <w:tcW w:w="531" w:type="pct"/>
                  <w:tcBorders>
                    <w:tl2br w:val="nil"/>
                    <w:tr2bl w:val="nil"/>
                  </w:tcBorders>
                  <w:noWrap w:val="0"/>
                  <w:vAlign w:val="center"/>
                </w:tcPr>
                <w:p w14:paraId="43E9491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非甲烷总烃</w:t>
                  </w:r>
                </w:p>
              </w:tc>
              <w:tc>
                <w:tcPr>
                  <w:tcW w:w="467" w:type="pct"/>
                  <w:tcBorders>
                    <w:tl2br w:val="nil"/>
                    <w:tr2bl w:val="nil"/>
                  </w:tcBorders>
                  <w:noWrap w:val="0"/>
                  <w:vAlign w:val="center"/>
                </w:tcPr>
                <w:p w14:paraId="1AD25C25">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1次/半年</w:t>
                  </w:r>
                </w:p>
              </w:tc>
              <w:tc>
                <w:tcPr>
                  <w:tcW w:w="636" w:type="pct"/>
                  <w:tcBorders>
                    <w:tl2br w:val="nil"/>
                    <w:tr2bl w:val="nil"/>
                  </w:tcBorders>
                  <w:noWrap w:val="0"/>
                  <w:vAlign w:val="center"/>
                </w:tcPr>
                <w:p w14:paraId="1E1B27A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60</w:t>
                  </w:r>
                </w:p>
              </w:tc>
              <w:tc>
                <w:tcPr>
                  <w:tcW w:w="545" w:type="pct"/>
                  <w:tcBorders>
                    <w:tl2br w:val="nil"/>
                    <w:tr2bl w:val="nil"/>
                  </w:tcBorders>
                  <w:noWrap w:val="0"/>
                  <w:vAlign w:val="center"/>
                </w:tcPr>
                <w:p w14:paraId="140E02F7">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806" w:type="pct"/>
                  <w:tcBorders>
                    <w:tl2br w:val="nil"/>
                    <w:tr2bl w:val="nil"/>
                  </w:tcBorders>
                  <w:noWrap w:val="0"/>
                  <w:vAlign w:val="center"/>
                </w:tcPr>
                <w:p w14:paraId="1FF5879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Cs/>
                      <w:color w:val="auto"/>
                      <w:szCs w:val="21"/>
                      <w:highlight w:val="none"/>
                      <w:lang w:val="en-US" w:eastAsia="zh-CN"/>
                    </w:rPr>
                    <w:t>《固定污染源挥发性有机物综合排放标准》（DB44/2367-2022）表1挥发性有机物排放限值</w:t>
                  </w:r>
                  <w:r>
                    <w:rPr>
                      <w:rFonts w:hint="eastAsia" w:ascii="Times New Roman" w:hAnsi="Times New Roman" w:eastAsia="宋体" w:cs="Times New Roman"/>
                      <w:bCs/>
                      <w:color w:val="auto"/>
                      <w:szCs w:val="21"/>
                      <w:highlight w:val="none"/>
                      <w:lang w:val="en-US" w:eastAsia="zh-CN"/>
                    </w:rPr>
                    <w:t>、</w:t>
                  </w:r>
                  <w:r>
                    <w:rPr>
                      <w:rFonts w:hint="default" w:ascii="Times New Roman" w:hAnsi="Times New Roman" w:eastAsia="宋体" w:cs="Times New Roman"/>
                      <w:bCs/>
                      <w:color w:val="auto"/>
                      <w:szCs w:val="21"/>
                      <w:highlight w:val="none"/>
                      <w:lang w:val="en-US" w:eastAsia="zh-CN"/>
                    </w:rPr>
                    <w:t>《合成树脂工业污染物排放标准》（GB31572-2015，含2024年修改单）中表5大气污染物特别排放限值</w:t>
                  </w:r>
                  <w:r>
                    <w:rPr>
                      <w:rFonts w:hint="eastAsia" w:ascii="Times New Roman" w:hAnsi="Times New Roman" w:eastAsia="宋体" w:cs="Times New Roman"/>
                      <w:bCs/>
                      <w:color w:val="auto"/>
                      <w:szCs w:val="21"/>
                      <w:highlight w:val="none"/>
                      <w:lang w:val="en-US" w:eastAsia="zh-CN"/>
                    </w:rPr>
                    <w:t>与《印刷工业大气污染物排放标准》（GB41616-2022）表1大气污染物排放限值三</w:t>
                  </w:r>
                  <w:r>
                    <w:rPr>
                      <w:rFonts w:hint="default" w:ascii="Times New Roman" w:hAnsi="Times New Roman" w:eastAsia="宋体" w:cs="Times New Roman"/>
                      <w:bCs/>
                      <w:color w:val="auto"/>
                      <w:szCs w:val="21"/>
                      <w:highlight w:val="none"/>
                      <w:lang w:val="en-US" w:eastAsia="zh-CN"/>
                    </w:rPr>
                    <w:t>者较严值</w:t>
                  </w:r>
                </w:p>
              </w:tc>
            </w:tr>
            <w:tr w14:paraId="3C3F9CF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3" w:type="pct"/>
                  <w:vMerge w:val="continue"/>
                  <w:tcBorders>
                    <w:tl2br w:val="nil"/>
                    <w:tr2bl w:val="nil"/>
                  </w:tcBorders>
                  <w:noWrap w:val="0"/>
                  <w:vAlign w:val="center"/>
                </w:tcPr>
                <w:p w14:paraId="3B322B2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90" w:type="pct"/>
                  <w:vMerge w:val="continue"/>
                  <w:tcBorders>
                    <w:tl2br w:val="nil"/>
                    <w:tr2bl w:val="nil"/>
                  </w:tcBorders>
                  <w:noWrap w:val="0"/>
                  <w:vAlign w:val="center"/>
                </w:tcPr>
                <w:p w14:paraId="0B27FC1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531" w:type="pct"/>
                  <w:tcBorders>
                    <w:tl2br w:val="nil"/>
                    <w:tr2bl w:val="nil"/>
                  </w:tcBorders>
                  <w:noWrap w:val="0"/>
                  <w:vAlign w:val="center"/>
                </w:tcPr>
                <w:p w14:paraId="00600B3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TVOC</w:t>
                  </w:r>
                </w:p>
              </w:tc>
              <w:tc>
                <w:tcPr>
                  <w:tcW w:w="467" w:type="pct"/>
                  <w:tcBorders>
                    <w:tl2br w:val="nil"/>
                    <w:tr2bl w:val="nil"/>
                  </w:tcBorders>
                  <w:noWrap w:val="0"/>
                  <w:vAlign w:val="center"/>
                </w:tcPr>
                <w:p w14:paraId="21D66CD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1次/年</w:t>
                  </w:r>
                </w:p>
              </w:tc>
              <w:tc>
                <w:tcPr>
                  <w:tcW w:w="636" w:type="pct"/>
                  <w:tcBorders>
                    <w:tl2br w:val="nil"/>
                    <w:tr2bl w:val="nil"/>
                  </w:tcBorders>
                  <w:noWrap w:val="0"/>
                  <w:vAlign w:val="center"/>
                </w:tcPr>
                <w:p w14:paraId="588FB81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100</w:t>
                  </w:r>
                </w:p>
              </w:tc>
              <w:tc>
                <w:tcPr>
                  <w:tcW w:w="545" w:type="pct"/>
                  <w:tcBorders>
                    <w:tl2br w:val="nil"/>
                    <w:tr2bl w:val="nil"/>
                  </w:tcBorders>
                  <w:noWrap w:val="0"/>
                  <w:vAlign w:val="center"/>
                </w:tcPr>
                <w:p w14:paraId="72012CBF">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806" w:type="pct"/>
                  <w:tcBorders>
                    <w:tl2br w:val="nil"/>
                    <w:tr2bl w:val="nil"/>
                  </w:tcBorders>
                  <w:noWrap w:val="0"/>
                  <w:vAlign w:val="center"/>
                </w:tcPr>
                <w:p w14:paraId="72B6202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Cs/>
                      <w:color w:val="auto"/>
                      <w:szCs w:val="21"/>
                      <w:highlight w:val="none"/>
                      <w:lang w:val="en-US" w:eastAsia="zh-CN"/>
                    </w:rPr>
                    <w:t>广东省《固定污染源挥发性有机物综合排放标准》（DB44/2367-2022）表1挥发性有机物排放限值</w:t>
                  </w:r>
                </w:p>
              </w:tc>
            </w:tr>
            <w:tr w14:paraId="2994167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3" w:type="pct"/>
                  <w:vMerge w:val="continue"/>
                  <w:tcBorders>
                    <w:tl2br w:val="nil"/>
                    <w:tr2bl w:val="nil"/>
                  </w:tcBorders>
                  <w:noWrap w:val="0"/>
                  <w:vAlign w:val="center"/>
                </w:tcPr>
                <w:p w14:paraId="2C383A1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90" w:type="pct"/>
                  <w:vMerge w:val="continue"/>
                  <w:tcBorders>
                    <w:tl2br w:val="nil"/>
                    <w:tr2bl w:val="nil"/>
                  </w:tcBorders>
                  <w:noWrap w:val="0"/>
                  <w:vAlign w:val="center"/>
                </w:tcPr>
                <w:p w14:paraId="676ED52D">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rPr>
                  </w:pPr>
                </w:p>
              </w:tc>
              <w:tc>
                <w:tcPr>
                  <w:tcW w:w="531" w:type="pct"/>
                  <w:tcBorders>
                    <w:tl2br w:val="nil"/>
                    <w:tr2bl w:val="nil"/>
                  </w:tcBorders>
                  <w:noWrap w:val="0"/>
                  <w:vAlign w:val="center"/>
                </w:tcPr>
                <w:p w14:paraId="0D2927A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总VOCs</w:t>
                  </w:r>
                </w:p>
              </w:tc>
              <w:tc>
                <w:tcPr>
                  <w:tcW w:w="467" w:type="pct"/>
                  <w:tcBorders>
                    <w:tl2br w:val="nil"/>
                    <w:tr2bl w:val="nil"/>
                  </w:tcBorders>
                  <w:noWrap w:val="0"/>
                  <w:vAlign w:val="center"/>
                </w:tcPr>
                <w:p w14:paraId="048CDF31">
                  <w:pPr>
                    <w:keepNext w:val="0"/>
                    <w:keepLines w:val="0"/>
                    <w:suppressLineNumbers w:val="0"/>
                    <w:adjustRightInd w:val="0"/>
                    <w:snapToGrid w:val="0"/>
                    <w:spacing w:before="0" w:beforeAutospacing="0" w:after="0" w:afterAutospacing="0"/>
                    <w:ind w:left="0" w:leftChars="0" w:right="0" w:rightChars="0"/>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1次/年</w:t>
                  </w:r>
                </w:p>
              </w:tc>
              <w:tc>
                <w:tcPr>
                  <w:tcW w:w="636" w:type="pct"/>
                  <w:tcBorders>
                    <w:tl2br w:val="nil"/>
                    <w:tr2bl w:val="nil"/>
                  </w:tcBorders>
                  <w:noWrap w:val="0"/>
                  <w:vAlign w:val="center"/>
                </w:tcPr>
                <w:p w14:paraId="08A73D56">
                  <w:pPr>
                    <w:keepNext w:val="0"/>
                    <w:keepLines w:val="0"/>
                    <w:suppressLineNumbers w:val="0"/>
                    <w:adjustRightInd w:val="0"/>
                    <w:snapToGrid w:val="0"/>
                    <w:spacing w:before="0" w:beforeAutospacing="0" w:after="0" w:afterAutospacing="0"/>
                    <w:ind w:left="0" w:right="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80</w:t>
                  </w:r>
                </w:p>
              </w:tc>
              <w:tc>
                <w:tcPr>
                  <w:tcW w:w="545" w:type="pct"/>
                  <w:tcBorders>
                    <w:tl2br w:val="nil"/>
                    <w:tr2bl w:val="nil"/>
                  </w:tcBorders>
                  <w:noWrap w:val="0"/>
                  <w:vAlign w:val="center"/>
                </w:tcPr>
                <w:p w14:paraId="45040EF3">
                  <w:pPr>
                    <w:keepNext w:val="0"/>
                    <w:keepLines w:val="0"/>
                    <w:suppressLineNumbers w:val="0"/>
                    <w:adjustRightInd w:val="0"/>
                    <w:snapToGrid w:val="0"/>
                    <w:spacing w:before="0" w:beforeAutospacing="0" w:after="0" w:afterAutospacing="0"/>
                    <w:ind w:left="0" w:right="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5.1</w:t>
                  </w:r>
                </w:p>
              </w:tc>
              <w:tc>
                <w:tcPr>
                  <w:tcW w:w="1806" w:type="pct"/>
                  <w:tcBorders>
                    <w:tl2br w:val="nil"/>
                    <w:tr2bl w:val="nil"/>
                  </w:tcBorders>
                  <w:noWrap w:val="0"/>
                  <w:vAlign w:val="center"/>
                </w:tcPr>
                <w:p w14:paraId="622F13B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《印刷行业挥发性有机化合物排放标准》（DB44/815-2010）表2</w:t>
                  </w:r>
                  <w:r>
                    <w:rPr>
                      <w:rFonts w:hint="eastAsia" w:ascii="Times New Roman" w:hAnsi="Times New Roman" w:eastAsia="宋体" w:cs="Times New Roman"/>
                      <w:bCs/>
                      <w:color w:val="auto"/>
                      <w:szCs w:val="21"/>
                      <w:highlight w:val="none"/>
                      <w:lang w:val="en-US" w:eastAsia="zh-CN"/>
                    </w:rPr>
                    <w:t>“</w:t>
                  </w:r>
                  <w:r>
                    <w:rPr>
                      <w:rFonts w:hint="default" w:ascii="Times New Roman" w:hAnsi="Times New Roman" w:eastAsia="宋体" w:cs="Times New Roman"/>
                      <w:bCs/>
                      <w:color w:val="auto"/>
                      <w:szCs w:val="21"/>
                      <w:highlight w:val="none"/>
                      <w:lang w:val="en-US" w:eastAsia="zh-CN"/>
                    </w:rPr>
                    <w:t>平版印刷（不含以金属、陶瓷、玻璃为承印物的平版印刷）、柔性版印刷</w:t>
                  </w:r>
                  <w:r>
                    <w:rPr>
                      <w:rFonts w:hint="eastAsia" w:ascii="Times New Roman" w:hAnsi="Times New Roman" w:eastAsia="宋体" w:cs="Times New Roman"/>
                      <w:bCs/>
                      <w:color w:val="auto"/>
                      <w:szCs w:val="21"/>
                      <w:highlight w:val="none"/>
                      <w:lang w:val="en-US" w:eastAsia="zh-CN"/>
                    </w:rPr>
                    <w:t>”</w:t>
                  </w:r>
                  <w:r>
                    <w:rPr>
                      <w:rFonts w:hint="default" w:ascii="Times New Roman" w:hAnsi="Times New Roman" w:eastAsia="宋体" w:cs="Times New Roman"/>
                      <w:bCs/>
                      <w:color w:val="auto"/>
                      <w:szCs w:val="21"/>
                      <w:highlight w:val="none"/>
                      <w:lang w:val="en-US" w:eastAsia="zh-CN"/>
                    </w:rPr>
                    <w:t>Ⅱ时段排放限值</w:t>
                  </w:r>
                </w:p>
              </w:tc>
            </w:tr>
            <w:tr w14:paraId="565CADA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3" w:type="pct"/>
                  <w:vMerge w:val="continue"/>
                  <w:tcBorders>
                    <w:tl2br w:val="nil"/>
                    <w:tr2bl w:val="nil"/>
                  </w:tcBorders>
                  <w:noWrap w:val="0"/>
                  <w:vAlign w:val="center"/>
                </w:tcPr>
                <w:p w14:paraId="7DB8B8B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90" w:type="pct"/>
                  <w:vMerge w:val="continue"/>
                  <w:tcBorders>
                    <w:tl2br w:val="nil"/>
                    <w:tr2bl w:val="nil"/>
                  </w:tcBorders>
                  <w:noWrap w:val="0"/>
                  <w:vAlign w:val="center"/>
                </w:tcPr>
                <w:p w14:paraId="261A35B7">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rPr>
                  </w:pPr>
                </w:p>
              </w:tc>
              <w:tc>
                <w:tcPr>
                  <w:tcW w:w="531" w:type="pct"/>
                  <w:tcBorders>
                    <w:tl2br w:val="nil"/>
                    <w:tr2bl w:val="nil"/>
                  </w:tcBorders>
                  <w:noWrap w:val="0"/>
                  <w:vAlign w:val="center"/>
                </w:tcPr>
                <w:p w14:paraId="0D0F951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臭气浓度</w:t>
                  </w:r>
                </w:p>
              </w:tc>
              <w:tc>
                <w:tcPr>
                  <w:tcW w:w="467" w:type="pct"/>
                  <w:tcBorders>
                    <w:tl2br w:val="nil"/>
                    <w:tr2bl w:val="nil"/>
                  </w:tcBorders>
                  <w:noWrap w:val="0"/>
                  <w:vAlign w:val="center"/>
                </w:tcPr>
                <w:p w14:paraId="3A80DAC2">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1次/年</w:t>
                  </w:r>
                </w:p>
              </w:tc>
              <w:tc>
                <w:tcPr>
                  <w:tcW w:w="636" w:type="pct"/>
                  <w:tcBorders>
                    <w:tl2br w:val="nil"/>
                    <w:tr2bl w:val="nil"/>
                  </w:tcBorders>
                  <w:noWrap w:val="0"/>
                  <w:vAlign w:val="center"/>
                </w:tcPr>
                <w:p w14:paraId="4B711F4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40000（无量纲）</w:t>
                  </w:r>
                </w:p>
              </w:tc>
              <w:tc>
                <w:tcPr>
                  <w:tcW w:w="545" w:type="pct"/>
                  <w:tcBorders>
                    <w:tl2br w:val="nil"/>
                    <w:tr2bl w:val="nil"/>
                  </w:tcBorders>
                  <w:noWrap w:val="0"/>
                  <w:vAlign w:val="center"/>
                </w:tcPr>
                <w:p w14:paraId="7202D4FC">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806" w:type="pct"/>
                  <w:tcBorders>
                    <w:tl2br w:val="nil"/>
                    <w:tr2bl w:val="nil"/>
                  </w:tcBorders>
                  <w:noWrap w:val="0"/>
                  <w:vAlign w:val="center"/>
                </w:tcPr>
                <w:p w14:paraId="3455AB6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Cs/>
                      <w:color w:val="auto"/>
                      <w:szCs w:val="21"/>
                      <w:highlight w:val="none"/>
                      <w:lang w:val="en-US" w:eastAsia="zh-CN"/>
                    </w:rPr>
                    <w:t>《恶臭污染物排放标准》（GB14554-93）中表2恶臭污染物排放标准值</w:t>
                  </w:r>
                </w:p>
              </w:tc>
            </w:tr>
            <w:tr w14:paraId="14EF423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3" w:type="pct"/>
                  <w:vMerge w:val="continue"/>
                  <w:tcBorders>
                    <w:tl2br w:val="nil"/>
                    <w:tr2bl w:val="nil"/>
                  </w:tcBorders>
                  <w:noWrap w:val="0"/>
                  <w:vAlign w:val="center"/>
                </w:tcPr>
                <w:p w14:paraId="3515618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90" w:type="pct"/>
                  <w:vMerge w:val="continue"/>
                  <w:tcBorders>
                    <w:tl2br w:val="nil"/>
                    <w:tr2bl w:val="nil"/>
                  </w:tcBorders>
                  <w:noWrap w:val="0"/>
                  <w:vAlign w:val="center"/>
                </w:tcPr>
                <w:p w14:paraId="0EB9659E">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p>
              </w:tc>
              <w:tc>
                <w:tcPr>
                  <w:tcW w:w="531" w:type="pct"/>
                  <w:tcBorders>
                    <w:tl2br w:val="nil"/>
                    <w:tr2bl w:val="nil"/>
                  </w:tcBorders>
                  <w:noWrap w:val="0"/>
                  <w:vAlign w:val="center"/>
                </w:tcPr>
                <w:p w14:paraId="2366078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氯化氢</w:t>
                  </w:r>
                </w:p>
              </w:tc>
              <w:tc>
                <w:tcPr>
                  <w:tcW w:w="467" w:type="pct"/>
                  <w:tcBorders>
                    <w:tl2br w:val="nil"/>
                    <w:tr2bl w:val="nil"/>
                  </w:tcBorders>
                  <w:noWrap w:val="0"/>
                  <w:vAlign w:val="center"/>
                </w:tcPr>
                <w:p w14:paraId="12E149B8">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1次/年</w:t>
                  </w:r>
                </w:p>
              </w:tc>
              <w:tc>
                <w:tcPr>
                  <w:tcW w:w="636" w:type="pct"/>
                  <w:tcBorders>
                    <w:tl2br w:val="nil"/>
                    <w:tr2bl w:val="nil"/>
                  </w:tcBorders>
                  <w:noWrap w:val="0"/>
                  <w:vAlign w:val="center"/>
                </w:tcPr>
                <w:p w14:paraId="7103EE6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100</w:t>
                  </w:r>
                </w:p>
              </w:tc>
              <w:tc>
                <w:tcPr>
                  <w:tcW w:w="545" w:type="pct"/>
                  <w:tcBorders>
                    <w:tl2br w:val="nil"/>
                    <w:tr2bl w:val="nil"/>
                  </w:tcBorders>
                  <w:noWrap w:val="0"/>
                  <w:vAlign w:val="center"/>
                </w:tcPr>
                <w:p w14:paraId="1FDFA56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2.76</w:t>
                  </w:r>
                </w:p>
              </w:tc>
              <w:tc>
                <w:tcPr>
                  <w:tcW w:w="1806" w:type="pct"/>
                  <w:vMerge w:val="restart"/>
                  <w:tcBorders>
                    <w:tl2br w:val="nil"/>
                    <w:tr2bl w:val="nil"/>
                  </w:tcBorders>
                  <w:noWrap w:val="0"/>
                  <w:vAlign w:val="center"/>
                </w:tcPr>
                <w:p w14:paraId="21BDFA9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Cs/>
                      <w:color w:val="auto"/>
                      <w:szCs w:val="21"/>
                      <w:highlight w:val="none"/>
                      <w:lang w:val="en-US" w:eastAsia="zh-CN"/>
                    </w:rPr>
                    <w:t>广东省地方标准《大气污染物排放限值》（DB44/27-2001）表2第二时段二级标准限值</w:t>
                  </w:r>
                </w:p>
              </w:tc>
            </w:tr>
            <w:tr w14:paraId="5451ADC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3" w:type="pct"/>
                  <w:vMerge w:val="continue"/>
                  <w:tcBorders>
                    <w:tl2br w:val="nil"/>
                    <w:tr2bl w:val="nil"/>
                  </w:tcBorders>
                  <w:noWrap w:val="0"/>
                  <w:vAlign w:val="center"/>
                </w:tcPr>
                <w:p w14:paraId="1458C3F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90" w:type="pct"/>
                  <w:vMerge w:val="continue"/>
                  <w:tcBorders>
                    <w:tl2br w:val="nil"/>
                    <w:tr2bl w:val="nil"/>
                  </w:tcBorders>
                  <w:noWrap w:val="0"/>
                  <w:vAlign w:val="center"/>
                </w:tcPr>
                <w:p w14:paraId="16F6ED7E">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p>
              </w:tc>
              <w:tc>
                <w:tcPr>
                  <w:tcW w:w="531" w:type="pct"/>
                  <w:tcBorders>
                    <w:tl2br w:val="nil"/>
                    <w:tr2bl w:val="nil"/>
                  </w:tcBorders>
                  <w:noWrap w:val="0"/>
                  <w:vAlign w:val="center"/>
                </w:tcPr>
                <w:p w14:paraId="73408D9E">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氯乙烯</w:t>
                  </w:r>
                </w:p>
              </w:tc>
              <w:tc>
                <w:tcPr>
                  <w:tcW w:w="467" w:type="pct"/>
                  <w:tcBorders>
                    <w:tl2br w:val="nil"/>
                    <w:tr2bl w:val="nil"/>
                  </w:tcBorders>
                  <w:noWrap w:val="0"/>
                  <w:vAlign w:val="center"/>
                </w:tcPr>
                <w:p w14:paraId="34DA8F28">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1次/年</w:t>
                  </w:r>
                </w:p>
              </w:tc>
              <w:tc>
                <w:tcPr>
                  <w:tcW w:w="636" w:type="pct"/>
                  <w:tcBorders>
                    <w:tl2br w:val="nil"/>
                    <w:tr2bl w:val="nil"/>
                  </w:tcBorders>
                  <w:noWrap w:val="0"/>
                  <w:vAlign w:val="center"/>
                </w:tcPr>
                <w:p w14:paraId="301C3C1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36</w:t>
                  </w:r>
                </w:p>
              </w:tc>
              <w:tc>
                <w:tcPr>
                  <w:tcW w:w="545" w:type="pct"/>
                  <w:tcBorders>
                    <w:tl2br w:val="nil"/>
                    <w:tr2bl w:val="nil"/>
                  </w:tcBorders>
                  <w:noWrap w:val="0"/>
                  <w:vAlign w:val="center"/>
                </w:tcPr>
                <w:p w14:paraId="61132F6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8.36</w:t>
                  </w:r>
                </w:p>
              </w:tc>
              <w:tc>
                <w:tcPr>
                  <w:tcW w:w="1806" w:type="pct"/>
                  <w:vMerge w:val="continue"/>
                  <w:tcBorders>
                    <w:tl2br w:val="nil"/>
                    <w:tr2bl w:val="nil"/>
                  </w:tcBorders>
                  <w:noWrap w:val="0"/>
                  <w:vAlign w:val="center"/>
                </w:tcPr>
                <w:p w14:paraId="60BB2C5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r>
            <w:tr w14:paraId="109A489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3" w:type="pct"/>
                  <w:vMerge w:val="continue"/>
                  <w:tcBorders>
                    <w:tl2br w:val="nil"/>
                    <w:tr2bl w:val="nil"/>
                  </w:tcBorders>
                  <w:noWrap w:val="0"/>
                  <w:vAlign w:val="center"/>
                </w:tcPr>
                <w:p w14:paraId="610E86B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90" w:type="pct"/>
                  <w:vMerge w:val="continue"/>
                  <w:tcBorders>
                    <w:tl2br w:val="nil"/>
                    <w:tr2bl w:val="nil"/>
                  </w:tcBorders>
                  <w:noWrap w:val="0"/>
                  <w:vAlign w:val="center"/>
                </w:tcPr>
                <w:p w14:paraId="251E1E0B">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p>
              </w:tc>
              <w:tc>
                <w:tcPr>
                  <w:tcW w:w="531" w:type="pct"/>
                  <w:tcBorders>
                    <w:tl2br w:val="nil"/>
                    <w:tr2bl w:val="nil"/>
                  </w:tcBorders>
                  <w:noWrap w:val="0"/>
                  <w:vAlign w:val="center"/>
                </w:tcPr>
                <w:p w14:paraId="3FA7FC4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苯乙烯</w:t>
                  </w:r>
                </w:p>
              </w:tc>
              <w:tc>
                <w:tcPr>
                  <w:tcW w:w="467" w:type="pct"/>
                  <w:tcBorders>
                    <w:tl2br w:val="nil"/>
                    <w:tr2bl w:val="nil"/>
                  </w:tcBorders>
                  <w:noWrap w:val="0"/>
                  <w:vAlign w:val="center"/>
                </w:tcPr>
                <w:p w14:paraId="485EEB48">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1次/年</w:t>
                  </w:r>
                </w:p>
              </w:tc>
              <w:tc>
                <w:tcPr>
                  <w:tcW w:w="636" w:type="pct"/>
                  <w:tcBorders>
                    <w:tl2br w:val="nil"/>
                    <w:tr2bl w:val="nil"/>
                  </w:tcBorders>
                  <w:noWrap w:val="0"/>
                  <w:vAlign w:val="center"/>
                </w:tcPr>
                <w:p w14:paraId="1EA22F1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20</w:t>
                  </w:r>
                </w:p>
              </w:tc>
              <w:tc>
                <w:tcPr>
                  <w:tcW w:w="545" w:type="pct"/>
                  <w:tcBorders>
                    <w:tl2br w:val="nil"/>
                    <w:tr2bl w:val="nil"/>
                  </w:tcBorders>
                  <w:noWrap w:val="0"/>
                  <w:vAlign w:val="center"/>
                </w:tcPr>
                <w:p w14:paraId="3F14543A">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806" w:type="pct"/>
                  <w:vMerge w:val="restart"/>
                  <w:tcBorders>
                    <w:tl2br w:val="nil"/>
                    <w:tr2bl w:val="nil"/>
                  </w:tcBorders>
                  <w:noWrap w:val="0"/>
                  <w:vAlign w:val="center"/>
                </w:tcPr>
                <w:p w14:paraId="46AC589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Cs/>
                      <w:color w:val="auto"/>
                      <w:szCs w:val="21"/>
                      <w:highlight w:val="none"/>
                      <w:lang w:val="en-US" w:eastAsia="zh-CN"/>
                    </w:rPr>
                    <w:t>《合成树脂工业污染物排放标准》（GB31572-2015，含2024年修改单）中表5大气污染物特别排放限值</w:t>
                  </w:r>
                </w:p>
              </w:tc>
            </w:tr>
            <w:tr w14:paraId="2560268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3" w:type="pct"/>
                  <w:vMerge w:val="continue"/>
                  <w:tcBorders>
                    <w:tl2br w:val="nil"/>
                    <w:tr2bl w:val="nil"/>
                  </w:tcBorders>
                  <w:noWrap w:val="0"/>
                  <w:vAlign w:val="center"/>
                </w:tcPr>
                <w:p w14:paraId="34BCD3C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90" w:type="pct"/>
                  <w:vMerge w:val="continue"/>
                  <w:tcBorders>
                    <w:tl2br w:val="nil"/>
                    <w:tr2bl w:val="nil"/>
                  </w:tcBorders>
                  <w:noWrap w:val="0"/>
                  <w:vAlign w:val="center"/>
                </w:tcPr>
                <w:p w14:paraId="40C77C2B">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p>
              </w:tc>
              <w:tc>
                <w:tcPr>
                  <w:tcW w:w="531" w:type="pct"/>
                  <w:tcBorders>
                    <w:tl2br w:val="nil"/>
                    <w:tr2bl w:val="nil"/>
                  </w:tcBorders>
                  <w:noWrap w:val="0"/>
                  <w:vAlign w:val="center"/>
                </w:tcPr>
                <w:p w14:paraId="3C67AB42">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丙烯腈</w:t>
                  </w:r>
                </w:p>
              </w:tc>
              <w:tc>
                <w:tcPr>
                  <w:tcW w:w="467" w:type="pct"/>
                  <w:tcBorders>
                    <w:tl2br w:val="nil"/>
                    <w:tr2bl w:val="nil"/>
                  </w:tcBorders>
                  <w:noWrap w:val="0"/>
                  <w:vAlign w:val="center"/>
                </w:tcPr>
                <w:p w14:paraId="7E4266CF">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1次/年</w:t>
                  </w:r>
                </w:p>
              </w:tc>
              <w:tc>
                <w:tcPr>
                  <w:tcW w:w="636" w:type="pct"/>
                  <w:tcBorders>
                    <w:tl2br w:val="nil"/>
                    <w:tr2bl w:val="nil"/>
                  </w:tcBorders>
                  <w:noWrap w:val="0"/>
                  <w:vAlign w:val="center"/>
                </w:tcPr>
                <w:p w14:paraId="5889FB8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0.5</w:t>
                  </w:r>
                </w:p>
              </w:tc>
              <w:tc>
                <w:tcPr>
                  <w:tcW w:w="545" w:type="pct"/>
                  <w:tcBorders>
                    <w:tl2br w:val="nil"/>
                    <w:tr2bl w:val="nil"/>
                  </w:tcBorders>
                  <w:noWrap w:val="0"/>
                  <w:vAlign w:val="center"/>
                </w:tcPr>
                <w:p w14:paraId="03583583">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806" w:type="pct"/>
                  <w:vMerge w:val="continue"/>
                  <w:tcBorders>
                    <w:tl2br w:val="nil"/>
                    <w:tr2bl w:val="nil"/>
                  </w:tcBorders>
                  <w:noWrap w:val="0"/>
                  <w:vAlign w:val="center"/>
                </w:tcPr>
                <w:p w14:paraId="555E7DE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r>
            <w:tr w14:paraId="03D901E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3" w:type="pct"/>
                  <w:vMerge w:val="continue"/>
                  <w:tcBorders>
                    <w:tl2br w:val="nil"/>
                    <w:tr2bl w:val="nil"/>
                  </w:tcBorders>
                  <w:noWrap w:val="0"/>
                  <w:vAlign w:val="center"/>
                </w:tcPr>
                <w:p w14:paraId="2114146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90" w:type="pct"/>
                  <w:vMerge w:val="continue"/>
                  <w:tcBorders>
                    <w:tl2br w:val="nil"/>
                    <w:tr2bl w:val="nil"/>
                  </w:tcBorders>
                  <w:noWrap w:val="0"/>
                  <w:vAlign w:val="center"/>
                </w:tcPr>
                <w:p w14:paraId="1545A73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531" w:type="pct"/>
                  <w:tcBorders>
                    <w:tl2br w:val="nil"/>
                    <w:tr2bl w:val="nil"/>
                  </w:tcBorders>
                  <w:noWrap w:val="0"/>
                  <w:vAlign w:val="center"/>
                </w:tcPr>
                <w:p w14:paraId="502810B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1,3-丁二烯</w:t>
                  </w:r>
                </w:p>
              </w:tc>
              <w:tc>
                <w:tcPr>
                  <w:tcW w:w="467" w:type="pct"/>
                  <w:tcBorders>
                    <w:tl2br w:val="nil"/>
                    <w:tr2bl w:val="nil"/>
                  </w:tcBorders>
                  <w:noWrap w:val="0"/>
                  <w:vAlign w:val="center"/>
                </w:tcPr>
                <w:p w14:paraId="6CCB9B96">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1次/年</w:t>
                  </w:r>
                </w:p>
              </w:tc>
              <w:tc>
                <w:tcPr>
                  <w:tcW w:w="636" w:type="pct"/>
                  <w:tcBorders>
                    <w:tl2br w:val="nil"/>
                    <w:tr2bl w:val="nil"/>
                  </w:tcBorders>
                  <w:noWrap w:val="0"/>
                  <w:vAlign w:val="center"/>
                </w:tcPr>
                <w:p w14:paraId="2064B554">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w:t>
                  </w:r>
                </w:p>
              </w:tc>
              <w:tc>
                <w:tcPr>
                  <w:tcW w:w="545" w:type="pct"/>
                  <w:tcBorders>
                    <w:tl2br w:val="nil"/>
                    <w:tr2bl w:val="nil"/>
                  </w:tcBorders>
                  <w:noWrap w:val="0"/>
                  <w:vAlign w:val="center"/>
                </w:tcPr>
                <w:p w14:paraId="63086B20">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806" w:type="pct"/>
                  <w:vMerge w:val="continue"/>
                  <w:tcBorders>
                    <w:tl2br w:val="nil"/>
                    <w:tr2bl w:val="nil"/>
                  </w:tcBorders>
                  <w:noWrap w:val="0"/>
                  <w:vAlign w:val="center"/>
                </w:tcPr>
                <w:p w14:paraId="56425F7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r>
            <w:tr w14:paraId="5AFBE86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3" w:type="pct"/>
                  <w:vMerge w:val="continue"/>
                  <w:tcBorders>
                    <w:tl2br w:val="nil"/>
                    <w:tr2bl w:val="nil"/>
                  </w:tcBorders>
                  <w:noWrap w:val="0"/>
                  <w:vAlign w:val="center"/>
                </w:tcPr>
                <w:p w14:paraId="43553C5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90" w:type="pct"/>
                  <w:vMerge w:val="continue"/>
                  <w:tcBorders>
                    <w:tl2br w:val="nil"/>
                    <w:tr2bl w:val="nil"/>
                  </w:tcBorders>
                  <w:noWrap w:val="0"/>
                  <w:vAlign w:val="center"/>
                </w:tcPr>
                <w:p w14:paraId="63679A16">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p>
              </w:tc>
              <w:tc>
                <w:tcPr>
                  <w:tcW w:w="531" w:type="pct"/>
                  <w:tcBorders>
                    <w:tl2br w:val="nil"/>
                    <w:tr2bl w:val="nil"/>
                  </w:tcBorders>
                  <w:noWrap w:val="0"/>
                  <w:vAlign w:val="center"/>
                </w:tcPr>
                <w:p w14:paraId="65212F3A">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甲苯</w:t>
                  </w:r>
                </w:p>
              </w:tc>
              <w:tc>
                <w:tcPr>
                  <w:tcW w:w="467" w:type="pct"/>
                  <w:tcBorders>
                    <w:tl2br w:val="nil"/>
                    <w:tr2bl w:val="nil"/>
                  </w:tcBorders>
                  <w:noWrap w:val="0"/>
                  <w:vAlign w:val="center"/>
                </w:tcPr>
                <w:p w14:paraId="0FFD7715">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1次/年</w:t>
                  </w:r>
                </w:p>
              </w:tc>
              <w:tc>
                <w:tcPr>
                  <w:tcW w:w="636" w:type="pct"/>
                  <w:tcBorders>
                    <w:tl2br w:val="nil"/>
                    <w:tr2bl w:val="nil"/>
                  </w:tcBorders>
                  <w:noWrap w:val="0"/>
                  <w:vAlign w:val="center"/>
                </w:tcPr>
                <w:p w14:paraId="6C3B3E71">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8</w:t>
                  </w:r>
                </w:p>
              </w:tc>
              <w:tc>
                <w:tcPr>
                  <w:tcW w:w="545" w:type="pct"/>
                  <w:tcBorders>
                    <w:tl2br w:val="nil"/>
                    <w:tr2bl w:val="nil"/>
                  </w:tcBorders>
                  <w:noWrap w:val="0"/>
                  <w:vAlign w:val="center"/>
                </w:tcPr>
                <w:p w14:paraId="4F9FE0A0">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806" w:type="pct"/>
                  <w:vMerge w:val="continue"/>
                  <w:tcBorders>
                    <w:tl2br w:val="nil"/>
                    <w:tr2bl w:val="nil"/>
                  </w:tcBorders>
                  <w:noWrap w:val="0"/>
                  <w:vAlign w:val="center"/>
                </w:tcPr>
                <w:p w14:paraId="3AA53A4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r>
            <w:tr w14:paraId="01649F1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3" w:type="pct"/>
                  <w:vMerge w:val="continue"/>
                  <w:tcBorders>
                    <w:tl2br w:val="nil"/>
                    <w:tr2bl w:val="nil"/>
                  </w:tcBorders>
                  <w:noWrap w:val="0"/>
                  <w:vAlign w:val="center"/>
                </w:tcPr>
                <w:p w14:paraId="7FE979A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90" w:type="pct"/>
                  <w:vMerge w:val="continue"/>
                  <w:tcBorders>
                    <w:tl2br w:val="nil"/>
                    <w:tr2bl w:val="nil"/>
                  </w:tcBorders>
                  <w:noWrap w:val="0"/>
                  <w:vAlign w:val="center"/>
                </w:tcPr>
                <w:p w14:paraId="3BD3DCF5">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p>
              </w:tc>
              <w:tc>
                <w:tcPr>
                  <w:tcW w:w="531" w:type="pct"/>
                  <w:tcBorders>
                    <w:tl2br w:val="nil"/>
                    <w:tr2bl w:val="nil"/>
                  </w:tcBorders>
                  <w:noWrap w:val="0"/>
                  <w:vAlign w:val="center"/>
                </w:tcPr>
                <w:p w14:paraId="32D82DB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乙苯</w:t>
                  </w:r>
                </w:p>
              </w:tc>
              <w:tc>
                <w:tcPr>
                  <w:tcW w:w="467" w:type="pct"/>
                  <w:tcBorders>
                    <w:tl2br w:val="nil"/>
                    <w:tr2bl w:val="nil"/>
                  </w:tcBorders>
                  <w:noWrap w:val="0"/>
                  <w:vAlign w:val="center"/>
                </w:tcPr>
                <w:p w14:paraId="738700FA">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1次/年</w:t>
                  </w:r>
                </w:p>
              </w:tc>
              <w:tc>
                <w:tcPr>
                  <w:tcW w:w="636" w:type="pct"/>
                  <w:tcBorders>
                    <w:tl2br w:val="nil"/>
                    <w:tr2bl w:val="nil"/>
                  </w:tcBorders>
                  <w:noWrap w:val="0"/>
                  <w:vAlign w:val="center"/>
                </w:tcPr>
                <w:p w14:paraId="2D83427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50</w:t>
                  </w:r>
                </w:p>
              </w:tc>
              <w:tc>
                <w:tcPr>
                  <w:tcW w:w="545" w:type="pct"/>
                  <w:tcBorders>
                    <w:tl2br w:val="nil"/>
                    <w:tr2bl w:val="nil"/>
                  </w:tcBorders>
                  <w:noWrap w:val="0"/>
                  <w:vAlign w:val="center"/>
                </w:tcPr>
                <w:p w14:paraId="28F9D8A2">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806" w:type="pct"/>
                  <w:vMerge w:val="continue"/>
                  <w:tcBorders>
                    <w:tl2br w:val="nil"/>
                    <w:tr2bl w:val="nil"/>
                  </w:tcBorders>
                  <w:noWrap w:val="0"/>
                  <w:vAlign w:val="center"/>
                </w:tcPr>
                <w:p w14:paraId="082776A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r>
            <w:tr w14:paraId="0CD6A00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3" w:type="pct"/>
                  <w:vMerge w:val="restart"/>
                  <w:tcBorders>
                    <w:tl2br w:val="nil"/>
                    <w:tr2bl w:val="nil"/>
                  </w:tcBorders>
                  <w:noWrap w:val="0"/>
                  <w:vAlign w:val="center"/>
                </w:tcPr>
                <w:p w14:paraId="1FB7115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厂界</w:t>
                  </w:r>
                </w:p>
              </w:tc>
              <w:tc>
                <w:tcPr>
                  <w:tcW w:w="490" w:type="pct"/>
                  <w:vMerge w:val="restart"/>
                  <w:tcBorders>
                    <w:tl2br w:val="nil"/>
                    <w:tr2bl w:val="nil"/>
                  </w:tcBorders>
                  <w:noWrap w:val="0"/>
                  <w:vAlign w:val="center"/>
                </w:tcPr>
                <w:p w14:paraId="0CE9465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531" w:type="pct"/>
                  <w:tcBorders>
                    <w:tl2br w:val="nil"/>
                    <w:tr2bl w:val="nil"/>
                  </w:tcBorders>
                  <w:noWrap w:val="0"/>
                  <w:vAlign w:val="center"/>
                </w:tcPr>
                <w:p w14:paraId="4DA2C35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非甲烷总烃</w:t>
                  </w:r>
                </w:p>
              </w:tc>
              <w:tc>
                <w:tcPr>
                  <w:tcW w:w="467" w:type="pct"/>
                  <w:tcBorders>
                    <w:tl2br w:val="nil"/>
                    <w:tr2bl w:val="nil"/>
                  </w:tcBorders>
                  <w:noWrap w:val="0"/>
                  <w:vAlign w:val="center"/>
                </w:tcPr>
                <w:p w14:paraId="1338966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1次/年</w:t>
                  </w:r>
                </w:p>
              </w:tc>
              <w:tc>
                <w:tcPr>
                  <w:tcW w:w="636" w:type="pct"/>
                  <w:tcBorders>
                    <w:tl2br w:val="nil"/>
                    <w:tr2bl w:val="nil"/>
                  </w:tcBorders>
                  <w:noWrap w:val="0"/>
                  <w:vAlign w:val="center"/>
                </w:tcPr>
                <w:p w14:paraId="04EBFB8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4.0</w:t>
                  </w:r>
                </w:p>
              </w:tc>
              <w:tc>
                <w:tcPr>
                  <w:tcW w:w="545" w:type="pct"/>
                  <w:tcBorders>
                    <w:tl2br w:val="nil"/>
                    <w:tr2bl w:val="nil"/>
                  </w:tcBorders>
                  <w:noWrap w:val="0"/>
                  <w:vAlign w:val="center"/>
                </w:tcPr>
                <w:p w14:paraId="21774E62">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806" w:type="pct"/>
                  <w:tcBorders>
                    <w:tl2br w:val="nil"/>
                    <w:tr2bl w:val="nil"/>
                  </w:tcBorders>
                  <w:noWrap w:val="0"/>
                  <w:vAlign w:val="center"/>
                </w:tcPr>
                <w:p w14:paraId="078E50B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olor w:val="auto"/>
                      <w:sz w:val="21"/>
                      <w:szCs w:val="21"/>
                      <w:highlight w:val="none"/>
                    </w:rPr>
                    <w:t>广东省地方标准《大气污染物排放限值》（DB44/27-2001）表2第二时段无组织排放监控浓度限值与《合成树脂工业污染物排放标准》（GB31572-2015，含2024年修改单）表9企业边界大气污染物浓度限值两者较严值</w:t>
                  </w:r>
                </w:p>
              </w:tc>
            </w:tr>
            <w:tr w14:paraId="61A96FB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3" w:type="pct"/>
                  <w:vMerge w:val="continue"/>
                  <w:tcBorders>
                    <w:tl2br w:val="nil"/>
                    <w:tr2bl w:val="nil"/>
                  </w:tcBorders>
                  <w:noWrap w:val="0"/>
                  <w:vAlign w:val="center"/>
                </w:tcPr>
                <w:p w14:paraId="04A3966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90" w:type="pct"/>
                  <w:vMerge w:val="continue"/>
                  <w:tcBorders>
                    <w:tl2br w:val="nil"/>
                    <w:tr2bl w:val="nil"/>
                  </w:tcBorders>
                  <w:noWrap w:val="0"/>
                  <w:vAlign w:val="center"/>
                </w:tcPr>
                <w:p w14:paraId="1B787277">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rPr>
                  </w:pPr>
                </w:p>
              </w:tc>
              <w:tc>
                <w:tcPr>
                  <w:tcW w:w="531" w:type="pct"/>
                  <w:tcBorders>
                    <w:tl2br w:val="nil"/>
                    <w:tr2bl w:val="nil"/>
                  </w:tcBorders>
                  <w:noWrap w:val="0"/>
                  <w:vAlign w:val="center"/>
                </w:tcPr>
                <w:p w14:paraId="6BDDE85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olor w:val="auto"/>
                      <w:kern w:val="0"/>
                      <w:sz w:val="21"/>
                      <w:szCs w:val="21"/>
                      <w:highlight w:val="none"/>
                      <w:lang w:val="en-US" w:eastAsia="zh-CN"/>
                    </w:rPr>
                    <w:t>总VOCs</w:t>
                  </w:r>
                </w:p>
              </w:tc>
              <w:tc>
                <w:tcPr>
                  <w:tcW w:w="467" w:type="pct"/>
                  <w:tcBorders>
                    <w:tl2br w:val="nil"/>
                    <w:tr2bl w:val="nil"/>
                  </w:tcBorders>
                  <w:noWrap w:val="0"/>
                  <w:vAlign w:val="center"/>
                </w:tcPr>
                <w:p w14:paraId="03F8DE6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1次/年</w:t>
                  </w:r>
                </w:p>
              </w:tc>
              <w:tc>
                <w:tcPr>
                  <w:tcW w:w="636" w:type="pct"/>
                  <w:tcBorders>
                    <w:tl2br w:val="nil"/>
                    <w:tr2bl w:val="nil"/>
                  </w:tcBorders>
                  <w:noWrap w:val="0"/>
                  <w:vAlign w:val="center"/>
                </w:tcPr>
                <w:p w14:paraId="5F205F1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2.0</w:t>
                  </w:r>
                </w:p>
              </w:tc>
              <w:tc>
                <w:tcPr>
                  <w:tcW w:w="545" w:type="pct"/>
                  <w:tcBorders>
                    <w:tl2br w:val="nil"/>
                    <w:tr2bl w:val="nil"/>
                  </w:tcBorders>
                  <w:noWrap w:val="0"/>
                  <w:vAlign w:val="center"/>
                </w:tcPr>
                <w:p w14:paraId="28B767C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w:t>
                  </w:r>
                </w:p>
              </w:tc>
              <w:tc>
                <w:tcPr>
                  <w:tcW w:w="1806" w:type="pct"/>
                  <w:tcBorders>
                    <w:tl2br w:val="nil"/>
                    <w:tr2bl w:val="nil"/>
                  </w:tcBorders>
                  <w:noWrap w:val="0"/>
                  <w:vAlign w:val="center"/>
                </w:tcPr>
                <w:p w14:paraId="5B4C393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《家具制造行业挥发性有机化合物排放标准》（DB44/814-2010）表2无组织排放监控点浓度限值与《印刷行业挥发性有机化合物排放标准》（DB44/815-2010）表3无组织排放监控点浓度限值两者较严值</w:t>
                  </w:r>
                </w:p>
              </w:tc>
            </w:tr>
            <w:tr w14:paraId="6D6DFBC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3" w:type="pct"/>
                  <w:vMerge w:val="continue"/>
                  <w:tcBorders>
                    <w:tl2br w:val="nil"/>
                    <w:tr2bl w:val="nil"/>
                  </w:tcBorders>
                  <w:noWrap w:val="0"/>
                  <w:vAlign w:val="center"/>
                </w:tcPr>
                <w:p w14:paraId="767EC53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90" w:type="pct"/>
                  <w:vMerge w:val="continue"/>
                  <w:tcBorders>
                    <w:tl2br w:val="nil"/>
                    <w:tr2bl w:val="nil"/>
                  </w:tcBorders>
                  <w:noWrap w:val="0"/>
                  <w:vAlign w:val="center"/>
                </w:tcPr>
                <w:p w14:paraId="64699EF2">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rPr>
                  </w:pPr>
                </w:p>
              </w:tc>
              <w:tc>
                <w:tcPr>
                  <w:tcW w:w="531" w:type="pct"/>
                  <w:tcBorders>
                    <w:tl2br w:val="nil"/>
                    <w:tr2bl w:val="nil"/>
                  </w:tcBorders>
                  <w:noWrap w:val="0"/>
                  <w:vAlign w:val="center"/>
                </w:tcPr>
                <w:p w14:paraId="48C3614D">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olor w:val="auto"/>
                      <w:kern w:val="0"/>
                      <w:sz w:val="21"/>
                      <w:szCs w:val="21"/>
                      <w:highlight w:val="none"/>
                      <w:lang w:val="en-US" w:eastAsia="zh-CN"/>
                    </w:rPr>
                    <w:t>甲苯</w:t>
                  </w:r>
                </w:p>
              </w:tc>
              <w:tc>
                <w:tcPr>
                  <w:tcW w:w="467" w:type="pct"/>
                  <w:tcBorders>
                    <w:tl2br w:val="nil"/>
                    <w:tr2bl w:val="nil"/>
                  </w:tcBorders>
                  <w:noWrap w:val="0"/>
                  <w:vAlign w:val="center"/>
                </w:tcPr>
                <w:p w14:paraId="578DAF94">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1次/年</w:t>
                  </w:r>
                </w:p>
              </w:tc>
              <w:tc>
                <w:tcPr>
                  <w:tcW w:w="636" w:type="pct"/>
                  <w:tcBorders>
                    <w:tl2br w:val="nil"/>
                    <w:tr2bl w:val="nil"/>
                  </w:tcBorders>
                  <w:noWrap w:val="0"/>
                  <w:vAlign w:val="center"/>
                </w:tcPr>
                <w:p w14:paraId="20415A4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0.8</w:t>
                  </w:r>
                </w:p>
              </w:tc>
              <w:tc>
                <w:tcPr>
                  <w:tcW w:w="545" w:type="pct"/>
                  <w:tcBorders>
                    <w:tl2br w:val="nil"/>
                    <w:tr2bl w:val="nil"/>
                  </w:tcBorders>
                  <w:noWrap w:val="0"/>
                  <w:vAlign w:val="center"/>
                </w:tcPr>
                <w:p w14:paraId="67C97BC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w:t>
                  </w:r>
                </w:p>
              </w:tc>
              <w:tc>
                <w:tcPr>
                  <w:tcW w:w="1806" w:type="pct"/>
                  <w:tcBorders>
                    <w:tl2br w:val="nil"/>
                    <w:tr2bl w:val="nil"/>
                  </w:tcBorders>
                  <w:noWrap w:val="0"/>
                  <w:vAlign w:val="center"/>
                </w:tcPr>
                <w:p w14:paraId="03A7AAA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olor w:val="auto"/>
                      <w:sz w:val="21"/>
                      <w:szCs w:val="21"/>
                      <w:highlight w:val="none"/>
                    </w:rPr>
                    <w:t>《合成树脂工业污染物排放标准》（GB31572-2015，含2024年修改单）表9企业边界大气污染物浓度限值</w:t>
                  </w:r>
                </w:p>
              </w:tc>
            </w:tr>
            <w:tr w14:paraId="6E62CD1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3" w:type="pct"/>
                  <w:vMerge w:val="continue"/>
                  <w:tcBorders>
                    <w:tl2br w:val="nil"/>
                    <w:tr2bl w:val="nil"/>
                  </w:tcBorders>
                  <w:noWrap w:val="0"/>
                  <w:vAlign w:val="center"/>
                </w:tcPr>
                <w:p w14:paraId="4367FFF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90" w:type="pct"/>
                  <w:vMerge w:val="continue"/>
                  <w:tcBorders>
                    <w:tl2br w:val="nil"/>
                    <w:tr2bl w:val="nil"/>
                  </w:tcBorders>
                  <w:noWrap w:val="0"/>
                  <w:vAlign w:val="center"/>
                </w:tcPr>
                <w:p w14:paraId="66EFF8A9">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rPr>
                  </w:pPr>
                </w:p>
              </w:tc>
              <w:tc>
                <w:tcPr>
                  <w:tcW w:w="531" w:type="pct"/>
                  <w:tcBorders>
                    <w:tl2br w:val="nil"/>
                    <w:tr2bl w:val="nil"/>
                  </w:tcBorders>
                  <w:noWrap w:val="0"/>
                  <w:vAlign w:val="center"/>
                </w:tcPr>
                <w:p w14:paraId="72F634DB">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olor w:val="auto"/>
                      <w:kern w:val="0"/>
                      <w:sz w:val="21"/>
                      <w:szCs w:val="21"/>
                      <w:highlight w:val="none"/>
                      <w:lang w:val="en-US" w:eastAsia="zh-CN"/>
                    </w:rPr>
                    <w:t>氯化氢</w:t>
                  </w:r>
                </w:p>
              </w:tc>
              <w:tc>
                <w:tcPr>
                  <w:tcW w:w="467" w:type="pct"/>
                  <w:tcBorders>
                    <w:tl2br w:val="nil"/>
                    <w:tr2bl w:val="nil"/>
                  </w:tcBorders>
                  <w:noWrap w:val="0"/>
                  <w:vAlign w:val="center"/>
                </w:tcPr>
                <w:p w14:paraId="2599300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1次/年</w:t>
                  </w:r>
                </w:p>
              </w:tc>
              <w:tc>
                <w:tcPr>
                  <w:tcW w:w="636" w:type="pct"/>
                  <w:tcBorders>
                    <w:tl2br w:val="nil"/>
                    <w:tr2bl w:val="nil"/>
                  </w:tcBorders>
                  <w:noWrap w:val="0"/>
                  <w:vAlign w:val="center"/>
                </w:tcPr>
                <w:p w14:paraId="595A00D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0.2</w:t>
                  </w:r>
                </w:p>
              </w:tc>
              <w:tc>
                <w:tcPr>
                  <w:tcW w:w="545" w:type="pct"/>
                  <w:tcBorders>
                    <w:tl2br w:val="nil"/>
                    <w:tr2bl w:val="nil"/>
                  </w:tcBorders>
                  <w:noWrap w:val="0"/>
                  <w:vAlign w:val="center"/>
                </w:tcPr>
                <w:p w14:paraId="33C7106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w:t>
                  </w:r>
                </w:p>
              </w:tc>
              <w:tc>
                <w:tcPr>
                  <w:tcW w:w="1806" w:type="pct"/>
                  <w:vMerge w:val="restart"/>
                  <w:tcBorders>
                    <w:tl2br w:val="nil"/>
                    <w:tr2bl w:val="nil"/>
                  </w:tcBorders>
                  <w:noWrap w:val="0"/>
                  <w:vAlign w:val="center"/>
                </w:tcPr>
                <w:p w14:paraId="2ECF821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olor w:val="auto"/>
                      <w:sz w:val="21"/>
                      <w:szCs w:val="21"/>
                      <w:highlight w:val="none"/>
                    </w:rPr>
                    <w:t>广东省地方标准《大气污染物排放限值》（DB44/27-2001）表2第二时段无组织排放监控浓度限值</w:t>
                  </w:r>
                </w:p>
              </w:tc>
            </w:tr>
            <w:tr w14:paraId="4AF0579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3" w:type="pct"/>
                  <w:vMerge w:val="continue"/>
                  <w:tcBorders>
                    <w:tl2br w:val="nil"/>
                    <w:tr2bl w:val="nil"/>
                  </w:tcBorders>
                  <w:noWrap w:val="0"/>
                  <w:vAlign w:val="center"/>
                </w:tcPr>
                <w:p w14:paraId="73DA674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90" w:type="pct"/>
                  <w:vMerge w:val="continue"/>
                  <w:tcBorders>
                    <w:tl2br w:val="nil"/>
                    <w:tr2bl w:val="nil"/>
                  </w:tcBorders>
                  <w:noWrap w:val="0"/>
                  <w:vAlign w:val="center"/>
                </w:tcPr>
                <w:p w14:paraId="3ACBA1D2">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rPr>
                  </w:pPr>
                </w:p>
              </w:tc>
              <w:tc>
                <w:tcPr>
                  <w:tcW w:w="531" w:type="pct"/>
                  <w:tcBorders>
                    <w:tl2br w:val="nil"/>
                    <w:tr2bl w:val="nil"/>
                  </w:tcBorders>
                  <w:noWrap w:val="0"/>
                  <w:vAlign w:val="center"/>
                </w:tcPr>
                <w:p w14:paraId="6B3B95B9">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olor w:val="auto"/>
                      <w:kern w:val="0"/>
                      <w:sz w:val="21"/>
                      <w:szCs w:val="21"/>
                      <w:highlight w:val="none"/>
                      <w:lang w:val="en-US" w:eastAsia="zh-CN"/>
                    </w:rPr>
                    <w:t>氯乙烯</w:t>
                  </w:r>
                </w:p>
              </w:tc>
              <w:tc>
                <w:tcPr>
                  <w:tcW w:w="467" w:type="pct"/>
                  <w:tcBorders>
                    <w:tl2br w:val="nil"/>
                    <w:tr2bl w:val="nil"/>
                  </w:tcBorders>
                  <w:noWrap w:val="0"/>
                  <w:vAlign w:val="center"/>
                </w:tcPr>
                <w:p w14:paraId="1FD47C8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1次/年</w:t>
                  </w:r>
                </w:p>
              </w:tc>
              <w:tc>
                <w:tcPr>
                  <w:tcW w:w="636" w:type="pct"/>
                  <w:tcBorders>
                    <w:tl2br w:val="nil"/>
                    <w:tr2bl w:val="nil"/>
                  </w:tcBorders>
                  <w:noWrap w:val="0"/>
                  <w:vAlign w:val="center"/>
                </w:tcPr>
                <w:p w14:paraId="703E62C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0.6</w:t>
                  </w:r>
                </w:p>
              </w:tc>
              <w:tc>
                <w:tcPr>
                  <w:tcW w:w="545" w:type="pct"/>
                  <w:tcBorders>
                    <w:tl2br w:val="nil"/>
                    <w:tr2bl w:val="nil"/>
                  </w:tcBorders>
                  <w:noWrap w:val="0"/>
                  <w:vAlign w:val="center"/>
                </w:tcPr>
                <w:p w14:paraId="1802F4E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w:t>
                  </w:r>
                </w:p>
              </w:tc>
              <w:tc>
                <w:tcPr>
                  <w:tcW w:w="1806" w:type="pct"/>
                  <w:vMerge w:val="continue"/>
                  <w:tcBorders>
                    <w:tl2br w:val="nil"/>
                    <w:tr2bl w:val="nil"/>
                  </w:tcBorders>
                  <w:noWrap w:val="0"/>
                  <w:vAlign w:val="center"/>
                </w:tcPr>
                <w:p w14:paraId="550F6C1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r>
            <w:tr w14:paraId="20C8C95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3" w:type="pct"/>
                  <w:vMerge w:val="continue"/>
                  <w:tcBorders>
                    <w:tl2br w:val="nil"/>
                    <w:tr2bl w:val="nil"/>
                  </w:tcBorders>
                  <w:noWrap w:val="0"/>
                  <w:vAlign w:val="center"/>
                </w:tcPr>
                <w:p w14:paraId="3B8E826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p>
              </w:tc>
              <w:tc>
                <w:tcPr>
                  <w:tcW w:w="490" w:type="pct"/>
                  <w:vMerge w:val="continue"/>
                  <w:tcBorders>
                    <w:tl2br w:val="nil"/>
                    <w:tr2bl w:val="nil"/>
                  </w:tcBorders>
                  <w:noWrap w:val="0"/>
                  <w:vAlign w:val="center"/>
                </w:tcPr>
                <w:p w14:paraId="6CCCEC23">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rPr>
                  </w:pPr>
                </w:p>
              </w:tc>
              <w:tc>
                <w:tcPr>
                  <w:tcW w:w="531" w:type="pct"/>
                  <w:tcBorders>
                    <w:tl2br w:val="nil"/>
                    <w:tr2bl w:val="nil"/>
                  </w:tcBorders>
                  <w:noWrap w:val="0"/>
                  <w:vAlign w:val="center"/>
                </w:tcPr>
                <w:p w14:paraId="4390D6C5">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olor w:val="auto"/>
                      <w:kern w:val="0"/>
                      <w:sz w:val="21"/>
                      <w:szCs w:val="21"/>
                      <w:highlight w:val="none"/>
                      <w:lang w:val="en-US" w:eastAsia="zh-CN"/>
                    </w:rPr>
                    <w:t>臭气浓度</w:t>
                  </w:r>
                </w:p>
              </w:tc>
              <w:tc>
                <w:tcPr>
                  <w:tcW w:w="467" w:type="pct"/>
                  <w:tcBorders>
                    <w:tl2br w:val="nil"/>
                    <w:tr2bl w:val="nil"/>
                  </w:tcBorders>
                  <w:noWrap w:val="0"/>
                  <w:vAlign w:val="center"/>
                </w:tcPr>
                <w:p w14:paraId="1FC048C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1次/年</w:t>
                  </w:r>
                </w:p>
              </w:tc>
              <w:tc>
                <w:tcPr>
                  <w:tcW w:w="636" w:type="pct"/>
                  <w:tcBorders>
                    <w:tl2br w:val="nil"/>
                    <w:tr2bl w:val="nil"/>
                  </w:tcBorders>
                  <w:noWrap w:val="0"/>
                  <w:vAlign w:val="center"/>
                </w:tcPr>
                <w:p w14:paraId="151C92F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20（无量纲）</w:t>
                  </w:r>
                </w:p>
              </w:tc>
              <w:tc>
                <w:tcPr>
                  <w:tcW w:w="545" w:type="pct"/>
                  <w:tcBorders>
                    <w:tl2br w:val="nil"/>
                    <w:tr2bl w:val="nil"/>
                  </w:tcBorders>
                  <w:noWrap w:val="0"/>
                  <w:vAlign w:val="center"/>
                </w:tcPr>
                <w:p w14:paraId="079F69C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w:t>
                  </w:r>
                </w:p>
              </w:tc>
              <w:tc>
                <w:tcPr>
                  <w:tcW w:w="1806" w:type="pct"/>
                  <w:tcBorders>
                    <w:tl2br w:val="nil"/>
                    <w:tr2bl w:val="nil"/>
                  </w:tcBorders>
                  <w:noWrap w:val="0"/>
                  <w:vAlign w:val="center"/>
                </w:tcPr>
                <w:p w14:paraId="2EA2F12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olor w:val="auto"/>
                      <w:sz w:val="21"/>
                      <w:szCs w:val="21"/>
                      <w:highlight w:val="none"/>
                    </w:rPr>
                    <w:t>《恶臭污染物排放标准》（GB14554-93）表1恶臭污染物厂界二级新改扩建标准</w:t>
                  </w:r>
                </w:p>
              </w:tc>
            </w:tr>
            <w:tr w14:paraId="7B849AD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3" w:type="pct"/>
                  <w:vMerge w:val="restart"/>
                  <w:tcBorders>
                    <w:tl2br w:val="nil"/>
                    <w:tr2bl w:val="nil"/>
                  </w:tcBorders>
                  <w:noWrap w:val="0"/>
                  <w:vAlign w:val="center"/>
                </w:tcPr>
                <w:p w14:paraId="59837CF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厂区内</w:t>
                  </w:r>
                </w:p>
              </w:tc>
              <w:tc>
                <w:tcPr>
                  <w:tcW w:w="490" w:type="pct"/>
                  <w:vMerge w:val="restart"/>
                  <w:tcBorders>
                    <w:tl2br w:val="nil"/>
                    <w:tr2bl w:val="nil"/>
                  </w:tcBorders>
                  <w:noWrap w:val="0"/>
                  <w:vAlign w:val="center"/>
                </w:tcPr>
                <w:p w14:paraId="25D1833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531" w:type="pct"/>
                  <w:vMerge w:val="restart"/>
                  <w:tcBorders>
                    <w:tl2br w:val="nil"/>
                    <w:tr2bl w:val="nil"/>
                  </w:tcBorders>
                  <w:noWrap w:val="0"/>
                  <w:vAlign w:val="center"/>
                </w:tcPr>
                <w:p w14:paraId="57A0713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非甲烷总烃</w:t>
                  </w:r>
                </w:p>
              </w:tc>
              <w:tc>
                <w:tcPr>
                  <w:tcW w:w="467" w:type="pct"/>
                  <w:tcBorders>
                    <w:tl2br w:val="nil"/>
                    <w:tr2bl w:val="nil"/>
                  </w:tcBorders>
                  <w:noWrap w:val="0"/>
                  <w:vAlign w:val="center"/>
                </w:tcPr>
                <w:p w14:paraId="1673FC49">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1次/年</w:t>
                  </w:r>
                </w:p>
              </w:tc>
              <w:tc>
                <w:tcPr>
                  <w:tcW w:w="636" w:type="pct"/>
                  <w:tcBorders>
                    <w:tl2br w:val="nil"/>
                    <w:tr2bl w:val="nil"/>
                  </w:tcBorders>
                  <w:noWrap w:val="0"/>
                  <w:vAlign w:val="center"/>
                </w:tcPr>
                <w:p w14:paraId="1D2BCBFE">
                  <w:pPr>
                    <w:pStyle w:val="166"/>
                    <w:keepNext w:val="0"/>
                    <w:keepLines w:val="0"/>
                    <w:suppressLineNumbers w:val="0"/>
                    <w:spacing w:after="0" w:afterAutospacing="0"/>
                    <w:ind w:left="0" w:leftChars="0" w:right="0" w:rightChars="0" w:firstLine="0" w:firstLineChars="0"/>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olor w:val="auto"/>
                      <w:sz w:val="21"/>
                      <w:szCs w:val="21"/>
                      <w:highlight w:val="none"/>
                    </w:rPr>
                    <w:t>6（监控点处1h平均浓度值）</w:t>
                  </w:r>
                </w:p>
              </w:tc>
              <w:tc>
                <w:tcPr>
                  <w:tcW w:w="545" w:type="pct"/>
                  <w:tcBorders>
                    <w:tl2br w:val="nil"/>
                    <w:tr2bl w:val="nil"/>
                  </w:tcBorders>
                  <w:noWrap w:val="0"/>
                  <w:vAlign w:val="center"/>
                </w:tcPr>
                <w:p w14:paraId="24BC83A9">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806" w:type="pct"/>
                  <w:vMerge w:val="restart"/>
                  <w:tcBorders>
                    <w:tl2br w:val="nil"/>
                    <w:tr2bl w:val="nil"/>
                  </w:tcBorders>
                  <w:noWrap w:val="0"/>
                  <w:vAlign w:val="center"/>
                </w:tcPr>
                <w:p w14:paraId="2ABE844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olor w:val="auto"/>
                      <w:sz w:val="21"/>
                      <w:szCs w:val="21"/>
                      <w:highlight w:val="none"/>
                    </w:rPr>
                    <w:t>广东省《固定污染源挥发性有机物综合排放标准》（DB44/2367-2022）表3厂区内VOCs无组织排放限值与《印刷工业大气污染物排放标准》(GB41616-2022)表A.1厂区内VOCs无组织排放限值两者较严值</w:t>
                  </w:r>
                </w:p>
              </w:tc>
            </w:tr>
            <w:tr w14:paraId="27D9B05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23" w:type="pct"/>
                  <w:vMerge w:val="continue"/>
                  <w:tcBorders>
                    <w:tl2br w:val="nil"/>
                    <w:tr2bl w:val="nil"/>
                  </w:tcBorders>
                  <w:noWrap w:val="0"/>
                  <w:vAlign w:val="center"/>
                </w:tcPr>
                <w:p w14:paraId="4B87B37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c>
                <w:tcPr>
                  <w:tcW w:w="490" w:type="pct"/>
                  <w:vMerge w:val="continue"/>
                  <w:tcBorders>
                    <w:tl2br w:val="nil"/>
                    <w:tr2bl w:val="nil"/>
                  </w:tcBorders>
                  <w:noWrap w:val="0"/>
                  <w:vAlign w:val="center"/>
                </w:tcPr>
                <w:p w14:paraId="2AD38303">
                  <w:pPr>
                    <w:keepNext w:val="0"/>
                    <w:keepLines w:val="0"/>
                    <w:suppressLineNumbers w:val="0"/>
                    <w:adjustRightInd w:val="0"/>
                    <w:snapToGrid w:val="0"/>
                    <w:spacing w:before="0" w:beforeAutospacing="0" w:after="0" w:afterAutospacing="0"/>
                    <w:ind w:left="0" w:right="0"/>
                    <w:jc w:val="center"/>
                    <w:rPr>
                      <w:rFonts w:hint="eastAsia" w:cs="Times New Roman"/>
                      <w:color w:val="auto"/>
                      <w:sz w:val="21"/>
                      <w:szCs w:val="21"/>
                      <w:highlight w:val="none"/>
                      <w:lang w:val="en-US" w:eastAsia="zh-CN"/>
                    </w:rPr>
                  </w:pPr>
                </w:p>
              </w:tc>
              <w:tc>
                <w:tcPr>
                  <w:tcW w:w="531" w:type="pct"/>
                  <w:vMerge w:val="continue"/>
                  <w:tcBorders>
                    <w:tl2br w:val="nil"/>
                    <w:tr2bl w:val="nil"/>
                  </w:tcBorders>
                  <w:noWrap w:val="0"/>
                  <w:vAlign w:val="center"/>
                </w:tcPr>
                <w:p w14:paraId="2B39EDE0">
                  <w:pPr>
                    <w:keepNext w:val="0"/>
                    <w:keepLines w:val="0"/>
                    <w:suppressLineNumbers w:val="0"/>
                    <w:adjustRightInd w:val="0"/>
                    <w:snapToGrid w:val="0"/>
                    <w:spacing w:before="0" w:beforeAutospacing="0" w:after="0" w:afterAutospacing="0"/>
                    <w:ind w:left="0" w:right="0"/>
                    <w:jc w:val="center"/>
                    <w:rPr>
                      <w:rFonts w:hint="eastAsia" w:cs="Times New Roman"/>
                      <w:color w:val="auto"/>
                      <w:sz w:val="21"/>
                      <w:szCs w:val="21"/>
                      <w:highlight w:val="none"/>
                      <w:lang w:val="en-US" w:eastAsia="zh-CN"/>
                    </w:rPr>
                  </w:pPr>
                </w:p>
              </w:tc>
              <w:tc>
                <w:tcPr>
                  <w:tcW w:w="467" w:type="pct"/>
                  <w:tcBorders>
                    <w:tl2br w:val="nil"/>
                    <w:tr2bl w:val="nil"/>
                  </w:tcBorders>
                  <w:noWrap w:val="0"/>
                  <w:vAlign w:val="center"/>
                </w:tcPr>
                <w:p w14:paraId="1FF736BF">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1次/年</w:t>
                  </w:r>
                </w:p>
              </w:tc>
              <w:tc>
                <w:tcPr>
                  <w:tcW w:w="636" w:type="pct"/>
                  <w:tcBorders>
                    <w:tl2br w:val="nil"/>
                    <w:tr2bl w:val="nil"/>
                  </w:tcBorders>
                  <w:noWrap w:val="0"/>
                  <w:vAlign w:val="center"/>
                </w:tcPr>
                <w:p w14:paraId="62B46BD9">
                  <w:pPr>
                    <w:pStyle w:val="166"/>
                    <w:keepNext w:val="0"/>
                    <w:keepLines w:val="0"/>
                    <w:suppressLineNumbers w:val="0"/>
                    <w:spacing w:after="0" w:afterAutospacing="0"/>
                    <w:ind w:left="0" w:leftChars="0" w:right="0" w:rightChars="0" w:firstLine="0" w:firstLineChars="0"/>
                    <w:jc w:val="center"/>
                    <w:rPr>
                      <w:rFonts w:hint="default" w:ascii="Times New Roman" w:hAnsi="Times New Roman" w:eastAsia="宋体" w:cs="Times New Roman"/>
                      <w:color w:val="auto"/>
                      <w:sz w:val="21"/>
                      <w:szCs w:val="21"/>
                      <w:highlight w:val="none"/>
                    </w:rPr>
                  </w:pPr>
                  <w:r>
                    <w:rPr>
                      <w:rFonts w:hint="eastAsia" w:ascii="Times New Roman" w:hAnsi="Times New Roman" w:eastAsia="宋体"/>
                      <w:color w:val="auto"/>
                      <w:sz w:val="21"/>
                      <w:szCs w:val="21"/>
                      <w:highlight w:val="none"/>
                    </w:rPr>
                    <w:t>20（监控点处任意一次浓度值）</w:t>
                  </w:r>
                </w:p>
              </w:tc>
              <w:tc>
                <w:tcPr>
                  <w:tcW w:w="545" w:type="pct"/>
                  <w:tcBorders>
                    <w:tl2br w:val="nil"/>
                    <w:tr2bl w:val="nil"/>
                  </w:tcBorders>
                  <w:noWrap w:val="0"/>
                  <w:vAlign w:val="center"/>
                </w:tcPr>
                <w:p w14:paraId="7ADF4825">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806" w:type="pct"/>
                  <w:vMerge w:val="continue"/>
                  <w:tcBorders>
                    <w:tl2br w:val="nil"/>
                    <w:tr2bl w:val="nil"/>
                  </w:tcBorders>
                  <w:noWrap w:val="0"/>
                  <w:vAlign w:val="center"/>
                </w:tcPr>
                <w:p w14:paraId="2DA0CBE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p>
              </w:tc>
            </w:tr>
          </w:tbl>
          <w:p w14:paraId="5E89DB3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22" w:firstLineChars="200"/>
              <w:jc w:val="both"/>
              <w:textAlignment w:val="auto"/>
              <w:rPr>
                <w:rFonts w:hint="eastAsia" w:ascii="Times New Roman" w:hAnsi="Times New Roman" w:eastAsia="宋体" w:cs="Times New Roman"/>
                <w:b/>
                <w:bCs/>
                <w:color w:val="auto"/>
                <w:spacing w:val="0"/>
                <w:sz w:val="21"/>
                <w:szCs w:val="21"/>
                <w:highlight w:val="none"/>
                <w:lang w:val="en-US" w:eastAsia="zh-CN"/>
              </w:rPr>
            </w:pPr>
            <w:r>
              <w:rPr>
                <w:rFonts w:hint="eastAsia" w:cs="Times New Roman"/>
                <w:b/>
                <w:bCs/>
                <w:color w:val="auto"/>
                <w:spacing w:val="0"/>
                <w:sz w:val="21"/>
                <w:szCs w:val="21"/>
                <w:highlight w:val="none"/>
                <w:lang w:val="en-US" w:eastAsia="zh-CN"/>
              </w:rPr>
              <w:t>1.</w:t>
            </w:r>
            <w:r>
              <w:rPr>
                <w:rFonts w:hint="eastAsia" w:ascii="Times New Roman" w:hAnsi="Times New Roman" w:eastAsia="宋体" w:cs="Times New Roman"/>
                <w:b/>
                <w:bCs/>
                <w:color w:val="auto"/>
                <w:spacing w:val="0"/>
                <w:sz w:val="21"/>
                <w:szCs w:val="21"/>
                <w:highlight w:val="none"/>
                <w:lang w:val="en-US" w:eastAsia="zh-CN"/>
              </w:rPr>
              <w:t>5非正常工况</w:t>
            </w:r>
          </w:p>
          <w:p w14:paraId="6BBFCF7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b w:val="0"/>
                <w:bCs w:val="0"/>
                <w:color w:val="auto"/>
                <w:spacing w:val="0"/>
                <w:sz w:val="21"/>
                <w:szCs w:val="21"/>
                <w:highlight w:val="none"/>
                <w:lang w:val="en-US" w:eastAsia="zh-CN"/>
              </w:rPr>
            </w:pPr>
            <w:r>
              <w:rPr>
                <w:rFonts w:hint="default" w:ascii="Times New Roman" w:hAnsi="Times New Roman" w:eastAsia="宋体" w:cs="Times New Roman"/>
                <w:b w:val="0"/>
                <w:bCs w:val="0"/>
                <w:color w:val="auto"/>
                <w:spacing w:val="0"/>
                <w:sz w:val="21"/>
                <w:szCs w:val="21"/>
                <w:highlight w:val="none"/>
                <w:lang w:val="en-US" w:eastAsia="zh-CN"/>
              </w:rPr>
              <w:t>非正常排放是指生产过程中开停车（工、炉）、设备检修、工艺设备运转异常等非正常工况下的污染物排放，以及污染物排放控制措施达不到应有效率等情况下的排放。项目废气非正常工况排放主要为废气处理装置故障时，废气治理效率下降为10%，但废气收集系统可以正常运行等情况，废气处理设施出现故障不能正常运行时，应立即停产进行维修，避免对周围环境造成污染。废气非正常工况源强情况见下表。</w:t>
            </w:r>
          </w:p>
          <w:p w14:paraId="2492B43B">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157" w:afterLines="50" w:afterAutospacing="0"/>
              <w:ind w:right="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非正常情况下项目废气排放量一览表</w:t>
            </w:r>
          </w:p>
          <w:tbl>
            <w:tblPr>
              <w:tblStyle w:val="42"/>
              <w:tblW w:w="4994"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7"/>
              <w:gridCol w:w="1065"/>
              <w:gridCol w:w="955"/>
              <w:gridCol w:w="875"/>
              <w:gridCol w:w="1053"/>
              <w:gridCol w:w="963"/>
              <w:gridCol w:w="957"/>
              <w:gridCol w:w="957"/>
              <w:gridCol w:w="957"/>
            </w:tblGrid>
            <w:tr w14:paraId="1C65C3D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dxa"/>
                  <w:tcBorders>
                    <w:tl2br w:val="nil"/>
                    <w:tr2bl w:val="nil"/>
                  </w:tcBorders>
                  <w:noWrap w:val="0"/>
                  <w:vAlign w:val="center"/>
                </w:tcPr>
                <w:p w14:paraId="7336BB4E">
                  <w:pPr>
                    <w:pStyle w:val="125"/>
                    <w:keepNext w:val="0"/>
                    <w:keepLines w:val="0"/>
                    <w:pageBreakBefore w:val="0"/>
                    <w:suppressLineNumbers w:val="0"/>
                    <w:kinsoku/>
                    <w:bidi w:val="0"/>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bCs/>
                      <w:color w:val="auto"/>
                      <w:sz w:val="21"/>
                      <w:szCs w:val="21"/>
                      <w:highlight w:val="none"/>
                    </w:rPr>
                    <w:t>污染源</w:t>
                  </w:r>
                </w:p>
              </w:tc>
              <w:tc>
                <w:tcPr>
                  <w:tcW w:w="1065" w:type="dxa"/>
                  <w:tcBorders>
                    <w:tl2br w:val="nil"/>
                    <w:tr2bl w:val="nil"/>
                  </w:tcBorders>
                  <w:noWrap w:val="0"/>
                  <w:vAlign w:val="center"/>
                </w:tcPr>
                <w:p w14:paraId="4AD3580D">
                  <w:pPr>
                    <w:pStyle w:val="125"/>
                    <w:keepNext w:val="0"/>
                    <w:keepLines w:val="0"/>
                    <w:pageBreakBefore w:val="0"/>
                    <w:suppressLineNumbers w:val="0"/>
                    <w:kinsoku/>
                    <w:bidi w:val="0"/>
                    <w:snapToGrid/>
                    <w:spacing w:before="0" w:beforeAutospacing="0" w:after="0" w:afterAutospacing="0" w:line="240" w:lineRule="auto"/>
                    <w:ind w:left="0" w:right="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非正常</w:t>
                  </w:r>
                </w:p>
                <w:p w14:paraId="468997CF">
                  <w:pPr>
                    <w:pStyle w:val="125"/>
                    <w:keepNext w:val="0"/>
                    <w:keepLines w:val="0"/>
                    <w:pageBreakBefore w:val="0"/>
                    <w:suppressLineNumbers w:val="0"/>
                    <w:kinsoku/>
                    <w:bidi w:val="0"/>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bCs/>
                      <w:color w:val="auto"/>
                      <w:sz w:val="21"/>
                      <w:szCs w:val="21"/>
                      <w:highlight w:val="none"/>
                    </w:rPr>
                    <w:t>情况</w:t>
                  </w:r>
                </w:p>
              </w:tc>
              <w:tc>
                <w:tcPr>
                  <w:tcW w:w="955" w:type="dxa"/>
                  <w:tcBorders>
                    <w:tl2br w:val="nil"/>
                    <w:tr2bl w:val="nil"/>
                  </w:tcBorders>
                  <w:noWrap w:val="0"/>
                  <w:vAlign w:val="center"/>
                </w:tcPr>
                <w:p w14:paraId="4BA185D0">
                  <w:pPr>
                    <w:pStyle w:val="125"/>
                    <w:keepNext w:val="0"/>
                    <w:keepLines w:val="0"/>
                    <w:pageBreakBefore w:val="0"/>
                    <w:suppressLineNumbers w:val="0"/>
                    <w:kinsoku/>
                    <w:bidi w:val="0"/>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bCs/>
                      <w:color w:val="auto"/>
                      <w:sz w:val="21"/>
                      <w:szCs w:val="21"/>
                      <w:highlight w:val="none"/>
                    </w:rPr>
                    <w:t>污染物</w:t>
                  </w:r>
                </w:p>
              </w:tc>
              <w:tc>
                <w:tcPr>
                  <w:tcW w:w="875" w:type="dxa"/>
                  <w:tcBorders>
                    <w:tl2br w:val="nil"/>
                    <w:tr2bl w:val="nil"/>
                  </w:tcBorders>
                  <w:noWrap w:val="0"/>
                  <w:vAlign w:val="center"/>
                </w:tcPr>
                <w:p w14:paraId="5B0294FE">
                  <w:pPr>
                    <w:pStyle w:val="125"/>
                    <w:keepNext w:val="0"/>
                    <w:keepLines w:val="0"/>
                    <w:pageBreakBefore w:val="0"/>
                    <w:suppressLineNumbers w:val="0"/>
                    <w:kinsoku/>
                    <w:bidi w:val="0"/>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bCs/>
                      <w:color w:val="auto"/>
                      <w:sz w:val="21"/>
                      <w:szCs w:val="21"/>
                      <w:highlight w:val="none"/>
                    </w:rPr>
                    <w:t>非正常排放浓度（mg/m</w:t>
                  </w:r>
                  <w:r>
                    <w:rPr>
                      <w:rFonts w:hint="default" w:ascii="Times New Roman" w:hAnsi="Times New Roman" w:eastAsia="宋体" w:cs="Times New Roman"/>
                      <w:b/>
                      <w:bCs/>
                      <w:color w:val="auto"/>
                      <w:sz w:val="21"/>
                      <w:szCs w:val="21"/>
                      <w:highlight w:val="none"/>
                      <w:vertAlign w:val="superscript"/>
                    </w:rPr>
                    <w:t>3</w:t>
                  </w:r>
                  <w:r>
                    <w:rPr>
                      <w:rFonts w:hint="default" w:ascii="Times New Roman" w:hAnsi="Times New Roman" w:eastAsia="宋体" w:cs="Times New Roman"/>
                      <w:b/>
                      <w:bCs/>
                      <w:color w:val="auto"/>
                      <w:sz w:val="21"/>
                      <w:szCs w:val="21"/>
                      <w:highlight w:val="none"/>
                    </w:rPr>
                    <w:t>）</w:t>
                  </w:r>
                </w:p>
              </w:tc>
              <w:tc>
                <w:tcPr>
                  <w:tcW w:w="1053" w:type="dxa"/>
                  <w:tcBorders>
                    <w:tl2br w:val="nil"/>
                    <w:tr2bl w:val="nil"/>
                  </w:tcBorders>
                  <w:noWrap w:val="0"/>
                  <w:vAlign w:val="center"/>
                </w:tcPr>
                <w:p w14:paraId="7971FC16">
                  <w:pPr>
                    <w:pStyle w:val="125"/>
                    <w:keepNext w:val="0"/>
                    <w:keepLines w:val="0"/>
                    <w:pageBreakBefore w:val="0"/>
                    <w:suppressLineNumbers w:val="0"/>
                    <w:kinsoku/>
                    <w:bidi w:val="0"/>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bCs/>
                      <w:color w:val="auto"/>
                      <w:sz w:val="21"/>
                      <w:szCs w:val="21"/>
                      <w:highlight w:val="none"/>
                    </w:rPr>
                    <w:t>非正常排放速率（kg/h）</w:t>
                  </w:r>
                </w:p>
              </w:tc>
              <w:tc>
                <w:tcPr>
                  <w:tcW w:w="963" w:type="dxa"/>
                  <w:tcBorders>
                    <w:tl2br w:val="nil"/>
                    <w:tr2bl w:val="nil"/>
                  </w:tcBorders>
                  <w:noWrap w:val="0"/>
                  <w:vAlign w:val="center"/>
                </w:tcPr>
                <w:p w14:paraId="45855A0C">
                  <w:pPr>
                    <w:pStyle w:val="125"/>
                    <w:keepNext w:val="0"/>
                    <w:keepLines w:val="0"/>
                    <w:pageBreakBefore w:val="0"/>
                    <w:suppressLineNumbers w:val="0"/>
                    <w:kinsoku/>
                    <w:bidi w:val="0"/>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bCs/>
                      <w:color w:val="auto"/>
                      <w:sz w:val="21"/>
                      <w:szCs w:val="21"/>
                      <w:highlight w:val="none"/>
                    </w:rPr>
                    <w:t>非正常排放量（kg/a）</w:t>
                  </w:r>
                </w:p>
              </w:tc>
              <w:tc>
                <w:tcPr>
                  <w:tcW w:w="957" w:type="dxa"/>
                  <w:tcBorders>
                    <w:tl2br w:val="nil"/>
                    <w:tr2bl w:val="nil"/>
                  </w:tcBorders>
                  <w:noWrap w:val="0"/>
                  <w:vAlign w:val="center"/>
                </w:tcPr>
                <w:p w14:paraId="37D97523">
                  <w:pPr>
                    <w:pStyle w:val="125"/>
                    <w:keepNext w:val="0"/>
                    <w:keepLines w:val="0"/>
                    <w:pageBreakBefore w:val="0"/>
                    <w:suppressLineNumbers w:val="0"/>
                    <w:kinsoku/>
                    <w:bidi w:val="0"/>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val="0"/>
                      <w:bCs w:val="0"/>
                      <w:snapToGrid w:val="0"/>
                      <w:color w:val="auto"/>
                      <w:kern w:val="2"/>
                      <w:sz w:val="21"/>
                      <w:szCs w:val="21"/>
                      <w:highlight w:val="none"/>
                      <w:vertAlign w:val="baseline"/>
                      <w:lang w:val="en-US" w:eastAsia="zh-CN" w:bidi="ar-SA"/>
                    </w:rPr>
                  </w:pPr>
                  <w:r>
                    <w:rPr>
                      <w:rFonts w:hint="default" w:ascii="Times New Roman" w:hAnsi="Times New Roman" w:eastAsia="宋体" w:cs="Times New Roman"/>
                      <w:b/>
                      <w:bCs/>
                      <w:color w:val="auto"/>
                      <w:sz w:val="21"/>
                      <w:szCs w:val="21"/>
                      <w:highlight w:val="none"/>
                    </w:rPr>
                    <w:t>单次持续时间/h</w:t>
                  </w:r>
                </w:p>
              </w:tc>
              <w:tc>
                <w:tcPr>
                  <w:tcW w:w="957" w:type="dxa"/>
                  <w:tcBorders>
                    <w:tl2br w:val="nil"/>
                    <w:tr2bl w:val="nil"/>
                  </w:tcBorders>
                  <w:noWrap w:val="0"/>
                  <w:vAlign w:val="center"/>
                </w:tcPr>
                <w:p w14:paraId="3CAA5664">
                  <w:pPr>
                    <w:pStyle w:val="125"/>
                    <w:keepNext w:val="0"/>
                    <w:keepLines w:val="0"/>
                    <w:pageBreakBefore w:val="0"/>
                    <w:suppressLineNumbers w:val="0"/>
                    <w:kinsoku/>
                    <w:bidi w:val="0"/>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年发生频次</w:t>
                  </w:r>
                </w:p>
              </w:tc>
              <w:tc>
                <w:tcPr>
                  <w:tcW w:w="957" w:type="dxa"/>
                  <w:tcBorders>
                    <w:tl2br w:val="nil"/>
                    <w:tr2bl w:val="nil"/>
                  </w:tcBorders>
                  <w:noWrap w:val="0"/>
                  <w:vAlign w:val="center"/>
                </w:tcPr>
                <w:p w14:paraId="74EB2E95">
                  <w:pPr>
                    <w:pStyle w:val="125"/>
                    <w:keepNext w:val="0"/>
                    <w:keepLines w:val="0"/>
                    <w:pageBreakBefore w:val="0"/>
                    <w:suppressLineNumbers w:val="0"/>
                    <w:kinsoku/>
                    <w:bidi w:val="0"/>
                    <w:snapToGrid/>
                    <w:spacing w:before="0" w:beforeAutospacing="0" w:after="0" w:afterAutospacing="0"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应对措施</w:t>
                  </w:r>
                </w:p>
              </w:tc>
            </w:tr>
            <w:tr w14:paraId="2A41643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7" w:type="dxa"/>
                  <w:tcBorders>
                    <w:tl2br w:val="nil"/>
                    <w:tr2bl w:val="nil"/>
                  </w:tcBorders>
                  <w:noWrap w:val="0"/>
                  <w:vAlign w:val="center"/>
                </w:tcPr>
                <w:p w14:paraId="2ACC98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吸塑、印刷</w:t>
                  </w:r>
                </w:p>
              </w:tc>
              <w:tc>
                <w:tcPr>
                  <w:tcW w:w="1065" w:type="dxa"/>
                  <w:tcBorders>
                    <w:tl2br w:val="nil"/>
                    <w:tr2bl w:val="nil"/>
                  </w:tcBorders>
                  <w:noWrap w:val="0"/>
                  <w:vAlign w:val="center"/>
                </w:tcPr>
                <w:p w14:paraId="5FF173D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废气处理设施故障，废气处理效率为</w:t>
                  </w:r>
                  <w:r>
                    <w:rPr>
                      <w:rFonts w:hint="default" w:ascii="Times New Roman" w:hAnsi="Times New Roman" w:cs="Times New Roman"/>
                      <w:color w:val="auto"/>
                      <w:sz w:val="21"/>
                      <w:szCs w:val="21"/>
                      <w:highlight w:val="none"/>
                      <w:vertAlign w:val="baseline"/>
                      <w:lang w:val="en-US" w:eastAsia="zh-CN"/>
                    </w:rPr>
                    <w:t>1</w:t>
                  </w:r>
                  <w:r>
                    <w:rPr>
                      <w:rFonts w:hint="default" w:ascii="Times New Roman" w:hAnsi="Times New Roman" w:eastAsia="宋体" w:cs="Times New Roman"/>
                      <w:color w:val="auto"/>
                      <w:sz w:val="21"/>
                      <w:szCs w:val="21"/>
                      <w:highlight w:val="none"/>
                      <w:vertAlign w:val="baseline"/>
                      <w:lang w:val="en-US" w:eastAsia="zh-CN"/>
                    </w:rPr>
                    <w:t>0%</w:t>
                  </w:r>
                </w:p>
              </w:tc>
              <w:tc>
                <w:tcPr>
                  <w:tcW w:w="955" w:type="dxa"/>
                  <w:tcBorders>
                    <w:tl2br w:val="nil"/>
                    <w:tr2bl w:val="nil"/>
                  </w:tcBorders>
                  <w:noWrap w:val="0"/>
                  <w:vAlign w:val="center"/>
                </w:tcPr>
                <w:p w14:paraId="1DC141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非甲烷总烃</w:t>
                  </w:r>
                </w:p>
              </w:tc>
              <w:tc>
                <w:tcPr>
                  <w:tcW w:w="875" w:type="dxa"/>
                  <w:tcBorders>
                    <w:tl2br w:val="nil"/>
                    <w:tr2bl w:val="nil"/>
                  </w:tcBorders>
                  <w:noWrap w:val="0"/>
                  <w:vAlign w:val="center"/>
                </w:tcPr>
                <w:p w14:paraId="68F55C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2.97</w:t>
                  </w:r>
                </w:p>
              </w:tc>
              <w:tc>
                <w:tcPr>
                  <w:tcW w:w="1053" w:type="dxa"/>
                  <w:tcBorders>
                    <w:tl2br w:val="nil"/>
                    <w:tr2bl w:val="nil"/>
                  </w:tcBorders>
                  <w:noWrap w:val="0"/>
                  <w:vAlign w:val="center"/>
                </w:tcPr>
                <w:p w14:paraId="4A78F91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0.0594</w:t>
                  </w:r>
                </w:p>
              </w:tc>
              <w:tc>
                <w:tcPr>
                  <w:tcW w:w="963" w:type="dxa"/>
                  <w:tcBorders>
                    <w:tl2br w:val="nil"/>
                    <w:tr2bl w:val="nil"/>
                  </w:tcBorders>
                  <w:noWrap w:val="0"/>
                  <w:vAlign w:val="center"/>
                </w:tcPr>
                <w:p w14:paraId="0E6635B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0.0594</w:t>
                  </w:r>
                </w:p>
              </w:tc>
              <w:tc>
                <w:tcPr>
                  <w:tcW w:w="957" w:type="dxa"/>
                  <w:tcBorders>
                    <w:tl2br w:val="nil"/>
                    <w:tr2bl w:val="nil"/>
                  </w:tcBorders>
                  <w:noWrap w:val="0"/>
                  <w:vAlign w:val="center"/>
                </w:tcPr>
                <w:p w14:paraId="497CD3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1</w:t>
                  </w:r>
                </w:p>
              </w:tc>
              <w:tc>
                <w:tcPr>
                  <w:tcW w:w="957" w:type="dxa"/>
                  <w:tcBorders>
                    <w:tl2br w:val="nil"/>
                    <w:tr2bl w:val="nil"/>
                  </w:tcBorders>
                  <w:noWrap w:val="0"/>
                  <w:vAlign w:val="center"/>
                </w:tcPr>
                <w:p w14:paraId="69BFF24B">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1次</w:t>
                  </w:r>
                </w:p>
              </w:tc>
              <w:tc>
                <w:tcPr>
                  <w:tcW w:w="957" w:type="dxa"/>
                  <w:tcBorders>
                    <w:tl2br w:val="nil"/>
                    <w:tr2bl w:val="nil"/>
                  </w:tcBorders>
                  <w:noWrap w:val="0"/>
                  <w:vAlign w:val="center"/>
                </w:tcPr>
                <w:p w14:paraId="37D1D5D2">
                  <w:pPr>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加强管理，发生事故排放时立即停产维修</w:t>
                  </w:r>
                </w:p>
              </w:tc>
            </w:tr>
          </w:tbl>
          <w:p w14:paraId="1740113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20" w:firstLineChars="200"/>
              <w:jc w:val="both"/>
              <w:textAlignment w:val="auto"/>
              <w:rPr>
                <w:rFonts w:hint="default" w:ascii="Times New Roman" w:hAnsi="Times New Roman" w:eastAsia="宋体" w:cs="Times New Roman"/>
                <w:b w:val="0"/>
                <w:bCs w:val="0"/>
                <w:color w:val="auto"/>
                <w:spacing w:val="0"/>
                <w:sz w:val="21"/>
                <w:szCs w:val="21"/>
                <w:highlight w:val="none"/>
                <w:lang w:val="en-US" w:eastAsia="zh-CN"/>
              </w:rPr>
            </w:pPr>
            <w:r>
              <w:rPr>
                <w:rFonts w:hint="default" w:ascii="Times New Roman" w:hAnsi="Times New Roman" w:eastAsia="宋体" w:cs="Times New Roman"/>
                <w:b w:val="0"/>
                <w:bCs w:val="0"/>
                <w:color w:val="auto"/>
                <w:spacing w:val="0"/>
                <w:sz w:val="21"/>
                <w:szCs w:val="21"/>
                <w:highlight w:val="none"/>
                <w:lang w:val="en-US" w:eastAsia="zh-CN"/>
              </w:rPr>
              <w:t>为防止生产废气非正常工况排放，企业必须加强废气处理设施的管理，定期检修，确保废气处理设施正常运行，在废气处理设备停止运行或出现故障时，产生废气的各工序也必须相应停止生产。为杜绝废气非正常排放，应采取以下措施确保废气达标排放：</w:t>
            </w:r>
          </w:p>
          <w:p w14:paraId="575D255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b w:val="0"/>
                <w:bCs w:val="0"/>
                <w:color w:val="auto"/>
                <w:spacing w:val="0"/>
                <w:sz w:val="21"/>
                <w:szCs w:val="21"/>
                <w:highlight w:val="none"/>
                <w:lang w:val="en-US" w:eastAsia="zh-CN"/>
              </w:rPr>
            </w:pPr>
            <w:r>
              <w:rPr>
                <w:rFonts w:hint="default" w:ascii="Times New Roman" w:hAnsi="Times New Roman" w:eastAsia="宋体" w:cs="Times New Roman"/>
                <w:b w:val="0"/>
                <w:bCs w:val="0"/>
                <w:color w:val="auto"/>
                <w:spacing w:val="0"/>
                <w:sz w:val="21"/>
                <w:szCs w:val="21"/>
                <w:highlight w:val="none"/>
                <w:lang w:val="en-US" w:eastAsia="zh-CN"/>
              </w:rPr>
              <w:t>①安排专人负责环保设备的日常维护和管理，每个固定时间检查、汇报情况，及时发现废气处理设备的隐患，确保废气处理系统正常运行；</w:t>
            </w:r>
          </w:p>
          <w:p w14:paraId="089FA96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b w:val="0"/>
                <w:bCs w:val="0"/>
                <w:color w:val="auto"/>
                <w:spacing w:val="0"/>
                <w:sz w:val="21"/>
                <w:szCs w:val="21"/>
                <w:highlight w:val="none"/>
                <w:lang w:val="en-US" w:eastAsia="zh-CN"/>
              </w:rPr>
            </w:pPr>
            <w:r>
              <w:rPr>
                <w:rFonts w:hint="default" w:ascii="Times New Roman" w:hAnsi="Times New Roman" w:eastAsia="宋体" w:cs="Times New Roman"/>
                <w:b w:val="0"/>
                <w:bCs w:val="0"/>
                <w:color w:val="auto"/>
                <w:spacing w:val="0"/>
                <w:sz w:val="21"/>
                <w:szCs w:val="21"/>
                <w:highlight w:val="none"/>
                <w:lang w:val="en-US" w:eastAsia="zh-CN"/>
              </w:rPr>
              <w:t>②建立健全的环保管理机构，对环保管理人员和技术人员进行岗位培训，委托具有专业资质的环境检测单位对项目排放的各类污染物进行定期检测；</w:t>
            </w:r>
          </w:p>
          <w:p w14:paraId="74591FA2">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b w:val="0"/>
                <w:bCs w:val="0"/>
                <w:color w:val="auto"/>
                <w:spacing w:val="0"/>
                <w:sz w:val="21"/>
                <w:szCs w:val="21"/>
                <w:highlight w:val="none"/>
                <w:lang w:val="en-US" w:eastAsia="zh-CN"/>
              </w:rPr>
            </w:pPr>
            <w:r>
              <w:rPr>
                <w:rFonts w:hint="default" w:ascii="Times New Roman" w:hAnsi="Times New Roman" w:eastAsia="宋体" w:cs="Times New Roman"/>
                <w:b w:val="0"/>
                <w:bCs w:val="0"/>
                <w:color w:val="auto"/>
                <w:spacing w:val="0"/>
                <w:sz w:val="21"/>
                <w:szCs w:val="21"/>
                <w:highlight w:val="none"/>
                <w:lang w:val="en-US" w:eastAsia="zh-CN"/>
              </w:rPr>
              <w:t>③应定期维护、检修废气净化装置，以保持废气处理装置的净化能力和净化容量；④生产加工前，净化设备开启，设备关机一段时间后再关闭净化设备。</w:t>
            </w:r>
          </w:p>
          <w:p w14:paraId="555E1400">
            <w:pPr>
              <w:keepNext w:val="0"/>
              <w:keepLines w:val="0"/>
              <w:suppressLineNumbers w:val="0"/>
              <w:autoSpaceDE w:val="0"/>
              <w:adjustRightInd w:val="0"/>
              <w:snapToGrid w:val="0"/>
              <w:spacing w:before="0" w:beforeAutospacing="0" w:after="0" w:afterAutospacing="0" w:line="348" w:lineRule="auto"/>
              <w:ind w:left="0" w:right="0" w:firstLine="422" w:firstLineChars="200"/>
              <w:rPr>
                <w:rFonts w:hint="default" w:ascii="Times New Roman" w:hAnsi="Times New Roman" w:eastAsia="宋体"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1.</w:t>
            </w:r>
            <w:r>
              <w:rPr>
                <w:rFonts w:hint="eastAsia" w:ascii="Times New Roman" w:hAnsi="Times New Roman" w:eastAsia="宋体" w:cs="Times New Roman"/>
                <w:b/>
                <w:bCs/>
                <w:color w:val="auto"/>
                <w:sz w:val="21"/>
                <w:szCs w:val="21"/>
                <w:highlight w:val="none"/>
              </w:rPr>
              <w:t>6</w:t>
            </w:r>
            <w:r>
              <w:rPr>
                <w:rFonts w:hint="eastAsia" w:cs="Times New Roman"/>
                <w:b/>
                <w:bCs/>
                <w:color w:val="auto"/>
                <w:sz w:val="21"/>
                <w:szCs w:val="21"/>
                <w:highlight w:val="none"/>
                <w:lang w:val="en-US" w:eastAsia="zh-CN"/>
              </w:rPr>
              <w:t>废气污染防治技术可行性分析</w:t>
            </w:r>
          </w:p>
          <w:p w14:paraId="699AFE68">
            <w:pPr>
              <w:keepNext w:val="0"/>
              <w:keepLines w:val="0"/>
              <w:suppressLineNumbers w:val="0"/>
              <w:spacing w:before="0" w:beforeAutospacing="0" w:after="0" w:afterAutospacing="0" w:line="348" w:lineRule="auto"/>
              <w:ind w:left="0" w:right="0" w:firstLine="420" w:firstLineChars="200"/>
              <w:jc w:val="left"/>
              <w:rPr>
                <w:rFonts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项目吸塑和印刷废气经收集后通过“空气冷却器+两级活性炭吸附装置”处理达标后，经46m高的DA001排气筒高空排放。</w:t>
            </w:r>
            <w:r>
              <w:rPr>
                <w:rFonts w:hint="eastAsia" w:ascii="Times New Roman" w:hAnsi="Times New Roman" w:eastAsia="宋体" w:cs="Times New Roman"/>
                <w:color w:val="auto"/>
                <w:sz w:val="21"/>
                <w:szCs w:val="21"/>
                <w:highlight w:val="none"/>
              </w:rPr>
              <w:t>根据《排污许可证申请与核发技术规范</w:t>
            </w:r>
            <w:r>
              <w:rPr>
                <w:rFonts w:hint="eastAsia" w:cs="Times New Roman"/>
                <w:color w:val="auto"/>
                <w:sz w:val="21"/>
                <w:szCs w:val="21"/>
                <w:highlight w:val="none"/>
                <w:lang w:val="en-US" w:eastAsia="zh-CN"/>
              </w:rPr>
              <w:t xml:space="preserve"> </w:t>
            </w:r>
            <w:r>
              <w:rPr>
                <w:rFonts w:hint="eastAsia" w:ascii="Times New Roman" w:hAnsi="Times New Roman" w:eastAsia="宋体" w:cs="Times New Roman"/>
                <w:color w:val="auto"/>
                <w:sz w:val="21"/>
                <w:szCs w:val="21"/>
                <w:highlight w:val="none"/>
              </w:rPr>
              <w:t>印刷工业》（HJ1066-2019）表A.1废气治理可行技术参考表及《排污许可证申请与核发技术规范 橡胶和塑料制品工业》（HJ1122-2020），“活性炭吸附”为处理挥发性有机物及臭气浓度的可行技术。</w:t>
            </w:r>
          </w:p>
          <w:p w14:paraId="25D83CEE">
            <w:pPr>
              <w:pStyle w:val="131"/>
              <w:keepNext w:val="0"/>
              <w:keepLines w:val="0"/>
              <w:numPr>
                <w:ilvl w:val="0"/>
                <w:numId w:val="0"/>
              </w:numPr>
              <w:suppressLineNumbers w:val="0"/>
              <w:spacing w:before="0" w:beforeAutospacing="0" w:after="0" w:afterAutospacing="0" w:line="324" w:lineRule="auto"/>
              <w:ind w:left="420" w:leftChars="200" w:right="0" w:rightChars="0"/>
              <w:jc w:val="left"/>
              <w:rPr>
                <w:rFonts w:hint="eastAsia" w:cs="Times New Roman"/>
                <w:b/>
                <w:bCs w:val="0"/>
                <w:color w:val="auto"/>
                <w:sz w:val="21"/>
                <w:szCs w:val="21"/>
                <w:highlight w:val="none"/>
                <w:lang w:val="en-US" w:eastAsia="zh-CN"/>
              </w:rPr>
            </w:pPr>
            <w:r>
              <w:rPr>
                <w:rFonts w:hint="eastAsia" w:cs="Times New Roman"/>
                <w:b/>
                <w:bCs w:val="0"/>
                <w:color w:val="auto"/>
                <w:sz w:val="21"/>
                <w:szCs w:val="21"/>
                <w:highlight w:val="none"/>
                <w:lang w:val="en-US" w:eastAsia="zh-CN"/>
              </w:rPr>
              <w:t>1.7大气环境影响分析结论</w:t>
            </w:r>
          </w:p>
          <w:p w14:paraId="2BA4DF9E">
            <w:pPr>
              <w:keepNext w:val="0"/>
              <w:keepLines w:val="0"/>
              <w:suppressLineNumbers w:val="0"/>
              <w:spacing w:before="0" w:beforeAutospacing="0" w:after="0" w:afterAutospacing="0" w:line="348" w:lineRule="auto"/>
              <w:ind w:left="0" w:right="0" w:firstLine="420" w:firstLineChars="200"/>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所在区域属二类环境空气质量功能区，2023年度惠州市的环境空气质量总体良好，各常规因子均可达到《环境空气质量标准》（GB3095-2012）及2018年修改单中的二级标准。根据引用监测结果，TVOC满足《环境影响评价技术导则</w:t>
            </w:r>
            <w:r>
              <w:rPr>
                <w:rFonts w:hint="eastAsia"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lang w:val="en-US" w:eastAsia="zh-CN"/>
              </w:rPr>
              <w:t>大气环境》（HJ2.2-2018）附录D-其他污染物空气质量浓度参考限值，非甲烷总烃满足《大气污染物综合排放标准详解》中的标准限值，项目所在区域环境质量现状良好。</w:t>
            </w:r>
          </w:p>
          <w:p w14:paraId="44C9FE7F">
            <w:pPr>
              <w:keepNext w:val="0"/>
              <w:keepLines w:val="0"/>
              <w:suppressLineNumbers w:val="0"/>
              <w:spacing w:before="0" w:beforeAutospacing="0" w:after="0" w:afterAutospacing="0" w:line="348" w:lineRule="auto"/>
              <w:ind w:left="0" w:right="0" w:firstLine="420" w:firstLineChars="200"/>
              <w:jc w:val="left"/>
              <w:rPr>
                <w:rFonts w:hint="eastAsia" w:cs="Times New Roman"/>
                <w:bCs/>
                <w:color w:val="auto"/>
                <w:szCs w:val="21"/>
                <w:highlight w:val="none"/>
                <w:lang w:val="en-US" w:eastAsia="zh-CN"/>
              </w:rPr>
            </w:pPr>
            <w:r>
              <w:rPr>
                <w:rFonts w:hint="default" w:ascii="Times New Roman" w:hAnsi="Times New Roman" w:eastAsia="宋体" w:cs="Times New Roman"/>
                <w:color w:val="auto"/>
                <w:sz w:val="21"/>
                <w:szCs w:val="21"/>
                <w:highlight w:val="none"/>
                <w:lang w:val="en-US" w:eastAsia="zh-CN"/>
              </w:rPr>
              <w:t>DA001排放口：项目</w:t>
            </w:r>
            <w:r>
              <w:rPr>
                <w:rFonts w:hint="eastAsia" w:cs="Times New Roman"/>
                <w:color w:val="auto"/>
                <w:sz w:val="21"/>
                <w:szCs w:val="21"/>
                <w:highlight w:val="none"/>
                <w:lang w:val="en-US" w:eastAsia="zh-CN"/>
              </w:rPr>
              <w:t>吸塑和印刷</w:t>
            </w:r>
            <w:r>
              <w:rPr>
                <w:rFonts w:hint="default" w:ascii="Times New Roman" w:hAnsi="Times New Roman" w:eastAsia="宋体" w:cs="Times New Roman"/>
                <w:color w:val="auto"/>
                <w:sz w:val="21"/>
                <w:szCs w:val="21"/>
                <w:highlight w:val="none"/>
                <w:lang w:val="en-US" w:eastAsia="zh-CN"/>
              </w:rPr>
              <w:t>废气经收集后通</w:t>
            </w:r>
            <w:r>
              <w:rPr>
                <w:rFonts w:hint="eastAsia" w:ascii="宋体" w:hAnsi="宋体" w:eastAsia="宋体" w:cs="宋体"/>
                <w:color w:val="auto"/>
                <w:sz w:val="21"/>
                <w:szCs w:val="21"/>
                <w:highlight w:val="none"/>
                <w:lang w:val="en-US" w:eastAsia="zh-CN"/>
              </w:rPr>
              <w:t>过“空气冷却器</w:t>
            </w:r>
            <w:r>
              <w:rPr>
                <w:rFonts w:hint="default" w:ascii="Times New Roman" w:hAnsi="Times New Roman" w:eastAsia="宋体" w:cs="Times New Roman"/>
                <w:color w:val="auto"/>
                <w:sz w:val="21"/>
                <w:szCs w:val="21"/>
                <w:highlight w:val="none"/>
                <w:lang w:val="en-US" w:eastAsia="zh-CN"/>
              </w:rPr>
              <w:t>+二级活性炭吸附装置</w:t>
            </w:r>
            <w:r>
              <w:rPr>
                <w:rFonts w:hint="eastAsia" w:ascii="宋体" w:hAnsi="宋体" w:eastAsia="宋体" w:cs="宋体"/>
                <w:color w:val="auto"/>
                <w:sz w:val="21"/>
                <w:szCs w:val="21"/>
                <w:highlight w:val="none"/>
                <w:lang w:val="en-US" w:eastAsia="zh-CN"/>
              </w:rPr>
              <w:t>”处</w:t>
            </w:r>
            <w:r>
              <w:rPr>
                <w:rFonts w:hint="default" w:ascii="Times New Roman" w:hAnsi="Times New Roman" w:eastAsia="宋体" w:cs="Times New Roman"/>
                <w:color w:val="auto"/>
                <w:sz w:val="21"/>
                <w:szCs w:val="21"/>
                <w:highlight w:val="none"/>
                <w:lang w:val="en-US" w:eastAsia="zh-CN"/>
              </w:rPr>
              <w:t>理达标后于</w:t>
            </w:r>
            <w:r>
              <w:rPr>
                <w:rFonts w:hint="eastAsia"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lang w:val="en-US" w:eastAsia="zh-CN"/>
              </w:rPr>
              <w:t>6m排气筒DA001高空排放。非甲烷总烃有组织排放能达到</w:t>
            </w:r>
            <w:r>
              <w:rPr>
                <w:rFonts w:hint="default" w:ascii="Times New Roman" w:hAnsi="Times New Roman" w:eastAsia="宋体" w:cs="Times New Roman"/>
                <w:bCs/>
                <w:color w:val="auto"/>
                <w:szCs w:val="21"/>
                <w:highlight w:val="none"/>
                <w:lang w:val="en-US" w:eastAsia="zh-CN"/>
              </w:rPr>
              <w:t>《固定污染源挥发性有机物综合排放标准》（DB44/2367-2022）表1挥发性有机物排放限值</w:t>
            </w:r>
            <w:r>
              <w:rPr>
                <w:rFonts w:hint="eastAsia" w:ascii="Times New Roman" w:hAnsi="Times New Roman" w:eastAsia="宋体" w:cs="Times New Roman"/>
                <w:bCs/>
                <w:color w:val="auto"/>
                <w:szCs w:val="21"/>
                <w:highlight w:val="none"/>
                <w:lang w:val="en-US" w:eastAsia="zh-CN"/>
              </w:rPr>
              <w:t>、</w:t>
            </w:r>
            <w:r>
              <w:rPr>
                <w:rFonts w:hint="default" w:ascii="Times New Roman" w:hAnsi="Times New Roman" w:eastAsia="宋体" w:cs="Times New Roman"/>
                <w:bCs/>
                <w:color w:val="auto"/>
                <w:szCs w:val="21"/>
                <w:highlight w:val="none"/>
                <w:lang w:val="en-US" w:eastAsia="zh-CN"/>
              </w:rPr>
              <w:t>《合成树脂工业污染物排放标准》（GB31572-2015，含2024年修改单）中表5大气污染物特别排放限值</w:t>
            </w:r>
            <w:r>
              <w:rPr>
                <w:rFonts w:hint="eastAsia" w:ascii="Times New Roman" w:hAnsi="Times New Roman" w:eastAsia="宋体" w:cs="Times New Roman"/>
                <w:bCs/>
                <w:color w:val="auto"/>
                <w:szCs w:val="21"/>
                <w:highlight w:val="none"/>
                <w:lang w:val="en-US" w:eastAsia="zh-CN"/>
              </w:rPr>
              <w:t>与《印刷工业大气污染物排放标准》（GB41616-2022）表1大气污染物排放限值三</w:t>
            </w:r>
            <w:r>
              <w:rPr>
                <w:rFonts w:hint="default" w:ascii="Times New Roman" w:hAnsi="Times New Roman" w:eastAsia="宋体" w:cs="Times New Roman"/>
                <w:bCs/>
                <w:color w:val="auto"/>
                <w:szCs w:val="21"/>
                <w:highlight w:val="none"/>
                <w:lang w:val="en-US" w:eastAsia="zh-CN"/>
              </w:rPr>
              <w:t>者较严值</w:t>
            </w:r>
            <w:r>
              <w:rPr>
                <w:rFonts w:hint="eastAsia" w:cs="Times New Roman"/>
                <w:bCs/>
                <w:color w:val="auto"/>
                <w:szCs w:val="21"/>
                <w:highlight w:val="none"/>
                <w:lang w:val="en-US" w:eastAsia="zh-CN"/>
              </w:rPr>
              <w:t>要求。</w:t>
            </w:r>
          </w:p>
          <w:p w14:paraId="5C1CFE19">
            <w:pPr>
              <w:keepNext w:val="0"/>
              <w:keepLines w:val="0"/>
              <w:suppressLineNumbers w:val="0"/>
              <w:spacing w:before="0" w:beforeAutospacing="0" w:after="0" w:afterAutospacing="0" w:line="348" w:lineRule="auto"/>
              <w:ind w:left="0" w:right="0" w:firstLine="420" w:firstLineChars="200"/>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TVOC有组织排放</w:t>
            </w:r>
            <w:r>
              <w:rPr>
                <w:rFonts w:hint="eastAsia" w:cs="Times New Roman"/>
                <w:color w:val="auto"/>
                <w:sz w:val="21"/>
                <w:szCs w:val="21"/>
                <w:highlight w:val="none"/>
                <w:lang w:val="en-US" w:eastAsia="zh-CN"/>
              </w:rPr>
              <w:t>能满足</w:t>
            </w:r>
            <w:r>
              <w:rPr>
                <w:rFonts w:hint="default" w:ascii="Times New Roman" w:hAnsi="Times New Roman" w:eastAsia="宋体" w:cs="Times New Roman"/>
                <w:color w:val="auto"/>
                <w:sz w:val="21"/>
                <w:szCs w:val="21"/>
                <w:highlight w:val="none"/>
                <w:lang w:val="en-US" w:eastAsia="zh-CN"/>
              </w:rPr>
              <w:t>广东省《固定污染源挥发性有机物综合排放标准》（DB44/2367-2022）表1挥发性有机物排放限值</w:t>
            </w:r>
            <w:r>
              <w:rPr>
                <w:rFonts w:hint="eastAsia" w:cs="Times New Roman"/>
                <w:color w:val="auto"/>
                <w:sz w:val="21"/>
                <w:szCs w:val="21"/>
                <w:highlight w:val="none"/>
                <w:lang w:val="en-US" w:eastAsia="zh-CN"/>
              </w:rPr>
              <w:t>要求</w:t>
            </w:r>
            <w:r>
              <w:rPr>
                <w:rFonts w:hint="default" w:ascii="Times New Roman" w:hAnsi="Times New Roman" w:eastAsia="宋体" w:cs="Times New Roman"/>
                <w:color w:val="auto"/>
                <w:sz w:val="21"/>
                <w:szCs w:val="21"/>
                <w:highlight w:val="none"/>
                <w:lang w:val="en-US" w:eastAsia="zh-CN"/>
              </w:rPr>
              <w:t>；臭气浓度有组织</w:t>
            </w:r>
            <w:r>
              <w:rPr>
                <w:rFonts w:hint="eastAsia" w:cs="Times New Roman"/>
                <w:color w:val="auto"/>
                <w:sz w:val="21"/>
                <w:szCs w:val="21"/>
                <w:highlight w:val="none"/>
                <w:lang w:val="en-US" w:eastAsia="zh-CN"/>
              </w:rPr>
              <w:t>排放</w:t>
            </w:r>
            <w:r>
              <w:rPr>
                <w:rFonts w:hint="default" w:ascii="Times New Roman" w:hAnsi="Times New Roman" w:eastAsia="宋体" w:cs="Times New Roman"/>
                <w:color w:val="auto"/>
                <w:sz w:val="21"/>
                <w:szCs w:val="21"/>
                <w:highlight w:val="none"/>
                <w:lang w:val="en-US" w:eastAsia="zh-CN"/>
              </w:rPr>
              <w:t>能</w:t>
            </w:r>
            <w:r>
              <w:rPr>
                <w:rFonts w:hint="eastAsia" w:cs="Times New Roman"/>
                <w:color w:val="auto"/>
                <w:sz w:val="21"/>
                <w:szCs w:val="21"/>
                <w:highlight w:val="none"/>
                <w:lang w:val="en-US" w:eastAsia="zh-CN"/>
              </w:rPr>
              <w:t>满足</w:t>
            </w:r>
            <w:r>
              <w:rPr>
                <w:rFonts w:hint="default" w:ascii="Times New Roman" w:hAnsi="Times New Roman" w:eastAsia="宋体" w:cs="Times New Roman"/>
                <w:color w:val="auto"/>
                <w:sz w:val="21"/>
                <w:szCs w:val="21"/>
                <w:highlight w:val="none"/>
                <w:lang w:val="en-US" w:eastAsia="zh-CN"/>
              </w:rPr>
              <w:t>《恶臭污染物排放标准》（GB14554-93）中表2恶臭污染物排放标准值</w:t>
            </w:r>
            <w:r>
              <w:rPr>
                <w:rFonts w:hint="eastAsia" w:cs="Times New Roman"/>
                <w:color w:val="auto"/>
                <w:sz w:val="21"/>
                <w:szCs w:val="21"/>
                <w:highlight w:val="none"/>
                <w:lang w:val="en-US" w:eastAsia="zh-CN"/>
              </w:rPr>
              <w:t>要求</w:t>
            </w:r>
            <w:r>
              <w:rPr>
                <w:rFonts w:hint="default" w:ascii="Times New Roman" w:hAnsi="Times New Roman" w:eastAsia="宋体" w:cs="Times New Roman"/>
                <w:color w:val="auto"/>
                <w:sz w:val="21"/>
                <w:szCs w:val="21"/>
                <w:highlight w:val="none"/>
                <w:lang w:val="en-US" w:eastAsia="zh-CN"/>
              </w:rPr>
              <w:t>；氯化氢、氯乙烯有组织排放能</w:t>
            </w:r>
            <w:r>
              <w:rPr>
                <w:rFonts w:hint="eastAsia" w:cs="Times New Roman"/>
                <w:color w:val="auto"/>
                <w:sz w:val="21"/>
                <w:szCs w:val="21"/>
                <w:highlight w:val="none"/>
                <w:lang w:val="en-US" w:eastAsia="zh-CN"/>
              </w:rPr>
              <w:t>满足</w:t>
            </w:r>
            <w:r>
              <w:rPr>
                <w:rFonts w:hint="default" w:ascii="Times New Roman" w:hAnsi="Times New Roman" w:eastAsia="宋体" w:cs="Times New Roman"/>
                <w:color w:val="auto"/>
                <w:sz w:val="21"/>
                <w:szCs w:val="21"/>
                <w:highlight w:val="none"/>
                <w:lang w:val="en-US" w:eastAsia="zh-CN"/>
              </w:rPr>
              <w:t>广东省地方标准《大气污染物排放限值》（DB44/27-2001）表2第二时段二级标准限值</w:t>
            </w:r>
            <w:r>
              <w:rPr>
                <w:rFonts w:hint="eastAsia" w:cs="Times New Roman"/>
                <w:color w:val="auto"/>
                <w:sz w:val="21"/>
                <w:szCs w:val="21"/>
                <w:highlight w:val="none"/>
                <w:lang w:val="en-US" w:eastAsia="zh-CN"/>
              </w:rPr>
              <w:t>要求</w:t>
            </w:r>
            <w:r>
              <w:rPr>
                <w:rFonts w:hint="default" w:ascii="Times New Roman" w:hAnsi="Times New Roman" w:eastAsia="宋体" w:cs="Times New Roman"/>
                <w:color w:val="auto"/>
                <w:sz w:val="21"/>
                <w:szCs w:val="21"/>
                <w:highlight w:val="none"/>
                <w:lang w:val="en-US" w:eastAsia="zh-CN"/>
              </w:rPr>
              <w:t>；苯乙烯、丙烯腈、1，3-丁二烯、甲苯、乙苯有组织排放能</w:t>
            </w:r>
            <w:r>
              <w:rPr>
                <w:rFonts w:hint="eastAsia" w:cs="Times New Roman"/>
                <w:color w:val="auto"/>
                <w:sz w:val="21"/>
                <w:szCs w:val="21"/>
                <w:highlight w:val="none"/>
                <w:lang w:val="en-US" w:eastAsia="zh-CN"/>
              </w:rPr>
              <w:t>满足</w:t>
            </w:r>
            <w:r>
              <w:rPr>
                <w:rFonts w:hint="default" w:ascii="Times New Roman" w:hAnsi="Times New Roman" w:eastAsia="宋体" w:cs="Times New Roman"/>
                <w:color w:val="auto"/>
                <w:sz w:val="21"/>
                <w:szCs w:val="21"/>
                <w:highlight w:val="none"/>
                <w:lang w:val="en-US" w:eastAsia="zh-CN"/>
              </w:rPr>
              <w:t>《合成树脂工业污染物排放标准》（GB31572-2015，含2024年修改单）中表5大气污染物特别排放限值</w:t>
            </w:r>
            <w:r>
              <w:rPr>
                <w:rFonts w:hint="eastAsia" w:cs="Times New Roman"/>
                <w:color w:val="auto"/>
                <w:sz w:val="21"/>
                <w:szCs w:val="21"/>
                <w:highlight w:val="none"/>
                <w:lang w:val="en-US" w:eastAsia="zh-CN"/>
              </w:rPr>
              <w:t>要求</w:t>
            </w:r>
            <w:r>
              <w:rPr>
                <w:rFonts w:hint="default" w:ascii="Times New Roman" w:hAnsi="Times New Roman" w:eastAsia="宋体" w:cs="Times New Roman"/>
                <w:color w:val="auto"/>
                <w:sz w:val="21"/>
                <w:szCs w:val="21"/>
                <w:highlight w:val="none"/>
                <w:lang w:val="en-US" w:eastAsia="zh-CN"/>
              </w:rPr>
              <w:t>。</w:t>
            </w:r>
            <w:r>
              <w:rPr>
                <w:rFonts w:hint="eastAsia" w:cs="Times New Roman"/>
                <w:color w:val="auto"/>
                <w:sz w:val="21"/>
                <w:szCs w:val="21"/>
                <w:highlight w:val="none"/>
                <w:lang w:val="en-US" w:eastAsia="zh-CN"/>
              </w:rPr>
              <w:t>总VOCs有组织排放能满足</w:t>
            </w:r>
            <w:r>
              <w:rPr>
                <w:rFonts w:hint="default" w:ascii="Times New Roman" w:hAnsi="Times New Roman" w:eastAsia="宋体" w:cs="Times New Roman"/>
                <w:bCs/>
                <w:color w:val="auto"/>
                <w:szCs w:val="21"/>
                <w:highlight w:val="none"/>
                <w:lang w:val="en-US" w:eastAsia="zh-CN"/>
              </w:rPr>
              <w:t>《印刷行业挥发性有机化合物排放标准》（DB44/815-2010）表2</w:t>
            </w:r>
            <w:r>
              <w:rPr>
                <w:rFonts w:hint="eastAsia" w:ascii="Times New Roman" w:hAnsi="Times New Roman" w:eastAsia="宋体" w:cs="Times New Roman"/>
                <w:bCs/>
                <w:color w:val="auto"/>
                <w:szCs w:val="21"/>
                <w:highlight w:val="none"/>
                <w:lang w:val="en-US" w:eastAsia="zh-CN"/>
              </w:rPr>
              <w:t>“</w:t>
            </w:r>
            <w:r>
              <w:rPr>
                <w:rFonts w:hint="default" w:ascii="Times New Roman" w:hAnsi="Times New Roman" w:eastAsia="宋体" w:cs="Times New Roman"/>
                <w:bCs/>
                <w:color w:val="auto"/>
                <w:szCs w:val="21"/>
                <w:highlight w:val="none"/>
                <w:lang w:val="en-US" w:eastAsia="zh-CN"/>
              </w:rPr>
              <w:t>平版印刷（不含以金属、陶瓷、玻璃为承印物的平版印刷）、柔性版印刷</w:t>
            </w:r>
            <w:r>
              <w:rPr>
                <w:rFonts w:hint="eastAsia" w:ascii="Times New Roman" w:hAnsi="Times New Roman" w:eastAsia="宋体" w:cs="Times New Roman"/>
                <w:bCs/>
                <w:color w:val="auto"/>
                <w:szCs w:val="21"/>
                <w:highlight w:val="none"/>
                <w:lang w:val="en-US" w:eastAsia="zh-CN"/>
              </w:rPr>
              <w:t>”</w:t>
            </w:r>
            <w:r>
              <w:rPr>
                <w:rFonts w:hint="default" w:ascii="Times New Roman" w:hAnsi="Times New Roman" w:eastAsia="宋体" w:cs="Times New Roman"/>
                <w:bCs/>
                <w:color w:val="auto"/>
                <w:szCs w:val="21"/>
                <w:highlight w:val="none"/>
                <w:lang w:val="en-US" w:eastAsia="zh-CN"/>
              </w:rPr>
              <w:t>Ⅱ时段排放限值</w:t>
            </w:r>
            <w:r>
              <w:rPr>
                <w:rFonts w:hint="eastAsia" w:cs="Times New Roman"/>
                <w:bCs/>
                <w:color w:val="auto"/>
                <w:szCs w:val="21"/>
                <w:highlight w:val="none"/>
                <w:lang w:val="en-US" w:eastAsia="zh-CN"/>
              </w:rPr>
              <w:t>要求。</w:t>
            </w:r>
          </w:p>
          <w:p w14:paraId="0F467728">
            <w:pPr>
              <w:keepNext w:val="0"/>
              <w:keepLines w:val="0"/>
              <w:suppressLineNumbers w:val="0"/>
              <w:spacing w:before="0" w:beforeAutospacing="0" w:after="0" w:afterAutospacing="0" w:line="348" w:lineRule="auto"/>
              <w:ind w:left="0" w:right="0" w:firstLine="420" w:firstLineChars="200"/>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废气在采取上述收集及处理措施后，厂界非甲烷总烃无组织排放能达到广东省地方标准《大气污染物排放限值》（DB44/27-2001）表2第二时段无组织排放监控浓度限值与《合成树脂工业污染物排放标准》（GB31572-2015，含2024年修改单）表9企业边界大气污染物浓度限值两者较严值</w:t>
            </w:r>
            <w:r>
              <w:rPr>
                <w:rFonts w:hint="eastAsia" w:cs="Times New Roman"/>
                <w:color w:val="auto"/>
                <w:sz w:val="21"/>
                <w:szCs w:val="21"/>
                <w:highlight w:val="none"/>
                <w:lang w:val="en-US" w:eastAsia="zh-CN"/>
              </w:rPr>
              <w:t>要求</w:t>
            </w:r>
            <w:r>
              <w:rPr>
                <w:rFonts w:hint="default" w:ascii="Times New Roman" w:hAnsi="Times New Roman" w:eastAsia="宋体" w:cs="Times New Roman"/>
                <w:color w:val="auto"/>
                <w:sz w:val="21"/>
                <w:szCs w:val="21"/>
                <w:highlight w:val="none"/>
                <w:lang w:val="en-US" w:eastAsia="zh-CN"/>
              </w:rPr>
              <w:t>；厂界总VOCs无组织排放能达到《家具制造行业挥发性有机化合物排放标准》（DB44/814-2010）表2无组织排放监控点浓度限值与《印刷行业挥发性有机化合物排放标准》（DB44/815-2010）表3无组织排放监控点浓度限值两者较严值；厂界氯化氢、氯乙烯无组织排放能达到广东省地方标准《大气污染物排放限值》（DB44/27-2001）表2第二时段无组织排放监控浓度限值；厂界甲苯无组织排放能达到《合成树脂工业污染物排放标准》（GB31572-2015，含2024年修改单）表9企业边界大气污染物浓度限值；厂界臭气浓度无组织排放能达到《恶臭污染物排放标准》（GB14554-93）表1厂界二级新扩改建标准限值</w:t>
            </w:r>
            <w:r>
              <w:rPr>
                <w:rFonts w:hint="eastAsia" w:cs="Times New Roman"/>
                <w:color w:val="auto"/>
                <w:sz w:val="21"/>
                <w:szCs w:val="21"/>
                <w:highlight w:val="none"/>
                <w:lang w:val="en-US" w:eastAsia="zh-CN"/>
              </w:rPr>
              <w:t>；厂界总VOCs</w:t>
            </w:r>
            <w:r>
              <w:rPr>
                <w:rFonts w:hint="default" w:ascii="Times New Roman" w:hAnsi="Times New Roman" w:eastAsia="宋体" w:cs="Times New Roman"/>
                <w:color w:val="auto"/>
                <w:sz w:val="21"/>
                <w:szCs w:val="21"/>
                <w:highlight w:val="none"/>
                <w:lang w:val="en-US" w:eastAsia="zh-CN"/>
              </w:rPr>
              <w:t>无组织排放能达到</w:t>
            </w:r>
            <w:r>
              <w:rPr>
                <w:rFonts w:hint="eastAsia" w:ascii="Times New Roman" w:hAnsi="Times New Roman" w:eastAsia="宋体" w:cs="Times New Roman"/>
                <w:bCs/>
                <w:color w:val="auto"/>
                <w:sz w:val="21"/>
                <w:szCs w:val="21"/>
                <w:highlight w:val="none"/>
                <w:lang w:val="en-US" w:eastAsia="zh-CN"/>
              </w:rPr>
              <w:t>《家具制造行业挥发性有机化合物排放标准》（DB44/814-2010）表2无组织排放监控点浓度限值与《印刷行业挥发性有机化合物排放标准》（DB44/815-2010）表3无组织排放监控点浓度限值两者较严值</w:t>
            </w:r>
            <w:r>
              <w:rPr>
                <w:rFonts w:hint="eastAsia" w:cs="Times New Roman"/>
                <w:bCs/>
                <w:color w:val="auto"/>
                <w:sz w:val="21"/>
                <w:szCs w:val="21"/>
                <w:highlight w:val="none"/>
                <w:lang w:val="en-US" w:eastAsia="zh-CN"/>
              </w:rPr>
              <w:t>。</w:t>
            </w:r>
          </w:p>
          <w:p w14:paraId="134F6E84">
            <w:pPr>
              <w:keepNext w:val="0"/>
              <w:keepLines w:val="0"/>
              <w:suppressLineNumbers w:val="0"/>
              <w:spacing w:before="0" w:beforeAutospacing="0" w:after="0" w:afterAutospacing="0" w:line="348" w:lineRule="auto"/>
              <w:ind w:left="0" w:right="0" w:firstLine="420" w:firstLineChars="200"/>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厂区内非甲烷总烃能达到广东省地方标准《固定污染源挥发性有机物综合排放标准》（DB44/2367-2022）表3厂区内VOCs无组织排放限值与《印刷工业大气污染物排放标准》（GB41616-2022）表A.1厂区内VOCs无组织排放限值两者较严值。</w:t>
            </w:r>
          </w:p>
          <w:p w14:paraId="16C24A30">
            <w:pPr>
              <w:keepNext w:val="0"/>
              <w:keepLines w:val="0"/>
              <w:suppressLineNumbers w:val="0"/>
              <w:spacing w:before="0" w:beforeAutospacing="0" w:after="0" w:afterAutospacing="0" w:line="348" w:lineRule="auto"/>
              <w:ind w:left="0" w:right="0" w:firstLine="420" w:firstLineChars="200"/>
              <w:jc w:val="left"/>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综上，本项目评价区域环境质量现状良好，本项目各产污环节产生的废气均做到了有效收集，选取的污染防治设施属于排污许技术规范认可的可行性技术，废气经收集处理后可以做到达标排放，本项目外排废气对周边环境及敏感点影响较小。</w:t>
            </w:r>
          </w:p>
          <w:p w14:paraId="46CEAE54">
            <w:pPr>
              <w:keepNext w:val="0"/>
              <w:keepLines w:val="0"/>
              <w:suppressLineNumbers w:val="0"/>
              <w:spacing w:before="0" w:beforeAutospacing="0" w:after="0" w:afterAutospacing="0" w:line="360" w:lineRule="auto"/>
              <w:ind w:left="0" w:right="0" w:firstLine="422" w:firstLineChars="200"/>
              <w:rPr>
                <w:rFonts w:hint="default" w:ascii="Times New Roman" w:hAnsi="Times New Roman" w:eastAsia="宋体" w:cs="Times New Roman"/>
                <w:b/>
                <w:bCs/>
                <w:color w:val="auto"/>
                <w:kern w:val="0"/>
                <w:sz w:val="21"/>
                <w:szCs w:val="21"/>
                <w:highlight w:val="none"/>
                <w:lang w:val="en-US" w:eastAsia="zh-CN"/>
              </w:rPr>
            </w:pPr>
            <w:r>
              <w:rPr>
                <w:rFonts w:hint="eastAsia" w:cs="Times New Roman"/>
                <w:b/>
                <w:bCs w:val="0"/>
                <w:color w:val="auto"/>
                <w:sz w:val="21"/>
                <w:szCs w:val="21"/>
                <w:highlight w:val="none"/>
                <w:lang w:val="en-US" w:eastAsia="zh-CN"/>
              </w:rPr>
              <w:t>1.8</w:t>
            </w:r>
            <w:r>
              <w:rPr>
                <w:rFonts w:hint="default" w:ascii="Times New Roman" w:hAnsi="Times New Roman" w:eastAsia="宋体" w:cs="Times New Roman"/>
                <w:b/>
                <w:bCs w:val="0"/>
                <w:color w:val="auto"/>
                <w:kern w:val="0"/>
                <w:sz w:val="21"/>
                <w:szCs w:val="21"/>
                <w:highlight w:val="none"/>
                <w:lang w:val="en-US" w:eastAsia="zh-CN"/>
              </w:rPr>
              <w:t>卫生防</w:t>
            </w:r>
            <w:r>
              <w:rPr>
                <w:rFonts w:hint="default" w:ascii="Times New Roman" w:hAnsi="Times New Roman" w:eastAsia="宋体" w:cs="Times New Roman"/>
                <w:b/>
                <w:bCs/>
                <w:color w:val="auto"/>
                <w:kern w:val="0"/>
                <w:sz w:val="21"/>
                <w:szCs w:val="21"/>
                <w:highlight w:val="none"/>
                <w:lang w:val="en-US" w:eastAsia="zh-CN"/>
              </w:rPr>
              <w:t>护距离</w:t>
            </w:r>
          </w:p>
          <w:p w14:paraId="0EB78DA7">
            <w:pPr>
              <w:keepNext w:val="0"/>
              <w:keepLines w:val="0"/>
              <w:suppressLineNumbers w:val="0"/>
              <w:adjustRightInd w:val="0"/>
              <w:snapToGrid w:val="0"/>
              <w:spacing w:before="0" w:beforeAutospacing="0" w:after="0" w:afterAutospacing="0" w:line="360" w:lineRule="auto"/>
              <w:ind w:left="0" w:right="0" w:firstLine="420" w:firstLineChars="20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大气有害物质无组织排放卫生防护距离按照《大气有害物质无组织排放卫生防护距离推导技术导则》（GB/T39499-2020）中卫生防护距离推导的方法确定。</w:t>
            </w:r>
          </w:p>
          <w:p w14:paraId="10C5D456">
            <w:pPr>
              <w:keepNext w:val="0"/>
              <w:keepLines w:val="0"/>
              <w:suppressLineNumbers w:val="0"/>
              <w:adjustRightInd w:val="0"/>
              <w:snapToGrid w:val="0"/>
              <w:spacing w:before="0" w:beforeAutospacing="0" w:after="0" w:afterAutospacing="0" w:line="360" w:lineRule="auto"/>
              <w:ind w:left="0" w:right="0" w:firstLine="420" w:firstLineChars="20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根据项目废气排放情况可知，项目废气无组织排放主要污染物为</w:t>
            </w:r>
            <w:r>
              <w:rPr>
                <w:rFonts w:hint="eastAsia" w:ascii="Times New Roman" w:hAnsi="Times New Roman" w:eastAsia="宋体" w:cs="Times New Roman"/>
                <w:color w:val="auto"/>
                <w:sz w:val="21"/>
                <w:szCs w:val="21"/>
                <w:highlight w:val="none"/>
                <w:lang w:val="en-US" w:eastAsia="zh-CN"/>
              </w:rPr>
              <w:t>非甲烷总烃</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其无组织排放量和等标排放量如下。</w:t>
            </w:r>
          </w:p>
          <w:p w14:paraId="77A4A48C">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157" w:afterLines="50" w:afterAutospacing="0"/>
              <w:ind w:right="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项目无组织排放量和等标排放量情况表</w:t>
            </w:r>
          </w:p>
          <w:tbl>
            <w:tblPr>
              <w:tblStyle w:val="41"/>
              <w:tblW w:w="4998"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87"/>
              <w:gridCol w:w="5449"/>
            </w:tblGrid>
            <w:tr w14:paraId="7983741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845" w:type="pct"/>
                  <w:tcBorders>
                    <w:tl2br w:val="nil"/>
                    <w:tr2bl w:val="nil"/>
                  </w:tcBorders>
                  <w:noWrap w:val="0"/>
                  <w:vAlign w:val="center"/>
                </w:tcPr>
                <w:p w14:paraId="47B2AB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名称</w:t>
                  </w:r>
                </w:p>
              </w:tc>
              <w:tc>
                <w:tcPr>
                  <w:tcW w:w="3154" w:type="pct"/>
                  <w:tcBorders>
                    <w:tl2br w:val="nil"/>
                    <w:tr2bl w:val="nil"/>
                  </w:tcBorders>
                  <w:noWrap w:val="0"/>
                  <w:vAlign w:val="center"/>
                </w:tcPr>
                <w:p w14:paraId="55EDE1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非甲烷总烃</w:t>
                  </w:r>
                </w:p>
              </w:tc>
            </w:tr>
            <w:tr w14:paraId="338E99C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845" w:type="pct"/>
                  <w:tcBorders>
                    <w:tl2br w:val="nil"/>
                    <w:tr2bl w:val="nil"/>
                  </w:tcBorders>
                  <w:noWrap w:val="0"/>
                  <w:vAlign w:val="center"/>
                </w:tcPr>
                <w:p w14:paraId="0A0D1C0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无组织排放速率kg/h</w:t>
                  </w:r>
                </w:p>
              </w:tc>
              <w:tc>
                <w:tcPr>
                  <w:tcW w:w="3154" w:type="pct"/>
                  <w:tcBorders>
                    <w:tl2br w:val="nil"/>
                    <w:tr2bl w:val="nil"/>
                  </w:tcBorders>
                  <w:noWrap w:val="0"/>
                  <w:vAlign w:val="center"/>
                </w:tcPr>
                <w:p w14:paraId="2226B50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0.0594</w:t>
                  </w:r>
                </w:p>
              </w:tc>
            </w:tr>
            <w:tr w14:paraId="4C6D015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845" w:type="pct"/>
                  <w:tcBorders>
                    <w:tl2br w:val="nil"/>
                    <w:tr2bl w:val="nil"/>
                  </w:tcBorders>
                  <w:noWrap w:val="0"/>
                  <w:vAlign w:val="center"/>
                </w:tcPr>
                <w:p w14:paraId="3F1E86A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质量标准</w:t>
                  </w:r>
                  <w:r>
                    <w:rPr>
                      <w:rFonts w:hint="eastAsia" w:cs="Times New Roman"/>
                      <w:bCs/>
                      <w:color w:val="auto"/>
                      <w:sz w:val="21"/>
                      <w:szCs w:val="21"/>
                      <w:highlight w:val="none"/>
                      <w:lang w:val="en-US" w:eastAsia="zh-CN"/>
                    </w:rPr>
                    <w:t>m</w:t>
                  </w:r>
                  <w:r>
                    <w:rPr>
                      <w:rFonts w:hint="default" w:ascii="Times New Roman" w:hAnsi="Times New Roman" w:eastAsia="宋体" w:cs="Times New Roman"/>
                      <w:bCs/>
                      <w:color w:val="auto"/>
                      <w:sz w:val="21"/>
                      <w:szCs w:val="21"/>
                      <w:highlight w:val="none"/>
                    </w:rPr>
                    <w:t>g/m</w:t>
                  </w:r>
                  <w:r>
                    <w:rPr>
                      <w:rFonts w:hint="default" w:ascii="Times New Roman" w:hAnsi="Times New Roman" w:eastAsia="宋体" w:cs="Times New Roman"/>
                      <w:bCs/>
                      <w:color w:val="auto"/>
                      <w:sz w:val="21"/>
                      <w:szCs w:val="21"/>
                      <w:highlight w:val="none"/>
                      <w:vertAlign w:val="superscript"/>
                    </w:rPr>
                    <w:t>3</w:t>
                  </w:r>
                </w:p>
              </w:tc>
              <w:tc>
                <w:tcPr>
                  <w:tcW w:w="3154" w:type="pct"/>
                  <w:tcBorders>
                    <w:tl2br w:val="nil"/>
                    <w:tr2bl w:val="nil"/>
                  </w:tcBorders>
                  <w:noWrap w:val="0"/>
                  <w:vAlign w:val="center"/>
                </w:tcPr>
                <w:p w14:paraId="2D9B9EF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i w:val="0"/>
                      <w:iCs w:val="0"/>
                      <w:color w:val="auto"/>
                      <w:kern w:val="0"/>
                      <w:sz w:val="21"/>
                      <w:szCs w:val="21"/>
                      <w:highlight w:val="none"/>
                      <w:u w:val="none"/>
                      <w:lang w:val="en-US" w:eastAsia="zh-CN" w:bidi="ar"/>
                    </w:rPr>
                    <w:t>2.0</w:t>
                  </w:r>
                </w:p>
              </w:tc>
            </w:tr>
            <w:tr w14:paraId="1B31845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845" w:type="pct"/>
                  <w:tcBorders>
                    <w:tl2br w:val="nil"/>
                    <w:tr2bl w:val="nil"/>
                  </w:tcBorders>
                  <w:noWrap w:val="0"/>
                  <w:vAlign w:val="center"/>
                </w:tcPr>
                <w:p w14:paraId="79D6AB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jc w:val="center"/>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等标排放量m</w:t>
                  </w:r>
                  <w:r>
                    <w:rPr>
                      <w:rFonts w:hint="default" w:ascii="Times New Roman" w:hAnsi="Times New Roman" w:eastAsia="宋体" w:cs="Times New Roman"/>
                      <w:bCs/>
                      <w:color w:val="auto"/>
                      <w:sz w:val="21"/>
                      <w:szCs w:val="21"/>
                      <w:highlight w:val="none"/>
                      <w:vertAlign w:val="superscript"/>
                    </w:rPr>
                    <w:t>3</w:t>
                  </w:r>
                  <w:r>
                    <w:rPr>
                      <w:rFonts w:hint="default" w:ascii="Times New Roman" w:hAnsi="Times New Roman" w:eastAsia="宋体" w:cs="Times New Roman"/>
                      <w:bCs/>
                      <w:color w:val="auto"/>
                      <w:sz w:val="21"/>
                      <w:szCs w:val="21"/>
                      <w:highlight w:val="none"/>
                    </w:rPr>
                    <w:t>/h</w:t>
                  </w:r>
                </w:p>
              </w:tc>
              <w:tc>
                <w:tcPr>
                  <w:tcW w:w="3154" w:type="pct"/>
                  <w:tcBorders>
                    <w:tl2br w:val="nil"/>
                    <w:tr2bl w:val="nil"/>
                  </w:tcBorders>
                  <w:noWrap w:val="0"/>
                  <w:vAlign w:val="center"/>
                </w:tcPr>
                <w:p w14:paraId="452BE52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29700</w:t>
                  </w:r>
                </w:p>
              </w:tc>
            </w:tr>
            <w:tr w14:paraId="4B61DA4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845" w:type="pct"/>
                  <w:tcBorders>
                    <w:tl2br w:val="nil"/>
                    <w:tr2bl w:val="nil"/>
                  </w:tcBorders>
                  <w:noWrap w:val="0"/>
                  <w:vAlign w:val="center"/>
                </w:tcPr>
                <w:p w14:paraId="191E6F8A">
                  <w:pPr>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等标排放量是否相差10%以内</w:t>
                  </w:r>
                </w:p>
              </w:tc>
              <w:tc>
                <w:tcPr>
                  <w:tcW w:w="3154" w:type="pct"/>
                  <w:tcBorders>
                    <w:tl2br w:val="nil"/>
                    <w:tr2bl w:val="nil"/>
                  </w:tcBorders>
                  <w:noWrap w:val="0"/>
                  <w:vAlign w:val="center"/>
                </w:tcPr>
                <w:p w14:paraId="75F82AD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w:t>
                  </w:r>
                </w:p>
              </w:tc>
            </w:tr>
            <w:tr w14:paraId="7184654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845" w:type="pct"/>
                  <w:tcBorders>
                    <w:tl2br w:val="nil"/>
                    <w:tr2bl w:val="nil"/>
                  </w:tcBorders>
                  <w:noWrap w:val="0"/>
                  <w:vAlign w:val="center"/>
                </w:tcPr>
                <w:p w14:paraId="21D1509E">
                  <w:pPr>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最大等标排放量污染物</w:t>
                  </w:r>
                </w:p>
              </w:tc>
              <w:tc>
                <w:tcPr>
                  <w:tcW w:w="3154" w:type="pct"/>
                  <w:tcBorders>
                    <w:tl2br w:val="nil"/>
                    <w:tr2bl w:val="nil"/>
                  </w:tcBorders>
                  <w:noWrap w:val="0"/>
                  <w:vAlign w:val="center"/>
                </w:tcPr>
                <w:p w14:paraId="20D7A81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非甲烷总烃</w:t>
                  </w:r>
                </w:p>
              </w:tc>
            </w:tr>
          </w:tbl>
          <w:p w14:paraId="6EBB76A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项目排放</w:t>
            </w:r>
            <w:r>
              <w:rPr>
                <w:rFonts w:hint="eastAsia"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种大气污染物，等标排放量最大为</w:t>
            </w:r>
            <w:r>
              <w:rPr>
                <w:rFonts w:hint="eastAsia" w:cs="Times New Roman"/>
                <w:i w:val="0"/>
                <w:iCs w:val="0"/>
                <w:color w:val="auto"/>
                <w:kern w:val="0"/>
                <w:sz w:val="21"/>
                <w:szCs w:val="21"/>
                <w:highlight w:val="none"/>
                <w:u w:val="none"/>
                <w:lang w:val="en-US" w:eastAsia="zh-CN" w:bidi="ar"/>
              </w:rPr>
              <w:t>非甲烷总烃</w:t>
            </w:r>
            <w:r>
              <w:rPr>
                <w:rFonts w:hint="default" w:ascii="Times New Roman" w:hAnsi="Times New Roman" w:eastAsia="宋体" w:cs="Times New Roman"/>
                <w:color w:val="auto"/>
                <w:sz w:val="21"/>
                <w:szCs w:val="21"/>
                <w:highlight w:val="none"/>
              </w:rPr>
              <w:t>，因此项目主要特征大气有害物质为</w:t>
            </w:r>
            <w:r>
              <w:rPr>
                <w:rFonts w:hint="eastAsia" w:cs="Times New Roman"/>
                <w:i w:val="0"/>
                <w:iCs w:val="0"/>
                <w:color w:val="auto"/>
                <w:kern w:val="0"/>
                <w:sz w:val="21"/>
                <w:szCs w:val="21"/>
                <w:highlight w:val="none"/>
                <w:u w:val="none"/>
                <w:lang w:val="en-US" w:eastAsia="zh-CN" w:bidi="ar"/>
              </w:rPr>
              <w:t>非甲烷总烃</w:t>
            </w:r>
            <w:r>
              <w:rPr>
                <w:rFonts w:hint="default" w:ascii="Times New Roman" w:hAnsi="Times New Roman" w:eastAsia="宋体" w:cs="Times New Roman"/>
                <w:color w:val="auto"/>
                <w:sz w:val="21"/>
                <w:szCs w:val="21"/>
                <w:highlight w:val="none"/>
              </w:rPr>
              <w:t>，因此本项目选择</w:t>
            </w:r>
            <w:r>
              <w:rPr>
                <w:rFonts w:hint="eastAsia" w:cs="Times New Roman"/>
                <w:i w:val="0"/>
                <w:iCs w:val="0"/>
                <w:color w:val="auto"/>
                <w:kern w:val="0"/>
                <w:sz w:val="21"/>
                <w:szCs w:val="21"/>
                <w:highlight w:val="none"/>
                <w:u w:val="none"/>
                <w:lang w:val="en-US" w:eastAsia="zh-CN" w:bidi="ar"/>
              </w:rPr>
              <w:t>非甲烷总烃</w:t>
            </w:r>
            <w:r>
              <w:rPr>
                <w:rFonts w:hint="default" w:ascii="Times New Roman" w:hAnsi="Times New Roman" w:eastAsia="宋体" w:cs="Times New Roman"/>
                <w:color w:val="auto"/>
                <w:sz w:val="21"/>
                <w:szCs w:val="21"/>
                <w:highlight w:val="none"/>
              </w:rPr>
              <w:t>计算卫生防护距离初值。</w:t>
            </w:r>
          </w:p>
          <w:p w14:paraId="0349CF27">
            <w:pPr>
              <w:keepNext w:val="0"/>
              <w:keepLines w:val="0"/>
              <w:suppressLineNumbers w:val="0"/>
              <w:adjustRightInd w:val="0"/>
              <w:snapToGrid w:val="0"/>
              <w:spacing w:before="0" w:beforeAutospacing="0" w:after="0" w:afterAutospacing="0" w:line="360" w:lineRule="auto"/>
              <w:ind w:left="0" w:right="0" w:firstLine="420" w:firstLineChars="20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卫生防护距离初值的计算公式如下：</w:t>
            </w:r>
          </w:p>
          <w:p w14:paraId="74B46814">
            <w:pPr>
              <w:pStyle w:val="3"/>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drawing>
                <wp:inline distT="0" distB="0" distL="114300" distR="114300">
                  <wp:extent cx="1866900" cy="466725"/>
                  <wp:effectExtent l="0" t="0" r="7620" b="5080"/>
                  <wp:docPr id="252" name="图片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图片 227"/>
                          <pic:cNvPicPr>
                            <a:picLocks noChangeAspect="1"/>
                          </pic:cNvPicPr>
                        </pic:nvPicPr>
                        <pic:blipFill>
                          <a:blip r:embed="rId15"/>
                          <a:stretch>
                            <a:fillRect/>
                          </a:stretch>
                        </pic:blipFill>
                        <pic:spPr>
                          <a:xfrm>
                            <a:off x="0" y="0"/>
                            <a:ext cx="1866900" cy="466725"/>
                          </a:xfrm>
                          <a:prstGeom prst="rect">
                            <a:avLst/>
                          </a:prstGeom>
                          <a:noFill/>
                          <a:ln>
                            <a:noFill/>
                          </a:ln>
                        </pic:spPr>
                      </pic:pic>
                    </a:graphicData>
                  </a:graphic>
                </wp:inline>
              </w:drawing>
            </w:r>
          </w:p>
          <w:p w14:paraId="459A0D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式中：</w:t>
            </w:r>
          </w:p>
          <w:p w14:paraId="35086A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Cm</w:t>
            </w:r>
            <w:r>
              <w:rPr>
                <w:rFonts w:hint="default" w:ascii="Times New Roman" w:hAnsi="Times New Roman" w:eastAsia="宋体" w:cs="Times New Roman"/>
                <w:color w:val="auto"/>
                <w:sz w:val="21"/>
                <w:szCs w:val="21"/>
                <w:highlight w:val="none"/>
              </w:rPr>
              <w:sym w:font="Symbol" w:char="F0BE"/>
            </w:r>
            <w:r>
              <w:rPr>
                <w:rFonts w:hint="default" w:ascii="Times New Roman" w:hAnsi="Times New Roman" w:eastAsia="宋体" w:cs="Times New Roman"/>
                <w:color w:val="auto"/>
                <w:sz w:val="21"/>
                <w:szCs w:val="21"/>
                <w:highlight w:val="none"/>
              </w:rPr>
              <w:sym w:font="Symbol" w:char="F0BE"/>
            </w:r>
            <w:r>
              <w:rPr>
                <w:rFonts w:hint="default" w:ascii="Times New Roman" w:hAnsi="Times New Roman" w:eastAsia="宋体" w:cs="Times New Roman"/>
                <w:color w:val="auto"/>
                <w:sz w:val="21"/>
                <w:szCs w:val="21"/>
                <w:highlight w:val="none"/>
              </w:rPr>
              <w:t>大气有害物质环境空气质量的标准限值，单位为毫克每立方米（mg/m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w:t>
            </w:r>
          </w:p>
          <w:p w14:paraId="056046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Qc</w:t>
            </w:r>
            <w:r>
              <w:rPr>
                <w:rFonts w:hint="default" w:ascii="Times New Roman" w:hAnsi="Times New Roman" w:eastAsia="宋体" w:cs="Times New Roman"/>
                <w:color w:val="auto"/>
                <w:sz w:val="21"/>
                <w:szCs w:val="21"/>
                <w:highlight w:val="none"/>
              </w:rPr>
              <w:sym w:font="Symbol" w:char="F0BE"/>
            </w:r>
            <w:r>
              <w:rPr>
                <w:rFonts w:hint="default" w:ascii="Times New Roman" w:hAnsi="Times New Roman" w:eastAsia="宋体" w:cs="Times New Roman"/>
                <w:color w:val="auto"/>
                <w:sz w:val="21"/>
                <w:szCs w:val="21"/>
                <w:highlight w:val="none"/>
              </w:rPr>
              <w:sym w:font="Symbol" w:char="F0BE"/>
            </w:r>
            <w:r>
              <w:rPr>
                <w:rFonts w:hint="default" w:ascii="Times New Roman" w:hAnsi="Times New Roman" w:eastAsia="宋体" w:cs="Times New Roman"/>
                <w:color w:val="auto"/>
                <w:sz w:val="21"/>
                <w:szCs w:val="21"/>
                <w:highlight w:val="none"/>
              </w:rPr>
              <w:t>大气有害物质的无组织排放量，单位为千克每小时（kg/h）；</w:t>
            </w:r>
          </w:p>
          <w:p w14:paraId="3079E42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L</w:t>
            </w:r>
            <w:r>
              <w:rPr>
                <w:rFonts w:hint="default" w:ascii="Times New Roman" w:hAnsi="Times New Roman" w:eastAsia="宋体" w:cs="Times New Roman"/>
                <w:color w:val="auto"/>
                <w:sz w:val="21"/>
                <w:szCs w:val="21"/>
                <w:highlight w:val="none"/>
              </w:rPr>
              <w:sym w:font="Symbol" w:char="F0BE"/>
            </w:r>
            <w:r>
              <w:rPr>
                <w:rFonts w:hint="default" w:ascii="Times New Roman" w:hAnsi="Times New Roman" w:eastAsia="宋体" w:cs="Times New Roman"/>
                <w:color w:val="auto"/>
                <w:sz w:val="21"/>
                <w:szCs w:val="21"/>
                <w:highlight w:val="none"/>
              </w:rPr>
              <w:sym w:font="Symbol" w:char="F0BE"/>
            </w:r>
            <w:r>
              <w:rPr>
                <w:rFonts w:hint="default" w:ascii="Times New Roman" w:hAnsi="Times New Roman" w:eastAsia="宋体" w:cs="Times New Roman"/>
                <w:color w:val="auto"/>
                <w:sz w:val="21"/>
                <w:szCs w:val="21"/>
                <w:highlight w:val="none"/>
              </w:rPr>
              <w:t>大气有害物质卫生防护距离初值，单位为米（m）；</w:t>
            </w:r>
          </w:p>
          <w:p w14:paraId="7983BEF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r</w:t>
            </w:r>
            <w:r>
              <w:rPr>
                <w:rFonts w:hint="default" w:ascii="Times New Roman" w:hAnsi="Times New Roman" w:eastAsia="宋体" w:cs="Times New Roman"/>
                <w:color w:val="auto"/>
                <w:sz w:val="21"/>
                <w:szCs w:val="21"/>
                <w:highlight w:val="none"/>
              </w:rPr>
              <w:sym w:font="Symbol" w:char="F0BE"/>
            </w:r>
            <w:r>
              <w:rPr>
                <w:rFonts w:hint="default" w:ascii="Times New Roman" w:hAnsi="Times New Roman" w:eastAsia="宋体" w:cs="Times New Roman"/>
                <w:color w:val="auto"/>
                <w:sz w:val="21"/>
                <w:szCs w:val="21"/>
                <w:highlight w:val="none"/>
              </w:rPr>
              <w:sym w:font="Symbol" w:char="F0BE"/>
            </w:r>
            <w:r>
              <w:rPr>
                <w:rFonts w:hint="default" w:ascii="Times New Roman" w:hAnsi="Times New Roman" w:eastAsia="宋体" w:cs="Times New Roman"/>
                <w:color w:val="auto"/>
                <w:sz w:val="21"/>
                <w:szCs w:val="21"/>
                <w:highlight w:val="none"/>
              </w:rPr>
              <w:t>大气有害物质无组织排放源所在生产单元的等效半径，单位为米（m）；</w:t>
            </w:r>
          </w:p>
          <w:p w14:paraId="24A266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A、</w:t>
            </w:r>
            <w:r>
              <w:rPr>
                <w:rFonts w:hint="default" w:ascii="Times New Roman" w:hAnsi="Times New Roman" w:eastAsia="宋体" w:cs="Times New Roman"/>
                <w:color w:val="auto"/>
                <w:sz w:val="21"/>
                <w:szCs w:val="21"/>
                <w:highlight w:val="none"/>
              </w:rPr>
              <w:t>B、C、D</w:t>
            </w:r>
            <w:r>
              <w:rPr>
                <w:rFonts w:hint="default" w:ascii="Times New Roman" w:hAnsi="Times New Roman" w:eastAsia="宋体" w:cs="Times New Roman"/>
                <w:color w:val="auto"/>
                <w:sz w:val="21"/>
                <w:szCs w:val="21"/>
                <w:highlight w:val="none"/>
              </w:rPr>
              <w:sym w:font="Symbol" w:char="F0BE"/>
            </w:r>
            <w:r>
              <w:rPr>
                <w:rFonts w:hint="default" w:ascii="Times New Roman" w:hAnsi="Times New Roman" w:eastAsia="宋体" w:cs="Times New Roman"/>
                <w:color w:val="auto"/>
                <w:sz w:val="21"/>
                <w:szCs w:val="21"/>
                <w:highlight w:val="none"/>
              </w:rPr>
              <w:sym w:font="Symbol" w:char="F0BE"/>
            </w:r>
            <w:r>
              <w:rPr>
                <w:rFonts w:hint="default" w:ascii="Times New Roman" w:hAnsi="Times New Roman" w:eastAsia="宋体" w:cs="Times New Roman"/>
                <w:color w:val="auto"/>
                <w:sz w:val="21"/>
                <w:szCs w:val="21"/>
                <w:highlight w:val="none"/>
              </w:rPr>
              <w:t>卫生防护距离初值计算系数，无因次，根据工业企业所在地区近5年平均风速及大气污染源构成类别从下表查取。</w:t>
            </w:r>
          </w:p>
          <w:p w14:paraId="1FE47AFA">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157" w:afterLines="50" w:afterAutospacing="0"/>
              <w:ind w:right="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卫生防护距离初值计算系数</w:t>
            </w:r>
          </w:p>
          <w:tbl>
            <w:tblPr>
              <w:tblStyle w:val="41"/>
              <w:tblW w:w="8639" w:type="dxa"/>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2"/>
              <w:gridCol w:w="1158"/>
              <w:gridCol w:w="719"/>
              <w:gridCol w:w="720"/>
              <w:gridCol w:w="727"/>
              <w:gridCol w:w="720"/>
              <w:gridCol w:w="720"/>
              <w:gridCol w:w="727"/>
              <w:gridCol w:w="721"/>
              <w:gridCol w:w="721"/>
              <w:gridCol w:w="754"/>
            </w:tblGrid>
            <w:tr w14:paraId="37A19C5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551" w:type="pct"/>
                  <w:vMerge w:val="restart"/>
                  <w:tcBorders>
                    <w:tl2br w:val="nil"/>
                    <w:tr2bl w:val="nil"/>
                  </w:tcBorders>
                  <w:noWrap w:val="0"/>
                  <w:vAlign w:val="center"/>
                </w:tcPr>
                <w:p w14:paraId="1BBAD051">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卫生防护距离初值计算系数</w:t>
                  </w:r>
                </w:p>
              </w:tc>
              <w:tc>
                <w:tcPr>
                  <w:tcW w:w="670" w:type="pct"/>
                  <w:vMerge w:val="restart"/>
                  <w:tcBorders>
                    <w:tl2br w:val="nil"/>
                    <w:tr2bl w:val="nil"/>
                  </w:tcBorders>
                  <w:noWrap w:val="0"/>
                  <w:vAlign w:val="center"/>
                </w:tcPr>
                <w:p w14:paraId="0AC87B4C">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工业企业</w:t>
                  </w:r>
                </w:p>
                <w:p w14:paraId="6220CF4E">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所在地区</w:t>
                  </w:r>
                </w:p>
                <w:p w14:paraId="5CC2A5B5">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近5年平</w:t>
                  </w:r>
                </w:p>
                <w:p w14:paraId="413D861F">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均风速m/s</w:t>
                  </w:r>
                </w:p>
              </w:tc>
              <w:tc>
                <w:tcPr>
                  <w:tcW w:w="3777" w:type="pct"/>
                  <w:gridSpan w:val="9"/>
                  <w:tcBorders>
                    <w:tl2br w:val="nil"/>
                    <w:tr2bl w:val="nil"/>
                  </w:tcBorders>
                  <w:noWrap w:val="0"/>
                  <w:vAlign w:val="center"/>
                </w:tcPr>
                <w:p w14:paraId="685BF063">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卫生防护距离L，m</w:t>
                  </w:r>
                </w:p>
              </w:tc>
            </w:tr>
            <w:tr w14:paraId="6F68B7E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551" w:type="pct"/>
                  <w:vMerge w:val="continue"/>
                  <w:tcBorders>
                    <w:tl2br w:val="nil"/>
                    <w:tr2bl w:val="nil"/>
                  </w:tcBorders>
                  <w:noWrap w:val="0"/>
                  <w:vAlign w:val="center"/>
                </w:tcPr>
                <w:p w14:paraId="5252FA9E">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p>
              </w:tc>
              <w:tc>
                <w:tcPr>
                  <w:tcW w:w="670" w:type="pct"/>
                  <w:vMerge w:val="continue"/>
                  <w:tcBorders>
                    <w:tl2br w:val="nil"/>
                    <w:tr2bl w:val="nil"/>
                  </w:tcBorders>
                  <w:noWrap w:val="0"/>
                  <w:vAlign w:val="center"/>
                </w:tcPr>
                <w:p w14:paraId="601BA1B7">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p>
              </w:tc>
              <w:tc>
                <w:tcPr>
                  <w:tcW w:w="1254" w:type="pct"/>
                  <w:gridSpan w:val="3"/>
                  <w:tcBorders>
                    <w:tl2br w:val="nil"/>
                    <w:tr2bl w:val="nil"/>
                  </w:tcBorders>
                  <w:noWrap w:val="0"/>
                  <w:vAlign w:val="center"/>
                </w:tcPr>
                <w:p w14:paraId="3373C28F">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L≤1000</w:t>
                  </w:r>
                </w:p>
              </w:tc>
              <w:tc>
                <w:tcPr>
                  <w:tcW w:w="1255" w:type="pct"/>
                  <w:gridSpan w:val="3"/>
                  <w:tcBorders>
                    <w:tl2br w:val="nil"/>
                    <w:tr2bl w:val="nil"/>
                  </w:tcBorders>
                  <w:noWrap w:val="0"/>
                  <w:vAlign w:val="center"/>
                </w:tcPr>
                <w:p w14:paraId="5DA533BD">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1000＜L≤2000</w:t>
                  </w:r>
                </w:p>
              </w:tc>
              <w:tc>
                <w:tcPr>
                  <w:tcW w:w="1267" w:type="pct"/>
                  <w:gridSpan w:val="3"/>
                  <w:tcBorders>
                    <w:tl2br w:val="nil"/>
                    <w:tr2bl w:val="nil"/>
                  </w:tcBorders>
                  <w:noWrap w:val="0"/>
                  <w:vAlign w:val="center"/>
                </w:tcPr>
                <w:p w14:paraId="7FE2F23D">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L＞2000</w:t>
                  </w:r>
                </w:p>
              </w:tc>
            </w:tr>
            <w:tr w14:paraId="13994C4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551" w:type="pct"/>
                  <w:vMerge w:val="continue"/>
                  <w:tcBorders>
                    <w:tl2br w:val="nil"/>
                    <w:tr2bl w:val="nil"/>
                  </w:tcBorders>
                  <w:noWrap w:val="0"/>
                  <w:vAlign w:val="center"/>
                </w:tcPr>
                <w:p w14:paraId="2125AEB7">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p>
              </w:tc>
              <w:tc>
                <w:tcPr>
                  <w:tcW w:w="670" w:type="pct"/>
                  <w:vMerge w:val="continue"/>
                  <w:tcBorders>
                    <w:tl2br w:val="nil"/>
                    <w:tr2bl w:val="nil"/>
                  </w:tcBorders>
                  <w:noWrap w:val="0"/>
                  <w:vAlign w:val="center"/>
                </w:tcPr>
                <w:p w14:paraId="509D8D1B">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p>
              </w:tc>
              <w:tc>
                <w:tcPr>
                  <w:tcW w:w="3777" w:type="pct"/>
                  <w:gridSpan w:val="9"/>
                  <w:tcBorders>
                    <w:tl2br w:val="nil"/>
                    <w:tr2bl w:val="nil"/>
                  </w:tcBorders>
                  <w:noWrap w:val="0"/>
                  <w:vAlign w:val="center"/>
                </w:tcPr>
                <w:p w14:paraId="589BBD69">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工业企业大气污染源构成类别</w:t>
                  </w:r>
                </w:p>
              </w:tc>
            </w:tr>
            <w:tr w14:paraId="07152C7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551" w:type="pct"/>
                  <w:vMerge w:val="continue"/>
                  <w:tcBorders>
                    <w:tl2br w:val="nil"/>
                    <w:tr2bl w:val="nil"/>
                  </w:tcBorders>
                  <w:noWrap w:val="0"/>
                  <w:vAlign w:val="center"/>
                </w:tcPr>
                <w:p w14:paraId="6C73F5F6">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p>
              </w:tc>
              <w:tc>
                <w:tcPr>
                  <w:tcW w:w="670" w:type="pct"/>
                  <w:vMerge w:val="continue"/>
                  <w:tcBorders>
                    <w:tl2br w:val="nil"/>
                    <w:tr2bl w:val="nil"/>
                  </w:tcBorders>
                  <w:noWrap w:val="0"/>
                  <w:vAlign w:val="center"/>
                </w:tcPr>
                <w:p w14:paraId="326F2705">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p>
              </w:tc>
              <w:tc>
                <w:tcPr>
                  <w:tcW w:w="416" w:type="pct"/>
                  <w:tcBorders>
                    <w:tl2br w:val="nil"/>
                    <w:tr2bl w:val="nil"/>
                  </w:tcBorders>
                  <w:noWrap w:val="0"/>
                  <w:vAlign w:val="center"/>
                </w:tcPr>
                <w:p w14:paraId="43E0C3F9">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Ⅰ</w:t>
                  </w:r>
                </w:p>
              </w:tc>
              <w:tc>
                <w:tcPr>
                  <w:tcW w:w="417" w:type="pct"/>
                  <w:tcBorders>
                    <w:tl2br w:val="nil"/>
                    <w:tr2bl w:val="nil"/>
                  </w:tcBorders>
                  <w:noWrap w:val="0"/>
                  <w:vAlign w:val="center"/>
                </w:tcPr>
                <w:p w14:paraId="15FD142E">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Ⅱ</w:t>
                  </w:r>
                </w:p>
              </w:tc>
              <w:tc>
                <w:tcPr>
                  <w:tcW w:w="420" w:type="pct"/>
                  <w:tcBorders>
                    <w:tl2br w:val="nil"/>
                    <w:tr2bl w:val="nil"/>
                  </w:tcBorders>
                  <w:noWrap w:val="0"/>
                  <w:vAlign w:val="center"/>
                </w:tcPr>
                <w:p w14:paraId="6276767E">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Ⅲ</w:t>
                  </w:r>
                </w:p>
              </w:tc>
              <w:tc>
                <w:tcPr>
                  <w:tcW w:w="417" w:type="pct"/>
                  <w:tcBorders>
                    <w:tl2br w:val="nil"/>
                    <w:tr2bl w:val="nil"/>
                  </w:tcBorders>
                  <w:noWrap w:val="0"/>
                  <w:vAlign w:val="center"/>
                </w:tcPr>
                <w:p w14:paraId="3902B927">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Ⅰ</w:t>
                  </w:r>
                </w:p>
              </w:tc>
              <w:tc>
                <w:tcPr>
                  <w:tcW w:w="417" w:type="pct"/>
                  <w:tcBorders>
                    <w:tl2br w:val="nil"/>
                    <w:tr2bl w:val="nil"/>
                  </w:tcBorders>
                  <w:noWrap w:val="0"/>
                  <w:vAlign w:val="center"/>
                </w:tcPr>
                <w:p w14:paraId="2724F81C">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Ⅱ</w:t>
                  </w:r>
                </w:p>
              </w:tc>
              <w:tc>
                <w:tcPr>
                  <w:tcW w:w="421" w:type="pct"/>
                  <w:tcBorders>
                    <w:tl2br w:val="nil"/>
                    <w:tr2bl w:val="nil"/>
                  </w:tcBorders>
                  <w:noWrap w:val="0"/>
                  <w:vAlign w:val="center"/>
                </w:tcPr>
                <w:p w14:paraId="38B7676B">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Ⅲ</w:t>
                  </w:r>
                </w:p>
              </w:tc>
              <w:tc>
                <w:tcPr>
                  <w:tcW w:w="417" w:type="pct"/>
                  <w:tcBorders>
                    <w:tl2br w:val="nil"/>
                    <w:tr2bl w:val="nil"/>
                  </w:tcBorders>
                  <w:noWrap w:val="0"/>
                  <w:vAlign w:val="center"/>
                </w:tcPr>
                <w:p w14:paraId="31111364">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Ⅰ</w:t>
                  </w:r>
                </w:p>
              </w:tc>
              <w:tc>
                <w:tcPr>
                  <w:tcW w:w="417" w:type="pct"/>
                  <w:tcBorders>
                    <w:tl2br w:val="nil"/>
                    <w:tr2bl w:val="nil"/>
                  </w:tcBorders>
                  <w:noWrap w:val="0"/>
                  <w:vAlign w:val="center"/>
                </w:tcPr>
                <w:p w14:paraId="58A78BA7">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Ⅱ</w:t>
                  </w:r>
                </w:p>
              </w:tc>
              <w:tc>
                <w:tcPr>
                  <w:tcW w:w="432" w:type="pct"/>
                  <w:tcBorders>
                    <w:tl2br w:val="nil"/>
                    <w:tr2bl w:val="nil"/>
                  </w:tcBorders>
                  <w:noWrap w:val="0"/>
                  <w:vAlign w:val="center"/>
                </w:tcPr>
                <w:p w14:paraId="184D2792">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Ⅲ</w:t>
                  </w:r>
                </w:p>
              </w:tc>
            </w:tr>
            <w:tr w14:paraId="1649A6B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551" w:type="pct"/>
                  <w:vMerge w:val="restart"/>
                  <w:tcBorders>
                    <w:tl2br w:val="nil"/>
                    <w:tr2bl w:val="nil"/>
                  </w:tcBorders>
                  <w:noWrap w:val="0"/>
                  <w:vAlign w:val="center"/>
                </w:tcPr>
                <w:p w14:paraId="32022D05">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A</w:t>
                  </w:r>
                </w:p>
              </w:tc>
              <w:tc>
                <w:tcPr>
                  <w:tcW w:w="670" w:type="pct"/>
                  <w:tcBorders>
                    <w:tl2br w:val="nil"/>
                    <w:tr2bl w:val="nil"/>
                  </w:tcBorders>
                  <w:noWrap w:val="0"/>
                  <w:vAlign w:val="center"/>
                </w:tcPr>
                <w:p w14:paraId="1DB260EB">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&lt;2</w:t>
                  </w:r>
                </w:p>
              </w:tc>
              <w:tc>
                <w:tcPr>
                  <w:tcW w:w="416" w:type="pct"/>
                  <w:tcBorders>
                    <w:tl2br w:val="nil"/>
                    <w:tr2bl w:val="nil"/>
                  </w:tcBorders>
                  <w:noWrap w:val="0"/>
                  <w:vAlign w:val="center"/>
                </w:tcPr>
                <w:p w14:paraId="0F09B894">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400</w:t>
                  </w:r>
                </w:p>
              </w:tc>
              <w:tc>
                <w:tcPr>
                  <w:tcW w:w="417" w:type="pct"/>
                  <w:tcBorders>
                    <w:tl2br w:val="nil"/>
                    <w:tr2bl w:val="nil"/>
                  </w:tcBorders>
                  <w:noWrap w:val="0"/>
                  <w:vAlign w:val="center"/>
                </w:tcPr>
                <w:p w14:paraId="4B99D647">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400</w:t>
                  </w:r>
                </w:p>
              </w:tc>
              <w:tc>
                <w:tcPr>
                  <w:tcW w:w="420" w:type="pct"/>
                  <w:tcBorders>
                    <w:tl2br w:val="nil"/>
                    <w:tr2bl w:val="nil"/>
                  </w:tcBorders>
                  <w:noWrap w:val="0"/>
                  <w:vAlign w:val="center"/>
                </w:tcPr>
                <w:p w14:paraId="69E12378">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400</w:t>
                  </w:r>
                </w:p>
              </w:tc>
              <w:tc>
                <w:tcPr>
                  <w:tcW w:w="417" w:type="pct"/>
                  <w:tcBorders>
                    <w:tl2br w:val="nil"/>
                    <w:tr2bl w:val="nil"/>
                  </w:tcBorders>
                  <w:noWrap w:val="0"/>
                  <w:vAlign w:val="center"/>
                </w:tcPr>
                <w:p w14:paraId="4B57CF35">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400</w:t>
                  </w:r>
                </w:p>
              </w:tc>
              <w:tc>
                <w:tcPr>
                  <w:tcW w:w="417" w:type="pct"/>
                  <w:tcBorders>
                    <w:tl2br w:val="nil"/>
                    <w:tr2bl w:val="nil"/>
                  </w:tcBorders>
                  <w:noWrap w:val="0"/>
                  <w:vAlign w:val="center"/>
                </w:tcPr>
                <w:p w14:paraId="42B3BBB7">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400</w:t>
                  </w:r>
                </w:p>
              </w:tc>
              <w:tc>
                <w:tcPr>
                  <w:tcW w:w="421" w:type="pct"/>
                  <w:tcBorders>
                    <w:tl2br w:val="nil"/>
                    <w:tr2bl w:val="nil"/>
                  </w:tcBorders>
                  <w:noWrap w:val="0"/>
                  <w:vAlign w:val="center"/>
                </w:tcPr>
                <w:p w14:paraId="07779787">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400</w:t>
                  </w:r>
                </w:p>
              </w:tc>
              <w:tc>
                <w:tcPr>
                  <w:tcW w:w="417" w:type="pct"/>
                  <w:tcBorders>
                    <w:tl2br w:val="nil"/>
                    <w:tr2bl w:val="nil"/>
                  </w:tcBorders>
                  <w:noWrap w:val="0"/>
                  <w:vAlign w:val="center"/>
                </w:tcPr>
                <w:p w14:paraId="4AC021F8">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80</w:t>
                  </w:r>
                </w:p>
              </w:tc>
              <w:tc>
                <w:tcPr>
                  <w:tcW w:w="417" w:type="pct"/>
                  <w:tcBorders>
                    <w:tl2br w:val="nil"/>
                    <w:tr2bl w:val="nil"/>
                  </w:tcBorders>
                  <w:noWrap w:val="0"/>
                  <w:vAlign w:val="center"/>
                </w:tcPr>
                <w:p w14:paraId="2F1F44A0">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80</w:t>
                  </w:r>
                </w:p>
              </w:tc>
              <w:tc>
                <w:tcPr>
                  <w:tcW w:w="432" w:type="pct"/>
                  <w:tcBorders>
                    <w:tl2br w:val="nil"/>
                    <w:tr2bl w:val="nil"/>
                  </w:tcBorders>
                  <w:noWrap w:val="0"/>
                  <w:vAlign w:val="center"/>
                </w:tcPr>
                <w:p w14:paraId="7D30E839">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80</w:t>
                  </w:r>
                </w:p>
              </w:tc>
            </w:tr>
            <w:tr w14:paraId="45BC7C1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551" w:type="pct"/>
                  <w:vMerge w:val="continue"/>
                  <w:tcBorders>
                    <w:tl2br w:val="nil"/>
                    <w:tr2bl w:val="nil"/>
                  </w:tcBorders>
                  <w:noWrap w:val="0"/>
                  <w:vAlign w:val="center"/>
                </w:tcPr>
                <w:p w14:paraId="74444154">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p>
              </w:tc>
              <w:tc>
                <w:tcPr>
                  <w:tcW w:w="670" w:type="pct"/>
                  <w:tcBorders>
                    <w:tl2br w:val="nil"/>
                    <w:tr2bl w:val="nil"/>
                  </w:tcBorders>
                  <w:noWrap w:val="0"/>
                  <w:vAlign w:val="center"/>
                </w:tcPr>
                <w:p w14:paraId="62A804E0">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2～4</w:t>
                  </w:r>
                </w:p>
              </w:tc>
              <w:tc>
                <w:tcPr>
                  <w:tcW w:w="416" w:type="pct"/>
                  <w:tcBorders>
                    <w:tl2br w:val="nil"/>
                    <w:tr2bl w:val="nil"/>
                  </w:tcBorders>
                  <w:noWrap w:val="0"/>
                  <w:vAlign w:val="center"/>
                </w:tcPr>
                <w:p w14:paraId="06EB569E">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700</w:t>
                  </w:r>
                </w:p>
              </w:tc>
              <w:tc>
                <w:tcPr>
                  <w:tcW w:w="417" w:type="pct"/>
                  <w:tcBorders>
                    <w:tl2br w:val="nil"/>
                    <w:tr2bl w:val="nil"/>
                  </w:tcBorders>
                  <w:noWrap w:val="0"/>
                  <w:vAlign w:val="center"/>
                </w:tcPr>
                <w:p w14:paraId="5D5435AF">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470</w:t>
                  </w:r>
                </w:p>
              </w:tc>
              <w:tc>
                <w:tcPr>
                  <w:tcW w:w="420" w:type="pct"/>
                  <w:tcBorders>
                    <w:tl2br w:val="nil"/>
                    <w:tr2bl w:val="nil"/>
                  </w:tcBorders>
                  <w:noWrap w:val="0"/>
                  <w:vAlign w:val="center"/>
                </w:tcPr>
                <w:p w14:paraId="46B6AE46">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350</w:t>
                  </w:r>
                </w:p>
              </w:tc>
              <w:tc>
                <w:tcPr>
                  <w:tcW w:w="417" w:type="pct"/>
                  <w:tcBorders>
                    <w:tl2br w:val="nil"/>
                    <w:tr2bl w:val="nil"/>
                  </w:tcBorders>
                  <w:noWrap w:val="0"/>
                  <w:vAlign w:val="center"/>
                </w:tcPr>
                <w:p w14:paraId="648452A0">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700</w:t>
                  </w:r>
                </w:p>
              </w:tc>
              <w:tc>
                <w:tcPr>
                  <w:tcW w:w="417" w:type="pct"/>
                  <w:tcBorders>
                    <w:tl2br w:val="nil"/>
                    <w:tr2bl w:val="nil"/>
                  </w:tcBorders>
                  <w:noWrap w:val="0"/>
                  <w:vAlign w:val="center"/>
                </w:tcPr>
                <w:p w14:paraId="196772BA">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470</w:t>
                  </w:r>
                </w:p>
              </w:tc>
              <w:tc>
                <w:tcPr>
                  <w:tcW w:w="421" w:type="pct"/>
                  <w:tcBorders>
                    <w:tl2br w:val="nil"/>
                    <w:tr2bl w:val="nil"/>
                  </w:tcBorders>
                  <w:noWrap w:val="0"/>
                  <w:vAlign w:val="center"/>
                </w:tcPr>
                <w:p w14:paraId="7D0A8CA8">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350</w:t>
                  </w:r>
                </w:p>
              </w:tc>
              <w:tc>
                <w:tcPr>
                  <w:tcW w:w="417" w:type="pct"/>
                  <w:tcBorders>
                    <w:tl2br w:val="nil"/>
                    <w:tr2bl w:val="nil"/>
                  </w:tcBorders>
                  <w:noWrap w:val="0"/>
                  <w:vAlign w:val="center"/>
                </w:tcPr>
                <w:p w14:paraId="3C09F57C">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380</w:t>
                  </w:r>
                </w:p>
              </w:tc>
              <w:tc>
                <w:tcPr>
                  <w:tcW w:w="417" w:type="pct"/>
                  <w:tcBorders>
                    <w:tl2br w:val="nil"/>
                    <w:tr2bl w:val="nil"/>
                  </w:tcBorders>
                  <w:noWrap w:val="0"/>
                  <w:vAlign w:val="center"/>
                </w:tcPr>
                <w:p w14:paraId="2944E746">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250</w:t>
                  </w:r>
                </w:p>
              </w:tc>
              <w:tc>
                <w:tcPr>
                  <w:tcW w:w="432" w:type="pct"/>
                  <w:tcBorders>
                    <w:tl2br w:val="nil"/>
                    <w:tr2bl w:val="nil"/>
                  </w:tcBorders>
                  <w:noWrap w:val="0"/>
                  <w:vAlign w:val="center"/>
                </w:tcPr>
                <w:p w14:paraId="338801D0">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190</w:t>
                  </w:r>
                </w:p>
              </w:tc>
            </w:tr>
            <w:tr w14:paraId="2BD1419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551" w:type="pct"/>
                  <w:vMerge w:val="continue"/>
                  <w:tcBorders>
                    <w:tl2br w:val="nil"/>
                    <w:tr2bl w:val="nil"/>
                  </w:tcBorders>
                  <w:noWrap w:val="0"/>
                  <w:vAlign w:val="center"/>
                </w:tcPr>
                <w:p w14:paraId="0579721A">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p>
              </w:tc>
              <w:tc>
                <w:tcPr>
                  <w:tcW w:w="670" w:type="pct"/>
                  <w:tcBorders>
                    <w:tl2br w:val="nil"/>
                    <w:tr2bl w:val="nil"/>
                  </w:tcBorders>
                  <w:noWrap w:val="0"/>
                  <w:vAlign w:val="center"/>
                </w:tcPr>
                <w:p w14:paraId="5EFEF9D7">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&gt;4</w:t>
                  </w:r>
                </w:p>
              </w:tc>
              <w:tc>
                <w:tcPr>
                  <w:tcW w:w="416" w:type="pct"/>
                  <w:tcBorders>
                    <w:tl2br w:val="nil"/>
                    <w:tr2bl w:val="nil"/>
                  </w:tcBorders>
                  <w:noWrap w:val="0"/>
                  <w:vAlign w:val="center"/>
                </w:tcPr>
                <w:p w14:paraId="04901EC5">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530</w:t>
                  </w:r>
                </w:p>
              </w:tc>
              <w:tc>
                <w:tcPr>
                  <w:tcW w:w="417" w:type="pct"/>
                  <w:tcBorders>
                    <w:tl2br w:val="nil"/>
                    <w:tr2bl w:val="nil"/>
                  </w:tcBorders>
                  <w:noWrap w:val="0"/>
                  <w:vAlign w:val="center"/>
                </w:tcPr>
                <w:p w14:paraId="39B858C7">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350</w:t>
                  </w:r>
                </w:p>
              </w:tc>
              <w:tc>
                <w:tcPr>
                  <w:tcW w:w="420" w:type="pct"/>
                  <w:tcBorders>
                    <w:tl2br w:val="nil"/>
                    <w:tr2bl w:val="nil"/>
                  </w:tcBorders>
                  <w:noWrap w:val="0"/>
                  <w:vAlign w:val="center"/>
                </w:tcPr>
                <w:p w14:paraId="31461634">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260</w:t>
                  </w:r>
                </w:p>
              </w:tc>
              <w:tc>
                <w:tcPr>
                  <w:tcW w:w="417" w:type="pct"/>
                  <w:tcBorders>
                    <w:tl2br w:val="nil"/>
                    <w:tr2bl w:val="nil"/>
                  </w:tcBorders>
                  <w:noWrap w:val="0"/>
                  <w:vAlign w:val="center"/>
                </w:tcPr>
                <w:p w14:paraId="484EC57B">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530</w:t>
                  </w:r>
                </w:p>
              </w:tc>
              <w:tc>
                <w:tcPr>
                  <w:tcW w:w="417" w:type="pct"/>
                  <w:tcBorders>
                    <w:tl2br w:val="nil"/>
                    <w:tr2bl w:val="nil"/>
                  </w:tcBorders>
                  <w:noWrap w:val="0"/>
                  <w:vAlign w:val="center"/>
                </w:tcPr>
                <w:p w14:paraId="61E908DF">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350</w:t>
                  </w:r>
                </w:p>
              </w:tc>
              <w:tc>
                <w:tcPr>
                  <w:tcW w:w="421" w:type="pct"/>
                  <w:tcBorders>
                    <w:tl2br w:val="nil"/>
                    <w:tr2bl w:val="nil"/>
                  </w:tcBorders>
                  <w:noWrap w:val="0"/>
                  <w:vAlign w:val="center"/>
                </w:tcPr>
                <w:p w14:paraId="5E8C4872">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260</w:t>
                  </w:r>
                </w:p>
              </w:tc>
              <w:tc>
                <w:tcPr>
                  <w:tcW w:w="417" w:type="pct"/>
                  <w:tcBorders>
                    <w:tl2br w:val="nil"/>
                    <w:tr2bl w:val="nil"/>
                  </w:tcBorders>
                  <w:noWrap w:val="0"/>
                  <w:vAlign w:val="center"/>
                </w:tcPr>
                <w:p w14:paraId="4F0A4777">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290</w:t>
                  </w:r>
                </w:p>
              </w:tc>
              <w:tc>
                <w:tcPr>
                  <w:tcW w:w="417" w:type="pct"/>
                  <w:tcBorders>
                    <w:tl2br w:val="nil"/>
                    <w:tr2bl w:val="nil"/>
                  </w:tcBorders>
                  <w:noWrap w:val="0"/>
                  <w:vAlign w:val="center"/>
                </w:tcPr>
                <w:p w14:paraId="35A3E989">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190</w:t>
                  </w:r>
                </w:p>
              </w:tc>
              <w:tc>
                <w:tcPr>
                  <w:tcW w:w="432" w:type="pct"/>
                  <w:tcBorders>
                    <w:tl2br w:val="nil"/>
                    <w:tr2bl w:val="nil"/>
                  </w:tcBorders>
                  <w:noWrap w:val="0"/>
                  <w:vAlign w:val="center"/>
                </w:tcPr>
                <w:p w14:paraId="2A794E5B">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140</w:t>
                  </w:r>
                </w:p>
              </w:tc>
            </w:tr>
            <w:tr w14:paraId="56AC667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551" w:type="pct"/>
                  <w:vMerge w:val="restart"/>
                  <w:tcBorders>
                    <w:tl2br w:val="nil"/>
                    <w:tr2bl w:val="nil"/>
                  </w:tcBorders>
                  <w:noWrap w:val="0"/>
                  <w:vAlign w:val="center"/>
                </w:tcPr>
                <w:p w14:paraId="391B3BA3">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B</w:t>
                  </w:r>
                </w:p>
              </w:tc>
              <w:tc>
                <w:tcPr>
                  <w:tcW w:w="670" w:type="pct"/>
                  <w:tcBorders>
                    <w:tl2br w:val="nil"/>
                    <w:tr2bl w:val="nil"/>
                  </w:tcBorders>
                  <w:noWrap w:val="0"/>
                  <w:vAlign w:val="center"/>
                </w:tcPr>
                <w:p w14:paraId="33B928BE">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&lt;2</w:t>
                  </w:r>
                </w:p>
              </w:tc>
              <w:tc>
                <w:tcPr>
                  <w:tcW w:w="1254" w:type="pct"/>
                  <w:gridSpan w:val="3"/>
                  <w:tcBorders>
                    <w:tl2br w:val="nil"/>
                    <w:tr2bl w:val="nil"/>
                  </w:tcBorders>
                  <w:noWrap w:val="0"/>
                  <w:vAlign w:val="center"/>
                </w:tcPr>
                <w:p w14:paraId="081C7EA7">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0.01</w:t>
                  </w:r>
                </w:p>
              </w:tc>
              <w:tc>
                <w:tcPr>
                  <w:tcW w:w="1255" w:type="pct"/>
                  <w:gridSpan w:val="3"/>
                  <w:tcBorders>
                    <w:tl2br w:val="nil"/>
                    <w:tr2bl w:val="nil"/>
                  </w:tcBorders>
                  <w:noWrap w:val="0"/>
                  <w:vAlign w:val="center"/>
                </w:tcPr>
                <w:p w14:paraId="57A8E12C">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0.015</w:t>
                  </w:r>
                </w:p>
              </w:tc>
              <w:tc>
                <w:tcPr>
                  <w:tcW w:w="1267" w:type="pct"/>
                  <w:gridSpan w:val="3"/>
                  <w:tcBorders>
                    <w:tl2br w:val="nil"/>
                    <w:tr2bl w:val="nil"/>
                  </w:tcBorders>
                  <w:noWrap w:val="0"/>
                  <w:vAlign w:val="center"/>
                </w:tcPr>
                <w:p w14:paraId="0D422179">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0.015</w:t>
                  </w:r>
                </w:p>
              </w:tc>
            </w:tr>
            <w:tr w14:paraId="6D9F277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551" w:type="pct"/>
                  <w:vMerge w:val="continue"/>
                  <w:tcBorders>
                    <w:tl2br w:val="nil"/>
                    <w:tr2bl w:val="nil"/>
                  </w:tcBorders>
                  <w:noWrap w:val="0"/>
                  <w:vAlign w:val="center"/>
                </w:tcPr>
                <w:p w14:paraId="7542A22A">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p>
              </w:tc>
              <w:tc>
                <w:tcPr>
                  <w:tcW w:w="670" w:type="pct"/>
                  <w:tcBorders>
                    <w:tl2br w:val="nil"/>
                    <w:tr2bl w:val="nil"/>
                  </w:tcBorders>
                  <w:noWrap w:val="0"/>
                  <w:vAlign w:val="center"/>
                </w:tcPr>
                <w:p w14:paraId="41CE9AAA">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&gt;2</w:t>
                  </w:r>
                </w:p>
              </w:tc>
              <w:tc>
                <w:tcPr>
                  <w:tcW w:w="1254" w:type="pct"/>
                  <w:gridSpan w:val="3"/>
                  <w:tcBorders>
                    <w:tl2br w:val="nil"/>
                    <w:tr2bl w:val="nil"/>
                  </w:tcBorders>
                  <w:noWrap w:val="0"/>
                  <w:vAlign w:val="center"/>
                </w:tcPr>
                <w:p w14:paraId="6F9895D4">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0.021</w:t>
                  </w:r>
                </w:p>
              </w:tc>
              <w:tc>
                <w:tcPr>
                  <w:tcW w:w="1255" w:type="pct"/>
                  <w:gridSpan w:val="3"/>
                  <w:tcBorders>
                    <w:tl2br w:val="nil"/>
                    <w:tr2bl w:val="nil"/>
                  </w:tcBorders>
                  <w:noWrap w:val="0"/>
                  <w:vAlign w:val="center"/>
                </w:tcPr>
                <w:p w14:paraId="600867E5">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0.036</w:t>
                  </w:r>
                </w:p>
              </w:tc>
              <w:tc>
                <w:tcPr>
                  <w:tcW w:w="1267" w:type="pct"/>
                  <w:gridSpan w:val="3"/>
                  <w:tcBorders>
                    <w:tl2br w:val="nil"/>
                    <w:tr2bl w:val="nil"/>
                  </w:tcBorders>
                  <w:noWrap w:val="0"/>
                  <w:vAlign w:val="center"/>
                </w:tcPr>
                <w:p w14:paraId="464D0CB2">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0.036</w:t>
                  </w:r>
                </w:p>
              </w:tc>
            </w:tr>
            <w:tr w14:paraId="720F79C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551" w:type="pct"/>
                  <w:vMerge w:val="restart"/>
                  <w:tcBorders>
                    <w:tl2br w:val="nil"/>
                    <w:tr2bl w:val="nil"/>
                  </w:tcBorders>
                  <w:noWrap w:val="0"/>
                  <w:vAlign w:val="center"/>
                </w:tcPr>
                <w:p w14:paraId="390C9D03">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C</w:t>
                  </w:r>
                </w:p>
              </w:tc>
              <w:tc>
                <w:tcPr>
                  <w:tcW w:w="670" w:type="pct"/>
                  <w:tcBorders>
                    <w:tl2br w:val="nil"/>
                    <w:tr2bl w:val="nil"/>
                  </w:tcBorders>
                  <w:noWrap w:val="0"/>
                  <w:vAlign w:val="center"/>
                </w:tcPr>
                <w:p w14:paraId="0CFC5D47">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&lt;2</w:t>
                  </w:r>
                </w:p>
              </w:tc>
              <w:tc>
                <w:tcPr>
                  <w:tcW w:w="1254" w:type="pct"/>
                  <w:gridSpan w:val="3"/>
                  <w:tcBorders>
                    <w:tl2br w:val="nil"/>
                    <w:tr2bl w:val="nil"/>
                  </w:tcBorders>
                  <w:noWrap w:val="0"/>
                  <w:vAlign w:val="center"/>
                </w:tcPr>
                <w:p w14:paraId="7F376407">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1.85</w:t>
                  </w:r>
                </w:p>
              </w:tc>
              <w:tc>
                <w:tcPr>
                  <w:tcW w:w="1255" w:type="pct"/>
                  <w:gridSpan w:val="3"/>
                  <w:tcBorders>
                    <w:tl2br w:val="nil"/>
                    <w:tr2bl w:val="nil"/>
                  </w:tcBorders>
                  <w:noWrap w:val="0"/>
                  <w:vAlign w:val="center"/>
                </w:tcPr>
                <w:p w14:paraId="1527CA4A">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1.79</w:t>
                  </w:r>
                </w:p>
              </w:tc>
              <w:tc>
                <w:tcPr>
                  <w:tcW w:w="1267" w:type="pct"/>
                  <w:gridSpan w:val="3"/>
                  <w:tcBorders>
                    <w:tl2br w:val="nil"/>
                    <w:tr2bl w:val="nil"/>
                  </w:tcBorders>
                  <w:noWrap w:val="0"/>
                  <w:vAlign w:val="center"/>
                </w:tcPr>
                <w:p w14:paraId="4D195E62">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1.79</w:t>
                  </w:r>
                </w:p>
              </w:tc>
            </w:tr>
            <w:tr w14:paraId="5B1BFF8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551" w:type="pct"/>
                  <w:vMerge w:val="continue"/>
                  <w:tcBorders>
                    <w:tl2br w:val="nil"/>
                    <w:tr2bl w:val="nil"/>
                  </w:tcBorders>
                  <w:noWrap w:val="0"/>
                  <w:vAlign w:val="center"/>
                </w:tcPr>
                <w:p w14:paraId="5B31FE73">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p>
              </w:tc>
              <w:tc>
                <w:tcPr>
                  <w:tcW w:w="670" w:type="pct"/>
                  <w:tcBorders>
                    <w:tl2br w:val="nil"/>
                    <w:tr2bl w:val="nil"/>
                  </w:tcBorders>
                  <w:noWrap w:val="0"/>
                  <w:vAlign w:val="center"/>
                </w:tcPr>
                <w:p w14:paraId="01E59844">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&gt;2</w:t>
                  </w:r>
                </w:p>
              </w:tc>
              <w:tc>
                <w:tcPr>
                  <w:tcW w:w="1254" w:type="pct"/>
                  <w:gridSpan w:val="3"/>
                  <w:tcBorders>
                    <w:tl2br w:val="nil"/>
                    <w:tr2bl w:val="nil"/>
                  </w:tcBorders>
                  <w:noWrap w:val="0"/>
                  <w:vAlign w:val="center"/>
                </w:tcPr>
                <w:p w14:paraId="5B7DED02">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1.85</w:t>
                  </w:r>
                </w:p>
              </w:tc>
              <w:tc>
                <w:tcPr>
                  <w:tcW w:w="1255" w:type="pct"/>
                  <w:gridSpan w:val="3"/>
                  <w:tcBorders>
                    <w:tl2br w:val="nil"/>
                    <w:tr2bl w:val="nil"/>
                  </w:tcBorders>
                  <w:noWrap w:val="0"/>
                  <w:vAlign w:val="center"/>
                </w:tcPr>
                <w:p w14:paraId="46AC00D2">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1.77</w:t>
                  </w:r>
                </w:p>
              </w:tc>
              <w:tc>
                <w:tcPr>
                  <w:tcW w:w="1267" w:type="pct"/>
                  <w:gridSpan w:val="3"/>
                  <w:tcBorders>
                    <w:tl2br w:val="nil"/>
                    <w:tr2bl w:val="nil"/>
                  </w:tcBorders>
                  <w:noWrap w:val="0"/>
                  <w:vAlign w:val="center"/>
                </w:tcPr>
                <w:p w14:paraId="2A686B05">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1.77</w:t>
                  </w:r>
                </w:p>
              </w:tc>
            </w:tr>
            <w:tr w14:paraId="09BFF65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551" w:type="pct"/>
                  <w:vMerge w:val="restart"/>
                  <w:tcBorders>
                    <w:tl2br w:val="nil"/>
                    <w:tr2bl w:val="nil"/>
                  </w:tcBorders>
                  <w:noWrap w:val="0"/>
                  <w:vAlign w:val="center"/>
                </w:tcPr>
                <w:p w14:paraId="2B7EA688">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D</w:t>
                  </w:r>
                </w:p>
              </w:tc>
              <w:tc>
                <w:tcPr>
                  <w:tcW w:w="670" w:type="pct"/>
                  <w:tcBorders>
                    <w:tl2br w:val="nil"/>
                    <w:tr2bl w:val="nil"/>
                  </w:tcBorders>
                  <w:noWrap w:val="0"/>
                  <w:vAlign w:val="center"/>
                </w:tcPr>
                <w:p w14:paraId="36CC434D">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&lt;2</w:t>
                  </w:r>
                </w:p>
              </w:tc>
              <w:tc>
                <w:tcPr>
                  <w:tcW w:w="1254" w:type="pct"/>
                  <w:gridSpan w:val="3"/>
                  <w:tcBorders>
                    <w:tl2br w:val="nil"/>
                    <w:tr2bl w:val="nil"/>
                  </w:tcBorders>
                  <w:noWrap w:val="0"/>
                  <w:vAlign w:val="center"/>
                </w:tcPr>
                <w:p w14:paraId="4767F38B">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0.78</w:t>
                  </w:r>
                </w:p>
              </w:tc>
              <w:tc>
                <w:tcPr>
                  <w:tcW w:w="1255" w:type="pct"/>
                  <w:gridSpan w:val="3"/>
                  <w:tcBorders>
                    <w:tl2br w:val="nil"/>
                    <w:tr2bl w:val="nil"/>
                  </w:tcBorders>
                  <w:noWrap w:val="0"/>
                  <w:vAlign w:val="center"/>
                </w:tcPr>
                <w:p w14:paraId="678EFB1C">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0.78</w:t>
                  </w:r>
                </w:p>
              </w:tc>
              <w:tc>
                <w:tcPr>
                  <w:tcW w:w="1267" w:type="pct"/>
                  <w:gridSpan w:val="3"/>
                  <w:tcBorders>
                    <w:tl2br w:val="nil"/>
                    <w:tr2bl w:val="nil"/>
                  </w:tcBorders>
                  <w:noWrap w:val="0"/>
                  <w:vAlign w:val="center"/>
                </w:tcPr>
                <w:p w14:paraId="1EA6F258">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0.57</w:t>
                  </w:r>
                </w:p>
              </w:tc>
            </w:tr>
            <w:tr w14:paraId="1E9C03E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551" w:type="pct"/>
                  <w:vMerge w:val="continue"/>
                  <w:tcBorders>
                    <w:tl2br w:val="nil"/>
                    <w:tr2bl w:val="nil"/>
                  </w:tcBorders>
                  <w:noWrap w:val="0"/>
                  <w:vAlign w:val="center"/>
                </w:tcPr>
                <w:p w14:paraId="066A5898">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p>
              </w:tc>
              <w:tc>
                <w:tcPr>
                  <w:tcW w:w="670" w:type="pct"/>
                  <w:tcBorders>
                    <w:tl2br w:val="nil"/>
                    <w:tr2bl w:val="nil"/>
                  </w:tcBorders>
                  <w:noWrap w:val="0"/>
                  <w:vAlign w:val="center"/>
                </w:tcPr>
                <w:p w14:paraId="45BDFE39">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&gt;2</w:t>
                  </w:r>
                </w:p>
              </w:tc>
              <w:tc>
                <w:tcPr>
                  <w:tcW w:w="1254" w:type="pct"/>
                  <w:gridSpan w:val="3"/>
                  <w:tcBorders>
                    <w:tl2br w:val="nil"/>
                    <w:tr2bl w:val="nil"/>
                  </w:tcBorders>
                  <w:noWrap w:val="0"/>
                  <w:vAlign w:val="center"/>
                </w:tcPr>
                <w:p w14:paraId="5554E3A0">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0.84</w:t>
                  </w:r>
                </w:p>
              </w:tc>
              <w:tc>
                <w:tcPr>
                  <w:tcW w:w="1255" w:type="pct"/>
                  <w:gridSpan w:val="3"/>
                  <w:tcBorders>
                    <w:tl2br w:val="nil"/>
                    <w:tr2bl w:val="nil"/>
                  </w:tcBorders>
                  <w:noWrap w:val="0"/>
                  <w:vAlign w:val="center"/>
                </w:tcPr>
                <w:p w14:paraId="687A7F75">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0.84</w:t>
                  </w:r>
                </w:p>
              </w:tc>
              <w:tc>
                <w:tcPr>
                  <w:tcW w:w="1267" w:type="pct"/>
                  <w:gridSpan w:val="3"/>
                  <w:tcBorders>
                    <w:tl2br w:val="nil"/>
                    <w:tr2bl w:val="nil"/>
                  </w:tcBorders>
                  <w:noWrap w:val="0"/>
                  <w:vAlign w:val="center"/>
                </w:tcPr>
                <w:p w14:paraId="5E636BC4">
                  <w:pPr>
                    <w:keepNext w:val="0"/>
                    <w:keepLines w:val="0"/>
                    <w:suppressLineNumbers w:val="0"/>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0.76</w:t>
                  </w:r>
                </w:p>
              </w:tc>
            </w:tr>
            <w:tr w14:paraId="1BF512C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7" w:hRule="atLeast"/>
                <w:jc w:val="center"/>
              </w:trPr>
              <w:tc>
                <w:tcPr>
                  <w:tcW w:w="5000" w:type="pct"/>
                  <w:gridSpan w:val="11"/>
                  <w:tcBorders>
                    <w:tl2br w:val="nil"/>
                    <w:tr2bl w:val="nil"/>
                  </w:tcBorders>
                  <w:noWrap w:val="0"/>
                  <w:vAlign w:val="center"/>
                </w:tcPr>
                <w:p w14:paraId="63A5CA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bCs/>
                      <w:color w:val="auto"/>
                      <w:sz w:val="21"/>
                      <w:szCs w:val="21"/>
                      <w:highlight w:val="none"/>
                    </w:rPr>
                    <w:t>备注</w:t>
                  </w:r>
                  <w:r>
                    <w:rPr>
                      <w:rFonts w:hint="default" w:ascii="Times New Roman" w:hAnsi="Times New Roman" w:cs="Times New Roman"/>
                      <w:b/>
                      <w:bCs/>
                      <w:color w:val="auto"/>
                      <w:sz w:val="21"/>
                      <w:szCs w:val="21"/>
                      <w:highlight w:val="none"/>
                      <w:lang w:eastAsia="zh-CN"/>
                    </w:rPr>
                    <w:t>：</w:t>
                  </w:r>
                  <w:r>
                    <w:rPr>
                      <w:rFonts w:hint="default" w:ascii="Times New Roman" w:hAnsi="Times New Roman" w:eastAsia="宋体" w:cs="Times New Roman"/>
                      <w:color w:val="auto"/>
                      <w:sz w:val="21"/>
                      <w:szCs w:val="21"/>
                      <w:highlight w:val="none"/>
                    </w:rPr>
                    <w:t>Ⅰ类：与无组织排放源共存的排放同种有害气体的排气筒的排放量，大于或等于标准规定的允许排放量的1/3者。</w:t>
                  </w:r>
                </w:p>
                <w:p w14:paraId="5C1E6A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Ⅱ类：与无组织排放源共存的排放同种有害气体的排气筒的排放量，小于标准规定的允许排放量的1/3，或虽无排放同种大气污染物之排气筒共存，但无组织排放的有害物质的容许浓度指标是按急性反应指标确定者。</w:t>
                  </w:r>
                </w:p>
                <w:p w14:paraId="3104420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Ⅲ类：无排放同种有害物质的排气筒与无组织排放源共存，但无组织排放的有害物质的容许浓度是按慢性反应指标确定者。</w:t>
                  </w:r>
                </w:p>
              </w:tc>
            </w:tr>
          </w:tbl>
          <w:p w14:paraId="2327AD7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20" w:firstLineChars="20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等效半径根据下式计算。</w:t>
            </w:r>
          </w:p>
          <w:p w14:paraId="09E70632">
            <w:pPr>
              <w:pStyle w:val="2"/>
              <w:keepNext w:val="0"/>
              <w:keepLines w:val="0"/>
              <w:suppressLineNumbers w:val="0"/>
              <w:spacing w:before="0" w:beforeAutospacing="0" w:after="0" w:afterAutospacing="0"/>
              <w:ind w:left="0" w:right="0"/>
              <w:jc w:val="center"/>
              <w:rPr>
                <w:rFonts w:hint="default"/>
                <w:color w:val="auto"/>
                <w:highlight w:val="none"/>
                <w:lang w:val="en-US" w:eastAsia="zh-CN"/>
              </w:rPr>
            </w:pPr>
            <w:r>
              <w:rPr>
                <w:rFonts w:hint="default" w:ascii="Times New Roman" w:hAnsi="Times New Roman" w:eastAsia="宋体" w:cs="Times New Roman"/>
                <w:color w:val="auto"/>
                <w:sz w:val="21"/>
                <w:szCs w:val="21"/>
                <w:highlight w:val="none"/>
              </w:rPr>
              <w:drawing>
                <wp:inline distT="0" distB="0" distL="114300" distR="114300">
                  <wp:extent cx="1447800" cy="400050"/>
                  <wp:effectExtent l="0" t="0" r="0" b="11430"/>
                  <wp:docPr id="253" name="图片 228" descr="16204436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图片 228" descr="1620443620(1)"/>
                          <pic:cNvPicPr>
                            <a:picLocks noChangeAspect="1"/>
                          </pic:cNvPicPr>
                        </pic:nvPicPr>
                        <pic:blipFill>
                          <a:blip r:embed="rId16"/>
                          <a:stretch>
                            <a:fillRect/>
                          </a:stretch>
                        </pic:blipFill>
                        <pic:spPr>
                          <a:xfrm>
                            <a:off x="0" y="0"/>
                            <a:ext cx="1447800" cy="400050"/>
                          </a:xfrm>
                          <a:prstGeom prst="rect">
                            <a:avLst/>
                          </a:prstGeom>
                          <a:noFill/>
                          <a:ln>
                            <a:noFill/>
                          </a:ln>
                        </pic:spPr>
                      </pic:pic>
                    </a:graphicData>
                  </a:graphic>
                </wp:inline>
              </w:drawing>
            </w:r>
          </w:p>
          <w:p w14:paraId="75DEC883">
            <w:pPr>
              <w:keepNext w:val="0"/>
              <w:keepLines w:val="0"/>
              <w:suppressLineNumbers w:val="0"/>
              <w:adjustRightInd w:val="0"/>
              <w:snapToGrid w:val="0"/>
              <w:spacing w:before="0" w:beforeAutospacing="0" w:after="0" w:afterAutospacing="0" w:line="360" w:lineRule="auto"/>
              <w:ind w:left="0" w:right="0" w:firstLine="420" w:firstLineChars="20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本项目生产车间占地面积</w:t>
            </w:r>
            <w:r>
              <w:rPr>
                <w:rFonts w:hint="eastAsia" w:cs="Times New Roman"/>
                <w:color w:val="auto"/>
                <w:sz w:val="21"/>
                <w:szCs w:val="21"/>
                <w:highlight w:val="none"/>
                <w:lang w:val="en-US" w:eastAsia="zh-CN"/>
              </w:rPr>
              <w:t>2400</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lang w:val="en-US" w:eastAsia="zh-CN"/>
              </w:rPr>
              <w:t>，计算得出等效半径</w:t>
            </w:r>
            <w:r>
              <w:rPr>
                <w:rFonts w:hint="eastAsia" w:cs="Times New Roman"/>
                <w:color w:val="auto"/>
                <w:sz w:val="21"/>
                <w:szCs w:val="21"/>
                <w:highlight w:val="none"/>
                <w:lang w:val="en-US" w:eastAsia="zh-CN"/>
              </w:rPr>
              <w:t>27.64</w:t>
            </w:r>
            <w:r>
              <w:rPr>
                <w:rFonts w:hint="default" w:ascii="Times New Roman" w:hAnsi="Times New Roman" w:eastAsia="宋体" w:cs="Times New Roman"/>
                <w:color w:val="auto"/>
                <w:sz w:val="21"/>
                <w:szCs w:val="21"/>
                <w:highlight w:val="none"/>
                <w:lang w:val="en-US" w:eastAsia="zh-CN"/>
              </w:rPr>
              <w:t>m。</w:t>
            </w:r>
          </w:p>
          <w:p w14:paraId="7359D4D0">
            <w:pPr>
              <w:keepNext w:val="0"/>
              <w:keepLines w:val="0"/>
              <w:suppressLineNumbers w:val="0"/>
              <w:adjustRightInd w:val="0"/>
              <w:snapToGrid w:val="0"/>
              <w:spacing w:before="0" w:beforeAutospacing="0" w:after="0" w:afterAutospacing="0" w:line="360" w:lineRule="auto"/>
              <w:ind w:left="0" w:right="0" w:firstLine="420" w:firstLineChars="20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本项目所在地区近5年平均风速为2.2m/s，且大气污染源属于Ⅱ类，非甲烷总烃的大气有害物质环境空气质量的标准浓度限值参考《大气污染物综合排放标准详解》取2mg/m</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lang w:val="en-US" w:eastAsia="zh-CN"/>
              </w:rPr>
              <w:t>，项目卫生防护距离初值计算详见下表</w:t>
            </w:r>
            <w:r>
              <w:rPr>
                <w:rFonts w:hint="eastAsia" w:cs="Times New Roman"/>
                <w:color w:val="auto"/>
                <w:sz w:val="21"/>
                <w:szCs w:val="21"/>
                <w:highlight w:val="none"/>
                <w:lang w:val="en-US" w:eastAsia="zh-CN"/>
              </w:rPr>
              <w:t>。</w:t>
            </w:r>
          </w:p>
          <w:p w14:paraId="3FF6988A">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157" w:afterLines="50" w:afterAutospacing="0"/>
              <w:ind w:right="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卫生防护距离计算结果一览表</w:t>
            </w:r>
          </w:p>
          <w:tbl>
            <w:tblPr>
              <w:tblStyle w:val="41"/>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6"/>
              <w:gridCol w:w="1159"/>
              <w:gridCol w:w="1084"/>
              <w:gridCol w:w="1261"/>
              <w:gridCol w:w="531"/>
              <w:gridCol w:w="689"/>
              <w:gridCol w:w="584"/>
              <w:gridCol w:w="584"/>
              <w:gridCol w:w="1921"/>
            </w:tblGrid>
            <w:tr w14:paraId="1F2E806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478" w:type="pct"/>
                  <w:tcBorders>
                    <w:tl2br w:val="nil"/>
                    <w:tr2bl w:val="nil"/>
                  </w:tcBorders>
                  <w:noWrap w:val="0"/>
                  <w:vAlign w:val="center"/>
                </w:tcPr>
                <w:p w14:paraId="7F0452B9">
                  <w:pPr>
                    <w:pStyle w:val="50"/>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w:t>
                  </w:r>
                </w:p>
              </w:tc>
              <w:tc>
                <w:tcPr>
                  <w:tcW w:w="670" w:type="pct"/>
                  <w:tcBorders>
                    <w:tl2br w:val="nil"/>
                    <w:tr2bl w:val="nil"/>
                  </w:tcBorders>
                  <w:noWrap w:val="0"/>
                  <w:vAlign w:val="center"/>
                </w:tcPr>
                <w:p w14:paraId="491B9DDB">
                  <w:pPr>
                    <w:pStyle w:val="50"/>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Qc（kg/h）</w:t>
                  </w:r>
                </w:p>
              </w:tc>
              <w:tc>
                <w:tcPr>
                  <w:tcW w:w="627" w:type="pct"/>
                  <w:tcBorders>
                    <w:tl2br w:val="nil"/>
                    <w:tr2bl w:val="nil"/>
                  </w:tcBorders>
                  <w:noWrap w:val="0"/>
                  <w:vAlign w:val="center"/>
                </w:tcPr>
                <w:p w14:paraId="32708F3C">
                  <w:pPr>
                    <w:pStyle w:val="50"/>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Cm</w:t>
                  </w:r>
                </w:p>
                <w:p w14:paraId="0C4D7178">
                  <w:pPr>
                    <w:pStyle w:val="50"/>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val="en-US" w:eastAsia="zh-CN"/>
                    </w:rPr>
                    <w:t>(</w:t>
                  </w:r>
                  <w:r>
                    <w:rPr>
                      <w:rFonts w:hint="default" w:ascii="Times New Roman" w:hAnsi="Times New Roman" w:eastAsia="宋体" w:cs="Times New Roman"/>
                      <w:b/>
                      <w:bCs/>
                      <w:color w:val="auto"/>
                      <w:sz w:val="21"/>
                      <w:szCs w:val="21"/>
                      <w:highlight w:val="none"/>
                    </w:rPr>
                    <w:t>mg/Nm³</w:t>
                  </w:r>
                  <w:r>
                    <w:rPr>
                      <w:rFonts w:hint="default" w:ascii="Times New Roman" w:hAnsi="Times New Roman" w:eastAsia="宋体" w:cs="Times New Roman"/>
                      <w:b/>
                      <w:bCs/>
                      <w:color w:val="auto"/>
                      <w:sz w:val="21"/>
                      <w:szCs w:val="21"/>
                      <w:highlight w:val="none"/>
                      <w:lang w:val="en-US" w:eastAsia="zh-CN"/>
                    </w:rPr>
                    <w:t>)</w:t>
                  </w:r>
                </w:p>
              </w:tc>
              <w:tc>
                <w:tcPr>
                  <w:tcW w:w="729" w:type="pct"/>
                  <w:tcBorders>
                    <w:tl2br w:val="nil"/>
                    <w:tr2bl w:val="nil"/>
                  </w:tcBorders>
                  <w:noWrap w:val="0"/>
                  <w:vAlign w:val="center"/>
                </w:tcPr>
                <w:p w14:paraId="7377A510">
                  <w:pPr>
                    <w:pStyle w:val="50"/>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等效半径r（m）</w:t>
                  </w:r>
                </w:p>
              </w:tc>
              <w:tc>
                <w:tcPr>
                  <w:tcW w:w="307" w:type="pct"/>
                  <w:tcBorders>
                    <w:tl2br w:val="nil"/>
                    <w:tr2bl w:val="nil"/>
                  </w:tcBorders>
                  <w:noWrap w:val="0"/>
                  <w:vAlign w:val="center"/>
                </w:tcPr>
                <w:p w14:paraId="258CC197">
                  <w:pPr>
                    <w:pStyle w:val="50"/>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A</w:t>
                  </w:r>
                </w:p>
              </w:tc>
              <w:tc>
                <w:tcPr>
                  <w:tcW w:w="398" w:type="pct"/>
                  <w:tcBorders>
                    <w:tl2br w:val="nil"/>
                    <w:tr2bl w:val="nil"/>
                  </w:tcBorders>
                  <w:noWrap w:val="0"/>
                  <w:vAlign w:val="center"/>
                </w:tcPr>
                <w:p w14:paraId="5C93E24B">
                  <w:pPr>
                    <w:pStyle w:val="50"/>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B</w:t>
                  </w:r>
                </w:p>
              </w:tc>
              <w:tc>
                <w:tcPr>
                  <w:tcW w:w="338" w:type="pct"/>
                  <w:tcBorders>
                    <w:tl2br w:val="nil"/>
                    <w:tr2bl w:val="nil"/>
                  </w:tcBorders>
                  <w:noWrap w:val="0"/>
                  <w:vAlign w:val="center"/>
                </w:tcPr>
                <w:p w14:paraId="47AA2655">
                  <w:pPr>
                    <w:pStyle w:val="50"/>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C</w:t>
                  </w:r>
                </w:p>
              </w:tc>
              <w:tc>
                <w:tcPr>
                  <w:tcW w:w="338" w:type="pct"/>
                  <w:tcBorders>
                    <w:tl2br w:val="nil"/>
                    <w:tr2bl w:val="nil"/>
                  </w:tcBorders>
                  <w:noWrap w:val="0"/>
                  <w:vAlign w:val="center"/>
                </w:tcPr>
                <w:p w14:paraId="2E3706ED">
                  <w:pPr>
                    <w:pStyle w:val="50"/>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D</w:t>
                  </w:r>
                </w:p>
              </w:tc>
              <w:tc>
                <w:tcPr>
                  <w:tcW w:w="1111" w:type="pct"/>
                  <w:tcBorders>
                    <w:tl2br w:val="nil"/>
                    <w:tr2bl w:val="nil"/>
                  </w:tcBorders>
                  <w:noWrap w:val="0"/>
                  <w:vAlign w:val="center"/>
                </w:tcPr>
                <w:p w14:paraId="4E400619">
                  <w:pPr>
                    <w:pStyle w:val="50"/>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卫生防护距离初值计算值（m）</w:t>
                  </w:r>
                </w:p>
              </w:tc>
            </w:tr>
            <w:tr w14:paraId="6C3597D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478" w:type="pct"/>
                  <w:tcBorders>
                    <w:tl2br w:val="nil"/>
                    <w:tr2bl w:val="nil"/>
                  </w:tcBorders>
                  <w:noWrap w:val="0"/>
                  <w:vAlign w:val="center"/>
                </w:tcPr>
                <w:p w14:paraId="4B356F3C">
                  <w:pPr>
                    <w:pStyle w:val="50"/>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非甲烷总烃</w:t>
                  </w:r>
                </w:p>
              </w:tc>
              <w:tc>
                <w:tcPr>
                  <w:tcW w:w="670" w:type="pct"/>
                  <w:tcBorders>
                    <w:tl2br w:val="nil"/>
                    <w:tr2bl w:val="nil"/>
                  </w:tcBorders>
                  <w:noWrap w:val="0"/>
                  <w:vAlign w:val="center"/>
                </w:tcPr>
                <w:p w14:paraId="74AF5AD3">
                  <w:pPr>
                    <w:keepNext w:val="0"/>
                    <w:keepLines w:val="0"/>
                    <w:suppressLineNumbers w:val="0"/>
                    <w:topLinePunct/>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r>
                    <w:rPr>
                      <w:rFonts w:hint="eastAsia" w:cs="Times New Roman"/>
                      <w:i w:val="0"/>
                      <w:iCs w:val="0"/>
                      <w:color w:val="auto"/>
                      <w:kern w:val="0"/>
                      <w:sz w:val="21"/>
                      <w:szCs w:val="21"/>
                      <w:highlight w:val="none"/>
                      <w:u w:val="none"/>
                      <w:lang w:val="en-US" w:eastAsia="zh-CN" w:bidi="ar"/>
                    </w:rPr>
                    <w:t>0594</w:t>
                  </w:r>
                </w:p>
              </w:tc>
              <w:tc>
                <w:tcPr>
                  <w:tcW w:w="627" w:type="pct"/>
                  <w:tcBorders>
                    <w:tl2br w:val="nil"/>
                    <w:tr2bl w:val="nil"/>
                  </w:tcBorders>
                  <w:noWrap w:val="0"/>
                  <w:vAlign w:val="center"/>
                </w:tcPr>
                <w:p w14:paraId="34B5964C">
                  <w:pPr>
                    <w:keepNext w:val="0"/>
                    <w:keepLines w:val="0"/>
                    <w:suppressLineNumbers w:val="0"/>
                    <w:topLinePunct/>
                    <w:snapToGrid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2.0</w:t>
                  </w:r>
                </w:p>
              </w:tc>
              <w:tc>
                <w:tcPr>
                  <w:tcW w:w="729" w:type="pct"/>
                  <w:tcBorders>
                    <w:tl2br w:val="nil"/>
                    <w:tr2bl w:val="nil"/>
                  </w:tcBorders>
                  <w:noWrap w:val="0"/>
                  <w:vAlign w:val="center"/>
                </w:tcPr>
                <w:p w14:paraId="5710DA8E">
                  <w:pPr>
                    <w:pStyle w:val="50"/>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w:t>
                  </w:r>
                  <w:r>
                    <w:rPr>
                      <w:rFonts w:hint="eastAsia" w:ascii="Times New Roman" w:cs="Times New Roman"/>
                      <w:color w:val="auto"/>
                      <w:sz w:val="21"/>
                      <w:szCs w:val="21"/>
                      <w:highlight w:val="none"/>
                      <w:lang w:val="en-US" w:eastAsia="zh-CN"/>
                    </w:rPr>
                    <w:t>7.64</w:t>
                  </w:r>
                </w:p>
              </w:tc>
              <w:tc>
                <w:tcPr>
                  <w:tcW w:w="307" w:type="pct"/>
                  <w:tcBorders>
                    <w:tl2br w:val="nil"/>
                    <w:tr2bl w:val="nil"/>
                  </w:tcBorders>
                  <w:noWrap w:val="0"/>
                  <w:vAlign w:val="center"/>
                </w:tcPr>
                <w:p w14:paraId="23AB5970">
                  <w:pPr>
                    <w:pStyle w:val="50"/>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470</w:t>
                  </w:r>
                </w:p>
              </w:tc>
              <w:tc>
                <w:tcPr>
                  <w:tcW w:w="398" w:type="pct"/>
                  <w:tcBorders>
                    <w:tl2br w:val="nil"/>
                    <w:tr2bl w:val="nil"/>
                  </w:tcBorders>
                  <w:noWrap w:val="0"/>
                  <w:vAlign w:val="center"/>
                </w:tcPr>
                <w:p w14:paraId="25F5E4FC">
                  <w:pPr>
                    <w:pStyle w:val="50"/>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0.021</w:t>
                  </w:r>
                </w:p>
              </w:tc>
              <w:tc>
                <w:tcPr>
                  <w:tcW w:w="338" w:type="pct"/>
                  <w:tcBorders>
                    <w:tl2br w:val="nil"/>
                    <w:tr2bl w:val="nil"/>
                  </w:tcBorders>
                  <w:noWrap w:val="0"/>
                  <w:vAlign w:val="center"/>
                </w:tcPr>
                <w:p w14:paraId="091106CD">
                  <w:pPr>
                    <w:pStyle w:val="50"/>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1.85</w:t>
                  </w:r>
                </w:p>
              </w:tc>
              <w:tc>
                <w:tcPr>
                  <w:tcW w:w="338" w:type="pct"/>
                  <w:tcBorders>
                    <w:tl2br w:val="nil"/>
                    <w:tr2bl w:val="nil"/>
                  </w:tcBorders>
                  <w:noWrap w:val="0"/>
                  <w:vAlign w:val="center"/>
                </w:tcPr>
                <w:p w14:paraId="28DFACAC">
                  <w:pPr>
                    <w:pStyle w:val="50"/>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0.84</w:t>
                  </w:r>
                </w:p>
              </w:tc>
              <w:tc>
                <w:tcPr>
                  <w:tcW w:w="1111" w:type="pct"/>
                  <w:tcBorders>
                    <w:tl2br w:val="nil"/>
                    <w:tr2bl w:val="nil"/>
                  </w:tcBorders>
                  <w:noWrap w:val="0"/>
                  <w:vAlign w:val="center"/>
                </w:tcPr>
                <w:p w14:paraId="5DD4E922">
                  <w:pPr>
                    <w:pStyle w:val="50"/>
                    <w:keepNext w:val="0"/>
                    <w:keepLines w:val="0"/>
                    <w:suppressLineNumbers w:val="0"/>
                    <w:spacing w:before="0" w:beforeAutospacing="0" w:after="0" w:afterAutospacing="0" w:line="0" w:lineRule="atLeas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1.01</w:t>
                  </w:r>
                </w:p>
              </w:tc>
            </w:tr>
          </w:tbl>
          <w:p w14:paraId="4C5C7B65">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20" w:firstLineChars="200"/>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卫生防护距离终值的确定</w:t>
            </w:r>
            <w:r>
              <w:rPr>
                <w:rFonts w:hint="eastAsia" w:cs="Times New Roman"/>
                <w:color w:val="auto"/>
                <w:sz w:val="21"/>
                <w:szCs w:val="21"/>
                <w:highlight w:val="none"/>
                <w:lang w:eastAsia="zh-CN"/>
              </w:rPr>
              <w:t>：</w:t>
            </w:r>
          </w:p>
          <w:p w14:paraId="6EEA1628">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157" w:afterLines="50" w:afterAutospacing="0"/>
              <w:ind w:right="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卫生防护距离终值级差范围表</w:t>
            </w:r>
          </w:p>
          <w:tbl>
            <w:tblPr>
              <w:tblStyle w:val="41"/>
              <w:tblW w:w="4999"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0"/>
              <w:gridCol w:w="2077"/>
            </w:tblGrid>
            <w:tr w14:paraId="7E25CC9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797" w:type="pct"/>
                  <w:tcBorders>
                    <w:tl2br w:val="nil"/>
                    <w:tr2bl w:val="nil"/>
                  </w:tcBorders>
                  <w:noWrap w:val="0"/>
                  <w:vAlign w:val="center"/>
                </w:tcPr>
                <w:p w14:paraId="7A6B9F1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卫生防护距离计算初值L/m</w:t>
                  </w:r>
                </w:p>
              </w:tc>
              <w:tc>
                <w:tcPr>
                  <w:tcW w:w="1202" w:type="pct"/>
                  <w:tcBorders>
                    <w:tl2br w:val="nil"/>
                    <w:tr2bl w:val="nil"/>
                  </w:tcBorders>
                  <w:noWrap w:val="0"/>
                  <w:vAlign w:val="center"/>
                </w:tcPr>
                <w:p w14:paraId="5C134CC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级差/m</w:t>
                  </w:r>
                </w:p>
              </w:tc>
            </w:tr>
            <w:tr w14:paraId="5D65BCA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797" w:type="pct"/>
                  <w:tcBorders>
                    <w:tl2br w:val="nil"/>
                    <w:tr2bl w:val="nil"/>
                  </w:tcBorders>
                  <w:noWrap w:val="0"/>
                  <w:vAlign w:val="center"/>
                </w:tcPr>
                <w:p w14:paraId="673C795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0≤L&lt;50</w:t>
                  </w:r>
                </w:p>
              </w:tc>
              <w:tc>
                <w:tcPr>
                  <w:tcW w:w="1202" w:type="pct"/>
                  <w:tcBorders>
                    <w:tl2br w:val="nil"/>
                    <w:tr2bl w:val="nil"/>
                  </w:tcBorders>
                  <w:noWrap w:val="0"/>
                  <w:vAlign w:val="center"/>
                </w:tcPr>
                <w:p w14:paraId="7868A77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50</w:t>
                  </w:r>
                </w:p>
              </w:tc>
            </w:tr>
            <w:tr w14:paraId="7209A6B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797" w:type="pct"/>
                  <w:tcBorders>
                    <w:tl2br w:val="nil"/>
                    <w:tr2bl w:val="nil"/>
                  </w:tcBorders>
                  <w:noWrap w:val="0"/>
                  <w:vAlign w:val="center"/>
                </w:tcPr>
                <w:p w14:paraId="62BD270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50≤L&lt;100</w:t>
                  </w:r>
                </w:p>
              </w:tc>
              <w:tc>
                <w:tcPr>
                  <w:tcW w:w="1202" w:type="pct"/>
                  <w:tcBorders>
                    <w:tl2br w:val="nil"/>
                    <w:tr2bl w:val="nil"/>
                  </w:tcBorders>
                  <w:noWrap w:val="0"/>
                  <w:vAlign w:val="center"/>
                </w:tcPr>
                <w:p w14:paraId="05C6D59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50</w:t>
                  </w:r>
                </w:p>
              </w:tc>
            </w:tr>
            <w:tr w14:paraId="4EFB648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3797" w:type="pct"/>
                  <w:tcBorders>
                    <w:tl2br w:val="nil"/>
                    <w:tr2bl w:val="nil"/>
                  </w:tcBorders>
                  <w:noWrap w:val="0"/>
                  <w:vAlign w:val="center"/>
                </w:tcPr>
                <w:p w14:paraId="52E92EA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100≤L&lt;1000</w:t>
                  </w:r>
                </w:p>
              </w:tc>
              <w:tc>
                <w:tcPr>
                  <w:tcW w:w="1202" w:type="pct"/>
                  <w:tcBorders>
                    <w:tl2br w:val="nil"/>
                    <w:tr2bl w:val="nil"/>
                  </w:tcBorders>
                  <w:noWrap w:val="0"/>
                  <w:vAlign w:val="center"/>
                </w:tcPr>
                <w:p w14:paraId="31EBDC0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100</w:t>
                  </w:r>
                </w:p>
              </w:tc>
            </w:tr>
            <w:tr w14:paraId="398F23C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3797" w:type="pct"/>
                  <w:tcBorders>
                    <w:tl2br w:val="nil"/>
                    <w:tr2bl w:val="nil"/>
                  </w:tcBorders>
                  <w:noWrap w:val="0"/>
                  <w:vAlign w:val="center"/>
                </w:tcPr>
                <w:p w14:paraId="77B8CF7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L&gt;1000</w:t>
                  </w:r>
                </w:p>
              </w:tc>
              <w:tc>
                <w:tcPr>
                  <w:tcW w:w="1202" w:type="pct"/>
                  <w:tcBorders>
                    <w:tl2br w:val="nil"/>
                    <w:tr2bl w:val="nil"/>
                  </w:tcBorders>
                  <w:noWrap w:val="0"/>
                  <w:vAlign w:val="center"/>
                </w:tcPr>
                <w:p w14:paraId="15689CC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200</w:t>
                  </w:r>
                </w:p>
              </w:tc>
            </w:tr>
          </w:tbl>
          <w:p w14:paraId="6C199A02">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因此，确定项目卫生防护距离终值为50米，则本项目以生产厂房为源点，设置50米卫生防护距离；根据现场踏勘，本项目50米卫生防护距离内没有敏感点（项目东</w:t>
            </w:r>
            <w:r>
              <w:rPr>
                <w:rFonts w:hint="eastAsia" w:cs="Times New Roman"/>
                <w:color w:val="auto"/>
                <w:sz w:val="21"/>
                <w:szCs w:val="21"/>
                <w:highlight w:val="none"/>
                <w:lang w:val="en-US" w:eastAsia="zh-CN"/>
              </w:rPr>
              <w:t>南</w:t>
            </w:r>
            <w:r>
              <w:rPr>
                <w:rFonts w:hint="default" w:ascii="Times New Roman" w:hAnsi="Times New Roman" w:eastAsia="宋体" w:cs="Times New Roman"/>
                <w:color w:val="auto"/>
                <w:sz w:val="21"/>
                <w:szCs w:val="21"/>
                <w:highlight w:val="none"/>
              </w:rPr>
              <w:t>面60m处的荔枝园村居民区），符合卫生防护距离要求。待项目建成后，建议建设单位与环境主管部门协调，在项目卫生防护距离内不允许新建医院、学校、集中居民区等环境敏感建筑。</w:t>
            </w:r>
          </w:p>
          <w:p w14:paraId="4C7E3759">
            <w:pPr>
              <w:pStyle w:val="2"/>
              <w:keepNext w:val="0"/>
              <w:keepLines w:val="0"/>
              <w:numPr>
                <w:ilvl w:val="0"/>
                <w:numId w:val="0"/>
              </w:numPr>
              <w:suppressLineNumbers w:val="0"/>
              <w:spacing w:before="0" w:beforeAutospacing="0" w:after="0" w:afterAutospacing="0"/>
              <w:ind w:left="420" w:leftChars="200" w:right="0"/>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2</w:t>
            </w:r>
            <w:r>
              <w:rPr>
                <w:rFonts w:hint="eastAsia" w:ascii="Times New Roman" w:hAnsi="Times New Roman" w:eastAsia="宋体" w:cs="Times New Roman"/>
                <w:b/>
                <w:bCs/>
                <w:color w:val="auto"/>
                <w:sz w:val="21"/>
                <w:szCs w:val="21"/>
                <w:highlight w:val="none"/>
                <w:lang w:val="en-US" w:eastAsia="zh-CN"/>
              </w:rPr>
              <w:t>、废水</w:t>
            </w:r>
          </w:p>
          <w:p w14:paraId="38FBB77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项目无生产废水排放，项目产生的废水主要有员工生活污水。</w:t>
            </w:r>
          </w:p>
          <w:p w14:paraId="72770B80">
            <w:pPr>
              <w:pStyle w:val="2"/>
              <w:keepNext w:val="0"/>
              <w:keepLines w:val="0"/>
              <w:numPr>
                <w:ilvl w:val="0"/>
                <w:numId w:val="0"/>
              </w:numPr>
              <w:suppressLineNumbers w:val="0"/>
              <w:spacing w:before="0" w:beforeAutospacing="0" w:after="0" w:afterAutospacing="0"/>
              <w:ind w:left="420" w:leftChars="200" w:right="0"/>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2.1废水源强</w:t>
            </w:r>
          </w:p>
          <w:p w14:paraId="1302A26D">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根据上文水平衡分析：</w:t>
            </w:r>
          </w:p>
          <w:p w14:paraId="0F98C17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清洗废水：本项目建设后印刷机的滚筒需使用普通自来水进行清洗，清洗废水产生量约为 0.0</w:t>
            </w:r>
            <w:r>
              <w:rPr>
                <w:rFonts w:hint="eastAsia"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lang w:val="en-US" w:eastAsia="zh-CN"/>
              </w:rPr>
              <w:t>/d（1</w:t>
            </w:r>
            <w:r>
              <w:rPr>
                <w:rFonts w:hint="eastAsia" w:cs="Times New Roman"/>
                <w:color w:val="auto"/>
                <w:sz w:val="21"/>
                <w:szCs w:val="21"/>
                <w:highlight w:val="none"/>
                <w:lang w:val="en-US" w:eastAsia="zh-CN"/>
              </w:rPr>
              <w:t>6.2</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lang w:val="en-US" w:eastAsia="zh-CN"/>
              </w:rPr>
              <w:t>/a），该清洗废水经收集后交由有危险废物处理资质公司回收处理，不外排。</w:t>
            </w:r>
          </w:p>
          <w:p w14:paraId="4640F1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w:t>
            </w:r>
            <w:r>
              <w:rPr>
                <w:rFonts w:hint="eastAsia" w:cs="Times New Roman"/>
                <w:color w:val="auto"/>
                <w:sz w:val="21"/>
                <w:szCs w:val="21"/>
                <w:highlight w:val="none"/>
                <w:lang w:val="en-US" w:eastAsia="zh-CN"/>
              </w:rPr>
              <w:t>间接冷却</w:t>
            </w:r>
            <w:r>
              <w:rPr>
                <w:rFonts w:hint="default" w:ascii="Times New Roman" w:hAnsi="Times New Roman" w:eastAsia="宋体" w:cs="Times New Roman"/>
                <w:color w:val="auto"/>
                <w:sz w:val="21"/>
                <w:szCs w:val="21"/>
                <w:highlight w:val="none"/>
                <w:lang w:val="en-US" w:eastAsia="zh-CN"/>
              </w:rPr>
              <w:t>用水循环使用，定期补充损耗，每</w:t>
            </w:r>
            <w:r>
              <w:rPr>
                <w:rFonts w:hint="eastAsia" w:cs="Times New Roman"/>
                <w:color w:val="auto"/>
                <w:sz w:val="21"/>
                <w:szCs w:val="21"/>
                <w:highlight w:val="none"/>
                <w:lang w:val="en-US" w:eastAsia="zh-CN"/>
              </w:rPr>
              <w:t>季度</w:t>
            </w:r>
            <w:r>
              <w:rPr>
                <w:rFonts w:hint="default" w:ascii="Times New Roman" w:hAnsi="Times New Roman" w:eastAsia="宋体" w:cs="Times New Roman"/>
                <w:color w:val="auto"/>
                <w:sz w:val="21"/>
                <w:szCs w:val="21"/>
                <w:highlight w:val="none"/>
                <w:lang w:val="en-US" w:eastAsia="zh-CN"/>
              </w:rPr>
              <w:t>更换一次，更换用水量为0.00</w:t>
            </w:r>
            <w:r>
              <w:rPr>
                <w:rFonts w:hint="eastAsia" w:cs="Times New Roman"/>
                <w:color w:val="auto"/>
                <w:sz w:val="21"/>
                <w:szCs w:val="21"/>
                <w:highlight w:val="none"/>
                <w:lang w:val="en-US" w:eastAsia="zh-CN"/>
              </w:rPr>
              <w:t>67</w:t>
            </w:r>
            <w:r>
              <w:rPr>
                <w:rFonts w:hint="default" w:ascii="Times New Roman" w:hAnsi="Times New Roman" w:eastAsia="宋体" w:cs="Times New Roman"/>
                <w:color w:val="auto"/>
                <w:sz w:val="21"/>
                <w:szCs w:val="21"/>
                <w:highlight w:val="none"/>
                <w:lang w:val="en-US" w:eastAsia="zh-CN"/>
              </w:rPr>
              <w:t>t/d（2.</w:t>
            </w:r>
            <w:r>
              <w:rPr>
                <w:rFonts w:hint="eastAsia" w:cs="Times New Roman"/>
                <w:color w:val="auto"/>
                <w:sz w:val="21"/>
                <w:szCs w:val="21"/>
                <w:highlight w:val="none"/>
                <w:lang w:val="en-US" w:eastAsia="zh-CN"/>
              </w:rPr>
              <w:t>0</w:t>
            </w:r>
            <w:r>
              <w:rPr>
                <w:rFonts w:hint="default" w:ascii="Times New Roman" w:hAnsi="Times New Roman" w:eastAsia="宋体" w:cs="Times New Roman"/>
                <w:color w:val="auto"/>
                <w:sz w:val="21"/>
                <w:szCs w:val="21"/>
                <w:highlight w:val="none"/>
                <w:lang w:val="en-US" w:eastAsia="zh-CN"/>
              </w:rPr>
              <w:t>t/a），更换</w:t>
            </w:r>
            <w:r>
              <w:rPr>
                <w:rFonts w:hint="eastAsia" w:cs="Times New Roman"/>
                <w:color w:val="auto"/>
                <w:sz w:val="21"/>
                <w:szCs w:val="21"/>
                <w:highlight w:val="none"/>
                <w:lang w:val="en-US" w:eastAsia="zh-CN"/>
              </w:rPr>
              <w:t>冷却</w:t>
            </w:r>
            <w:r>
              <w:rPr>
                <w:rFonts w:hint="default" w:ascii="Times New Roman" w:hAnsi="Times New Roman" w:eastAsia="宋体" w:cs="Times New Roman"/>
                <w:color w:val="auto"/>
                <w:sz w:val="21"/>
                <w:szCs w:val="21"/>
                <w:highlight w:val="none"/>
                <w:lang w:val="en-US" w:eastAsia="zh-CN"/>
              </w:rPr>
              <w:t>废水拟收集后委托有危险废物处理资质单位进行处置，不外排</w:t>
            </w:r>
            <w:r>
              <w:rPr>
                <w:rFonts w:hint="eastAsia" w:cs="Times New Roman"/>
                <w:color w:val="auto"/>
                <w:sz w:val="21"/>
                <w:szCs w:val="21"/>
                <w:highlight w:val="none"/>
                <w:lang w:val="en-US" w:eastAsia="zh-CN"/>
              </w:rPr>
              <w:t>。</w:t>
            </w:r>
          </w:p>
          <w:p w14:paraId="1C44C97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生活用水量为0.</w:t>
            </w:r>
            <w:r>
              <w:rPr>
                <w:rFonts w:hint="eastAsia" w:cs="Times New Roman"/>
                <w:color w:val="auto"/>
                <w:sz w:val="21"/>
                <w:szCs w:val="21"/>
                <w:highlight w:val="none"/>
                <w:lang w:val="en-US" w:eastAsia="zh-CN"/>
              </w:rPr>
              <w:t>7</w:t>
            </w:r>
            <w:r>
              <w:rPr>
                <w:rFonts w:hint="default" w:ascii="Times New Roman" w:hAnsi="Times New Roman" w:eastAsia="宋体" w:cs="Times New Roman"/>
                <w:color w:val="auto"/>
                <w:sz w:val="21"/>
                <w:szCs w:val="21"/>
                <w:highlight w:val="none"/>
                <w:lang w:val="en-US" w:eastAsia="zh-CN"/>
              </w:rPr>
              <w:t>t/d（</w:t>
            </w:r>
            <w:r>
              <w:rPr>
                <w:rFonts w:hint="eastAsia" w:cs="Times New Roman"/>
                <w:color w:val="auto"/>
                <w:sz w:val="21"/>
                <w:szCs w:val="21"/>
                <w:highlight w:val="none"/>
                <w:lang w:val="en-US" w:eastAsia="zh-CN"/>
              </w:rPr>
              <w:t>210</w:t>
            </w:r>
            <w:r>
              <w:rPr>
                <w:rFonts w:hint="default" w:ascii="Times New Roman" w:hAnsi="Times New Roman" w:eastAsia="宋体" w:cs="Times New Roman"/>
                <w:color w:val="auto"/>
                <w:sz w:val="21"/>
                <w:szCs w:val="21"/>
                <w:highlight w:val="none"/>
                <w:lang w:val="en-US" w:eastAsia="zh-CN"/>
              </w:rPr>
              <w:t>t/a），排污系数为0.8，则项目营运期生活污水排放量为0.5</w:t>
            </w:r>
            <w:r>
              <w:rPr>
                <w:rFonts w:hint="eastAsia" w:cs="Times New Roman"/>
                <w:color w:val="auto"/>
                <w:sz w:val="21"/>
                <w:szCs w:val="21"/>
                <w:highlight w:val="none"/>
                <w:lang w:val="en-US" w:eastAsia="zh-CN"/>
              </w:rPr>
              <w:t>6</w:t>
            </w:r>
            <w:r>
              <w:rPr>
                <w:rFonts w:hint="default" w:ascii="Times New Roman" w:hAnsi="Times New Roman" w:eastAsia="宋体" w:cs="Times New Roman"/>
                <w:color w:val="auto"/>
                <w:sz w:val="21"/>
                <w:szCs w:val="21"/>
                <w:highlight w:val="none"/>
                <w:lang w:val="en-US" w:eastAsia="zh-CN"/>
              </w:rPr>
              <w:t>t/d（16</w:t>
            </w:r>
            <w:r>
              <w:rPr>
                <w:rFonts w:hint="eastAsia"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lang w:val="en-US" w:eastAsia="zh-CN"/>
              </w:rPr>
              <w:t>t/a），主要污染物为COD</w:t>
            </w:r>
            <w:r>
              <w:rPr>
                <w:rFonts w:hint="eastAsia" w:cs="Times New Roman"/>
                <w:color w:val="auto"/>
                <w:sz w:val="21"/>
                <w:szCs w:val="21"/>
                <w:highlight w:val="none"/>
                <w:vertAlign w:val="subscript"/>
                <w:lang w:val="en-US" w:eastAsia="zh-CN"/>
              </w:rPr>
              <w:t>Cr</w:t>
            </w:r>
            <w:r>
              <w:rPr>
                <w:rFonts w:hint="default" w:ascii="Times New Roman" w:hAnsi="Times New Roman" w:eastAsia="宋体" w:cs="Times New Roman"/>
                <w:color w:val="auto"/>
                <w:sz w:val="21"/>
                <w:szCs w:val="21"/>
                <w:highlight w:val="none"/>
                <w:lang w:val="en-US" w:eastAsia="zh-CN"/>
              </w:rPr>
              <w:t>、BOD</w:t>
            </w:r>
            <w:r>
              <w:rPr>
                <w:rFonts w:hint="default" w:ascii="Times New Roman" w:hAnsi="Times New Roman" w:eastAsia="宋体" w:cs="Times New Roman"/>
                <w:color w:val="auto"/>
                <w:sz w:val="21"/>
                <w:szCs w:val="21"/>
                <w:highlight w:val="none"/>
                <w:vertAlign w:val="subscript"/>
                <w:lang w:val="en-US" w:eastAsia="zh-CN"/>
              </w:rPr>
              <w:t>5</w:t>
            </w:r>
            <w:r>
              <w:rPr>
                <w:rFonts w:hint="default" w:ascii="Times New Roman" w:hAnsi="Times New Roman" w:eastAsia="宋体" w:cs="Times New Roman"/>
                <w:color w:val="auto"/>
                <w:sz w:val="21"/>
                <w:szCs w:val="21"/>
                <w:highlight w:val="none"/>
                <w:lang w:val="en-US" w:eastAsia="zh-CN"/>
              </w:rPr>
              <w:t>、SS、NH</w:t>
            </w:r>
            <w:r>
              <w:rPr>
                <w:rFonts w:hint="default" w:ascii="Times New Roman" w:hAnsi="Times New Roman" w:eastAsia="宋体" w:cs="Times New Roman"/>
                <w:color w:val="auto"/>
                <w:sz w:val="21"/>
                <w:szCs w:val="21"/>
                <w:highlight w:val="none"/>
                <w:vertAlign w:val="subscript"/>
                <w:lang w:val="en-US" w:eastAsia="zh-CN"/>
              </w:rPr>
              <w:t>3</w:t>
            </w:r>
            <w:r>
              <w:rPr>
                <w:rFonts w:hint="default" w:ascii="Times New Roman" w:hAnsi="Times New Roman" w:eastAsia="宋体" w:cs="Times New Roman"/>
                <w:color w:val="auto"/>
                <w:sz w:val="21"/>
                <w:szCs w:val="21"/>
                <w:highlight w:val="none"/>
                <w:lang w:val="en-US" w:eastAsia="zh-CN"/>
              </w:rPr>
              <w:t>-N、总磷、总氮等。</w:t>
            </w:r>
          </w:p>
          <w:p w14:paraId="2D4B30B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项目生活污水水质参考COD</w:t>
            </w:r>
            <w:r>
              <w:rPr>
                <w:rFonts w:hint="eastAsia" w:cs="Times New Roman"/>
                <w:color w:val="auto"/>
                <w:sz w:val="21"/>
                <w:szCs w:val="21"/>
                <w:highlight w:val="none"/>
                <w:vertAlign w:val="subscript"/>
                <w:lang w:val="en-US" w:eastAsia="zh-CN"/>
              </w:rPr>
              <w:t>Cr</w:t>
            </w:r>
            <w:r>
              <w:rPr>
                <w:rFonts w:hint="default" w:ascii="Times New Roman" w:hAnsi="Times New Roman" w:eastAsia="宋体" w:cs="Times New Roman"/>
                <w:color w:val="auto"/>
                <w:sz w:val="21"/>
                <w:szCs w:val="21"/>
                <w:highlight w:val="none"/>
                <w:lang w:val="en-US" w:eastAsia="zh-CN"/>
              </w:rPr>
              <w:t>、NH</w:t>
            </w:r>
            <w:r>
              <w:rPr>
                <w:rFonts w:hint="default" w:ascii="Times New Roman" w:hAnsi="Times New Roman" w:eastAsia="宋体" w:cs="Times New Roman"/>
                <w:color w:val="auto"/>
                <w:sz w:val="21"/>
                <w:szCs w:val="21"/>
                <w:highlight w:val="none"/>
                <w:vertAlign w:val="subscript"/>
                <w:lang w:val="en-US" w:eastAsia="zh-CN"/>
              </w:rPr>
              <w:t>3</w:t>
            </w:r>
            <w:r>
              <w:rPr>
                <w:rFonts w:hint="default" w:ascii="Times New Roman" w:hAnsi="Times New Roman" w:eastAsia="宋体" w:cs="Times New Roman"/>
                <w:color w:val="auto"/>
                <w:sz w:val="21"/>
                <w:szCs w:val="21"/>
                <w:highlight w:val="none"/>
                <w:lang w:val="en-US" w:eastAsia="zh-CN"/>
              </w:rPr>
              <w:t>-H、总磷、总氮产生浓度参照《排放源统计调查产排污核算方法和系数手册》中生活污染源产排污系数手册表1-1城镇生活源水污染物产生系数（五区），生活污水的产生浓度COD</w:t>
            </w:r>
            <w:r>
              <w:rPr>
                <w:rFonts w:hint="default" w:ascii="Times New Roman" w:hAnsi="Times New Roman" w:eastAsia="宋体" w:cs="Times New Roman"/>
                <w:color w:val="auto"/>
                <w:sz w:val="21"/>
                <w:szCs w:val="21"/>
                <w:highlight w:val="none"/>
                <w:vertAlign w:val="subscript"/>
                <w:lang w:val="en-US" w:eastAsia="zh-CN"/>
              </w:rPr>
              <w:t>C</w:t>
            </w:r>
            <w:r>
              <w:rPr>
                <w:rFonts w:hint="default" w:ascii="Times New Roman" w:hAnsi="Times New Roman" w:eastAsia="宋体" w:cs="Times New Roman"/>
                <w:color w:val="auto"/>
                <w:sz w:val="21"/>
                <w:szCs w:val="21"/>
                <w:highlight w:val="none"/>
                <w:lang w:val="en-US" w:eastAsia="zh-CN"/>
              </w:rPr>
              <w:t>r285mg/L、氨氮28.3mg/L、总磷4.1mg/L、总氮39.4mg/L，另BOD</w:t>
            </w:r>
            <w:r>
              <w:rPr>
                <w:rFonts w:hint="default" w:ascii="Times New Roman" w:hAnsi="Times New Roman" w:eastAsia="宋体" w:cs="Times New Roman"/>
                <w:color w:val="auto"/>
                <w:sz w:val="21"/>
                <w:szCs w:val="21"/>
                <w:highlight w:val="none"/>
                <w:vertAlign w:val="subscript"/>
                <w:lang w:val="en-US" w:eastAsia="zh-CN"/>
              </w:rPr>
              <w:t>5</w:t>
            </w:r>
            <w:r>
              <w:rPr>
                <w:rFonts w:hint="default" w:ascii="Times New Roman" w:hAnsi="Times New Roman" w:eastAsia="宋体" w:cs="Times New Roman"/>
                <w:color w:val="auto"/>
                <w:sz w:val="21"/>
                <w:szCs w:val="21"/>
                <w:highlight w:val="none"/>
                <w:lang w:val="en-US" w:eastAsia="zh-CN"/>
              </w:rPr>
              <w:t>、SS产生浓度参考《排水工程》（第四版下册）</w:t>
            </w:r>
            <w:r>
              <w:rPr>
                <w:rFonts w:hint="eastAsia" w:ascii="宋体" w:hAnsi="宋体" w:eastAsia="宋体" w:cs="宋体"/>
                <w:color w:val="auto"/>
                <w:sz w:val="21"/>
                <w:szCs w:val="21"/>
                <w:highlight w:val="none"/>
                <w:lang w:val="en-US" w:eastAsia="zh-CN"/>
              </w:rPr>
              <w:t>中“典型生活污水水质”中“中常浓度”</w:t>
            </w:r>
            <w:r>
              <w:rPr>
                <w:rFonts w:hint="default" w:ascii="Times New Roman" w:hAnsi="Times New Roman" w:eastAsia="宋体" w:cs="Times New Roman"/>
                <w:color w:val="auto"/>
                <w:sz w:val="21"/>
                <w:szCs w:val="21"/>
                <w:highlight w:val="none"/>
                <w:lang w:val="en-US" w:eastAsia="zh-CN"/>
              </w:rPr>
              <w:t>水质参数，产生浓度分别为200mg/L、220mg/L。</w:t>
            </w:r>
          </w:p>
          <w:p w14:paraId="5D4414A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项目生活污水产排情况见下表。</w:t>
            </w:r>
          </w:p>
          <w:p w14:paraId="4A8DB61F">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157" w:afterLines="50" w:afterAutospacing="0"/>
              <w:ind w:right="0"/>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项目水污染物排放情况一览表</w:t>
            </w:r>
          </w:p>
          <w:tbl>
            <w:tblPr>
              <w:tblStyle w:val="42"/>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1574"/>
              <w:gridCol w:w="1013"/>
              <w:gridCol w:w="956"/>
              <w:gridCol w:w="954"/>
              <w:gridCol w:w="956"/>
              <w:gridCol w:w="956"/>
              <w:gridCol w:w="959"/>
            </w:tblGrid>
            <w:tr w14:paraId="1B92840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7" w:type="pct"/>
                  <w:gridSpan w:val="2"/>
                  <w:tcBorders>
                    <w:tl2br w:val="nil"/>
                    <w:tr2bl w:val="nil"/>
                  </w:tcBorders>
                  <w:vAlign w:val="center"/>
                </w:tcPr>
                <w:p w14:paraId="549318B5">
                  <w:pPr>
                    <w:pStyle w:val="3"/>
                    <w:keepNext w:val="0"/>
                    <w:keepLines w:val="0"/>
                    <w:suppressLineNumbers w:val="0"/>
                    <w:spacing w:before="0" w:beforeAutospacing="0" w:after="0" w:afterAutospacing="0" w:line="240" w:lineRule="auto"/>
                    <w:ind w:left="0" w:right="0"/>
                    <w:jc w:val="center"/>
                    <w:rPr>
                      <w:rFonts w:hint="default"/>
                      <w:b/>
                      <w:bCs w:val="0"/>
                      <w:color w:val="auto"/>
                      <w:highlight w:val="none"/>
                      <w:vertAlign w:val="baseline"/>
                      <w:lang w:val="en-US" w:eastAsia="zh-CN"/>
                    </w:rPr>
                  </w:pPr>
                  <w:r>
                    <w:rPr>
                      <w:rFonts w:hint="eastAsia"/>
                      <w:b/>
                      <w:bCs w:val="0"/>
                      <w:color w:val="auto"/>
                      <w:highlight w:val="none"/>
                      <w:vertAlign w:val="baseline"/>
                      <w:lang w:val="en-US" w:eastAsia="zh-CN"/>
                    </w:rPr>
                    <w:t>产污环节</w:t>
                  </w:r>
                </w:p>
              </w:tc>
              <w:tc>
                <w:tcPr>
                  <w:tcW w:w="3352" w:type="pct"/>
                  <w:gridSpan w:val="6"/>
                  <w:tcBorders>
                    <w:tl2br w:val="nil"/>
                    <w:tr2bl w:val="nil"/>
                  </w:tcBorders>
                  <w:vAlign w:val="center"/>
                </w:tcPr>
                <w:p w14:paraId="315065E9">
                  <w:pPr>
                    <w:pStyle w:val="3"/>
                    <w:keepNext w:val="0"/>
                    <w:keepLines w:val="0"/>
                    <w:suppressLineNumbers w:val="0"/>
                    <w:spacing w:before="0" w:beforeAutospacing="0" w:after="0" w:afterAutospacing="0" w:line="240" w:lineRule="auto"/>
                    <w:ind w:left="0" w:right="0"/>
                    <w:jc w:val="center"/>
                    <w:rPr>
                      <w:rFonts w:hint="default"/>
                      <w:b/>
                      <w:bCs w:val="0"/>
                      <w:color w:val="auto"/>
                      <w:highlight w:val="none"/>
                      <w:vertAlign w:val="baseline"/>
                      <w:lang w:val="en-US" w:eastAsia="zh-CN"/>
                    </w:rPr>
                  </w:pPr>
                  <w:r>
                    <w:rPr>
                      <w:rFonts w:hint="eastAsia"/>
                      <w:b/>
                      <w:bCs w:val="0"/>
                      <w:color w:val="auto"/>
                      <w:highlight w:val="none"/>
                      <w:vertAlign w:val="baseline"/>
                      <w:lang w:val="en-US" w:eastAsia="zh-CN"/>
                    </w:rPr>
                    <w:t>办公生活</w:t>
                  </w:r>
                </w:p>
              </w:tc>
            </w:tr>
            <w:tr w14:paraId="57944D8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1647" w:type="pct"/>
                  <w:gridSpan w:val="2"/>
                  <w:tcBorders>
                    <w:tl2br w:val="nil"/>
                    <w:tr2bl w:val="nil"/>
                  </w:tcBorders>
                  <w:vAlign w:val="center"/>
                </w:tcPr>
                <w:p w14:paraId="6FA71A46">
                  <w:pPr>
                    <w:pStyle w:val="3"/>
                    <w:keepNext w:val="0"/>
                    <w:keepLines w:val="0"/>
                    <w:suppressLineNumbers w:val="0"/>
                    <w:spacing w:before="0" w:beforeAutospacing="0" w:after="0" w:afterAutospacing="0" w:line="240" w:lineRule="auto"/>
                    <w:ind w:left="0" w:right="0"/>
                    <w:jc w:val="center"/>
                    <w:rPr>
                      <w:rFonts w:hint="default"/>
                      <w:b/>
                      <w:bCs w:val="0"/>
                      <w:color w:val="auto"/>
                      <w:highlight w:val="none"/>
                      <w:vertAlign w:val="baseline"/>
                      <w:lang w:val="en-US" w:eastAsia="zh-CN"/>
                    </w:rPr>
                  </w:pPr>
                  <w:r>
                    <w:rPr>
                      <w:rFonts w:hint="eastAsia"/>
                      <w:b/>
                      <w:bCs w:val="0"/>
                      <w:color w:val="auto"/>
                      <w:highlight w:val="none"/>
                      <w:vertAlign w:val="baseline"/>
                      <w:lang w:val="en-US" w:eastAsia="zh-CN"/>
                    </w:rPr>
                    <w:t>类别</w:t>
                  </w:r>
                </w:p>
              </w:tc>
              <w:tc>
                <w:tcPr>
                  <w:tcW w:w="3352" w:type="pct"/>
                  <w:gridSpan w:val="6"/>
                  <w:tcBorders>
                    <w:tl2br w:val="nil"/>
                    <w:tr2bl w:val="nil"/>
                  </w:tcBorders>
                  <w:vAlign w:val="center"/>
                </w:tcPr>
                <w:p w14:paraId="7B7CFA92">
                  <w:pPr>
                    <w:pStyle w:val="3"/>
                    <w:keepNext w:val="0"/>
                    <w:keepLines w:val="0"/>
                    <w:suppressLineNumbers w:val="0"/>
                    <w:spacing w:before="0" w:beforeAutospacing="0" w:after="0" w:afterAutospacing="0" w:line="240" w:lineRule="auto"/>
                    <w:ind w:left="0" w:right="0"/>
                    <w:jc w:val="center"/>
                    <w:rPr>
                      <w:rFonts w:hint="default"/>
                      <w:b/>
                      <w:bCs w:val="0"/>
                      <w:color w:val="auto"/>
                      <w:highlight w:val="none"/>
                      <w:vertAlign w:val="baseline"/>
                      <w:lang w:val="en-US" w:eastAsia="zh-CN"/>
                    </w:rPr>
                  </w:pPr>
                  <w:r>
                    <w:rPr>
                      <w:rFonts w:hint="eastAsia"/>
                      <w:b/>
                      <w:bCs w:val="0"/>
                      <w:color w:val="auto"/>
                      <w:highlight w:val="none"/>
                      <w:vertAlign w:val="baseline"/>
                      <w:lang w:val="en-US" w:eastAsia="zh-CN"/>
                    </w:rPr>
                    <w:t>生活污水</w:t>
                  </w:r>
                </w:p>
              </w:tc>
            </w:tr>
            <w:tr w14:paraId="0DFD321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7" w:type="pct"/>
                  <w:gridSpan w:val="2"/>
                  <w:tcBorders>
                    <w:tl2br w:val="nil"/>
                    <w:tr2bl w:val="nil"/>
                  </w:tcBorders>
                  <w:vAlign w:val="center"/>
                </w:tcPr>
                <w:p w14:paraId="49BEBCFD">
                  <w:pPr>
                    <w:pStyle w:val="3"/>
                    <w:keepNext w:val="0"/>
                    <w:keepLines w:val="0"/>
                    <w:suppressLineNumbers w:val="0"/>
                    <w:spacing w:before="0" w:beforeAutospacing="0" w:after="0" w:afterAutospacing="0" w:line="240" w:lineRule="auto"/>
                    <w:ind w:left="0" w:right="0"/>
                    <w:jc w:val="center"/>
                    <w:rPr>
                      <w:rFonts w:hint="default"/>
                      <w:b/>
                      <w:bCs w:val="0"/>
                      <w:color w:val="auto"/>
                      <w:highlight w:val="none"/>
                      <w:vertAlign w:val="baseline"/>
                      <w:lang w:val="en-US" w:eastAsia="zh-CN"/>
                    </w:rPr>
                  </w:pPr>
                  <w:r>
                    <w:rPr>
                      <w:rFonts w:hint="eastAsia"/>
                      <w:b/>
                      <w:bCs w:val="0"/>
                      <w:color w:val="auto"/>
                      <w:highlight w:val="none"/>
                      <w:vertAlign w:val="baseline"/>
                      <w:lang w:val="en-US" w:eastAsia="zh-CN"/>
                    </w:rPr>
                    <w:t>污染物类别</w:t>
                  </w:r>
                </w:p>
              </w:tc>
              <w:tc>
                <w:tcPr>
                  <w:tcW w:w="586" w:type="pct"/>
                  <w:tcBorders>
                    <w:tl2br w:val="nil"/>
                    <w:tr2bl w:val="nil"/>
                  </w:tcBorders>
                  <w:vAlign w:val="center"/>
                </w:tcPr>
                <w:p w14:paraId="1A64CDFA">
                  <w:pPr>
                    <w:pStyle w:val="3"/>
                    <w:keepNext w:val="0"/>
                    <w:keepLines w:val="0"/>
                    <w:suppressLineNumbers w:val="0"/>
                    <w:spacing w:before="0" w:beforeAutospacing="0" w:after="0" w:afterAutospacing="0" w:line="240" w:lineRule="auto"/>
                    <w:ind w:left="0" w:right="0"/>
                    <w:jc w:val="center"/>
                    <w:rPr>
                      <w:rFonts w:hint="default"/>
                      <w:b/>
                      <w:bCs w:val="0"/>
                      <w:color w:val="auto"/>
                      <w:highlight w:val="none"/>
                      <w:vertAlign w:val="baseline"/>
                      <w:lang w:val="en-US" w:eastAsia="zh-CN"/>
                    </w:rPr>
                  </w:pPr>
                  <w:r>
                    <w:rPr>
                      <w:rFonts w:hint="eastAsia"/>
                      <w:b/>
                      <w:bCs w:val="0"/>
                      <w:color w:val="auto"/>
                      <w:highlight w:val="none"/>
                      <w:vertAlign w:val="baseline"/>
                      <w:lang w:val="en-US" w:eastAsia="zh-CN"/>
                    </w:rPr>
                    <w:t>COD</w:t>
                  </w:r>
                  <w:r>
                    <w:rPr>
                      <w:rFonts w:hint="eastAsia"/>
                      <w:b/>
                      <w:bCs w:val="0"/>
                      <w:color w:val="auto"/>
                      <w:highlight w:val="none"/>
                      <w:vertAlign w:val="subscript"/>
                      <w:lang w:val="en-US" w:eastAsia="zh-CN"/>
                    </w:rPr>
                    <w:t>Cr</w:t>
                  </w:r>
                </w:p>
              </w:tc>
              <w:tc>
                <w:tcPr>
                  <w:tcW w:w="553" w:type="pct"/>
                  <w:tcBorders>
                    <w:tl2br w:val="nil"/>
                    <w:tr2bl w:val="nil"/>
                  </w:tcBorders>
                  <w:vAlign w:val="center"/>
                </w:tcPr>
                <w:p w14:paraId="5F5569B7">
                  <w:pPr>
                    <w:pStyle w:val="3"/>
                    <w:keepNext w:val="0"/>
                    <w:keepLines w:val="0"/>
                    <w:suppressLineNumbers w:val="0"/>
                    <w:spacing w:before="0" w:beforeAutospacing="0" w:after="0" w:afterAutospacing="0" w:line="240" w:lineRule="auto"/>
                    <w:ind w:left="0" w:right="0"/>
                    <w:jc w:val="center"/>
                    <w:rPr>
                      <w:rFonts w:hint="default"/>
                      <w:b/>
                      <w:bCs w:val="0"/>
                      <w:color w:val="auto"/>
                      <w:highlight w:val="none"/>
                      <w:vertAlign w:val="baseline"/>
                      <w:lang w:val="en-US" w:eastAsia="zh-CN"/>
                    </w:rPr>
                  </w:pPr>
                  <w:r>
                    <w:rPr>
                      <w:rFonts w:hint="eastAsia"/>
                      <w:b/>
                      <w:bCs w:val="0"/>
                      <w:color w:val="auto"/>
                      <w:highlight w:val="none"/>
                      <w:vertAlign w:val="baseline"/>
                      <w:lang w:val="en-US" w:eastAsia="zh-CN"/>
                    </w:rPr>
                    <w:t>氨氮</w:t>
                  </w:r>
                </w:p>
              </w:tc>
              <w:tc>
                <w:tcPr>
                  <w:tcW w:w="552" w:type="pct"/>
                  <w:tcBorders>
                    <w:tl2br w:val="nil"/>
                    <w:tr2bl w:val="nil"/>
                  </w:tcBorders>
                  <w:vAlign w:val="center"/>
                </w:tcPr>
                <w:p w14:paraId="63F780CF">
                  <w:pPr>
                    <w:pStyle w:val="3"/>
                    <w:keepNext w:val="0"/>
                    <w:keepLines w:val="0"/>
                    <w:suppressLineNumbers w:val="0"/>
                    <w:spacing w:before="0" w:beforeAutospacing="0" w:after="0" w:afterAutospacing="0" w:line="240" w:lineRule="auto"/>
                    <w:ind w:left="0" w:right="0"/>
                    <w:jc w:val="center"/>
                    <w:rPr>
                      <w:rFonts w:hint="default"/>
                      <w:b/>
                      <w:bCs w:val="0"/>
                      <w:color w:val="auto"/>
                      <w:highlight w:val="none"/>
                      <w:vertAlign w:val="baseline"/>
                      <w:lang w:val="en-US" w:eastAsia="zh-CN"/>
                    </w:rPr>
                  </w:pPr>
                  <w:r>
                    <w:rPr>
                      <w:rFonts w:hint="eastAsia"/>
                      <w:b/>
                      <w:bCs w:val="0"/>
                      <w:color w:val="auto"/>
                      <w:highlight w:val="none"/>
                      <w:vertAlign w:val="baseline"/>
                      <w:lang w:val="en-US" w:eastAsia="zh-CN"/>
                    </w:rPr>
                    <w:t>总磷</w:t>
                  </w:r>
                </w:p>
              </w:tc>
              <w:tc>
                <w:tcPr>
                  <w:tcW w:w="553" w:type="pct"/>
                  <w:tcBorders>
                    <w:tl2br w:val="nil"/>
                    <w:tr2bl w:val="nil"/>
                  </w:tcBorders>
                  <w:vAlign w:val="center"/>
                </w:tcPr>
                <w:p w14:paraId="53A1CBBA">
                  <w:pPr>
                    <w:pStyle w:val="3"/>
                    <w:keepNext w:val="0"/>
                    <w:keepLines w:val="0"/>
                    <w:suppressLineNumbers w:val="0"/>
                    <w:spacing w:before="0" w:beforeAutospacing="0" w:after="0" w:afterAutospacing="0" w:line="240" w:lineRule="auto"/>
                    <w:ind w:left="0" w:right="0"/>
                    <w:jc w:val="center"/>
                    <w:rPr>
                      <w:rFonts w:hint="default"/>
                      <w:b/>
                      <w:bCs w:val="0"/>
                      <w:color w:val="auto"/>
                      <w:highlight w:val="none"/>
                      <w:vertAlign w:val="baseline"/>
                      <w:lang w:val="en-US" w:eastAsia="zh-CN"/>
                    </w:rPr>
                  </w:pPr>
                  <w:r>
                    <w:rPr>
                      <w:rFonts w:hint="eastAsia"/>
                      <w:b/>
                      <w:bCs w:val="0"/>
                      <w:color w:val="auto"/>
                      <w:highlight w:val="none"/>
                      <w:vertAlign w:val="baseline"/>
                      <w:lang w:val="en-US" w:eastAsia="zh-CN"/>
                    </w:rPr>
                    <w:t>总氮</w:t>
                  </w:r>
                </w:p>
              </w:tc>
              <w:tc>
                <w:tcPr>
                  <w:tcW w:w="553" w:type="pct"/>
                  <w:tcBorders>
                    <w:tl2br w:val="nil"/>
                    <w:tr2bl w:val="nil"/>
                  </w:tcBorders>
                  <w:vAlign w:val="center"/>
                </w:tcPr>
                <w:p w14:paraId="2EA40EBB">
                  <w:pPr>
                    <w:pStyle w:val="3"/>
                    <w:keepNext w:val="0"/>
                    <w:keepLines w:val="0"/>
                    <w:suppressLineNumbers w:val="0"/>
                    <w:spacing w:before="0" w:beforeAutospacing="0" w:after="0" w:afterAutospacing="0" w:line="240" w:lineRule="auto"/>
                    <w:ind w:left="0" w:right="0"/>
                    <w:jc w:val="center"/>
                    <w:rPr>
                      <w:rFonts w:hint="default"/>
                      <w:b/>
                      <w:bCs w:val="0"/>
                      <w:color w:val="auto"/>
                      <w:highlight w:val="none"/>
                      <w:vertAlign w:val="baseline"/>
                      <w:lang w:val="en-US" w:eastAsia="zh-CN"/>
                    </w:rPr>
                  </w:pPr>
                  <w:r>
                    <w:rPr>
                      <w:rFonts w:hint="eastAsia"/>
                      <w:b/>
                      <w:bCs w:val="0"/>
                      <w:color w:val="auto"/>
                      <w:highlight w:val="none"/>
                      <w:vertAlign w:val="baseline"/>
                      <w:lang w:val="en-US" w:eastAsia="zh-CN"/>
                    </w:rPr>
                    <w:t>BOD</w:t>
                  </w:r>
                  <w:r>
                    <w:rPr>
                      <w:rFonts w:hint="eastAsia"/>
                      <w:b/>
                      <w:bCs w:val="0"/>
                      <w:color w:val="auto"/>
                      <w:highlight w:val="none"/>
                      <w:vertAlign w:val="subscript"/>
                      <w:lang w:val="en-US" w:eastAsia="zh-CN"/>
                    </w:rPr>
                    <w:t>5</w:t>
                  </w:r>
                </w:p>
              </w:tc>
              <w:tc>
                <w:tcPr>
                  <w:tcW w:w="553" w:type="pct"/>
                  <w:tcBorders>
                    <w:tl2br w:val="nil"/>
                    <w:tr2bl w:val="nil"/>
                  </w:tcBorders>
                  <w:vAlign w:val="center"/>
                </w:tcPr>
                <w:p w14:paraId="363EE6B5">
                  <w:pPr>
                    <w:pStyle w:val="3"/>
                    <w:keepNext w:val="0"/>
                    <w:keepLines w:val="0"/>
                    <w:suppressLineNumbers w:val="0"/>
                    <w:spacing w:before="0" w:beforeAutospacing="0" w:after="0" w:afterAutospacing="0" w:line="240" w:lineRule="auto"/>
                    <w:ind w:left="0" w:right="0"/>
                    <w:jc w:val="center"/>
                    <w:rPr>
                      <w:rFonts w:hint="default"/>
                      <w:b/>
                      <w:bCs w:val="0"/>
                      <w:color w:val="auto"/>
                      <w:highlight w:val="none"/>
                      <w:vertAlign w:val="baseline"/>
                      <w:lang w:val="en-US" w:eastAsia="zh-CN"/>
                    </w:rPr>
                  </w:pPr>
                  <w:r>
                    <w:rPr>
                      <w:rFonts w:hint="eastAsia"/>
                      <w:b/>
                      <w:bCs w:val="0"/>
                      <w:color w:val="auto"/>
                      <w:highlight w:val="none"/>
                      <w:vertAlign w:val="baseline"/>
                      <w:lang w:val="en-US" w:eastAsia="zh-CN"/>
                    </w:rPr>
                    <w:t>SS</w:t>
                  </w:r>
                </w:p>
              </w:tc>
            </w:tr>
            <w:tr w14:paraId="11276FB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pct"/>
                  <w:vMerge w:val="restart"/>
                  <w:tcBorders>
                    <w:tl2br w:val="nil"/>
                    <w:tr2bl w:val="nil"/>
                  </w:tcBorders>
                  <w:vAlign w:val="center"/>
                </w:tcPr>
                <w:p w14:paraId="05A23E22">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污染物产生情况</w:t>
                  </w:r>
                </w:p>
              </w:tc>
              <w:tc>
                <w:tcPr>
                  <w:tcW w:w="910" w:type="pct"/>
                  <w:tcBorders>
                    <w:tl2br w:val="nil"/>
                    <w:tr2bl w:val="nil"/>
                  </w:tcBorders>
                  <w:vAlign w:val="center"/>
                </w:tcPr>
                <w:p w14:paraId="1975151D">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废水产生量（t/a）</w:t>
                  </w:r>
                </w:p>
              </w:tc>
              <w:tc>
                <w:tcPr>
                  <w:tcW w:w="3352" w:type="pct"/>
                  <w:gridSpan w:val="6"/>
                  <w:tcBorders>
                    <w:tl2br w:val="nil"/>
                    <w:tr2bl w:val="nil"/>
                  </w:tcBorders>
                  <w:vAlign w:val="center"/>
                </w:tcPr>
                <w:p w14:paraId="3CCE31CB">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168</w:t>
                  </w:r>
                </w:p>
              </w:tc>
            </w:tr>
            <w:tr w14:paraId="70B20B0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pct"/>
                  <w:vMerge w:val="continue"/>
                  <w:tcBorders>
                    <w:tl2br w:val="nil"/>
                    <w:tr2bl w:val="nil"/>
                  </w:tcBorders>
                  <w:vAlign w:val="center"/>
                </w:tcPr>
                <w:p w14:paraId="56F4F43A">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p>
              </w:tc>
              <w:tc>
                <w:tcPr>
                  <w:tcW w:w="910" w:type="pct"/>
                  <w:tcBorders>
                    <w:tl2br w:val="nil"/>
                    <w:tr2bl w:val="nil"/>
                  </w:tcBorders>
                  <w:vAlign w:val="center"/>
                </w:tcPr>
                <w:p w14:paraId="7FC9E799">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产生浓度（mg/L）</w:t>
                  </w:r>
                </w:p>
              </w:tc>
              <w:tc>
                <w:tcPr>
                  <w:tcW w:w="586" w:type="pct"/>
                  <w:tcBorders>
                    <w:tl2br w:val="nil"/>
                    <w:tr2bl w:val="nil"/>
                  </w:tcBorders>
                  <w:vAlign w:val="center"/>
                </w:tcPr>
                <w:p w14:paraId="38916072">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285</w:t>
                  </w:r>
                </w:p>
              </w:tc>
              <w:tc>
                <w:tcPr>
                  <w:tcW w:w="553" w:type="pct"/>
                  <w:tcBorders>
                    <w:tl2br w:val="nil"/>
                    <w:tr2bl w:val="nil"/>
                  </w:tcBorders>
                  <w:vAlign w:val="center"/>
                </w:tcPr>
                <w:p w14:paraId="4E17B78A">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28.3</w:t>
                  </w:r>
                </w:p>
              </w:tc>
              <w:tc>
                <w:tcPr>
                  <w:tcW w:w="552" w:type="pct"/>
                  <w:tcBorders>
                    <w:tl2br w:val="nil"/>
                    <w:tr2bl w:val="nil"/>
                  </w:tcBorders>
                  <w:vAlign w:val="center"/>
                </w:tcPr>
                <w:p w14:paraId="0B965BD2">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4.1</w:t>
                  </w:r>
                </w:p>
              </w:tc>
              <w:tc>
                <w:tcPr>
                  <w:tcW w:w="553" w:type="pct"/>
                  <w:tcBorders>
                    <w:tl2br w:val="nil"/>
                    <w:tr2bl w:val="nil"/>
                  </w:tcBorders>
                  <w:vAlign w:val="center"/>
                </w:tcPr>
                <w:p w14:paraId="1A388FD1">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39.4</w:t>
                  </w:r>
                </w:p>
              </w:tc>
              <w:tc>
                <w:tcPr>
                  <w:tcW w:w="553" w:type="pct"/>
                  <w:tcBorders>
                    <w:tl2br w:val="nil"/>
                    <w:tr2bl w:val="nil"/>
                  </w:tcBorders>
                  <w:vAlign w:val="center"/>
                </w:tcPr>
                <w:p w14:paraId="61D0C757">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200</w:t>
                  </w:r>
                </w:p>
              </w:tc>
              <w:tc>
                <w:tcPr>
                  <w:tcW w:w="553" w:type="pct"/>
                  <w:tcBorders>
                    <w:tl2br w:val="nil"/>
                    <w:tr2bl w:val="nil"/>
                  </w:tcBorders>
                  <w:vAlign w:val="center"/>
                </w:tcPr>
                <w:p w14:paraId="16DE5662">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220</w:t>
                  </w:r>
                </w:p>
              </w:tc>
            </w:tr>
            <w:tr w14:paraId="2DCE264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pct"/>
                  <w:vMerge w:val="continue"/>
                  <w:tcBorders>
                    <w:tl2br w:val="nil"/>
                    <w:tr2bl w:val="nil"/>
                  </w:tcBorders>
                  <w:vAlign w:val="center"/>
                </w:tcPr>
                <w:p w14:paraId="10DE1D8A">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p>
              </w:tc>
              <w:tc>
                <w:tcPr>
                  <w:tcW w:w="910" w:type="pct"/>
                  <w:tcBorders>
                    <w:tl2br w:val="nil"/>
                    <w:tr2bl w:val="nil"/>
                  </w:tcBorders>
                  <w:vAlign w:val="center"/>
                </w:tcPr>
                <w:p w14:paraId="19E0D276">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产生量（t/a）</w:t>
                  </w:r>
                </w:p>
              </w:tc>
              <w:tc>
                <w:tcPr>
                  <w:tcW w:w="586" w:type="pct"/>
                  <w:tcBorders>
                    <w:tl2br w:val="nil"/>
                    <w:tr2bl w:val="nil"/>
                  </w:tcBorders>
                  <w:vAlign w:val="center"/>
                </w:tcPr>
                <w:p w14:paraId="7730DDBD">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0.0479</w:t>
                  </w:r>
                </w:p>
              </w:tc>
              <w:tc>
                <w:tcPr>
                  <w:tcW w:w="553" w:type="pct"/>
                  <w:tcBorders>
                    <w:tl2br w:val="nil"/>
                    <w:tr2bl w:val="nil"/>
                  </w:tcBorders>
                  <w:vAlign w:val="center"/>
                </w:tcPr>
                <w:p w14:paraId="7FBF8113">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0.0048</w:t>
                  </w:r>
                </w:p>
              </w:tc>
              <w:tc>
                <w:tcPr>
                  <w:tcW w:w="552" w:type="pct"/>
                  <w:tcBorders>
                    <w:tl2br w:val="nil"/>
                    <w:tr2bl w:val="nil"/>
                  </w:tcBorders>
                  <w:vAlign w:val="center"/>
                </w:tcPr>
                <w:p w14:paraId="176F5F35">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0.0003</w:t>
                  </w:r>
                </w:p>
              </w:tc>
              <w:tc>
                <w:tcPr>
                  <w:tcW w:w="553" w:type="pct"/>
                  <w:tcBorders>
                    <w:tl2br w:val="nil"/>
                    <w:tr2bl w:val="nil"/>
                  </w:tcBorders>
                  <w:vAlign w:val="center"/>
                </w:tcPr>
                <w:p w14:paraId="3DFDEA35">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0.0066</w:t>
                  </w:r>
                </w:p>
              </w:tc>
              <w:tc>
                <w:tcPr>
                  <w:tcW w:w="553" w:type="pct"/>
                  <w:tcBorders>
                    <w:tl2br w:val="nil"/>
                    <w:tr2bl w:val="nil"/>
                  </w:tcBorders>
                  <w:vAlign w:val="center"/>
                </w:tcPr>
                <w:p w14:paraId="40F581D0">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0.0336</w:t>
                  </w:r>
                </w:p>
              </w:tc>
              <w:tc>
                <w:tcPr>
                  <w:tcW w:w="553" w:type="pct"/>
                  <w:tcBorders>
                    <w:tl2br w:val="nil"/>
                    <w:tr2bl w:val="nil"/>
                  </w:tcBorders>
                  <w:vAlign w:val="center"/>
                </w:tcPr>
                <w:p w14:paraId="614CE7B8">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0.0370</w:t>
                  </w:r>
                </w:p>
              </w:tc>
            </w:tr>
            <w:tr w14:paraId="7435164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pct"/>
                  <w:vMerge w:val="restart"/>
                  <w:tcBorders>
                    <w:tl2br w:val="nil"/>
                    <w:tr2bl w:val="nil"/>
                  </w:tcBorders>
                  <w:vAlign w:val="center"/>
                </w:tcPr>
                <w:p w14:paraId="11538913">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主要污染治理设施</w:t>
                  </w:r>
                </w:p>
              </w:tc>
              <w:tc>
                <w:tcPr>
                  <w:tcW w:w="910" w:type="pct"/>
                  <w:tcBorders>
                    <w:tl2br w:val="nil"/>
                    <w:tr2bl w:val="nil"/>
                  </w:tcBorders>
                  <w:vAlign w:val="center"/>
                </w:tcPr>
                <w:p w14:paraId="285170C7">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处理工艺</w:t>
                  </w:r>
                </w:p>
              </w:tc>
              <w:tc>
                <w:tcPr>
                  <w:tcW w:w="3352" w:type="pct"/>
                  <w:gridSpan w:val="6"/>
                  <w:tcBorders>
                    <w:tl2br w:val="nil"/>
                    <w:tr2bl w:val="nil"/>
                  </w:tcBorders>
                  <w:vAlign w:val="center"/>
                </w:tcPr>
                <w:p w14:paraId="6F134F5B">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default"/>
                      <w:b w:val="0"/>
                      <w:bCs/>
                      <w:color w:val="auto"/>
                      <w:highlight w:val="none"/>
                      <w:vertAlign w:val="baseline"/>
                      <w:lang w:val="en-US" w:eastAsia="zh-CN"/>
                    </w:rPr>
                    <w:t>三级化粪池预处理后纳入博罗县城生活污水处理厂进行深度处理</w:t>
                  </w:r>
                </w:p>
              </w:tc>
            </w:tr>
            <w:tr w14:paraId="5393C75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pct"/>
                  <w:vMerge w:val="continue"/>
                  <w:tcBorders>
                    <w:tl2br w:val="nil"/>
                    <w:tr2bl w:val="nil"/>
                  </w:tcBorders>
                  <w:vAlign w:val="center"/>
                </w:tcPr>
                <w:p w14:paraId="62BD7AC5">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p>
              </w:tc>
              <w:tc>
                <w:tcPr>
                  <w:tcW w:w="910" w:type="pct"/>
                  <w:tcBorders>
                    <w:tl2br w:val="nil"/>
                    <w:tr2bl w:val="nil"/>
                  </w:tcBorders>
                  <w:vAlign w:val="center"/>
                </w:tcPr>
                <w:p w14:paraId="69D67C87">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处理能力（t/a）</w:t>
                  </w:r>
                </w:p>
              </w:tc>
              <w:tc>
                <w:tcPr>
                  <w:tcW w:w="3352" w:type="pct"/>
                  <w:gridSpan w:val="6"/>
                  <w:tcBorders>
                    <w:tl2br w:val="nil"/>
                    <w:tr2bl w:val="nil"/>
                  </w:tcBorders>
                  <w:vAlign w:val="center"/>
                </w:tcPr>
                <w:p w14:paraId="40850A14">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168</w:t>
                  </w:r>
                </w:p>
              </w:tc>
            </w:tr>
            <w:tr w14:paraId="0B2D1F93">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pct"/>
                  <w:vMerge w:val="continue"/>
                  <w:tcBorders>
                    <w:tl2br w:val="nil"/>
                    <w:tr2bl w:val="nil"/>
                  </w:tcBorders>
                  <w:vAlign w:val="center"/>
                </w:tcPr>
                <w:p w14:paraId="1FD5528D">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p>
              </w:tc>
              <w:tc>
                <w:tcPr>
                  <w:tcW w:w="910" w:type="pct"/>
                  <w:tcBorders>
                    <w:tl2br w:val="nil"/>
                    <w:tr2bl w:val="nil"/>
                  </w:tcBorders>
                  <w:vAlign w:val="center"/>
                </w:tcPr>
                <w:p w14:paraId="6D734276">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治理效率（%）</w:t>
                  </w:r>
                </w:p>
              </w:tc>
              <w:tc>
                <w:tcPr>
                  <w:tcW w:w="586" w:type="pct"/>
                  <w:tcBorders>
                    <w:tl2br w:val="nil"/>
                    <w:tr2bl w:val="nil"/>
                  </w:tcBorders>
                  <w:vAlign w:val="center"/>
                </w:tcPr>
                <w:p w14:paraId="6C94EA90">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86</w:t>
                  </w:r>
                </w:p>
              </w:tc>
              <w:tc>
                <w:tcPr>
                  <w:tcW w:w="553" w:type="pct"/>
                  <w:tcBorders>
                    <w:tl2br w:val="nil"/>
                    <w:tr2bl w:val="nil"/>
                  </w:tcBorders>
                  <w:vAlign w:val="center"/>
                </w:tcPr>
                <w:p w14:paraId="29D114DB">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93</w:t>
                  </w:r>
                </w:p>
              </w:tc>
              <w:tc>
                <w:tcPr>
                  <w:tcW w:w="552" w:type="pct"/>
                  <w:tcBorders>
                    <w:tl2br w:val="nil"/>
                    <w:tr2bl w:val="nil"/>
                  </w:tcBorders>
                  <w:vAlign w:val="center"/>
                </w:tcPr>
                <w:p w14:paraId="2129C964">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92</w:t>
                  </w:r>
                </w:p>
              </w:tc>
              <w:tc>
                <w:tcPr>
                  <w:tcW w:w="553" w:type="pct"/>
                  <w:tcBorders>
                    <w:tl2br w:val="nil"/>
                    <w:tr2bl w:val="nil"/>
                  </w:tcBorders>
                  <w:vAlign w:val="center"/>
                </w:tcPr>
                <w:p w14:paraId="72499883">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58</w:t>
                  </w:r>
                </w:p>
              </w:tc>
              <w:tc>
                <w:tcPr>
                  <w:tcW w:w="553" w:type="pct"/>
                  <w:tcBorders>
                    <w:tl2br w:val="nil"/>
                    <w:tr2bl w:val="nil"/>
                  </w:tcBorders>
                  <w:vAlign w:val="center"/>
                </w:tcPr>
                <w:p w14:paraId="71E38D5A">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95</w:t>
                  </w:r>
                </w:p>
              </w:tc>
              <w:tc>
                <w:tcPr>
                  <w:tcW w:w="553" w:type="pct"/>
                  <w:tcBorders>
                    <w:tl2br w:val="nil"/>
                    <w:tr2bl w:val="nil"/>
                  </w:tcBorders>
                  <w:vAlign w:val="center"/>
                </w:tcPr>
                <w:p w14:paraId="3343C345">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95</w:t>
                  </w:r>
                </w:p>
              </w:tc>
            </w:tr>
            <w:tr w14:paraId="6FFE65E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pct"/>
                  <w:vMerge w:val="continue"/>
                  <w:tcBorders>
                    <w:tl2br w:val="nil"/>
                    <w:tr2bl w:val="nil"/>
                  </w:tcBorders>
                  <w:vAlign w:val="center"/>
                </w:tcPr>
                <w:p w14:paraId="0757344E">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p>
              </w:tc>
              <w:tc>
                <w:tcPr>
                  <w:tcW w:w="910" w:type="pct"/>
                  <w:tcBorders>
                    <w:tl2br w:val="nil"/>
                    <w:tr2bl w:val="nil"/>
                  </w:tcBorders>
                  <w:vAlign w:val="center"/>
                </w:tcPr>
                <w:p w14:paraId="12616BEC">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是否为可行技术</w:t>
                  </w:r>
                </w:p>
              </w:tc>
              <w:tc>
                <w:tcPr>
                  <w:tcW w:w="3352" w:type="pct"/>
                  <w:gridSpan w:val="6"/>
                  <w:tcBorders>
                    <w:tl2br w:val="nil"/>
                    <w:tr2bl w:val="nil"/>
                  </w:tcBorders>
                  <w:vAlign w:val="center"/>
                </w:tcPr>
                <w:p w14:paraId="29F9AB10">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是</w:t>
                  </w:r>
                </w:p>
              </w:tc>
            </w:tr>
            <w:tr w14:paraId="09F3CB1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pct"/>
                  <w:vMerge w:val="restart"/>
                  <w:tcBorders>
                    <w:tl2br w:val="nil"/>
                    <w:tr2bl w:val="nil"/>
                  </w:tcBorders>
                  <w:vAlign w:val="center"/>
                </w:tcPr>
                <w:p w14:paraId="3328A6AA">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污染物排放情况</w:t>
                  </w:r>
                </w:p>
              </w:tc>
              <w:tc>
                <w:tcPr>
                  <w:tcW w:w="910" w:type="pct"/>
                  <w:tcBorders>
                    <w:tl2br w:val="nil"/>
                    <w:tr2bl w:val="nil"/>
                  </w:tcBorders>
                  <w:vAlign w:val="center"/>
                </w:tcPr>
                <w:p w14:paraId="3EC77F18">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废水排放量（t/a)</w:t>
                  </w:r>
                </w:p>
              </w:tc>
              <w:tc>
                <w:tcPr>
                  <w:tcW w:w="3352" w:type="pct"/>
                  <w:gridSpan w:val="6"/>
                  <w:tcBorders>
                    <w:tl2br w:val="nil"/>
                    <w:tr2bl w:val="nil"/>
                  </w:tcBorders>
                  <w:vAlign w:val="center"/>
                </w:tcPr>
                <w:p w14:paraId="3F06AE8A">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168</w:t>
                  </w:r>
                </w:p>
              </w:tc>
            </w:tr>
            <w:tr w14:paraId="74B309D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pct"/>
                  <w:vMerge w:val="continue"/>
                  <w:tcBorders>
                    <w:tl2br w:val="nil"/>
                    <w:tr2bl w:val="nil"/>
                  </w:tcBorders>
                  <w:vAlign w:val="center"/>
                </w:tcPr>
                <w:p w14:paraId="73FC3B11">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p>
              </w:tc>
              <w:tc>
                <w:tcPr>
                  <w:tcW w:w="910" w:type="pct"/>
                  <w:tcBorders>
                    <w:tl2br w:val="nil"/>
                    <w:tr2bl w:val="nil"/>
                  </w:tcBorders>
                  <w:vAlign w:val="center"/>
                </w:tcPr>
                <w:p w14:paraId="5C182D42">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排放浓度（mg/L）</w:t>
                  </w:r>
                </w:p>
              </w:tc>
              <w:tc>
                <w:tcPr>
                  <w:tcW w:w="586" w:type="pct"/>
                  <w:tcBorders>
                    <w:tl2br w:val="nil"/>
                    <w:tr2bl w:val="nil"/>
                  </w:tcBorders>
                  <w:vAlign w:val="center"/>
                </w:tcPr>
                <w:p w14:paraId="635411F6">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40</w:t>
                  </w:r>
                </w:p>
              </w:tc>
              <w:tc>
                <w:tcPr>
                  <w:tcW w:w="553" w:type="pct"/>
                  <w:tcBorders>
                    <w:tl2br w:val="nil"/>
                    <w:tr2bl w:val="nil"/>
                  </w:tcBorders>
                  <w:vAlign w:val="center"/>
                </w:tcPr>
                <w:p w14:paraId="6FAEBACE">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2</w:t>
                  </w:r>
                </w:p>
              </w:tc>
              <w:tc>
                <w:tcPr>
                  <w:tcW w:w="552" w:type="pct"/>
                  <w:tcBorders>
                    <w:tl2br w:val="nil"/>
                    <w:tr2bl w:val="nil"/>
                  </w:tcBorders>
                  <w:vAlign w:val="center"/>
                </w:tcPr>
                <w:p w14:paraId="5D00E2A1">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0.4</w:t>
                  </w:r>
                </w:p>
              </w:tc>
              <w:tc>
                <w:tcPr>
                  <w:tcW w:w="553" w:type="pct"/>
                  <w:tcBorders>
                    <w:tl2br w:val="nil"/>
                    <w:tr2bl w:val="nil"/>
                  </w:tcBorders>
                  <w:vAlign w:val="center"/>
                </w:tcPr>
                <w:p w14:paraId="41DA089F">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15</w:t>
                  </w:r>
                </w:p>
              </w:tc>
              <w:tc>
                <w:tcPr>
                  <w:tcW w:w="553" w:type="pct"/>
                  <w:tcBorders>
                    <w:tl2br w:val="nil"/>
                    <w:tr2bl w:val="nil"/>
                  </w:tcBorders>
                  <w:vAlign w:val="center"/>
                </w:tcPr>
                <w:p w14:paraId="13A1FDA5">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10</w:t>
                  </w:r>
                </w:p>
              </w:tc>
              <w:tc>
                <w:tcPr>
                  <w:tcW w:w="553" w:type="pct"/>
                  <w:tcBorders>
                    <w:tl2br w:val="nil"/>
                    <w:tr2bl w:val="nil"/>
                  </w:tcBorders>
                  <w:vAlign w:val="center"/>
                </w:tcPr>
                <w:p w14:paraId="63DB7399">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10</w:t>
                  </w:r>
                </w:p>
              </w:tc>
            </w:tr>
            <w:tr w14:paraId="662C66C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pct"/>
                  <w:vMerge w:val="continue"/>
                  <w:tcBorders>
                    <w:tl2br w:val="nil"/>
                    <w:tr2bl w:val="nil"/>
                  </w:tcBorders>
                  <w:vAlign w:val="center"/>
                </w:tcPr>
                <w:p w14:paraId="3C0B85A1">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p>
              </w:tc>
              <w:tc>
                <w:tcPr>
                  <w:tcW w:w="910" w:type="pct"/>
                  <w:tcBorders>
                    <w:tl2br w:val="nil"/>
                    <w:tr2bl w:val="nil"/>
                  </w:tcBorders>
                  <w:vAlign w:val="center"/>
                </w:tcPr>
                <w:p w14:paraId="12919CBD">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排放量（t/a）</w:t>
                  </w:r>
                </w:p>
              </w:tc>
              <w:tc>
                <w:tcPr>
                  <w:tcW w:w="586" w:type="pct"/>
                  <w:tcBorders>
                    <w:tl2br w:val="nil"/>
                    <w:tr2bl w:val="nil"/>
                  </w:tcBorders>
                  <w:vAlign w:val="center"/>
                </w:tcPr>
                <w:p w14:paraId="250FF638">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0.0067</w:t>
                  </w:r>
                </w:p>
              </w:tc>
              <w:tc>
                <w:tcPr>
                  <w:tcW w:w="553" w:type="pct"/>
                  <w:tcBorders>
                    <w:tl2br w:val="nil"/>
                    <w:tr2bl w:val="nil"/>
                  </w:tcBorders>
                  <w:vAlign w:val="center"/>
                </w:tcPr>
                <w:p w14:paraId="2D37A9E1">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0.0003</w:t>
                  </w:r>
                </w:p>
              </w:tc>
              <w:tc>
                <w:tcPr>
                  <w:tcW w:w="552" w:type="pct"/>
                  <w:tcBorders>
                    <w:tl2br w:val="nil"/>
                    <w:tr2bl w:val="nil"/>
                  </w:tcBorders>
                  <w:vAlign w:val="center"/>
                </w:tcPr>
                <w:p w14:paraId="7B029F97">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0.0007</w:t>
                  </w:r>
                </w:p>
              </w:tc>
              <w:tc>
                <w:tcPr>
                  <w:tcW w:w="553" w:type="pct"/>
                  <w:tcBorders>
                    <w:tl2br w:val="nil"/>
                    <w:tr2bl w:val="nil"/>
                  </w:tcBorders>
                  <w:vAlign w:val="center"/>
                </w:tcPr>
                <w:p w14:paraId="67470631">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0.0025</w:t>
                  </w:r>
                </w:p>
              </w:tc>
              <w:tc>
                <w:tcPr>
                  <w:tcW w:w="553" w:type="pct"/>
                  <w:tcBorders>
                    <w:tl2br w:val="nil"/>
                    <w:tr2bl w:val="nil"/>
                  </w:tcBorders>
                  <w:vAlign w:val="center"/>
                </w:tcPr>
                <w:p w14:paraId="42B61D89">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0.0017</w:t>
                  </w:r>
                </w:p>
              </w:tc>
              <w:tc>
                <w:tcPr>
                  <w:tcW w:w="553" w:type="pct"/>
                  <w:tcBorders>
                    <w:tl2br w:val="nil"/>
                    <w:tr2bl w:val="nil"/>
                  </w:tcBorders>
                  <w:vAlign w:val="center"/>
                </w:tcPr>
                <w:p w14:paraId="7B3B6572">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0.0017</w:t>
                  </w:r>
                </w:p>
              </w:tc>
            </w:tr>
            <w:tr w14:paraId="68240F7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7" w:type="pct"/>
                  <w:gridSpan w:val="2"/>
                  <w:tcBorders>
                    <w:tl2br w:val="nil"/>
                    <w:tr2bl w:val="nil"/>
                  </w:tcBorders>
                  <w:vAlign w:val="center"/>
                </w:tcPr>
                <w:p w14:paraId="2583E863">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排放口编号</w:t>
                  </w:r>
                </w:p>
              </w:tc>
              <w:tc>
                <w:tcPr>
                  <w:tcW w:w="3352" w:type="pct"/>
                  <w:gridSpan w:val="6"/>
                  <w:tcBorders>
                    <w:tl2br w:val="nil"/>
                    <w:tr2bl w:val="nil"/>
                  </w:tcBorders>
                  <w:vAlign w:val="center"/>
                </w:tcPr>
                <w:p w14:paraId="2668A880">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w:t>
                  </w:r>
                </w:p>
              </w:tc>
            </w:tr>
            <w:tr w14:paraId="1B4AB7B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pct"/>
                  <w:tcBorders>
                    <w:tl2br w:val="nil"/>
                    <w:tr2bl w:val="nil"/>
                  </w:tcBorders>
                  <w:vAlign w:val="center"/>
                </w:tcPr>
                <w:p w14:paraId="55C3A0BC">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排放标准</w:t>
                  </w:r>
                </w:p>
              </w:tc>
              <w:tc>
                <w:tcPr>
                  <w:tcW w:w="910" w:type="pct"/>
                  <w:tcBorders>
                    <w:tl2br w:val="nil"/>
                    <w:tr2bl w:val="nil"/>
                  </w:tcBorders>
                  <w:vAlign w:val="center"/>
                </w:tcPr>
                <w:p w14:paraId="77A7B729">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浓度限值（mg/L）</w:t>
                  </w:r>
                </w:p>
              </w:tc>
              <w:tc>
                <w:tcPr>
                  <w:tcW w:w="586" w:type="pct"/>
                  <w:tcBorders>
                    <w:tl2br w:val="nil"/>
                    <w:tr2bl w:val="nil"/>
                  </w:tcBorders>
                  <w:vAlign w:val="center"/>
                </w:tcPr>
                <w:p w14:paraId="5AC4D316">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40</w:t>
                  </w:r>
                </w:p>
              </w:tc>
              <w:tc>
                <w:tcPr>
                  <w:tcW w:w="553" w:type="pct"/>
                  <w:tcBorders>
                    <w:tl2br w:val="nil"/>
                    <w:tr2bl w:val="nil"/>
                  </w:tcBorders>
                  <w:vAlign w:val="center"/>
                </w:tcPr>
                <w:p w14:paraId="6FBD8D9B">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2</w:t>
                  </w:r>
                </w:p>
              </w:tc>
              <w:tc>
                <w:tcPr>
                  <w:tcW w:w="552" w:type="pct"/>
                  <w:tcBorders>
                    <w:tl2br w:val="nil"/>
                    <w:tr2bl w:val="nil"/>
                  </w:tcBorders>
                  <w:vAlign w:val="center"/>
                </w:tcPr>
                <w:p w14:paraId="2D6FC3C9">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0.4</w:t>
                  </w:r>
                </w:p>
              </w:tc>
              <w:tc>
                <w:tcPr>
                  <w:tcW w:w="553" w:type="pct"/>
                  <w:tcBorders>
                    <w:tl2br w:val="nil"/>
                    <w:tr2bl w:val="nil"/>
                  </w:tcBorders>
                  <w:vAlign w:val="center"/>
                </w:tcPr>
                <w:p w14:paraId="6D317163">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15</w:t>
                  </w:r>
                </w:p>
              </w:tc>
              <w:tc>
                <w:tcPr>
                  <w:tcW w:w="553" w:type="pct"/>
                  <w:tcBorders>
                    <w:tl2br w:val="nil"/>
                    <w:tr2bl w:val="nil"/>
                  </w:tcBorders>
                  <w:vAlign w:val="center"/>
                </w:tcPr>
                <w:p w14:paraId="60B02275">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10</w:t>
                  </w:r>
                </w:p>
              </w:tc>
              <w:tc>
                <w:tcPr>
                  <w:tcW w:w="553" w:type="pct"/>
                  <w:tcBorders>
                    <w:tl2br w:val="nil"/>
                    <w:tr2bl w:val="nil"/>
                  </w:tcBorders>
                  <w:vAlign w:val="center"/>
                </w:tcPr>
                <w:p w14:paraId="36ACF7AA">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10</w:t>
                  </w:r>
                </w:p>
              </w:tc>
            </w:tr>
            <w:tr w14:paraId="67CEB5E6">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7" w:type="pct"/>
                  <w:gridSpan w:val="2"/>
                  <w:tcBorders>
                    <w:tl2br w:val="nil"/>
                    <w:tr2bl w:val="nil"/>
                  </w:tcBorders>
                  <w:vAlign w:val="center"/>
                </w:tcPr>
                <w:p w14:paraId="3E8E3AC9">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排放方式</w:t>
                  </w:r>
                </w:p>
              </w:tc>
              <w:tc>
                <w:tcPr>
                  <w:tcW w:w="3352" w:type="pct"/>
                  <w:gridSpan w:val="6"/>
                  <w:tcBorders>
                    <w:tl2br w:val="nil"/>
                    <w:tr2bl w:val="nil"/>
                  </w:tcBorders>
                  <w:vAlign w:val="center"/>
                </w:tcPr>
                <w:p w14:paraId="1105B8BB">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间接排放</w:t>
                  </w:r>
                </w:p>
              </w:tc>
            </w:tr>
            <w:tr w14:paraId="5DA3425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7" w:type="pct"/>
                  <w:gridSpan w:val="2"/>
                  <w:tcBorders>
                    <w:tl2br w:val="nil"/>
                    <w:tr2bl w:val="nil"/>
                  </w:tcBorders>
                  <w:vAlign w:val="center"/>
                </w:tcPr>
                <w:p w14:paraId="26585498">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排放去向</w:t>
                  </w:r>
                </w:p>
              </w:tc>
              <w:tc>
                <w:tcPr>
                  <w:tcW w:w="3352" w:type="pct"/>
                  <w:gridSpan w:val="6"/>
                  <w:tcBorders>
                    <w:tl2br w:val="nil"/>
                    <w:tr2bl w:val="nil"/>
                  </w:tcBorders>
                  <w:vAlign w:val="center"/>
                </w:tcPr>
                <w:p w14:paraId="5012D285">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博罗县城生活污水处理厂</w:t>
                  </w:r>
                </w:p>
              </w:tc>
            </w:tr>
            <w:tr w14:paraId="13D49DC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7" w:type="pct"/>
                  <w:gridSpan w:val="2"/>
                  <w:tcBorders>
                    <w:tl2br w:val="nil"/>
                    <w:tr2bl w:val="nil"/>
                  </w:tcBorders>
                  <w:vAlign w:val="center"/>
                </w:tcPr>
                <w:p w14:paraId="156FFE6D">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eastAsia"/>
                      <w:b w:val="0"/>
                      <w:bCs/>
                      <w:color w:val="auto"/>
                      <w:highlight w:val="none"/>
                      <w:vertAlign w:val="baseline"/>
                      <w:lang w:val="en-US" w:eastAsia="zh-CN"/>
                    </w:rPr>
                    <w:t>排放规律</w:t>
                  </w:r>
                </w:p>
              </w:tc>
              <w:tc>
                <w:tcPr>
                  <w:tcW w:w="3352" w:type="pct"/>
                  <w:gridSpan w:val="6"/>
                  <w:tcBorders>
                    <w:tl2br w:val="nil"/>
                    <w:tr2bl w:val="nil"/>
                  </w:tcBorders>
                  <w:vAlign w:val="center"/>
                </w:tcPr>
                <w:p w14:paraId="2A4AF179">
                  <w:pPr>
                    <w:pStyle w:val="3"/>
                    <w:keepNext w:val="0"/>
                    <w:keepLines w:val="0"/>
                    <w:suppressLineNumbers w:val="0"/>
                    <w:spacing w:before="0" w:beforeAutospacing="0" w:after="0" w:afterAutospacing="0" w:line="240" w:lineRule="auto"/>
                    <w:ind w:left="0" w:right="0"/>
                    <w:jc w:val="center"/>
                    <w:rPr>
                      <w:rFonts w:hint="default"/>
                      <w:b w:val="0"/>
                      <w:bCs/>
                      <w:color w:val="auto"/>
                      <w:highlight w:val="none"/>
                      <w:vertAlign w:val="baseline"/>
                      <w:lang w:val="en-US" w:eastAsia="zh-CN"/>
                    </w:rPr>
                  </w:pPr>
                  <w:r>
                    <w:rPr>
                      <w:rFonts w:hint="default"/>
                      <w:b w:val="0"/>
                      <w:bCs/>
                      <w:color w:val="auto"/>
                      <w:highlight w:val="none"/>
                      <w:vertAlign w:val="baseline"/>
                      <w:lang w:val="en-US" w:eastAsia="zh-CN"/>
                    </w:rPr>
                    <w:t>间断排放，排放期间流量不稳定，但有规律，且不属于非周期性规律</w:t>
                  </w:r>
                </w:p>
              </w:tc>
            </w:tr>
          </w:tbl>
          <w:p w14:paraId="4BAE85D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22" w:firstLineChars="200"/>
              <w:textAlignment w:val="auto"/>
              <w:rPr>
                <w:rFonts w:hint="default"/>
                <w:b/>
                <w:bCs/>
                <w:color w:val="auto"/>
                <w:highlight w:val="none"/>
                <w:lang w:val="en-US" w:eastAsia="zh-CN"/>
              </w:rPr>
            </w:pPr>
            <w:r>
              <w:rPr>
                <w:rFonts w:hint="eastAsia"/>
                <w:b/>
                <w:bCs/>
                <w:color w:val="auto"/>
                <w:highlight w:val="none"/>
                <w:lang w:val="en-US" w:eastAsia="zh-CN"/>
              </w:rPr>
              <w:t>2.</w:t>
            </w:r>
            <w:r>
              <w:rPr>
                <w:rFonts w:hint="default"/>
                <w:b/>
                <w:bCs/>
                <w:color w:val="auto"/>
                <w:highlight w:val="none"/>
                <w:lang w:val="en-US" w:eastAsia="zh-CN"/>
              </w:rPr>
              <w:t>2排放口基本情况、监测要求</w:t>
            </w:r>
          </w:p>
          <w:p w14:paraId="78A3F0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color w:val="auto"/>
                <w:highlight w:val="none"/>
                <w:lang w:val="en-US" w:eastAsia="zh-CN"/>
              </w:rPr>
            </w:pPr>
            <w:r>
              <w:rPr>
                <w:rFonts w:hint="default"/>
                <w:color w:val="auto"/>
                <w:highlight w:val="none"/>
                <w:lang w:val="en-US" w:eastAsia="zh-CN"/>
              </w:rPr>
              <w:t>项目生活污水经三级化粪池预处理后通过市政污水管网排入博罗县城污水处理厂处理，经处理达标后排入新角排渠，最终汇入东江。本项目生活污水为间接排放，且属于非重点排污单位，根据《排污单位自行监测技术指南</w:t>
            </w:r>
            <w:r>
              <w:rPr>
                <w:rFonts w:hint="eastAsia"/>
                <w:color w:val="auto"/>
                <w:highlight w:val="none"/>
                <w:lang w:val="en-US" w:eastAsia="zh-CN"/>
              </w:rPr>
              <w:t xml:space="preserve"> </w:t>
            </w:r>
            <w:r>
              <w:rPr>
                <w:rFonts w:hint="default"/>
                <w:color w:val="auto"/>
                <w:highlight w:val="none"/>
                <w:lang w:val="en-US" w:eastAsia="zh-CN"/>
              </w:rPr>
              <w:t>橡胶和塑料制品》（HJ1207-2021）表2，生活污水间接排放的塑料制品制造的非重点排污单位无生活污水的自行监测要求。</w:t>
            </w:r>
          </w:p>
          <w:p w14:paraId="2726A7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2" w:firstLineChars="200"/>
              <w:textAlignment w:val="auto"/>
              <w:rPr>
                <w:rFonts w:hint="default"/>
                <w:b/>
                <w:bCs/>
                <w:color w:val="auto"/>
                <w:highlight w:val="none"/>
                <w:lang w:val="en-US" w:eastAsia="zh-CN"/>
              </w:rPr>
            </w:pPr>
            <w:r>
              <w:rPr>
                <w:rFonts w:hint="eastAsia"/>
                <w:b/>
                <w:bCs/>
                <w:color w:val="auto"/>
                <w:highlight w:val="none"/>
                <w:lang w:val="en-US" w:eastAsia="zh-CN"/>
              </w:rPr>
              <w:t>2.</w:t>
            </w:r>
            <w:r>
              <w:rPr>
                <w:rFonts w:hint="default"/>
                <w:b/>
                <w:bCs/>
                <w:color w:val="auto"/>
                <w:highlight w:val="none"/>
                <w:lang w:val="en-US" w:eastAsia="zh-CN"/>
              </w:rPr>
              <w:t>3废水污染防治技术可行性分析</w:t>
            </w:r>
          </w:p>
          <w:p w14:paraId="3F4C2A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color w:val="auto"/>
                <w:highlight w:val="none"/>
                <w:lang w:val="en-US" w:eastAsia="zh-CN"/>
              </w:rPr>
            </w:pPr>
            <w:r>
              <w:rPr>
                <w:rFonts w:hint="default"/>
                <w:color w:val="auto"/>
                <w:highlight w:val="none"/>
                <w:lang w:val="en-US" w:eastAsia="zh-CN"/>
              </w:rPr>
              <w:t>项目生活污水经三级化粪池预处理达到广东省《水污染物排放限值》（DB44/26-2001）第二时段三级标准后排入市政污水管网，纳入博罗县城生活污水处理厂进行深度处理；根据《排污许可证申请与核发技术规范</w:t>
            </w:r>
            <w:r>
              <w:rPr>
                <w:rFonts w:hint="eastAsia"/>
                <w:color w:val="auto"/>
                <w:highlight w:val="none"/>
                <w:lang w:val="en-US" w:eastAsia="zh-CN"/>
              </w:rPr>
              <w:t xml:space="preserve"> </w:t>
            </w:r>
            <w:r>
              <w:rPr>
                <w:rFonts w:hint="default"/>
                <w:color w:val="auto"/>
                <w:highlight w:val="none"/>
                <w:lang w:val="en-US" w:eastAsia="zh-CN"/>
              </w:rPr>
              <w:t>橡胶和塑料制品工业》（HJ1122—2020）</w:t>
            </w:r>
            <w:r>
              <w:rPr>
                <w:rFonts w:hint="eastAsia" w:ascii="宋体" w:hAnsi="宋体" w:eastAsia="宋体" w:cs="宋体"/>
                <w:color w:val="auto"/>
                <w:highlight w:val="none"/>
                <w:lang w:val="en-US" w:eastAsia="zh-CN"/>
              </w:rPr>
              <w:t>“表</w:t>
            </w:r>
            <w:r>
              <w:rPr>
                <w:rFonts w:hint="default"/>
                <w:color w:val="auto"/>
                <w:highlight w:val="none"/>
                <w:lang w:val="en-US" w:eastAsia="zh-CN"/>
              </w:rPr>
              <w:t>A.4塑料制品工业排污单位废水污染防治可行技术参考</w:t>
            </w:r>
            <w:r>
              <w:rPr>
                <w:rFonts w:hint="eastAsia" w:ascii="宋体" w:hAnsi="宋体" w:eastAsia="宋体" w:cs="宋体"/>
                <w:color w:val="auto"/>
                <w:highlight w:val="none"/>
                <w:lang w:val="en-US" w:eastAsia="zh-CN"/>
              </w:rPr>
              <w:t>表”，“</w:t>
            </w:r>
            <w:r>
              <w:rPr>
                <w:rFonts w:hint="eastAsia" w:ascii="宋体" w:hAnsi="宋体" w:cs="宋体"/>
                <w:color w:val="auto"/>
                <w:highlight w:val="none"/>
                <w:lang w:val="en-US" w:eastAsia="zh-CN"/>
              </w:rPr>
              <w:t>三级</w:t>
            </w:r>
            <w:r>
              <w:rPr>
                <w:rFonts w:hint="eastAsia" w:ascii="宋体" w:hAnsi="宋体" w:eastAsia="宋体" w:cs="宋体"/>
                <w:color w:val="auto"/>
                <w:highlight w:val="none"/>
                <w:lang w:val="en-US" w:eastAsia="zh-CN"/>
              </w:rPr>
              <w:t>化粪池”为</w:t>
            </w:r>
            <w:r>
              <w:rPr>
                <w:rFonts w:hint="default"/>
                <w:color w:val="auto"/>
                <w:highlight w:val="none"/>
                <w:lang w:val="en-US" w:eastAsia="zh-CN"/>
              </w:rPr>
              <w:t>生活污水处理预处理的可行技术。</w:t>
            </w:r>
          </w:p>
          <w:p w14:paraId="3CBF16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2" w:firstLineChars="200"/>
              <w:textAlignment w:val="auto"/>
              <w:rPr>
                <w:rFonts w:hint="default"/>
                <w:b/>
                <w:bCs/>
                <w:color w:val="auto"/>
                <w:highlight w:val="none"/>
                <w:lang w:val="en-US" w:eastAsia="zh-CN"/>
              </w:rPr>
            </w:pPr>
            <w:r>
              <w:rPr>
                <w:rFonts w:hint="eastAsia"/>
                <w:b/>
                <w:bCs/>
                <w:color w:val="auto"/>
                <w:highlight w:val="none"/>
                <w:lang w:val="en-US" w:eastAsia="zh-CN"/>
              </w:rPr>
              <w:t>2.</w:t>
            </w:r>
            <w:r>
              <w:rPr>
                <w:rFonts w:hint="default"/>
                <w:b/>
                <w:bCs/>
                <w:color w:val="auto"/>
                <w:highlight w:val="none"/>
                <w:lang w:val="en-US" w:eastAsia="zh-CN"/>
              </w:rPr>
              <w:t>4依托集中污水处理厂可行性分析</w:t>
            </w:r>
          </w:p>
          <w:p w14:paraId="2B2E4B0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color w:val="auto"/>
                <w:highlight w:val="none"/>
                <w:lang w:val="en-US" w:eastAsia="zh-CN"/>
              </w:rPr>
            </w:pPr>
            <w:r>
              <w:rPr>
                <w:rFonts w:hint="default"/>
                <w:color w:val="auto"/>
                <w:highlight w:val="none"/>
                <w:lang w:val="en-US" w:eastAsia="zh-CN"/>
              </w:rPr>
              <w:t>项目生活污水经三级化粪池预处理达到广东省《水污染物排放限值》（DB44/26-2001）第二时段三级标准后排入市政污水管网，纳入博罗县城生活污水处理厂进行深度处理。处理能力依托可行性：博罗县城生活污水处理厂位于博罗县罗阳镇水西综合小区，占地总面积5.1万m</w:t>
            </w:r>
            <w:r>
              <w:rPr>
                <w:rFonts w:hint="default"/>
                <w:color w:val="auto"/>
                <w:highlight w:val="none"/>
                <w:vertAlign w:val="superscript"/>
                <w:lang w:val="en-US" w:eastAsia="zh-CN"/>
              </w:rPr>
              <w:t>2</w:t>
            </w:r>
            <w:r>
              <w:rPr>
                <w:rFonts w:hint="default"/>
                <w:color w:val="auto"/>
                <w:highlight w:val="none"/>
                <w:lang w:val="en-US" w:eastAsia="zh-CN"/>
              </w:rPr>
              <w:t>，服务范围为博罗县城新区、老城区、商业街及行政文化广场片区、义和片区、新博中片区等污水，该污水厂设计规模为6万m</w:t>
            </w:r>
            <w:r>
              <w:rPr>
                <w:rFonts w:hint="default"/>
                <w:color w:val="auto"/>
                <w:highlight w:val="none"/>
                <w:vertAlign w:val="superscript"/>
                <w:lang w:val="en-US" w:eastAsia="zh-CN"/>
              </w:rPr>
              <w:t>3</w:t>
            </w:r>
            <w:r>
              <w:rPr>
                <w:rFonts w:hint="default"/>
                <w:color w:val="auto"/>
                <w:highlight w:val="none"/>
                <w:lang w:val="en-US" w:eastAsia="zh-CN"/>
              </w:rPr>
              <w:t>/d，分两期建设，其中首期工程3万m</w:t>
            </w:r>
            <w:r>
              <w:rPr>
                <w:rFonts w:hint="default"/>
                <w:color w:val="auto"/>
                <w:highlight w:val="none"/>
                <w:vertAlign w:val="superscript"/>
                <w:lang w:val="en-US" w:eastAsia="zh-CN"/>
              </w:rPr>
              <w:t>3</w:t>
            </w:r>
            <w:r>
              <w:rPr>
                <w:rFonts w:hint="default"/>
                <w:color w:val="auto"/>
                <w:highlight w:val="none"/>
                <w:lang w:val="en-US" w:eastAsia="zh-CN"/>
              </w:rPr>
              <w:t>/d，二期为3万m</w:t>
            </w:r>
            <w:r>
              <w:rPr>
                <w:rFonts w:hint="default"/>
                <w:color w:val="auto"/>
                <w:highlight w:val="none"/>
                <w:vertAlign w:val="superscript"/>
                <w:lang w:val="en-US" w:eastAsia="zh-CN"/>
              </w:rPr>
              <w:t>3</w:t>
            </w:r>
            <w:r>
              <w:rPr>
                <w:rFonts w:hint="default"/>
                <w:color w:val="auto"/>
                <w:highlight w:val="none"/>
                <w:lang w:val="en-US" w:eastAsia="zh-CN"/>
              </w:rPr>
              <w:t>/d。目前首、二期工程均已建成运行，本项目厂址位于博罗罗阳街道，属于博罗县城生活污水处理厂的纳污范围。根据调查，博罗县城生活污水处理厂两期处理能力为6万m</w:t>
            </w:r>
            <w:r>
              <w:rPr>
                <w:rFonts w:hint="default"/>
                <w:color w:val="auto"/>
                <w:highlight w:val="none"/>
                <w:vertAlign w:val="superscript"/>
                <w:lang w:val="en-US" w:eastAsia="zh-CN"/>
              </w:rPr>
              <w:t>3</w:t>
            </w:r>
            <w:r>
              <w:rPr>
                <w:rFonts w:hint="default"/>
                <w:color w:val="auto"/>
                <w:highlight w:val="none"/>
                <w:lang w:val="en-US" w:eastAsia="zh-CN"/>
              </w:rPr>
              <w:t>/d，剩余处理能力为4000m</w:t>
            </w:r>
            <w:r>
              <w:rPr>
                <w:rFonts w:hint="default"/>
                <w:color w:val="auto"/>
                <w:highlight w:val="none"/>
                <w:vertAlign w:val="superscript"/>
                <w:lang w:val="en-US" w:eastAsia="zh-CN"/>
              </w:rPr>
              <w:t>3</w:t>
            </w:r>
            <w:r>
              <w:rPr>
                <w:rFonts w:hint="default"/>
                <w:color w:val="auto"/>
                <w:highlight w:val="none"/>
                <w:lang w:val="en-US" w:eastAsia="zh-CN"/>
              </w:rPr>
              <w:t>/d。本项目生活污水产生量仅为0.5</w:t>
            </w:r>
            <w:r>
              <w:rPr>
                <w:rFonts w:hint="eastAsia"/>
                <w:color w:val="auto"/>
                <w:highlight w:val="none"/>
                <w:lang w:val="en-US" w:eastAsia="zh-CN"/>
              </w:rPr>
              <w:t>6</w:t>
            </w:r>
            <w:r>
              <w:rPr>
                <w:rFonts w:hint="default"/>
                <w:color w:val="auto"/>
                <w:highlight w:val="none"/>
                <w:lang w:val="en-US" w:eastAsia="zh-CN"/>
              </w:rPr>
              <w:t>m</w:t>
            </w:r>
            <w:r>
              <w:rPr>
                <w:rFonts w:hint="default"/>
                <w:color w:val="auto"/>
                <w:highlight w:val="none"/>
                <w:vertAlign w:val="superscript"/>
                <w:lang w:val="en-US" w:eastAsia="zh-CN"/>
              </w:rPr>
              <w:t>3</w:t>
            </w:r>
            <w:r>
              <w:rPr>
                <w:rFonts w:hint="default"/>
                <w:color w:val="auto"/>
                <w:highlight w:val="none"/>
                <w:lang w:val="en-US" w:eastAsia="zh-CN"/>
              </w:rPr>
              <w:t>/d，仅占博罗县城生活污水处理厂剩余处理能力的0.01</w:t>
            </w:r>
            <w:r>
              <w:rPr>
                <w:rFonts w:hint="eastAsia"/>
                <w:color w:val="auto"/>
                <w:highlight w:val="none"/>
                <w:lang w:val="en-US" w:eastAsia="zh-CN"/>
              </w:rPr>
              <w:t>4</w:t>
            </w:r>
            <w:r>
              <w:rPr>
                <w:rFonts w:hint="default"/>
                <w:color w:val="auto"/>
                <w:highlight w:val="none"/>
                <w:lang w:val="en-US" w:eastAsia="zh-CN"/>
              </w:rPr>
              <w:t>%，因此博罗县城生活污水处理厂有能力接纳本项目生活污水，本项目生活污水纳入博罗县城生活污水处理厂处理的方案是可行的。</w:t>
            </w:r>
          </w:p>
          <w:p w14:paraId="1EE987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color w:val="auto"/>
                <w:highlight w:val="none"/>
                <w:lang w:val="en-US" w:eastAsia="zh-CN"/>
              </w:rPr>
            </w:pPr>
            <w:r>
              <w:rPr>
                <w:rFonts w:hint="default"/>
                <w:color w:val="auto"/>
                <w:highlight w:val="none"/>
                <w:lang w:val="en-US" w:eastAsia="zh-CN"/>
              </w:rPr>
              <w:t>处理工艺可行性：博罗县城生活污水处理厂采用CASS工艺，处理后的尾水中氨氮、总磷达到《地表水环境质量标准》（GB3838-2002）V类标准，其余指标达到《城镇污水处理厂污染物排放标准》（GB18918-2002）一级A类及广东省《水污染物排放限值》（DB44/26-2001）中第二时段一级标准两者中的较严者后排入新角排渠，最后汇入东江。</w:t>
            </w:r>
          </w:p>
          <w:p w14:paraId="7BEEA4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color w:val="auto"/>
                <w:highlight w:val="none"/>
                <w:lang w:val="en-US" w:eastAsia="zh-CN"/>
              </w:rPr>
            </w:pPr>
            <w:r>
              <w:rPr>
                <w:rFonts w:hint="default"/>
                <w:color w:val="auto"/>
                <w:highlight w:val="none"/>
                <w:lang w:val="en-US" w:eastAsia="zh-CN"/>
              </w:rPr>
              <w:t>设计进出水水质：本项目生活污水拟经三级化粪池预处理达到广东省地方标准《水污染物排放限值》（DB44/26-2001）第二时段三级标准排入博罗县城生活污水处理厂，污水厂尾水排放执行广东省地方标准《水污染物排放限值》（DB44/26-2001）第二时段一级标准及《城镇污水处理厂污染物排放标准》（GB18918-2002）一级A标准两者中的较严者，其中氨氮、总磷执行《地表水环境质量标准》（GB3838-2002）V类标准后排入新角排渠。</w:t>
            </w:r>
          </w:p>
          <w:p w14:paraId="599E59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color w:val="auto"/>
                <w:highlight w:val="none"/>
                <w:lang w:val="en-US" w:eastAsia="zh-CN"/>
              </w:rPr>
            </w:pPr>
            <w:r>
              <w:rPr>
                <w:rFonts w:hint="default"/>
                <w:color w:val="auto"/>
                <w:highlight w:val="none"/>
                <w:lang w:val="en-US" w:eastAsia="zh-CN"/>
              </w:rPr>
              <w:t>综上，本项目生活污水经三级化粪池预处理后纳入博罗县城生活污水处理厂可行。</w:t>
            </w:r>
          </w:p>
          <w:p w14:paraId="6F4BA0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2" w:firstLineChars="200"/>
              <w:textAlignment w:val="auto"/>
              <w:rPr>
                <w:rFonts w:hint="default"/>
                <w:b/>
                <w:bCs/>
                <w:color w:val="auto"/>
                <w:highlight w:val="none"/>
                <w:lang w:val="en-US" w:eastAsia="zh-CN"/>
              </w:rPr>
            </w:pPr>
            <w:r>
              <w:rPr>
                <w:rFonts w:hint="eastAsia"/>
                <w:b/>
                <w:bCs/>
                <w:color w:val="auto"/>
                <w:highlight w:val="none"/>
                <w:lang w:val="en-US" w:eastAsia="zh-CN"/>
              </w:rPr>
              <w:t>2.</w:t>
            </w:r>
            <w:r>
              <w:rPr>
                <w:rFonts w:hint="default"/>
                <w:b/>
                <w:bCs/>
                <w:color w:val="auto"/>
                <w:highlight w:val="none"/>
                <w:lang w:val="en-US" w:eastAsia="zh-CN"/>
              </w:rPr>
              <w:t>5水环境影响评价结论</w:t>
            </w:r>
          </w:p>
          <w:p w14:paraId="724B26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color w:val="auto"/>
                <w:highlight w:val="none"/>
                <w:lang w:val="en-US" w:eastAsia="zh-CN"/>
              </w:rPr>
            </w:pPr>
            <w:r>
              <w:rPr>
                <w:rFonts w:hint="default"/>
                <w:color w:val="auto"/>
                <w:highlight w:val="none"/>
                <w:lang w:val="en-US" w:eastAsia="zh-CN"/>
              </w:rPr>
              <w:t>本项目生产过程中无生产废水排放；项目生活污水经三级化粪池预处理后通过市政污水管网排入博罗县城生活污水处理厂，处理达标后排入新角排渠，后汇入东江。项目废水的排放满足相应的废水排放要求，对地表水体造成的环境影响不大，其地表水环境影响是可接受的。</w:t>
            </w:r>
          </w:p>
          <w:p w14:paraId="431F1731">
            <w:pPr>
              <w:keepNext w:val="0"/>
              <w:keepLines w:val="0"/>
              <w:suppressLineNumbers w:val="0"/>
              <w:adjustRightInd w:val="0"/>
              <w:snapToGrid w:val="0"/>
              <w:spacing w:before="0" w:beforeAutospacing="0" w:after="0" w:afterAutospacing="0" w:line="360" w:lineRule="auto"/>
              <w:ind w:left="0" w:right="0" w:firstLine="382" w:firstLineChars="200"/>
              <w:rPr>
                <w:rFonts w:ascii="Times New Roman" w:hAnsi="Times New Roman" w:eastAsia="宋体" w:cs="Times New Roman"/>
                <w:b/>
                <w:bCs/>
                <w:color w:val="auto"/>
                <w:spacing w:val="-10"/>
                <w:sz w:val="21"/>
                <w:szCs w:val="21"/>
                <w:highlight w:val="none"/>
              </w:rPr>
            </w:pPr>
            <w:r>
              <w:rPr>
                <w:rFonts w:hint="eastAsia" w:cs="Times New Roman"/>
                <w:b/>
                <w:bCs/>
                <w:color w:val="auto"/>
                <w:spacing w:val="-10"/>
                <w:sz w:val="21"/>
                <w:szCs w:val="21"/>
                <w:highlight w:val="none"/>
                <w:lang w:val="en-US" w:eastAsia="zh-CN"/>
              </w:rPr>
              <w:t>3、</w:t>
            </w:r>
            <w:r>
              <w:rPr>
                <w:rFonts w:ascii="Times New Roman" w:hAnsi="Times New Roman" w:eastAsia="宋体" w:cs="Times New Roman"/>
                <w:b/>
                <w:bCs/>
                <w:color w:val="auto"/>
                <w:spacing w:val="-10"/>
                <w:sz w:val="21"/>
                <w:szCs w:val="21"/>
                <w:highlight w:val="none"/>
              </w:rPr>
              <w:t>噪声</w:t>
            </w:r>
          </w:p>
          <w:p w14:paraId="176D4E57">
            <w:pPr>
              <w:keepNext w:val="0"/>
              <w:keepLines w:val="0"/>
              <w:suppressLineNumbers w:val="0"/>
              <w:adjustRightInd w:val="0"/>
              <w:snapToGrid w:val="0"/>
              <w:spacing w:before="0" w:beforeAutospacing="0" w:after="0" w:afterAutospacing="0" w:line="360" w:lineRule="auto"/>
              <w:ind w:left="0" w:right="0" w:firstLine="382" w:firstLineChars="200"/>
              <w:rPr>
                <w:rFonts w:ascii="Times New Roman" w:hAnsi="Times New Roman" w:eastAsia="宋体" w:cs="Times New Roman"/>
                <w:b/>
                <w:bCs/>
                <w:color w:val="auto"/>
                <w:spacing w:val="-10"/>
                <w:sz w:val="21"/>
                <w:szCs w:val="21"/>
                <w:highlight w:val="none"/>
              </w:rPr>
            </w:pPr>
            <w:r>
              <w:rPr>
                <w:rFonts w:hint="eastAsia" w:cs="Times New Roman"/>
                <w:b/>
                <w:bCs/>
                <w:color w:val="auto"/>
                <w:spacing w:val="-10"/>
                <w:sz w:val="21"/>
                <w:szCs w:val="21"/>
                <w:highlight w:val="none"/>
                <w:lang w:val="en-US" w:eastAsia="zh-CN"/>
              </w:rPr>
              <w:t>3.</w:t>
            </w:r>
            <w:r>
              <w:rPr>
                <w:rFonts w:ascii="Times New Roman" w:hAnsi="Times New Roman" w:eastAsia="宋体" w:cs="Times New Roman"/>
                <w:b/>
                <w:bCs/>
                <w:color w:val="auto"/>
                <w:spacing w:val="-10"/>
                <w:sz w:val="21"/>
                <w:szCs w:val="21"/>
                <w:highlight w:val="none"/>
              </w:rPr>
              <w:t>1噪声源强</w:t>
            </w:r>
          </w:p>
          <w:p w14:paraId="7ED72D10">
            <w:pPr>
              <w:keepNext w:val="0"/>
              <w:keepLines w:val="0"/>
              <w:suppressLineNumbers w:val="0"/>
              <w:adjustRightInd w:val="0"/>
              <w:snapToGrid w:val="0"/>
              <w:spacing w:before="0" w:beforeAutospacing="0" w:after="0" w:afterAutospacing="0" w:line="360" w:lineRule="auto"/>
              <w:ind w:left="0" w:right="0" w:firstLine="420" w:firstLineChars="200"/>
              <w:jc w:val="left"/>
              <w:rPr>
                <w:rFonts w:hint="default"/>
                <w:color w:val="auto"/>
                <w:highlight w:val="none"/>
                <w:lang w:val="en-US" w:eastAsia="zh-CN"/>
              </w:rPr>
            </w:pPr>
            <w:r>
              <w:rPr>
                <w:rFonts w:hint="default" w:ascii="Times New Roman" w:hAnsi="Times New Roman" w:cs="Times New Roman"/>
                <w:color w:val="auto"/>
                <w:sz w:val="21"/>
                <w:szCs w:val="21"/>
                <w:highlight w:val="none"/>
                <w:lang w:bidi="ar"/>
              </w:rPr>
              <w:t>营运期最主要的噪声污染源为生产车间生产设施、风机等生产设备运行产生的噪声，生产设备采用降噪措施、厂房隔声、厂区围墙、厂区绿化等措施进行降噪，项目声源源强参考《环境噪声控制工程》表6-1常见工业设备声级范围，具体设备噪声源情况见下表。</w:t>
            </w:r>
          </w:p>
        </w:tc>
      </w:tr>
    </w:tbl>
    <w:p w14:paraId="08FECB69">
      <w:pPr>
        <w:rPr>
          <w:rFonts w:ascii="Times New Roman" w:hAnsi="Times New Roman" w:eastAsia="宋体"/>
          <w:color w:val="auto"/>
          <w:highlight w:val="none"/>
        </w:rPr>
        <w:sectPr>
          <w:pgSz w:w="11907" w:h="16840"/>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tbl>
      <w:tblPr>
        <w:tblStyle w:val="4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0"/>
        <w:gridCol w:w="13640"/>
      </w:tblGrid>
      <w:tr w14:paraId="4E4B0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 w:type="pct"/>
            <w:vAlign w:val="center"/>
          </w:tcPr>
          <w:p w14:paraId="2E269E76">
            <w:pPr>
              <w:pStyle w:val="2"/>
              <w:keepNext w:val="0"/>
              <w:keepLines w:val="0"/>
              <w:suppressLineNumbers w:val="0"/>
              <w:spacing w:before="0" w:beforeAutospacing="0" w:after="0" w:afterAutospacing="0"/>
              <w:ind w:left="0" w:right="0"/>
              <w:jc w:val="center"/>
              <w:rPr>
                <w:color w:val="auto"/>
                <w:highlight w:val="none"/>
                <w:vertAlign w:val="baseline"/>
              </w:rPr>
            </w:pPr>
            <w:r>
              <w:rPr>
                <w:rFonts w:hint="eastAsia"/>
                <w:color w:val="auto"/>
                <w:sz w:val="21"/>
                <w:szCs w:val="32"/>
                <w:highlight w:val="none"/>
                <w:vertAlign w:val="baseline"/>
              </w:rPr>
              <w:t>运营期环境影响和保护措施</w:t>
            </w:r>
          </w:p>
        </w:tc>
        <w:tc>
          <w:tcPr>
            <w:tcW w:w="4795" w:type="pct"/>
            <w:vAlign w:val="center"/>
          </w:tcPr>
          <w:p w14:paraId="4538139B">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157" w:afterLines="50" w:afterAutospacing="0"/>
              <w:ind w:right="0"/>
              <w:jc w:val="center"/>
              <w:textAlignment w:val="auto"/>
              <w:rPr>
                <w:rFonts w:hint="default" w:ascii="Times New Roman" w:hAnsi="Times New Roman" w:eastAsia="宋体" w:cs="Times New Roman"/>
                <w:b/>
                <w:bCs/>
                <w:color w:val="auto"/>
                <w:szCs w:val="21"/>
                <w:highlight w:val="none"/>
                <w:lang w:val="en-US" w:eastAsia="zh-CN"/>
              </w:rPr>
            </w:pPr>
            <w:r>
              <w:rPr>
                <w:rFonts w:hint="eastAsia" w:ascii="Times New Roman" w:hAnsi="Times New Roman" w:eastAsia="宋体" w:cs="Times New Roman"/>
                <w:b/>
                <w:bCs/>
                <w:color w:val="auto"/>
                <w:szCs w:val="21"/>
                <w:highlight w:val="none"/>
                <w:lang w:val="en-US" w:eastAsia="zh-CN"/>
              </w:rPr>
              <w:t xml:space="preserve"> </w:t>
            </w:r>
            <w:r>
              <w:rPr>
                <w:rFonts w:hint="default" w:ascii="Times New Roman" w:hAnsi="Times New Roman" w:eastAsia="宋体" w:cs="Times New Roman"/>
                <w:b/>
                <w:bCs/>
                <w:color w:val="auto"/>
                <w:szCs w:val="21"/>
                <w:highlight w:val="none"/>
                <w:lang w:val="en-US" w:eastAsia="zh-CN"/>
              </w:rPr>
              <w:t>项目主要室内设备噪声源情况</w:t>
            </w:r>
          </w:p>
          <w:tbl>
            <w:tblPr>
              <w:tblStyle w:val="41"/>
              <w:tblW w:w="4993" w:type="pct"/>
              <w:tblInd w:w="0" w:type="dxa"/>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540"/>
              <w:gridCol w:w="907"/>
              <w:gridCol w:w="754"/>
              <w:gridCol w:w="427"/>
              <w:gridCol w:w="584"/>
              <w:gridCol w:w="473"/>
              <w:gridCol w:w="588"/>
              <w:gridCol w:w="836"/>
              <w:gridCol w:w="986"/>
              <w:gridCol w:w="1152"/>
              <w:gridCol w:w="1312"/>
              <w:gridCol w:w="1127"/>
              <w:gridCol w:w="1095"/>
              <w:gridCol w:w="977"/>
              <w:gridCol w:w="1205"/>
            </w:tblGrid>
            <w:tr w14:paraId="53D86A89">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PrEx>
              <w:trPr>
                <w:trHeight w:val="311" w:hRule="atLeast"/>
              </w:trPr>
              <w:tc>
                <w:tcPr>
                  <w:tcW w:w="159" w:type="pct"/>
                  <w:vMerge w:val="restart"/>
                  <w:noWrap w:val="0"/>
                  <w:vAlign w:val="center"/>
                </w:tcPr>
                <w:p w14:paraId="114CA752">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序号</w:t>
                  </w:r>
                </w:p>
              </w:tc>
              <w:tc>
                <w:tcPr>
                  <w:tcW w:w="202" w:type="pct"/>
                  <w:vMerge w:val="restart"/>
                  <w:noWrap w:val="0"/>
                  <w:vAlign w:val="center"/>
                </w:tcPr>
                <w:p w14:paraId="6E59B1C4">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建筑物名称</w:t>
                  </w:r>
                </w:p>
              </w:tc>
              <w:tc>
                <w:tcPr>
                  <w:tcW w:w="339" w:type="pct"/>
                  <w:vMerge w:val="restart"/>
                  <w:noWrap w:val="0"/>
                  <w:vAlign w:val="center"/>
                </w:tcPr>
                <w:p w14:paraId="4B0CAFFA">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声源</w:t>
                  </w:r>
                </w:p>
                <w:p w14:paraId="0C3174F2">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名称</w:t>
                  </w:r>
                </w:p>
              </w:tc>
              <w:tc>
                <w:tcPr>
                  <w:tcW w:w="281" w:type="pct"/>
                  <w:vMerge w:val="restart"/>
                  <w:noWrap w:val="0"/>
                  <w:vAlign w:val="center"/>
                </w:tcPr>
                <w:p w14:paraId="15257AF4">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szCs w:val="21"/>
                      <w:highlight w:val="none"/>
                    </w:rPr>
                  </w:pPr>
                  <w:r>
                    <w:rPr>
                      <w:rFonts w:hint="default" w:ascii="Times New Roman" w:hAnsi="Times New Roman" w:cs="Times New Roman"/>
                      <w:b/>
                      <w:bCs/>
                      <w:color w:val="auto"/>
                      <w:kern w:val="28"/>
                      <w:szCs w:val="21"/>
                      <w:highlight w:val="none"/>
                    </w:rPr>
                    <w:t>单台设备声压级(dB）</w:t>
                  </w:r>
                </w:p>
              </w:tc>
              <w:tc>
                <w:tcPr>
                  <w:tcW w:w="159" w:type="pct"/>
                  <w:vMerge w:val="restart"/>
                  <w:noWrap w:val="0"/>
                  <w:vAlign w:val="center"/>
                </w:tcPr>
                <w:p w14:paraId="62CFF786">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数量</w:t>
                  </w:r>
                </w:p>
              </w:tc>
              <w:tc>
                <w:tcPr>
                  <w:tcW w:w="615" w:type="pct"/>
                  <w:gridSpan w:val="3"/>
                  <w:noWrap w:val="0"/>
                  <w:vAlign w:val="center"/>
                </w:tcPr>
                <w:p w14:paraId="5686F38B">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空间相对中心位置（m）</w:t>
                  </w:r>
                </w:p>
              </w:tc>
              <w:tc>
                <w:tcPr>
                  <w:tcW w:w="680" w:type="pct"/>
                  <w:gridSpan w:val="2"/>
                  <w:noWrap w:val="0"/>
                  <w:vAlign w:val="center"/>
                </w:tcPr>
                <w:p w14:paraId="1E69C6DC">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kern w:val="28"/>
                      <w:szCs w:val="21"/>
                      <w:highlight w:val="none"/>
                    </w:rPr>
                  </w:pPr>
                  <w:r>
                    <w:rPr>
                      <w:rFonts w:hint="default" w:ascii="Times New Roman" w:hAnsi="Times New Roman" w:cs="Times New Roman"/>
                      <w:b/>
                      <w:bCs/>
                      <w:color w:val="auto"/>
                      <w:szCs w:val="21"/>
                      <w:highlight w:val="none"/>
                    </w:rPr>
                    <w:t>声源源强</w:t>
                  </w:r>
                </w:p>
              </w:tc>
              <w:tc>
                <w:tcPr>
                  <w:tcW w:w="430" w:type="pct"/>
                  <w:vMerge w:val="restart"/>
                  <w:noWrap w:val="0"/>
                  <w:vAlign w:val="center"/>
                </w:tcPr>
                <w:p w14:paraId="7BC9DE91">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kern w:val="28"/>
                      <w:szCs w:val="21"/>
                      <w:highlight w:val="none"/>
                    </w:rPr>
                  </w:pPr>
                  <w:r>
                    <w:rPr>
                      <w:rFonts w:hint="default" w:ascii="Times New Roman" w:hAnsi="Times New Roman" w:cs="Times New Roman"/>
                      <w:b/>
                      <w:bCs/>
                      <w:color w:val="auto"/>
                      <w:kern w:val="28"/>
                      <w:szCs w:val="21"/>
                      <w:highlight w:val="none"/>
                    </w:rPr>
                    <w:t>声源控制措施</w:t>
                  </w:r>
                </w:p>
              </w:tc>
              <w:tc>
                <w:tcPr>
                  <w:tcW w:w="490" w:type="pct"/>
                  <w:vMerge w:val="restart"/>
                  <w:noWrap w:val="0"/>
                  <w:vAlign w:val="center"/>
                </w:tcPr>
                <w:p w14:paraId="7AF31CBE">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工作时段</w:t>
                  </w:r>
                </w:p>
              </w:tc>
              <w:tc>
                <w:tcPr>
                  <w:tcW w:w="421" w:type="pct"/>
                  <w:vMerge w:val="restart"/>
                  <w:noWrap w:val="0"/>
                  <w:vAlign w:val="center"/>
                </w:tcPr>
                <w:p w14:paraId="6BC8CD2B">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建筑物插入损失（dB）</w:t>
                  </w:r>
                </w:p>
              </w:tc>
              <w:tc>
                <w:tcPr>
                  <w:tcW w:w="409" w:type="pct"/>
                  <w:vMerge w:val="restart"/>
                  <w:noWrap w:val="0"/>
                  <w:vAlign w:val="center"/>
                </w:tcPr>
                <w:p w14:paraId="4889B14D">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室内边界声级（dB）</w:t>
                  </w:r>
                </w:p>
              </w:tc>
              <w:tc>
                <w:tcPr>
                  <w:tcW w:w="809" w:type="pct"/>
                  <w:gridSpan w:val="2"/>
                  <w:noWrap w:val="0"/>
                  <w:vAlign w:val="center"/>
                </w:tcPr>
                <w:p w14:paraId="4F158EB2">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建筑物外噪声</w:t>
                  </w:r>
                </w:p>
              </w:tc>
            </w:tr>
            <w:tr w14:paraId="3C277C59">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159" w:type="pct"/>
                  <w:vMerge w:val="continue"/>
                  <w:noWrap w:val="0"/>
                  <w:vAlign w:val="center"/>
                </w:tcPr>
                <w:p w14:paraId="795389F9">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szCs w:val="21"/>
                      <w:highlight w:val="none"/>
                    </w:rPr>
                  </w:pPr>
                </w:p>
              </w:tc>
              <w:tc>
                <w:tcPr>
                  <w:tcW w:w="202" w:type="pct"/>
                  <w:vMerge w:val="continue"/>
                  <w:noWrap w:val="0"/>
                  <w:vAlign w:val="center"/>
                </w:tcPr>
                <w:p w14:paraId="07E263B3">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szCs w:val="21"/>
                      <w:highlight w:val="none"/>
                    </w:rPr>
                  </w:pPr>
                </w:p>
              </w:tc>
              <w:tc>
                <w:tcPr>
                  <w:tcW w:w="339" w:type="pct"/>
                  <w:vMerge w:val="continue"/>
                  <w:noWrap w:val="0"/>
                  <w:vAlign w:val="center"/>
                </w:tcPr>
                <w:p w14:paraId="5CE0DEE2">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szCs w:val="21"/>
                      <w:highlight w:val="none"/>
                    </w:rPr>
                  </w:pPr>
                </w:p>
              </w:tc>
              <w:tc>
                <w:tcPr>
                  <w:tcW w:w="281" w:type="pct"/>
                  <w:vMerge w:val="continue"/>
                  <w:noWrap w:val="0"/>
                  <w:vAlign w:val="center"/>
                </w:tcPr>
                <w:p w14:paraId="4DEFCB51">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kern w:val="28"/>
                      <w:szCs w:val="21"/>
                      <w:highlight w:val="none"/>
                    </w:rPr>
                  </w:pPr>
                </w:p>
              </w:tc>
              <w:tc>
                <w:tcPr>
                  <w:tcW w:w="159" w:type="pct"/>
                  <w:vMerge w:val="continue"/>
                  <w:noWrap w:val="0"/>
                  <w:vAlign w:val="center"/>
                </w:tcPr>
                <w:p w14:paraId="52CF828A">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kern w:val="28"/>
                      <w:szCs w:val="21"/>
                      <w:highlight w:val="none"/>
                    </w:rPr>
                  </w:pPr>
                </w:p>
              </w:tc>
              <w:tc>
                <w:tcPr>
                  <w:tcW w:w="218" w:type="pct"/>
                  <w:noWrap w:val="0"/>
                  <w:vAlign w:val="center"/>
                </w:tcPr>
                <w:p w14:paraId="35249D54">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kern w:val="28"/>
                      <w:szCs w:val="21"/>
                      <w:highlight w:val="none"/>
                    </w:rPr>
                  </w:pPr>
                  <w:r>
                    <w:rPr>
                      <w:rFonts w:hint="default" w:ascii="Times New Roman" w:hAnsi="Times New Roman" w:cs="Times New Roman"/>
                      <w:b/>
                      <w:bCs/>
                      <w:color w:val="auto"/>
                      <w:kern w:val="28"/>
                      <w:szCs w:val="21"/>
                      <w:highlight w:val="none"/>
                    </w:rPr>
                    <w:t>X</w:t>
                  </w:r>
                </w:p>
              </w:tc>
              <w:tc>
                <w:tcPr>
                  <w:tcW w:w="177" w:type="pct"/>
                  <w:noWrap w:val="0"/>
                  <w:vAlign w:val="center"/>
                </w:tcPr>
                <w:p w14:paraId="690ADBC4">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kern w:val="28"/>
                      <w:szCs w:val="21"/>
                      <w:highlight w:val="none"/>
                    </w:rPr>
                  </w:pPr>
                  <w:r>
                    <w:rPr>
                      <w:rFonts w:hint="default" w:ascii="Times New Roman" w:hAnsi="Times New Roman" w:cs="Times New Roman"/>
                      <w:b/>
                      <w:bCs/>
                      <w:color w:val="auto"/>
                      <w:kern w:val="28"/>
                      <w:szCs w:val="21"/>
                      <w:highlight w:val="none"/>
                    </w:rPr>
                    <w:t>Y</w:t>
                  </w:r>
                </w:p>
              </w:tc>
              <w:tc>
                <w:tcPr>
                  <w:tcW w:w="219" w:type="pct"/>
                  <w:noWrap w:val="0"/>
                  <w:vAlign w:val="center"/>
                </w:tcPr>
                <w:p w14:paraId="1124904A">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kern w:val="28"/>
                      <w:szCs w:val="21"/>
                      <w:highlight w:val="none"/>
                    </w:rPr>
                  </w:pPr>
                  <w:r>
                    <w:rPr>
                      <w:rFonts w:hint="default" w:ascii="Times New Roman" w:hAnsi="Times New Roman" w:cs="Times New Roman"/>
                      <w:b/>
                      <w:bCs/>
                      <w:color w:val="auto"/>
                      <w:kern w:val="28"/>
                      <w:szCs w:val="21"/>
                      <w:highlight w:val="none"/>
                    </w:rPr>
                    <w:t>H</w:t>
                  </w:r>
                </w:p>
              </w:tc>
              <w:tc>
                <w:tcPr>
                  <w:tcW w:w="312" w:type="pct"/>
                  <w:noWrap w:val="0"/>
                  <w:vAlign w:val="center"/>
                </w:tcPr>
                <w:p w14:paraId="090AF88F">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kern w:val="28"/>
                      <w:szCs w:val="21"/>
                      <w:highlight w:val="none"/>
                    </w:rPr>
                  </w:pPr>
                  <w:r>
                    <w:rPr>
                      <w:rFonts w:hint="default" w:ascii="Times New Roman" w:hAnsi="Times New Roman" w:cs="Times New Roman"/>
                      <w:b/>
                      <w:bCs/>
                      <w:color w:val="auto"/>
                      <w:kern w:val="28"/>
                      <w:szCs w:val="21"/>
                      <w:highlight w:val="none"/>
                    </w:rPr>
                    <w:t>声压级(dB）</w:t>
                  </w:r>
                </w:p>
              </w:tc>
              <w:tc>
                <w:tcPr>
                  <w:tcW w:w="367" w:type="pct"/>
                  <w:noWrap w:val="0"/>
                  <w:vAlign w:val="center"/>
                </w:tcPr>
                <w:p w14:paraId="38D05934">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kern w:val="28"/>
                      <w:szCs w:val="21"/>
                      <w:highlight w:val="none"/>
                    </w:rPr>
                  </w:pPr>
                  <w:r>
                    <w:rPr>
                      <w:rFonts w:hint="default" w:ascii="Times New Roman" w:hAnsi="Times New Roman" w:cs="Times New Roman"/>
                      <w:b/>
                      <w:bCs/>
                      <w:color w:val="auto"/>
                      <w:kern w:val="28"/>
                      <w:szCs w:val="21"/>
                      <w:highlight w:val="none"/>
                    </w:rPr>
                    <w:t>距声源距离（m）</w:t>
                  </w:r>
                </w:p>
              </w:tc>
              <w:tc>
                <w:tcPr>
                  <w:tcW w:w="430" w:type="pct"/>
                  <w:vMerge w:val="continue"/>
                  <w:noWrap w:val="0"/>
                  <w:vAlign w:val="center"/>
                </w:tcPr>
                <w:p w14:paraId="7585FE57">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kern w:val="28"/>
                      <w:szCs w:val="21"/>
                      <w:highlight w:val="none"/>
                    </w:rPr>
                  </w:pPr>
                </w:p>
              </w:tc>
              <w:tc>
                <w:tcPr>
                  <w:tcW w:w="490" w:type="pct"/>
                  <w:vMerge w:val="continue"/>
                  <w:noWrap w:val="0"/>
                  <w:vAlign w:val="center"/>
                </w:tcPr>
                <w:p w14:paraId="0A498E0A">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szCs w:val="21"/>
                      <w:highlight w:val="none"/>
                    </w:rPr>
                  </w:pPr>
                </w:p>
              </w:tc>
              <w:tc>
                <w:tcPr>
                  <w:tcW w:w="421" w:type="pct"/>
                  <w:vMerge w:val="continue"/>
                  <w:noWrap w:val="0"/>
                  <w:vAlign w:val="center"/>
                </w:tcPr>
                <w:p w14:paraId="054BFE6C">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szCs w:val="21"/>
                      <w:highlight w:val="none"/>
                    </w:rPr>
                  </w:pPr>
                </w:p>
              </w:tc>
              <w:tc>
                <w:tcPr>
                  <w:tcW w:w="409" w:type="pct"/>
                  <w:vMerge w:val="continue"/>
                  <w:noWrap w:val="0"/>
                  <w:vAlign w:val="center"/>
                </w:tcPr>
                <w:p w14:paraId="5F6D8BB0">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szCs w:val="21"/>
                      <w:highlight w:val="none"/>
                    </w:rPr>
                  </w:pPr>
                </w:p>
              </w:tc>
              <w:tc>
                <w:tcPr>
                  <w:tcW w:w="365" w:type="pct"/>
                  <w:noWrap w:val="0"/>
                  <w:vAlign w:val="center"/>
                </w:tcPr>
                <w:p w14:paraId="660FF171">
                  <w:pPr>
                    <w:pStyle w:val="85"/>
                    <w:keepNext w:val="0"/>
                    <w:keepLines w:val="0"/>
                    <w:suppressLineNumbers w:val="0"/>
                    <w:spacing w:before="24" w:beforeAutospacing="0" w:after="24" w:afterAutospacing="0"/>
                    <w:ind w:left="0" w:right="0"/>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声压级（dB）</w:t>
                  </w:r>
                </w:p>
              </w:tc>
              <w:tc>
                <w:tcPr>
                  <w:tcW w:w="443" w:type="pct"/>
                  <w:noWrap w:val="0"/>
                  <w:vAlign w:val="center"/>
                </w:tcPr>
                <w:p w14:paraId="767BC5DB">
                  <w:pPr>
                    <w:pStyle w:val="85"/>
                    <w:keepNext w:val="0"/>
                    <w:keepLines w:val="0"/>
                    <w:suppressLineNumbers w:val="0"/>
                    <w:spacing w:before="24" w:beforeAutospacing="0" w:after="24"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建筑物外距离（m）</w:t>
                  </w:r>
                </w:p>
              </w:tc>
            </w:tr>
            <w:tr w14:paraId="4D2E6513">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37BF755F">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restart"/>
                  <w:noWrap w:val="0"/>
                  <w:vAlign w:val="center"/>
                </w:tcPr>
                <w:p w14:paraId="0613A4C9">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r>
                    <w:rPr>
                      <w:rFonts w:hint="eastAsia" w:ascii="Times New Roman" w:cs="Times New Roman"/>
                      <w:color w:val="auto"/>
                      <w:szCs w:val="21"/>
                      <w:highlight w:val="none"/>
                      <w:lang w:val="en-US" w:eastAsia="zh-CN"/>
                    </w:rPr>
                    <w:t>5F</w:t>
                  </w:r>
                  <w:r>
                    <w:rPr>
                      <w:rFonts w:hint="default" w:ascii="Times New Roman" w:hAnsi="Times New Roman" w:cs="Times New Roman"/>
                      <w:color w:val="auto"/>
                      <w:szCs w:val="21"/>
                      <w:highlight w:val="none"/>
                    </w:rPr>
                    <w:t>厂房</w:t>
                  </w:r>
                </w:p>
              </w:tc>
              <w:tc>
                <w:tcPr>
                  <w:tcW w:w="339" w:type="pct"/>
                  <w:noWrap w:val="0"/>
                  <w:vAlign w:val="center"/>
                </w:tcPr>
                <w:p w14:paraId="055E2536">
                  <w:pPr>
                    <w:pStyle w:val="85"/>
                    <w:keepNext w:val="0"/>
                    <w:keepLines w:val="0"/>
                    <w:suppressLineNumbers w:val="0"/>
                    <w:spacing w:before="24" w:beforeAutospacing="0" w:after="24" w:afterAutospacing="0"/>
                    <w:ind w:left="0" w:right="0"/>
                    <w:rPr>
                      <w:rFonts w:hint="eastAsia" w:ascii="Times New Roman" w:hAnsi="Times New Roman" w:eastAsia="宋体"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吸塑机</w:t>
                  </w:r>
                </w:p>
              </w:tc>
              <w:tc>
                <w:tcPr>
                  <w:tcW w:w="281" w:type="pct"/>
                  <w:noWrap w:val="0"/>
                  <w:vAlign w:val="center"/>
                </w:tcPr>
                <w:p w14:paraId="60477577">
                  <w:pPr>
                    <w:keepNext w:val="0"/>
                    <w:keepLines w:val="0"/>
                    <w:suppressLineNumbers w:val="0"/>
                    <w:spacing w:before="24" w:beforeAutospacing="0" w:after="24"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159" w:type="pct"/>
                  <w:noWrap w:val="0"/>
                  <w:vAlign w:val="center"/>
                </w:tcPr>
                <w:p w14:paraId="00DC8D95">
                  <w:pPr>
                    <w:pStyle w:val="85"/>
                    <w:keepNext w:val="0"/>
                    <w:keepLines w:val="0"/>
                    <w:suppressLineNumbers w:val="0"/>
                    <w:spacing w:before="24" w:beforeAutospacing="0" w:after="24" w:afterAutospacing="0"/>
                    <w:ind w:left="0" w:right="0"/>
                    <w:rPr>
                      <w:rFonts w:hint="eastAsia" w:ascii="Times New Roman" w:hAnsi="Times New Roman" w:eastAsia="宋体" w:cs="Times New Roman"/>
                      <w:color w:val="auto"/>
                      <w:szCs w:val="21"/>
                      <w:highlight w:val="none"/>
                      <w:lang w:val="en-US" w:eastAsia="zh-CN"/>
                    </w:rPr>
                  </w:pPr>
                  <w:r>
                    <w:rPr>
                      <w:rFonts w:hint="eastAsia" w:ascii="Times New Roman" w:cs="Times New Roman"/>
                      <w:color w:val="auto"/>
                      <w:szCs w:val="21"/>
                      <w:highlight w:val="none"/>
                      <w:lang w:val="en-US" w:eastAsia="zh-CN"/>
                    </w:rPr>
                    <w:t>1</w:t>
                  </w:r>
                </w:p>
              </w:tc>
              <w:tc>
                <w:tcPr>
                  <w:tcW w:w="218" w:type="pct"/>
                  <w:noWrap w:val="0"/>
                  <w:vAlign w:val="center"/>
                </w:tcPr>
                <w:p w14:paraId="4C26DC9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3.9</w:t>
                  </w:r>
                </w:p>
              </w:tc>
              <w:tc>
                <w:tcPr>
                  <w:tcW w:w="177" w:type="pct"/>
                  <w:noWrap w:val="0"/>
                  <w:vAlign w:val="center"/>
                </w:tcPr>
                <w:p w14:paraId="083F570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18</w:t>
                  </w:r>
                </w:p>
              </w:tc>
              <w:tc>
                <w:tcPr>
                  <w:tcW w:w="219" w:type="pct"/>
                  <w:noWrap w:val="0"/>
                  <w:vAlign w:val="center"/>
                </w:tcPr>
                <w:p w14:paraId="03D064E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23.5</w:t>
                  </w:r>
                </w:p>
              </w:tc>
              <w:tc>
                <w:tcPr>
                  <w:tcW w:w="312" w:type="pct"/>
                  <w:noWrap w:val="0"/>
                  <w:vAlign w:val="center"/>
                </w:tcPr>
                <w:p w14:paraId="7C9C65E5">
                  <w:pPr>
                    <w:keepNext w:val="0"/>
                    <w:keepLines w:val="0"/>
                    <w:suppressLineNumbers w:val="0"/>
                    <w:spacing w:before="24" w:beforeAutospacing="0" w:after="24"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Cs w:val="21"/>
                      <w:highlight w:val="none"/>
                      <w:lang w:val="en-US" w:eastAsia="zh-CN"/>
                    </w:rPr>
                    <w:t>75</w:t>
                  </w:r>
                </w:p>
              </w:tc>
              <w:tc>
                <w:tcPr>
                  <w:tcW w:w="367" w:type="pct"/>
                  <w:noWrap w:val="0"/>
                  <w:vAlign w:val="center"/>
                </w:tcPr>
                <w:p w14:paraId="0145CE42">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restart"/>
                  <w:noWrap w:val="0"/>
                  <w:vAlign w:val="center"/>
                </w:tcPr>
                <w:p w14:paraId="280344C6">
                  <w:pPr>
                    <w:pStyle w:val="85"/>
                    <w:keepNext w:val="0"/>
                    <w:keepLines w:val="0"/>
                    <w:suppressLineNumbers w:val="0"/>
                    <w:spacing w:before="24" w:beforeAutospacing="0" w:after="24" w:afterAutospacing="0"/>
                    <w:ind w:left="0" w:right="0"/>
                    <w:rPr>
                      <w:rFonts w:hint="default" w:ascii="Times New Roman" w:hAnsi="Times New Roman" w:cs="Times New Roman"/>
                      <w:bCs/>
                      <w:color w:val="auto"/>
                      <w:szCs w:val="21"/>
                      <w:highlight w:val="none"/>
                    </w:rPr>
                  </w:pPr>
                  <w:r>
                    <w:rPr>
                      <w:rFonts w:hint="default" w:ascii="Times New Roman" w:hAnsi="Times New Roman" w:cs="Times New Roman"/>
                      <w:color w:val="auto"/>
                      <w:szCs w:val="21"/>
                      <w:highlight w:val="none"/>
                    </w:rPr>
                    <w:t>设备减震隔声，厂房隔声、厂区围墙</w:t>
                  </w:r>
                </w:p>
              </w:tc>
              <w:tc>
                <w:tcPr>
                  <w:tcW w:w="490" w:type="pct"/>
                  <w:vMerge w:val="restart"/>
                  <w:noWrap w:val="0"/>
                  <w:vAlign w:val="center"/>
                </w:tcPr>
                <w:p w14:paraId="6184EAF9">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每天连续工作时间为</w:t>
                  </w:r>
                  <w:r>
                    <w:rPr>
                      <w:rFonts w:hint="eastAsia" w:ascii="Times New Roman" w:cs="Times New Roman"/>
                      <w:color w:val="auto"/>
                      <w:szCs w:val="21"/>
                      <w:highlight w:val="none"/>
                      <w:lang w:val="en-US" w:eastAsia="zh-CN"/>
                    </w:rPr>
                    <w:t>8</w:t>
                  </w:r>
                  <w:r>
                    <w:rPr>
                      <w:rFonts w:hint="default" w:ascii="Times New Roman" w:hAnsi="Times New Roman" w:cs="Times New Roman"/>
                      <w:color w:val="auto"/>
                      <w:szCs w:val="21"/>
                      <w:highlight w:val="none"/>
                    </w:rPr>
                    <w:t>h，每年工作2</w:t>
                  </w:r>
                  <w:r>
                    <w:rPr>
                      <w:rFonts w:hint="eastAsia" w:ascii="Times New Roman" w:cs="Times New Roman"/>
                      <w:color w:val="auto"/>
                      <w:szCs w:val="21"/>
                      <w:highlight w:val="none"/>
                      <w:lang w:val="en-US" w:eastAsia="zh-CN"/>
                    </w:rPr>
                    <w:t>4</w:t>
                  </w:r>
                  <w:r>
                    <w:rPr>
                      <w:rFonts w:hint="default" w:ascii="Times New Roman" w:hAnsi="Times New Roman" w:cs="Times New Roman"/>
                      <w:color w:val="auto"/>
                      <w:szCs w:val="21"/>
                      <w:highlight w:val="none"/>
                    </w:rPr>
                    <w:t>00h</w:t>
                  </w:r>
                </w:p>
              </w:tc>
              <w:tc>
                <w:tcPr>
                  <w:tcW w:w="421" w:type="pct"/>
                  <w:vMerge w:val="restart"/>
                  <w:noWrap w:val="0"/>
                  <w:vAlign w:val="center"/>
                </w:tcPr>
                <w:p w14:paraId="1A990457">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25dB（A）</w:t>
                  </w:r>
                </w:p>
              </w:tc>
              <w:tc>
                <w:tcPr>
                  <w:tcW w:w="409" w:type="pct"/>
                  <w:noWrap w:val="0"/>
                  <w:vAlign w:val="center"/>
                </w:tcPr>
                <w:p w14:paraId="33CA102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63.2</w:t>
                  </w:r>
                </w:p>
              </w:tc>
              <w:tc>
                <w:tcPr>
                  <w:tcW w:w="365" w:type="pct"/>
                  <w:noWrap w:val="0"/>
                  <w:vAlign w:val="center"/>
                </w:tcPr>
                <w:p w14:paraId="424B0BA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38.2</w:t>
                  </w:r>
                </w:p>
              </w:tc>
              <w:tc>
                <w:tcPr>
                  <w:tcW w:w="443" w:type="pct"/>
                  <w:noWrap w:val="0"/>
                  <w:vAlign w:val="center"/>
                </w:tcPr>
                <w:p w14:paraId="69820879">
                  <w:pPr>
                    <w:pStyle w:val="85"/>
                    <w:keepNext w:val="0"/>
                    <w:keepLines w:val="0"/>
                    <w:suppressLineNumbers w:val="0"/>
                    <w:spacing w:before="24" w:beforeAutospacing="0" w:after="24" w:afterAutospacing="0"/>
                    <w:ind w:left="0" w:right="0"/>
                    <w:jc w:val="center"/>
                    <w:rPr>
                      <w:rFonts w:hint="default" w:ascii="Times New Roman" w:hAnsi="Times New Roman" w:cs="Times New Roman"/>
                      <w:color w:val="auto"/>
                      <w:kern w:val="28"/>
                      <w:szCs w:val="21"/>
                      <w:highlight w:val="none"/>
                    </w:rPr>
                  </w:pPr>
                  <w:r>
                    <w:rPr>
                      <w:rFonts w:hint="default" w:ascii="Times New Roman" w:hAnsi="Times New Roman" w:cs="Times New Roman"/>
                      <w:color w:val="auto"/>
                      <w:szCs w:val="21"/>
                      <w:highlight w:val="none"/>
                    </w:rPr>
                    <w:t>1</w:t>
                  </w:r>
                </w:p>
              </w:tc>
            </w:tr>
            <w:tr w14:paraId="38CA98C9">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466BF302">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0F701ED9">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lang w:bidi="ar"/>
                    </w:rPr>
                  </w:pPr>
                </w:p>
              </w:tc>
              <w:tc>
                <w:tcPr>
                  <w:tcW w:w="339" w:type="pct"/>
                  <w:noWrap w:val="0"/>
                  <w:vAlign w:val="center"/>
                </w:tcPr>
                <w:p w14:paraId="6C30ABC5">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 w:val="21"/>
                      <w:szCs w:val="21"/>
                      <w:highlight w:val="none"/>
                      <w:lang w:bidi="ar"/>
                    </w:rPr>
                  </w:pPr>
                  <w:r>
                    <w:rPr>
                      <w:rFonts w:hint="eastAsia" w:ascii="Times New Roman" w:cs="Times New Roman"/>
                      <w:color w:val="auto"/>
                      <w:sz w:val="21"/>
                      <w:szCs w:val="21"/>
                      <w:highlight w:val="none"/>
                      <w:lang w:val="en-US" w:eastAsia="zh-CN"/>
                    </w:rPr>
                    <w:t>吸塑机</w:t>
                  </w:r>
                </w:p>
              </w:tc>
              <w:tc>
                <w:tcPr>
                  <w:tcW w:w="281" w:type="pct"/>
                  <w:noWrap w:val="0"/>
                  <w:vAlign w:val="center"/>
                </w:tcPr>
                <w:p w14:paraId="4D36A7BE">
                  <w:pPr>
                    <w:keepNext w:val="0"/>
                    <w:keepLines w:val="0"/>
                    <w:suppressLineNumbers w:val="0"/>
                    <w:spacing w:before="24" w:beforeAutospacing="0" w:after="24" w:afterAutospacing="0"/>
                    <w:ind w:left="0" w:right="0"/>
                    <w:jc w:val="center"/>
                    <w:rPr>
                      <w:rFonts w:hint="default" w:ascii="Times New Roman" w:hAnsi="Times New Roman" w:cs="Times New Roman"/>
                      <w:color w:val="auto"/>
                      <w:szCs w:val="21"/>
                      <w:highlight w:val="none"/>
                    </w:rPr>
                  </w:pPr>
                  <w:r>
                    <w:rPr>
                      <w:rFonts w:hint="eastAsia" w:ascii="Times New Roman" w:hAnsi="Times New Roman" w:eastAsia="宋体" w:cs="Times New Roman"/>
                      <w:color w:val="auto"/>
                      <w:szCs w:val="21"/>
                      <w:highlight w:val="none"/>
                      <w:lang w:val="en-US" w:eastAsia="zh-CN"/>
                    </w:rPr>
                    <w:t>75</w:t>
                  </w:r>
                </w:p>
              </w:tc>
              <w:tc>
                <w:tcPr>
                  <w:tcW w:w="159" w:type="pct"/>
                  <w:noWrap w:val="0"/>
                  <w:vAlign w:val="center"/>
                </w:tcPr>
                <w:p w14:paraId="6E92EE48">
                  <w:pPr>
                    <w:pStyle w:val="85"/>
                    <w:keepNext w:val="0"/>
                    <w:keepLines w:val="0"/>
                    <w:suppressLineNumbers w:val="0"/>
                    <w:spacing w:before="24" w:beforeAutospacing="0" w:after="24" w:afterAutospacing="0"/>
                    <w:ind w:left="0" w:right="0"/>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37817AF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3.9</w:t>
                  </w:r>
                </w:p>
              </w:tc>
              <w:tc>
                <w:tcPr>
                  <w:tcW w:w="177" w:type="pct"/>
                  <w:noWrap w:val="0"/>
                  <w:vAlign w:val="center"/>
                </w:tcPr>
                <w:p w14:paraId="497D222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20</w:t>
                  </w:r>
                </w:p>
              </w:tc>
              <w:tc>
                <w:tcPr>
                  <w:tcW w:w="219" w:type="pct"/>
                  <w:noWrap w:val="0"/>
                  <w:vAlign w:val="center"/>
                </w:tcPr>
                <w:p w14:paraId="7B9D5B6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highlight w:val="none"/>
                      <w:lang w:val="en-US" w:eastAsia="zh-CN"/>
                    </w:rPr>
                  </w:pPr>
                  <w:r>
                    <w:rPr>
                      <w:rFonts w:hint="eastAsia" w:cs="Times New Roman"/>
                      <w:color w:val="auto"/>
                      <w:highlight w:val="none"/>
                      <w:lang w:val="en-US" w:eastAsia="zh-CN"/>
                    </w:rPr>
                    <w:t>23.5</w:t>
                  </w:r>
                </w:p>
              </w:tc>
              <w:tc>
                <w:tcPr>
                  <w:tcW w:w="312" w:type="pct"/>
                  <w:noWrap w:val="0"/>
                  <w:vAlign w:val="center"/>
                </w:tcPr>
                <w:p w14:paraId="354EBB55">
                  <w:pPr>
                    <w:keepNext w:val="0"/>
                    <w:keepLines w:val="0"/>
                    <w:suppressLineNumbers w:val="0"/>
                    <w:spacing w:before="24" w:beforeAutospacing="0" w:after="24"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Cs w:val="21"/>
                      <w:highlight w:val="none"/>
                      <w:lang w:val="en-US" w:eastAsia="zh-CN"/>
                    </w:rPr>
                    <w:t>75</w:t>
                  </w:r>
                </w:p>
              </w:tc>
              <w:tc>
                <w:tcPr>
                  <w:tcW w:w="367" w:type="pct"/>
                  <w:noWrap w:val="0"/>
                  <w:vAlign w:val="center"/>
                </w:tcPr>
                <w:p w14:paraId="3C400A3C">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3B265632">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90" w:type="pct"/>
                  <w:vMerge w:val="continue"/>
                  <w:noWrap w:val="0"/>
                  <w:vAlign w:val="center"/>
                </w:tcPr>
                <w:p w14:paraId="50A312D4">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21" w:type="pct"/>
                  <w:vMerge w:val="continue"/>
                  <w:noWrap w:val="0"/>
                  <w:vAlign w:val="center"/>
                </w:tcPr>
                <w:p w14:paraId="0FB594A9">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5719C8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63.2</w:t>
                  </w:r>
                </w:p>
              </w:tc>
              <w:tc>
                <w:tcPr>
                  <w:tcW w:w="365" w:type="pct"/>
                  <w:noWrap w:val="0"/>
                  <w:vAlign w:val="center"/>
                </w:tcPr>
                <w:p w14:paraId="7AC4D32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38.2</w:t>
                  </w:r>
                </w:p>
              </w:tc>
              <w:tc>
                <w:tcPr>
                  <w:tcW w:w="443" w:type="pct"/>
                  <w:noWrap w:val="0"/>
                  <w:vAlign w:val="center"/>
                </w:tcPr>
                <w:p w14:paraId="1DCE71F2">
                  <w:pPr>
                    <w:pStyle w:val="85"/>
                    <w:keepNext w:val="0"/>
                    <w:keepLines w:val="0"/>
                    <w:suppressLineNumbers w:val="0"/>
                    <w:spacing w:before="24" w:beforeAutospacing="0" w:after="24"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r>
            <w:tr w14:paraId="4562695D">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708244F3">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193839C9">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lang w:bidi="ar"/>
                    </w:rPr>
                  </w:pPr>
                </w:p>
              </w:tc>
              <w:tc>
                <w:tcPr>
                  <w:tcW w:w="339" w:type="pct"/>
                  <w:noWrap w:val="0"/>
                  <w:vAlign w:val="center"/>
                </w:tcPr>
                <w:p w14:paraId="79C81D8F">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cs="Times New Roman"/>
                      <w:color w:val="auto"/>
                      <w:sz w:val="21"/>
                      <w:szCs w:val="21"/>
                      <w:highlight w:val="none"/>
                      <w:lang w:val="en-US" w:eastAsia="zh-CN"/>
                    </w:rPr>
                    <w:t>吸塑机</w:t>
                  </w:r>
                </w:p>
              </w:tc>
              <w:tc>
                <w:tcPr>
                  <w:tcW w:w="281" w:type="pct"/>
                  <w:noWrap w:val="0"/>
                  <w:vAlign w:val="center"/>
                </w:tcPr>
                <w:p w14:paraId="69552D7A">
                  <w:pPr>
                    <w:keepNext w:val="0"/>
                    <w:keepLines w:val="0"/>
                    <w:suppressLineNumbers w:val="0"/>
                    <w:spacing w:before="24" w:beforeAutospacing="0" w:after="24"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159" w:type="pct"/>
                  <w:noWrap w:val="0"/>
                  <w:vAlign w:val="center"/>
                </w:tcPr>
                <w:p w14:paraId="396979E6">
                  <w:pPr>
                    <w:pStyle w:val="85"/>
                    <w:keepNext w:val="0"/>
                    <w:keepLines w:val="0"/>
                    <w:suppressLineNumbers w:val="0"/>
                    <w:spacing w:before="24" w:beforeAutospacing="0" w:after="24" w:afterAutospacing="0"/>
                    <w:ind w:left="0" w:right="0"/>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1C52B8F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3.9</w:t>
                  </w:r>
                </w:p>
              </w:tc>
              <w:tc>
                <w:tcPr>
                  <w:tcW w:w="177" w:type="pct"/>
                  <w:noWrap w:val="0"/>
                  <w:vAlign w:val="center"/>
                </w:tcPr>
                <w:p w14:paraId="1B4BEE0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22</w:t>
                  </w:r>
                </w:p>
              </w:tc>
              <w:tc>
                <w:tcPr>
                  <w:tcW w:w="219" w:type="pct"/>
                  <w:noWrap w:val="0"/>
                  <w:vAlign w:val="center"/>
                </w:tcPr>
                <w:p w14:paraId="79417845">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eastAsia" w:cs="Times New Roman"/>
                      <w:color w:val="auto"/>
                      <w:highlight w:val="none"/>
                      <w:lang w:val="en-US" w:eastAsia="zh-CN"/>
                    </w:rPr>
                    <w:t>23.5</w:t>
                  </w:r>
                </w:p>
              </w:tc>
              <w:tc>
                <w:tcPr>
                  <w:tcW w:w="312" w:type="pct"/>
                  <w:noWrap w:val="0"/>
                  <w:vAlign w:val="center"/>
                </w:tcPr>
                <w:p w14:paraId="5D44D4A0">
                  <w:pPr>
                    <w:keepNext w:val="0"/>
                    <w:keepLines w:val="0"/>
                    <w:suppressLineNumbers w:val="0"/>
                    <w:spacing w:before="24" w:beforeAutospacing="0" w:after="24"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Cs w:val="21"/>
                      <w:highlight w:val="none"/>
                      <w:lang w:val="en-US" w:eastAsia="zh-CN"/>
                    </w:rPr>
                    <w:t>75</w:t>
                  </w:r>
                </w:p>
              </w:tc>
              <w:tc>
                <w:tcPr>
                  <w:tcW w:w="367" w:type="pct"/>
                  <w:noWrap w:val="0"/>
                  <w:vAlign w:val="center"/>
                </w:tcPr>
                <w:p w14:paraId="7390DF2F">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049A434E">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90" w:type="pct"/>
                  <w:vMerge w:val="continue"/>
                  <w:noWrap w:val="0"/>
                  <w:vAlign w:val="center"/>
                </w:tcPr>
                <w:p w14:paraId="39FC56C5">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21" w:type="pct"/>
                  <w:vMerge w:val="continue"/>
                  <w:noWrap w:val="0"/>
                  <w:vAlign w:val="center"/>
                </w:tcPr>
                <w:p w14:paraId="62D1101B">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570E62A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63.2</w:t>
                  </w:r>
                </w:p>
              </w:tc>
              <w:tc>
                <w:tcPr>
                  <w:tcW w:w="365" w:type="pct"/>
                  <w:noWrap w:val="0"/>
                  <w:vAlign w:val="center"/>
                </w:tcPr>
                <w:p w14:paraId="1A1AB53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38.2</w:t>
                  </w:r>
                </w:p>
              </w:tc>
              <w:tc>
                <w:tcPr>
                  <w:tcW w:w="443" w:type="pct"/>
                  <w:noWrap w:val="0"/>
                  <w:vAlign w:val="center"/>
                </w:tcPr>
                <w:p w14:paraId="5B5D7F94">
                  <w:pPr>
                    <w:pStyle w:val="85"/>
                    <w:keepNext w:val="0"/>
                    <w:keepLines w:val="0"/>
                    <w:suppressLineNumbers w:val="0"/>
                    <w:spacing w:before="24" w:beforeAutospacing="0" w:after="24"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r>
            <w:tr w14:paraId="304AB993">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7688BCC5">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6EA7C676">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339" w:type="pct"/>
                  <w:noWrap w:val="0"/>
                  <w:vAlign w:val="center"/>
                </w:tcPr>
                <w:p w14:paraId="5F2A48BE">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kern w:val="0"/>
                      <w:sz w:val="21"/>
                      <w:szCs w:val="21"/>
                      <w:highlight w:val="none"/>
                      <w:lang w:bidi="ar"/>
                    </w:rPr>
                  </w:pPr>
                  <w:r>
                    <w:rPr>
                      <w:rFonts w:hint="eastAsia" w:ascii="Times New Roman" w:cs="Times New Roman"/>
                      <w:color w:val="auto"/>
                      <w:sz w:val="21"/>
                      <w:szCs w:val="21"/>
                      <w:highlight w:val="none"/>
                      <w:lang w:val="en-US" w:eastAsia="zh-CN"/>
                    </w:rPr>
                    <w:t>吸塑机</w:t>
                  </w:r>
                </w:p>
              </w:tc>
              <w:tc>
                <w:tcPr>
                  <w:tcW w:w="281" w:type="pct"/>
                  <w:noWrap w:val="0"/>
                  <w:vAlign w:val="center"/>
                </w:tcPr>
                <w:p w14:paraId="6F0787FD">
                  <w:pPr>
                    <w:keepNext w:val="0"/>
                    <w:keepLines w:val="0"/>
                    <w:suppressLineNumbers w:val="0"/>
                    <w:spacing w:before="24" w:beforeAutospacing="0" w:after="24"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159" w:type="pct"/>
                  <w:noWrap w:val="0"/>
                  <w:vAlign w:val="center"/>
                </w:tcPr>
                <w:p w14:paraId="59D61BC6">
                  <w:pPr>
                    <w:pStyle w:val="85"/>
                    <w:keepNext w:val="0"/>
                    <w:keepLines w:val="0"/>
                    <w:suppressLineNumbers w:val="0"/>
                    <w:spacing w:before="24" w:beforeAutospacing="0" w:after="24" w:afterAutospacing="0"/>
                    <w:ind w:left="0" w:right="0"/>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5127C05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3.9</w:t>
                  </w:r>
                </w:p>
              </w:tc>
              <w:tc>
                <w:tcPr>
                  <w:tcW w:w="177" w:type="pct"/>
                  <w:noWrap w:val="0"/>
                  <w:vAlign w:val="center"/>
                </w:tcPr>
                <w:p w14:paraId="7703CD9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24</w:t>
                  </w:r>
                </w:p>
              </w:tc>
              <w:tc>
                <w:tcPr>
                  <w:tcW w:w="219" w:type="pct"/>
                  <w:noWrap w:val="0"/>
                  <w:vAlign w:val="center"/>
                </w:tcPr>
                <w:p w14:paraId="061387DD">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eastAsia" w:cs="Times New Roman"/>
                      <w:color w:val="auto"/>
                      <w:highlight w:val="none"/>
                      <w:lang w:val="en-US" w:eastAsia="zh-CN"/>
                    </w:rPr>
                    <w:t>23.5</w:t>
                  </w:r>
                </w:p>
              </w:tc>
              <w:tc>
                <w:tcPr>
                  <w:tcW w:w="312" w:type="pct"/>
                  <w:noWrap w:val="0"/>
                  <w:vAlign w:val="center"/>
                </w:tcPr>
                <w:p w14:paraId="6B1CE427">
                  <w:pPr>
                    <w:keepNext w:val="0"/>
                    <w:keepLines w:val="0"/>
                    <w:suppressLineNumbers w:val="0"/>
                    <w:spacing w:before="24" w:beforeAutospacing="0" w:after="24"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Cs w:val="21"/>
                      <w:highlight w:val="none"/>
                      <w:lang w:val="en-US" w:eastAsia="zh-CN"/>
                    </w:rPr>
                    <w:t>75</w:t>
                  </w:r>
                </w:p>
              </w:tc>
              <w:tc>
                <w:tcPr>
                  <w:tcW w:w="367" w:type="pct"/>
                  <w:noWrap w:val="0"/>
                  <w:vAlign w:val="center"/>
                </w:tcPr>
                <w:p w14:paraId="3F5D66DD">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312D33DA">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90" w:type="pct"/>
                  <w:vMerge w:val="continue"/>
                  <w:noWrap w:val="0"/>
                  <w:vAlign w:val="center"/>
                </w:tcPr>
                <w:p w14:paraId="4B92F83D">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21" w:type="pct"/>
                  <w:vMerge w:val="continue"/>
                  <w:noWrap w:val="0"/>
                  <w:vAlign w:val="center"/>
                </w:tcPr>
                <w:p w14:paraId="5AA9FE92">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056EF11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63.2</w:t>
                  </w:r>
                </w:p>
              </w:tc>
              <w:tc>
                <w:tcPr>
                  <w:tcW w:w="365" w:type="pct"/>
                  <w:noWrap w:val="0"/>
                  <w:vAlign w:val="center"/>
                </w:tcPr>
                <w:p w14:paraId="37C6A3D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38.2</w:t>
                  </w:r>
                </w:p>
              </w:tc>
              <w:tc>
                <w:tcPr>
                  <w:tcW w:w="443" w:type="pct"/>
                  <w:noWrap w:val="0"/>
                  <w:vAlign w:val="center"/>
                </w:tcPr>
                <w:p w14:paraId="29EAB6E3">
                  <w:pPr>
                    <w:pStyle w:val="85"/>
                    <w:keepNext w:val="0"/>
                    <w:keepLines w:val="0"/>
                    <w:suppressLineNumbers w:val="0"/>
                    <w:spacing w:before="24" w:beforeAutospacing="0" w:after="24" w:afterAutospacing="0"/>
                    <w:ind w:left="0" w:right="0"/>
                    <w:jc w:val="center"/>
                    <w:rPr>
                      <w:rFonts w:hint="default" w:ascii="Times New Roman" w:hAnsi="Times New Roman" w:cs="Times New Roman"/>
                      <w:color w:val="auto"/>
                      <w:kern w:val="28"/>
                      <w:szCs w:val="21"/>
                      <w:highlight w:val="none"/>
                    </w:rPr>
                  </w:pPr>
                  <w:r>
                    <w:rPr>
                      <w:rFonts w:hint="default" w:ascii="Times New Roman" w:hAnsi="Times New Roman" w:cs="Times New Roman"/>
                      <w:color w:val="auto"/>
                      <w:szCs w:val="21"/>
                      <w:highlight w:val="none"/>
                    </w:rPr>
                    <w:t>1</w:t>
                  </w:r>
                </w:p>
              </w:tc>
            </w:tr>
            <w:tr w14:paraId="67D97847">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2A5CAD53">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4E0316B3">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339" w:type="pct"/>
                  <w:noWrap w:val="0"/>
                  <w:vAlign w:val="center"/>
                </w:tcPr>
                <w:p w14:paraId="7C8EBB73">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lang w:bidi="ar"/>
                    </w:rPr>
                  </w:pPr>
                  <w:r>
                    <w:rPr>
                      <w:rFonts w:hint="eastAsia" w:ascii="Times New Roman" w:cs="Times New Roman"/>
                      <w:color w:val="auto"/>
                      <w:sz w:val="21"/>
                      <w:szCs w:val="21"/>
                      <w:highlight w:val="none"/>
                      <w:lang w:val="en-US" w:eastAsia="zh-CN"/>
                    </w:rPr>
                    <w:t>吸塑机</w:t>
                  </w:r>
                </w:p>
              </w:tc>
              <w:tc>
                <w:tcPr>
                  <w:tcW w:w="281" w:type="pct"/>
                  <w:noWrap w:val="0"/>
                  <w:vAlign w:val="center"/>
                </w:tcPr>
                <w:p w14:paraId="5AEF4848">
                  <w:pPr>
                    <w:keepNext w:val="0"/>
                    <w:keepLines w:val="0"/>
                    <w:suppressLineNumbers w:val="0"/>
                    <w:spacing w:before="24" w:beforeAutospacing="0" w:after="24"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159" w:type="pct"/>
                  <w:noWrap w:val="0"/>
                  <w:vAlign w:val="center"/>
                </w:tcPr>
                <w:p w14:paraId="05FE5BD0">
                  <w:pPr>
                    <w:pStyle w:val="85"/>
                    <w:keepNext w:val="0"/>
                    <w:keepLines w:val="0"/>
                    <w:suppressLineNumbers w:val="0"/>
                    <w:spacing w:before="24" w:beforeAutospacing="0" w:after="24" w:afterAutospacing="0"/>
                    <w:ind w:left="0" w:right="0"/>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24431FC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3.9</w:t>
                  </w:r>
                </w:p>
              </w:tc>
              <w:tc>
                <w:tcPr>
                  <w:tcW w:w="177" w:type="pct"/>
                  <w:noWrap w:val="0"/>
                  <w:vAlign w:val="center"/>
                </w:tcPr>
                <w:p w14:paraId="1A50960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26</w:t>
                  </w:r>
                </w:p>
              </w:tc>
              <w:tc>
                <w:tcPr>
                  <w:tcW w:w="219" w:type="pct"/>
                  <w:noWrap w:val="0"/>
                  <w:vAlign w:val="center"/>
                </w:tcPr>
                <w:p w14:paraId="5A8BE671">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eastAsia" w:cs="Times New Roman"/>
                      <w:color w:val="auto"/>
                      <w:highlight w:val="none"/>
                      <w:lang w:val="en-US" w:eastAsia="zh-CN"/>
                    </w:rPr>
                    <w:t>23.5</w:t>
                  </w:r>
                </w:p>
              </w:tc>
              <w:tc>
                <w:tcPr>
                  <w:tcW w:w="312" w:type="pct"/>
                  <w:noWrap w:val="0"/>
                  <w:vAlign w:val="center"/>
                </w:tcPr>
                <w:p w14:paraId="07F40E2E">
                  <w:pPr>
                    <w:keepNext w:val="0"/>
                    <w:keepLines w:val="0"/>
                    <w:suppressLineNumbers w:val="0"/>
                    <w:spacing w:before="24" w:beforeAutospacing="0" w:after="24"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Cs w:val="21"/>
                      <w:highlight w:val="none"/>
                      <w:lang w:val="en-US" w:eastAsia="zh-CN"/>
                    </w:rPr>
                    <w:t>75</w:t>
                  </w:r>
                </w:p>
              </w:tc>
              <w:tc>
                <w:tcPr>
                  <w:tcW w:w="367" w:type="pct"/>
                  <w:noWrap w:val="0"/>
                  <w:vAlign w:val="center"/>
                </w:tcPr>
                <w:p w14:paraId="3D0B152F">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1A6A7F74">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90" w:type="pct"/>
                  <w:vMerge w:val="continue"/>
                  <w:noWrap w:val="0"/>
                  <w:vAlign w:val="center"/>
                </w:tcPr>
                <w:p w14:paraId="6123339B">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21" w:type="pct"/>
                  <w:vMerge w:val="continue"/>
                  <w:noWrap w:val="0"/>
                  <w:vAlign w:val="center"/>
                </w:tcPr>
                <w:p w14:paraId="5ECD1048">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591F391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63.2</w:t>
                  </w:r>
                </w:p>
              </w:tc>
              <w:tc>
                <w:tcPr>
                  <w:tcW w:w="365" w:type="pct"/>
                  <w:noWrap w:val="0"/>
                  <w:vAlign w:val="center"/>
                </w:tcPr>
                <w:p w14:paraId="02BCCB2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38.2</w:t>
                  </w:r>
                </w:p>
              </w:tc>
              <w:tc>
                <w:tcPr>
                  <w:tcW w:w="443" w:type="pct"/>
                  <w:noWrap w:val="0"/>
                  <w:vAlign w:val="center"/>
                </w:tcPr>
                <w:p w14:paraId="5F900CFE">
                  <w:pPr>
                    <w:pStyle w:val="85"/>
                    <w:keepNext w:val="0"/>
                    <w:keepLines w:val="0"/>
                    <w:suppressLineNumbers w:val="0"/>
                    <w:spacing w:before="24" w:beforeAutospacing="0" w:after="24" w:afterAutospacing="0"/>
                    <w:ind w:left="0" w:right="0"/>
                    <w:jc w:val="center"/>
                    <w:rPr>
                      <w:rFonts w:hint="default" w:ascii="Times New Roman" w:hAnsi="Times New Roman" w:cs="Times New Roman"/>
                      <w:color w:val="auto"/>
                      <w:kern w:val="28"/>
                      <w:szCs w:val="21"/>
                      <w:highlight w:val="none"/>
                    </w:rPr>
                  </w:pPr>
                  <w:r>
                    <w:rPr>
                      <w:rFonts w:hint="default" w:ascii="Times New Roman" w:hAnsi="Times New Roman" w:cs="Times New Roman"/>
                      <w:color w:val="auto"/>
                      <w:szCs w:val="21"/>
                      <w:highlight w:val="none"/>
                    </w:rPr>
                    <w:t>1</w:t>
                  </w:r>
                </w:p>
              </w:tc>
            </w:tr>
            <w:tr w14:paraId="428FB1D9">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0F6E9C0B">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623DF004">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339" w:type="pct"/>
                  <w:noWrap w:val="0"/>
                  <w:vAlign w:val="center"/>
                </w:tcPr>
                <w:p w14:paraId="0D5B5DE8">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lang w:bidi="ar"/>
                    </w:rPr>
                  </w:pPr>
                  <w:r>
                    <w:rPr>
                      <w:rFonts w:hint="eastAsia" w:ascii="Times New Roman" w:cs="Times New Roman"/>
                      <w:color w:val="auto"/>
                      <w:sz w:val="21"/>
                      <w:szCs w:val="21"/>
                      <w:highlight w:val="none"/>
                      <w:lang w:val="en-US" w:eastAsia="zh-CN"/>
                    </w:rPr>
                    <w:t>吸塑机</w:t>
                  </w:r>
                </w:p>
              </w:tc>
              <w:tc>
                <w:tcPr>
                  <w:tcW w:w="281" w:type="pct"/>
                  <w:noWrap w:val="0"/>
                  <w:vAlign w:val="center"/>
                </w:tcPr>
                <w:p w14:paraId="1F8BFA23">
                  <w:pPr>
                    <w:pStyle w:val="85"/>
                    <w:keepNext w:val="0"/>
                    <w:keepLines w:val="0"/>
                    <w:suppressLineNumbers w:val="0"/>
                    <w:spacing w:before="24" w:beforeAutospacing="0" w:after="24" w:afterAutospacing="0"/>
                    <w:ind w:left="0" w:right="0"/>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159" w:type="pct"/>
                  <w:noWrap w:val="0"/>
                  <w:vAlign w:val="center"/>
                </w:tcPr>
                <w:p w14:paraId="4FAC14AA">
                  <w:pPr>
                    <w:pStyle w:val="85"/>
                    <w:keepNext w:val="0"/>
                    <w:keepLines w:val="0"/>
                    <w:suppressLineNumbers w:val="0"/>
                    <w:spacing w:before="24" w:beforeAutospacing="0" w:after="24" w:afterAutospacing="0"/>
                    <w:ind w:left="0" w:right="0"/>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2E41A83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3.9</w:t>
                  </w:r>
                </w:p>
              </w:tc>
              <w:tc>
                <w:tcPr>
                  <w:tcW w:w="177" w:type="pct"/>
                  <w:noWrap w:val="0"/>
                  <w:vAlign w:val="center"/>
                </w:tcPr>
                <w:p w14:paraId="6121AC8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28</w:t>
                  </w:r>
                </w:p>
              </w:tc>
              <w:tc>
                <w:tcPr>
                  <w:tcW w:w="219" w:type="pct"/>
                  <w:noWrap w:val="0"/>
                  <w:vAlign w:val="center"/>
                </w:tcPr>
                <w:p w14:paraId="3D31AD1B">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eastAsia" w:cs="Times New Roman"/>
                      <w:color w:val="auto"/>
                      <w:highlight w:val="none"/>
                      <w:lang w:val="en-US" w:eastAsia="zh-CN"/>
                    </w:rPr>
                    <w:t>23.5</w:t>
                  </w:r>
                </w:p>
              </w:tc>
              <w:tc>
                <w:tcPr>
                  <w:tcW w:w="312" w:type="pct"/>
                  <w:noWrap w:val="0"/>
                  <w:vAlign w:val="center"/>
                </w:tcPr>
                <w:p w14:paraId="64CE2F62">
                  <w:pPr>
                    <w:pStyle w:val="85"/>
                    <w:keepNext w:val="0"/>
                    <w:keepLines w:val="0"/>
                    <w:suppressLineNumbers w:val="0"/>
                    <w:spacing w:before="24" w:beforeAutospacing="0" w:after="24" w:afterAutospacing="0"/>
                    <w:ind w:left="0" w:leftChars="0" w:right="0" w:rightChars="0"/>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Cs w:val="21"/>
                      <w:highlight w:val="none"/>
                      <w:lang w:val="en-US" w:eastAsia="zh-CN"/>
                    </w:rPr>
                    <w:t>75</w:t>
                  </w:r>
                </w:p>
              </w:tc>
              <w:tc>
                <w:tcPr>
                  <w:tcW w:w="367" w:type="pct"/>
                  <w:noWrap w:val="0"/>
                  <w:vAlign w:val="center"/>
                </w:tcPr>
                <w:p w14:paraId="10BB98AD">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48EE3C10">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p>
              </w:tc>
              <w:tc>
                <w:tcPr>
                  <w:tcW w:w="490" w:type="pct"/>
                  <w:vMerge w:val="continue"/>
                  <w:noWrap w:val="0"/>
                  <w:vAlign w:val="center"/>
                </w:tcPr>
                <w:p w14:paraId="206243FB">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21" w:type="pct"/>
                  <w:vMerge w:val="continue"/>
                  <w:noWrap w:val="0"/>
                  <w:vAlign w:val="center"/>
                </w:tcPr>
                <w:p w14:paraId="49F7276F">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77872E2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63.2</w:t>
                  </w:r>
                </w:p>
              </w:tc>
              <w:tc>
                <w:tcPr>
                  <w:tcW w:w="365" w:type="pct"/>
                  <w:noWrap w:val="0"/>
                  <w:vAlign w:val="center"/>
                </w:tcPr>
                <w:p w14:paraId="55F83F1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38.2</w:t>
                  </w:r>
                </w:p>
              </w:tc>
              <w:tc>
                <w:tcPr>
                  <w:tcW w:w="443" w:type="pct"/>
                  <w:noWrap w:val="0"/>
                  <w:vAlign w:val="center"/>
                </w:tcPr>
                <w:p w14:paraId="06A0706B">
                  <w:pPr>
                    <w:pStyle w:val="85"/>
                    <w:keepNext w:val="0"/>
                    <w:keepLines w:val="0"/>
                    <w:suppressLineNumbers w:val="0"/>
                    <w:spacing w:before="24" w:beforeAutospacing="0" w:after="24" w:afterAutospacing="0"/>
                    <w:ind w:left="0" w:right="0"/>
                    <w:jc w:val="center"/>
                    <w:rPr>
                      <w:rFonts w:hint="default" w:ascii="Times New Roman" w:hAnsi="Times New Roman" w:cs="Times New Roman"/>
                      <w:color w:val="auto"/>
                      <w:kern w:val="28"/>
                      <w:szCs w:val="21"/>
                      <w:highlight w:val="none"/>
                    </w:rPr>
                  </w:pPr>
                  <w:r>
                    <w:rPr>
                      <w:rFonts w:hint="default" w:ascii="Times New Roman" w:hAnsi="Times New Roman" w:cs="Times New Roman"/>
                      <w:color w:val="auto"/>
                      <w:szCs w:val="21"/>
                      <w:highlight w:val="none"/>
                    </w:rPr>
                    <w:t>1</w:t>
                  </w:r>
                </w:p>
              </w:tc>
            </w:tr>
            <w:tr w14:paraId="40AEE62D">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5F6FE013">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445CD5CE">
                  <w:pPr>
                    <w:pStyle w:val="85"/>
                    <w:keepNext w:val="0"/>
                    <w:keepLines w:val="0"/>
                    <w:suppressLineNumbers w:val="0"/>
                    <w:spacing w:before="24" w:beforeAutospacing="0" w:after="24" w:afterAutospacing="0"/>
                    <w:ind w:left="0" w:right="0"/>
                    <w:rPr>
                      <w:rFonts w:hint="default" w:ascii="Times New Roman" w:hAnsi="Times New Roman" w:cs="Times New Roman"/>
                      <w:bCs/>
                      <w:color w:val="auto"/>
                      <w:szCs w:val="21"/>
                      <w:highlight w:val="none"/>
                    </w:rPr>
                  </w:pPr>
                </w:p>
              </w:tc>
              <w:tc>
                <w:tcPr>
                  <w:tcW w:w="339" w:type="pct"/>
                  <w:noWrap w:val="0"/>
                  <w:vAlign w:val="center"/>
                </w:tcPr>
                <w:p w14:paraId="32D76355">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lang w:bidi="ar"/>
                    </w:rPr>
                  </w:pPr>
                  <w:r>
                    <w:rPr>
                      <w:rFonts w:hint="eastAsia"/>
                      <w:color w:val="auto"/>
                      <w:highlight w:val="none"/>
                    </w:rPr>
                    <w:t>冲床</w:t>
                  </w:r>
                </w:p>
              </w:tc>
              <w:tc>
                <w:tcPr>
                  <w:tcW w:w="281" w:type="pct"/>
                  <w:noWrap w:val="0"/>
                  <w:vAlign w:val="center"/>
                </w:tcPr>
                <w:p w14:paraId="18508401">
                  <w:pPr>
                    <w:pStyle w:val="85"/>
                    <w:keepNext w:val="0"/>
                    <w:keepLines w:val="0"/>
                    <w:suppressLineNumbers w:val="0"/>
                    <w:spacing w:before="24" w:beforeAutospacing="0" w:after="24" w:afterAutospacing="0"/>
                    <w:ind w:left="0" w:right="0"/>
                    <w:rPr>
                      <w:rFonts w:hint="default" w:ascii="Times New Roman" w:hAnsi="Times New Roman" w:eastAsia="宋体" w:cs="Times New Roman"/>
                      <w:color w:val="auto"/>
                      <w:szCs w:val="21"/>
                      <w:highlight w:val="none"/>
                      <w:lang w:val="en-US" w:eastAsia="zh-CN"/>
                    </w:rPr>
                  </w:pPr>
                  <w:r>
                    <w:rPr>
                      <w:rFonts w:hint="eastAsia" w:ascii="Times New Roman" w:cs="Times New Roman"/>
                      <w:color w:val="auto"/>
                      <w:szCs w:val="21"/>
                      <w:highlight w:val="none"/>
                      <w:lang w:val="en-US" w:eastAsia="zh-CN"/>
                    </w:rPr>
                    <w:t>80</w:t>
                  </w:r>
                </w:p>
              </w:tc>
              <w:tc>
                <w:tcPr>
                  <w:tcW w:w="159" w:type="pct"/>
                  <w:noWrap w:val="0"/>
                  <w:vAlign w:val="center"/>
                </w:tcPr>
                <w:p w14:paraId="7F6A873D">
                  <w:pPr>
                    <w:pStyle w:val="85"/>
                    <w:keepNext w:val="0"/>
                    <w:keepLines w:val="0"/>
                    <w:suppressLineNumbers w:val="0"/>
                    <w:spacing w:before="24" w:beforeAutospacing="0" w:after="24" w:afterAutospacing="0"/>
                    <w:ind w:left="0" w:right="0"/>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29303F5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13.5</w:t>
                  </w:r>
                </w:p>
              </w:tc>
              <w:tc>
                <w:tcPr>
                  <w:tcW w:w="177" w:type="pct"/>
                  <w:noWrap w:val="0"/>
                  <w:vAlign w:val="center"/>
                </w:tcPr>
                <w:p w14:paraId="2A02A18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16</w:t>
                  </w:r>
                </w:p>
              </w:tc>
              <w:tc>
                <w:tcPr>
                  <w:tcW w:w="219" w:type="pct"/>
                  <w:noWrap w:val="0"/>
                  <w:vAlign w:val="center"/>
                </w:tcPr>
                <w:p w14:paraId="57AAEC25">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eastAsia" w:cs="Times New Roman"/>
                      <w:color w:val="auto"/>
                      <w:highlight w:val="none"/>
                      <w:lang w:val="en-US" w:eastAsia="zh-CN"/>
                    </w:rPr>
                    <w:t>23.5</w:t>
                  </w:r>
                </w:p>
              </w:tc>
              <w:tc>
                <w:tcPr>
                  <w:tcW w:w="312" w:type="pct"/>
                  <w:noWrap w:val="0"/>
                  <w:vAlign w:val="center"/>
                </w:tcPr>
                <w:p w14:paraId="36C36D01">
                  <w:pPr>
                    <w:pStyle w:val="85"/>
                    <w:keepNext w:val="0"/>
                    <w:keepLines w:val="0"/>
                    <w:suppressLineNumbers w:val="0"/>
                    <w:spacing w:before="24" w:beforeAutospacing="0" w:after="24" w:afterAutospacing="0"/>
                    <w:ind w:left="0" w:leftChars="0" w:right="0" w:rightChars="0"/>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cs="Times New Roman"/>
                      <w:color w:val="auto"/>
                      <w:szCs w:val="21"/>
                      <w:highlight w:val="none"/>
                      <w:lang w:val="en-US" w:eastAsia="zh-CN"/>
                    </w:rPr>
                    <w:t>80</w:t>
                  </w:r>
                </w:p>
              </w:tc>
              <w:tc>
                <w:tcPr>
                  <w:tcW w:w="367" w:type="pct"/>
                  <w:noWrap w:val="0"/>
                  <w:vAlign w:val="center"/>
                </w:tcPr>
                <w:p w14:paraId="5179C4D3">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52DE9CAB">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p>
              </w:tc>
              <w:tc>
                <w:tcPr>
                  <w:tcW w:w="490" w:type="pct"/>
                  <w:vMerge w:val="continue"/>
                  <w:noWrap w:val="0"/>
                  <w:vAlign w:val="center"/>
                </w:tcPr>
                <w:p w14:paraId="5D5EBBC7">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21" w:type="pct"/>
                  <w:vMerge w:val="continue"/>
                  <w:noWrap w:val="0"/>
                  <w:vAlign w:val="center"/>
                </w:tcPr>
                <w:p w14:paraId="19002C24">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1453833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59.3</w:t>
                  </w:r>
                </w:p>
              </w:tc>
              <w:tc>
                <w:tcPr>
                  <w:tcW w:w="365" w:type="pct"/>
                  <w:noWrap w:val="0"/>
                  <w:vAlign w:val="center"/>
                </w:tcPr>
                <w:p w14:paraId="6672489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34.3</w:t>
                  </w:r>
                </w:p>
              </w:tc>
              <w:tc>
                <w:tcPr>
                  <w:tcW w:w="443" w:type="pct"/>
                  <w:noWrap w:val="0"/>
                  <w:vAlign w:val="center"/>
                </w:tcPr>
                <w:p w14:paraId="61CEAD78">
                  <w:pPr>
                    <w:pStyle w:val="85"/>
                    <w:keepNext w:val="0"/>
                    <w:keepLines w:val="0"/>
                    <w:suppressLineNumbers w:val="0"/>
                    <w:spacing w:before="24" w:beforeAutospacing="0" w:after="24"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r>
            <w:tr w14:paraId="22BDF4D9">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2F7C5D72">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7DA54206">
                  <w:pPr>
                    <w:pStyle w:val="85"/>
                    <w:keepNext w:val="0"/>
                    <w:keepLines w:val="0"/>
                    <w:suppressLineNumbers w:val="0"/>
                    <w:spacing w:before="24" w:beforeAutospacing="0" w:after="24" w:afterAutospacing="0"/>
                    <w:ind w:left="0" w:right="0"/>
                    <w:rPr>
                      <w:rFonts w:hint="default" w:ascii="Times New Roman" w:hAnsi="Times New Roman" w:cs="Times New Roman"/>
                      <w:bCs/>
                      <w:color w:val="auto"/>
                      <w:szCs w:val="21"/>
                      <w:highlight w:val="none"/>
                    </w:rPr>
                  </w:pPr>
                </w:p>
              </w:tc>
              <w:tc>
                <w:tcPr>
                  <w:tcW w:w="339" w:type="pct"/>
                  <w:noWrap w:val="0"/>
                  <w:vAlign w:val="center"/>
                </w:tcPr>
                <w:p w14:paraId="1596B66E">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color w:val="auto"/>
                      <w:highlight w:val="none"/>
                    </w:rPr>
                    <w:t>冲床</w:t>
                  </w:r>
                </w:p>
              </w:tc>
              <w:tc>
                <w:tcPr>
                  <w:tcW w:w="281" w:type="pct"/>
                  <w:noWrap w:val="0"/>
                  <w:vAlign w:val="center"/>
                </w:tcPr>
                <w:p w14:paraId="4EE5C465">
                  <w:pPr>
                    <w:keepNext w:val="0"/>
                    <w:keepLines w:val="0"/>
                    <w:suppressLineNumbers w:val="0"/>
                    <w:spacing w:before="24" w:beforeAutospacing="0" w:after="24"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cs="Times New Roman"/>
                      <w:color w:val="auto"/>
                      <w:szCs w:val="21"/>
                      <w:highlight w:val="none"/>
                      <w:lang w:val="en-US" w:eastAsia="zh-CN"/>
                    </w:rPr>
                    <w:t>80</w:t>
                  </w:r>
                </w:p>
              </w:tc>
              <w:tc>
                <w:tcPr>
                  <w:tcW w:w="159" w:type="pct"/>
                  <w:noWrap w:val="0"/>
                  <w:vAlign w:val="center"/>
                </w:tcPr>
                <w:p w14:paraId="1B1CEEAB">
                  <w:pPr>
                    <w:pStyle w:val="85"/>
                    <w:keepNext w:val="0"/>
                    <w:keepLines w:val="0"/>
                    <w:suppressLineNumbers w:val="0"/>
                    <w:spacing w:before="24" w:beforeAutospacing="0" w:after="24" w:afterAutospacing="0"/>
                    <w:ind w:left="0" w:right="0"/>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6B2D6AF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13.5</w:t>
                  </w:r>
                </w:p>
              </w:tc>
              <w:tc>
                <w:tcPr>
                  <w:tcW w:w="177" w:type="pct"/>
                  <w:noWrap w:val="0"/>
                  <w:vAlign w:val="center"/>
                </w:tcPr>
                <w:p w14:paraId="1E6C8A9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18</w:t>
                  </w:r>
                </w:p>
              </w:tc>
              <w:tc>
                <w:tcPr>
                  <w:tcW w:w="219" w:type="pct"/>
                  <w:noWrap w:val="0"/>
                  <w:vAlign w:val="center"/>
                </w:tcPr>
                <w:p w14:paraId="4015EBE9">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eastAsia" w:cs="Times New Roman"/>
                      <w:color w:val="auto"/>
                      <w:highlight w:val="none"/>
                      <w:lang w:val="en-US" w:eastAsia="zh-CN"/>
                    </w:rPr>
                    <w:t>23.5</w:t>
                  </w:r>
                </w:p>
              </w:tc>
              <w:tc>
                <w:tcPr>
                  <w:tcW w:w="312" w:type="pct"/>
                  <w:noWrap w:val="0"/>
                  <w:vAlign w:val="center"/>
                </w:tcPr>
                <w:p w14:paraId="35C1CF1E">
                  <w:pPr>
                    <w:keepNext w:val="0"/>
                    <w:keepLines w:val="0"/>
                    <w:suppressLineNumbers w:val="0"/>
                    <w:spacing w:before="24" w:beforeAutospacing="0" w:after="24"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cs="Times New Roman"/>
                      <w:color w:val="auto"/>
                      <w:szCs w:val="21"/>
                      <w:highlight w:val="none"/>
                      <w:lang w:val="en-US" w:eastAsia="zh-CN"/>
                    </w:rPr>
                    <w:t>80</w:t>
                  </w:r>
                </w:p>
              </w:tc>
              <w:tc>
                <w:tcPr>
                  <w:tcW w:w="367" w:type="pct"/>
                  <w:noWrap w:val="0"/>
                  <w:vAlign w:val="center"/>
                </w:tcPr>
                <w:p w14:paraId="5C3E81D6">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7A7E610A">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p>
              </w:tc>
              <w:tc>
                <w:tcPr>
                  <w:tcW w:w="490" w:type="pct"/>
                  <w:vMerge w:val="continue"/>
                  <w:noWrap w:val="0"/>
                  <w:vAlign w:val="center"/>
                </w:tcPr>
                <w:p w14:paraId="369B0A2B">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21" w:type="pct"/>
                  <w:vMerge w:val="continue"/>
                  <w:noWrap w:val="0"/>
                  <w:vAlign w:val="center"/>
                </w:tcPr>
                <w:p w14:paraId="65DDBC0A">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1B80D0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59.3</w:t>
                  </w:r>
                </w:p>
              </w:tc>
              <w:tc>
                <w:tcPr>
                  <w:tcW w:w="365" w:type="pct"/>
                  <w:noWrap w:val="0"/>
                  <w:vAlign w:val="center"/>
                </w:tcPr>
                <w:p w14:paraId="40B1D68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34.3</w:t>
                  </w:r>
                </w:p>
              </w:tc>
              <w:tc>
                <w:tcPr>
                  <w:tcW w:w="443" w:type="pct"/>
                  <w:noWrap w:val="0"/>
                  <w:vAlign w:val="center"/>
                </w:tcPr>
                <w:p w14:paraId="7FFAF5EB">
                  <w:pPr>
                    <w:pStyle w:val="85"/>
                    <w:keepNext w:val="0"/>
                    <w:keepLines w:val="0"/>
                    <w:suppressLineNumbers w:val="0"/>
                    <w:spacing w:before="24" w:beforeAutospacing="0" w:after="24"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r>
            <w:tr w14:paraId="7F13075A">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0949E0A1">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648A3D00">
                  <w:pPr>
                    <w:pStyle w:val="85"/>
                    <w:keepNext w:val="0"/>
                    <w:keepLines w:val="0"/>
                    <w:suppressLineNumbers w:val="0"/>
                    <w:spacing w:before="24" w:beforeAutospacing="0" w:after="24" w:afterAutospacing="0"/>
                    <w:ind w:left="0" w:right="0"/>
                    <w:rPr>
                      <w:rFonts w:hint="default" w:ascii="Times New Roman" w:hAnsi="Times New Roman" w:cs="Times New Roman"/>
                      <w:bCs/>
                      <w:color w:val="auto"/>
                      <w:szCs w:val="21"/>
                      <w:highlight w:val="none"/>
                    </w:rPr>
                  </w:pPr>
                </w:p>
              </w:tc>
              <w:tc>
                <w:tcPr>
                  <w:tcW w:w="339" w:type="pct"/>
                  <w:noWrap w:val="0"/>
                  <w:vAlign w:val="center"/>
                </w:tcPr>
                <w:p w14:paraId="12F5C790">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lang w:bidi="ar"/>
                    </w:rPr>
                  </w:pPr>
                  <w:r>
                    <w:rPr>
                      <w:rFonts w:hint="eastAsia"/>
                      <w:color w:val="auto"/>
                      <w:highlight w:val="none"/>
                    </w:rPr>
                    <w:t>冲床</w:t>
                  </w:r>
                </w:p>
              </w:tc>
              <w:tc>
                <w:tcPr>
                  <w:tcW w:w="281" w:type="pct"/>
                  <w:noWrap w:val="0"/>
                  <w:vAlign w:val="center"/>
                </w:tcPr>
                <w:p w14:paraId="78DE9CEC">
                  <w:pPr>
                    <w:keepNext w:val="0"/>
                    <w:keepLines w:val="0"/>
                    <w:suppressLineNumbers w:val="0"/>
                    <w:spacing w:before="24" w:beforeAutospacing="0" w:after="24"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cs="Times New Roman"/>
                      <w:color w:val="auto"/>
                      <w:szCs w:val="21"/>
                      <w:highlight w:val="none"/>
                      <w:lang w:val="en-US" w:eastAsia="zh-CN"/>
                    </w:rPr>
                    <w:t>80</w:t>
                  </w:r>
                </w:p>
              </w:tc>
              <w:tc>
                <w:tcPr>
                  <w:tcW w:w="159" w:type="pct"/>
                  <w:noWrap w:val="0"/>
                  <w:vAlign w:val="center"/>
                </w:tcPr>
                <w:p w14:paraId="6A6D995D">
                  <w:pPr>
                    <w:pStyle w:val="85"/>
                    <w:keepNext w:val="0"/>
                    <w:keepLines w:val="0"/>
                    <w:suppressLineNumbers w:val="0"/>
                    <w:spacing w:before="24" w:beforeAutospacing="0" w:after="24" w:afterAutospacing="0"/>
                    <w:ind w:left="0" w:right="0"/>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2A1C0B9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13.5</w:t>
                  </w:r>
                </w:p>
              </w:tc>
              <w:tc>
                <w:tcPr>
                  <w:tcW w:w="177" w:type="pct"/>
                  <w:noWrap w:val="0"/>
                  <w:vAlign w:val="center"/>
                </w:tcPr>
                <w:p w14:paraId="5ABF628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20</w:t>
                  </w:r>
                </w:p>
              </w:tc>
              <w:tc>
                <w:tcPr>
                  <w:tcW w:w="219" w:type="pct"/>
                  <w:noWrap w:val="0"/>
                  <w:vAlign w:val="center"/>
                </w:tcPr>
                <w:p w14:paraId="77143FB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eastAsia" w:cs="Times New Roman"/>
                      <w:color w:val="auto"/>
                      <w:highlight w:val="none"/>
                      <w:lang w:val="en-US" w:eastAsia="zh-CN"/>
                    </w:rPr>
                    <w:t>23.5</w:t>
                  </w:r>
                </w:p>
              </w:tc>
              <w:tc>
                <w:tcPr>
                  <w:tcW w:w="312" w:type="pct"/>
                  <w:noWrap w:val="0"/>
                  <w:vAlign w:val="center"/>
                </w:tcPr>
                <w:p w14:paraId="444A8A95">
                  <w:pPr>
                    <w:keepNext w:val="0"/>
                    <w:keepLines w:val="0"/>
                    <w:suppressLineNumbers w:val="0"/>
                    <w:spacing w:before="24" w:beforeAutospacing="0" w:after="24"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cs="Times New Roman"/>
                      <w:color w:val="auto"/>
                      <w:szCs w:val="21"/>
                      <w:highlight w:val="none"/>
                      <w:lang w:val="en-US" w:eastAsia="zh-CN"/>
                    </w:rPr>
                    <w:t>80</w:t>
                  </w:r>
                </w:p>
              </w:tc>
              <w:tc>
                <w:tcPr>
                  <w:tcW w:w="367" w:type="pct"/>
                  <w:noWrap w:val="0"/>
                  <w:vAlign w:val="center"/>
                </w:tcPr>
                <w:p w14:paraId="7EDE27FD">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3DA5C2B7">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p>
              </w:tc>
              <w:tc>
                <w:tcPr>
                  <w:tcW w:w="490" w:type="pct"/>
                  <w:vMerge w:val="continue"/>
                  <w:noWrap w:val="0"/>
                  <w:vAlign w:val="center"/>
                </w:tcPr>
                <w:p w14:paraId="2442E3C8">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21" w:type="pct"/>
                  <w:vMerge w:val="continue"/>
                  <w:noWrap w:val="0"/>
                  <w:vAlign w:val="center"/>
                </w:tcPr>
                <w:p w14:paraId="3DF009BC">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75C409F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59.3</w:t>
                  </w:r>
                </w:p>
              </w:tc>
              <w:tc>
                <w:tcPr>
                  <w:tcW w:w="365" w:type="pct"/>
                  <w:noWrap w:val="0"/>
                  <w:vAlign w:val="center"/>
                </w:tcPr>
                <w:p w14:paraId="5409CD4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34.3</w:t>
                  </w:r>
                </w:p>
              </w:tc>
              <w:tc>
                <w:tcPr>
                  <w:tcW w:w="443" w:type="pct"/>
                  <w:noWrap w:val="0"/>
                  <w:vAlign w:val="center"/>
                </w:tcPr>
                <w:p w14:paraId="6A808BA2">
                  <w:pPr>
                    <w:pStyle w:val="85"/>
                    <w:keepNext w:val="0"/>
                    <w:keepLines w:val="0"/>
                    <w:suppressLineNumbers w:val="0"/>
                    <w:spacing w:before="24" w:beforeAutospacing="0" w:after="24"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r>
            <w:tr w14:paraId="49742E11">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7931517D">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547BB45A">
                  <w:pPr>
                    <w:pStyle w:val="85"/>
                    <w:keepNext w:val="0"/>
                    <w:keepLines w:val="0"/>
                    <w:suppressLineNumbers w:val="0"/>
                    <w:spacing w:before="24" w:beforeAutospacing="0" w:after="24" w:afterAutospacing="0"/>
                    <w:ind w:left="0" w:right="0"/>
                    <w:rPr>
                      <w:rFonts w:hint="default" w:ascii="Times New Roman" w:hAnsi="Times New Roman" w:cs="Times New Roman"/>
                      <w:bCs/>
                      <w:color w:val="auto"/>
                      <w:szCs w:val="21"/>
                      <w:highlight w:val="none"/>
                    </w:rPr>
                  </w:pPr>
                </w:p>
              </w:tc>
              <w:tc>
                <w:tcPr>
                  <w:tcW w:w="339" w:type="pct"/>
                  <w:noWrap w:val="0"/>
                  <w:vAlign w:val="center"/>
                </w:tcPr>
                <w:p w14:paraId="437A4A30">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lang w:bidi="ar"/>
                    </w:rPr>
                  </w:pPr>
                  <w:r>
                    <w:rPr>
                      <w:rFonts w:hint="eastAsia"/>
                      <w:color w:val="auto"/>
                      <w:highlight w:val="none"/>
                    </w:rPr>
                    <w:t>冲床</w:t>
                  </w:r>
                </w:p>
              </w:tc>
              <w:tc>
                <w:tcPr>
                  <w:tcW w:w="281" w:type="pct"/>
                  <w:noWrap w:val="0"/>
                  <w:vAlign w:val="center"/>
                </w:tcPr>
                <w:p w14:paraId="6E4C1A07">
                  <w:pPr>
                    <w:keepNext w:val="0"/>
                    <w:keepLines w:val="0"/>
                    <w:suppressLineNumbers w:val="0"/>
                    <w:spacing w:before="24" w:beforeAutospacing="0" w:after="24"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cs="Times New Roman"/>
                      <w:color w:val="auto"/>
                      <w:szCs w:val="21"/>
                      <w:highlight w:val="none"/>
                      <w:lang w:val="en-US" w:eastAsia="zh-CN"/>
                    </w:rPr>
                    <w:t>80</w:t>
                  </w:r>
                </w:p>
              </w:tc>
              <w:tc>
                <w:tcPr>
                  <w:tcW w:w="159" w:type="pct"/>
                  <w:noWrap w:val="0"/>
                  <w:vAlign w:val="center"/>
                </w:tcPr>
                <w:p w14:paraId="04784DC5">
                  <w:pPr>
                    <w:pStyle w:val="85"/>
                    <w:keepNext w:val="0"/>
                    <w:keepLines w:val="0"/>
                    <w:suppressLineNumbers w:val="0"/>
                    <w:spacing w:before="24" w:beforeAutospacing="0" w:after="24" w:afterAutospacing="0"/>
                    <w:ind w:left="0" w:right="0"/>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364BF49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13.5</w:t>
                  </w:r>
                </w:p>
              </w:tc>
              <w:tc>
                <w:tcPr>
                  <w:tcW w:w="177" w:type="pct"/>
                  <w:noWrap w:val="0"/>
                  <w:vAlign w:val="center"/>
                </w:tcPr>
                <w:p w14:paraId="4766734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22</w:t>
                  </w:r>
                </w:p>
              </w:tc>
              <w:tc>
                <w:tcPr>
                  <w:tcW w:w="219" w:type="pct"/>
                  <w:noWrap w:val="0"/>
                  <w:vAlign w:val="center"/>
                </w:tcPr>
                <w:p w14:paraId="5E4F768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eastAsia" w:cs="Times New Roman"/>
                      <w:color w:val="auto"/>
                      <w:highlight w:val="none"/>
                      <w:lang w:val="en-US" w:eastAsia="zh-CN"/>
                    </w:rPr>
                    <w:t>23.5</w:t>
                  </w:r>
                </w:p>
              </w:tc>
              <w:tc>
                <w:tcPr>
                  <w:tcW w:w="312" w:type="pct"/>
                  <w:noWrap w:val="0"/>
                  <w:vAlign w:val="center"/>
                </w:tcPr>
                <w:p w14:paraId="0CC4E434">
                  <w:pPr>
                    <w:keepNext w:val="0"/>
                    <w:keepLines w:val="0"/>
                    <w:suppressLineNumbers w:val="0"/>
                    <w:spacing w:before="24" w:beforeAutospacing="0" w:after="24"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cs="Times New Roman"/>
                      <w:color w:val="auto"/>
                      <w:szCs w:val="21"/>
                      <w:highlight w:val="none"/>
                      <w:lang w:val="en-US" w:eastAsia="zh-CN"/>
                    </w:rPr>
                    <w:t>80</w:t>
                  </w:r>
                </w:p>
              </w:tc>
              <w:tc>
                <w:tcPr>
                  <w:tcW w:w="367" w:type="pct"/>
                  <w:noWrap w:val="0"/>
                  <w:vAlign w:val="center"/>
                </w:tcPr>
                <w:p w14:paraId="466533F0">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6E69BCEF">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p>
              </w:tc>
              <w:tc>
                <w:tcPr>
                  <w:tcW w:w="490" w:type="pct"/>
                  <w:vMerge w:val="continue"/>
                  <w:noWrap w:val="0"/>
                  <w:vAlign w:val="center"/>
                </w:tcPr>
                <w:p w14:paraId="68646B0B">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21" w:type="pct"/>
                  <w:vMerge w:val="continue"/>
                  <w:noWrap w:val="0"/>
                  <w:vAlign w:val="center"/>
                </w:tcPr>
                <w:p w14:paraId="244010A8">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6A5CB94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59.3</w:t>
                  </w:r>
                </w:p>
              </w:tc>
              <w:tc>
                <w:tcPr>
                  <w:tcW w:w="365" w:type="pct"/>
                  <w:noWrap w:val="0"/>
                  <w:vAlign w:val="center"/>
                </w:tcPr>
                <w:p w14:paraId="4389E73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34.3</w:t>
                  </w:r>
                </w:p>
              </w:tc>
              <w:tc>
                <w:tcPr>
                  <w:tcW w:w="443" w:type="pct"/>
                  <w:noWrap w:val="0"/>
                  <w:vAlign w:val="center"/>
                </w:tcPr>
                <w:p w14:paraId="04EF2E1E">
                  <w:pPr>
                    <w:pStyle w:val="85"/>
                    <w:keepNext w:val="0"/>
                    <w:keepLines w:val="0"/>
                    <w:suppressLineNumbers w:val="0"/>
                    <w:spacing w:before="24" w:beforeAutospacing="0" w:after="24"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r>
            <w:tr w14:paraId="1346C625">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69D77188">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6983DE72">
                  <w:pPr>
                    <w:pStyle w:val="85"/>
                    <w:keepNext w:val="0"/>
                    <w:keepLines w:val="0"/>
                    <w:suppressLineNumbers w:val="0"/>
                    <w:spacing w:before="24" w:beforeAutospacing="0" w:after="24" w:afterAutospacing="0"/>
                    <w:ind w:left="0" w:right="0"/>
                    <w:rPr>
                      <w:rFonts w:hint="default" w:ascii="Times New Roman" w:hAnsi="Times New Roman" w:cs="Times New Roman"/>
                      <w:bCs/>
                      <w:color w:val="auto"/>
                      <w:szCs w:val="21"/>
                      <w:highlight w:val="none"/>
                    </w:rPr>
                  </w:pPr>
                </w:p>
              </w:tc>
              <w:tc>
                <w:tcPr>
                  <w:tcW w:w="339" w:type="pct"/>
                  <w:noWrap w:val="0"/>
                  <w:vAlign w:val="center"/>
                </w:tcPr>
                <w:p w14:paraId="3ECC27BD">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lang w:bidi="ar"/>
                    </w:rPr>
                  </w:pPr>
                  <w:r>
                    <w:rPr>
                      <w:rFonts w:hint="eastAsia"/>
                      <w:color w:val="auto"/>
                      <w:highlight w:val="none"/>
                    </w:rPr>
                    <w:t>冲床</w:t>
                  </w:r>
                </w:p>
              </w:tc>
              <w:tc>
                <w:tcPr>
                  <w:tcW w:w="281" w:type="pct"/>
                  <w:noWrap w:val="0"/>
                  <w:vAlign w:val="center"/>
                </w:tcPr>
                <w:p w14:paraId="66267289">
                  <w:pPr>
                    <w:keepNext w:val="0"/>
                    <w:keepLines w:val="0"/>
                    <w:suppressLineNumbers w:val="0"/>
                    <w:spacing w:before="24" w:beforeAutospacing="0" w:after="24"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cs="Times New Roman"/>
                      <w:color w:val="auto"/>
                      <w:szCs w:val="21"/>
                      <w:highlight w:val="none"/>
                      <w:lang w:val="en-US" w:eastAsia="zh-CN"/>
                    </w:rPr>
                    <w:t>80</w:t>
                  </w:r>
                </w:p>
              </w:tc>
              <w:tc>
                <w:tcPr>
                  <w:tcW w:w="159" w:type="pct"/>
                  <w:noWrap w:val="0"/>
                  <w:vAlign w:val="center"/>
                </w:tcPr>
                <w:p w14:paraId="7E8EC8F5">
                  <w:pPr>
                    <w:pStyle w:val="85"/>
                    <w:keepNext w:val="0"/>
                    <w:keepLines w:val="0"/>
                    <w:suppressLineNumbers w:val="0"/>
                    <w:spacing w:before="24" w:beforeAutospacing="0" w:after="24" w:afterAutospacing="0"/>
                    <w:ind w:left="0" w:right="0"/>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0E58D1A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13.5</w:t>
                  </w:r>
                </w:p>
              </w:tc>
              <w:tc>
                <w:tcPr>
                  <w:tcW w:w="177" w:type="pct"/>
                  <w:noWrap w:val="0"/>
                  <w:vAlign w:val="center"/>
                </w:tcPr>
                <w:p w14:paraId="2D7F411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24</w:t>
                  </w:r>
                </w:p>
              </w:tc>
              <w:tc>
                <w:tcPr>
                  <w:tcW w:w="219" w:type="pct"/>
                  <w:noWrap w:val="0"/>
                  <w:vAlign w:val="center"/>
                </w:tcPr>
                <w:p w14:paraId="7BF11BD3">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eastAsia" w:cs="Times New Roman"/>
                      <w:color w:val="auto"/>
                      <w:highlight w:val="none"/>
                      <w:lang w:val="en-US" w:eastAsia="zh-CN"/>
                    </w:rPr>
                    <w:t>23.5</w:t>
                  </w:r>
                </w:p>
              </w:tc>
              <w:tc>
                <w:tcPr>
                  <w:tcW w:w="312" w:type="pct"/>
                  <w:noWrap w:val="0"/>
                  <w:vAlign w:val="center"/>
                </w:tcPr>
                <w:p w14:paraId="43CE035E">
                  <w:pPr>
                    <w:keepNext w:val="0"/>
                    <w:keepLines w:val="0"/>
                    <w:suppressLineNumbers w:val="0"/>
                    <w:spacing w:before="24" w:beforeAutospacing="0" w:after="24"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cs="Times New Roman"/>
                      <w:color w:val="auto"/>
                      <w:szCs w:val="21"/>
                      <w:highlight w:val="none"/>
                      <w:lang w:val="en-US" w:eastAsia="zh-CN"/>
                    </w:rPr>
                    <w:t>80</w:t>
                  </w:r>
                </w:p>
              </w:tc>
              <w:tc>
                <w:tcPr>
                  <w:tcW w:w="367" w:type="pct"/>
                  <w:noWrap w:val="0"/>
                  <w:vAlign w:val="center"/>
                </w:tcPr>
                <w:p w14:paraId="2636C882">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67AB4612">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p>
              </w:tc>
              <w:tc>
                <w:tcPr>
                  <w:tcW w:w="490" w:type="pct"/>
                  <w:vMerge w:val="continue"/>
                  <w:noWrap w:val="0"/>
                  <w:vAlign w:val="center"/>
                </w:tcPr>
                <w:p w14:paraId="30FBF821">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21" w:type="pct"/>
                  <w:vMerge w:val="continue"/>
                  <w:noWrap w:val="0"/>
                  <w:vAlign w:val="center"/>
                </w:tcPr>
                <w:p w14:paraId="7583B190">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3C0593C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59.3</w:t>
                  </w:r>
                </w:p>
              </w:tc>
              <w:tc>
                <w:tcPr>
                  <w:tcW w:w="365" w:type="pct"/>
                  <w:noWrap w:val="0"/>
                  <w:vAlign w:val="center"/>
                </w:tcPr>
                <w:p w14:paraId="1153238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34.3</w:t>
                  </w:r>
                </w:p>
              </w:tc>
              <w:tc>
                <w:tcPr>
                  <w:tcW w:w="443" w:type="pct"/>
                  <w:noWrap w:val="0"/>
                  <w:vAlign w:val="center"/>
                </w:tcPr>
                <w:p w14:paraId="4CD5B46B">
                  <w:pPr>
                    <w:pStyle w:val="85"/>
                    <w:keepNext w:val="0"/>
                    <w:keepLines w:val="0"/>
                    <w:suppressLineNumbers w:val="0"/>
                    <w:spacing w:before="24" w:beforeAutospacing="0" w:after="24"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r>
            <w:tr w14:paraId="56665F02">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108844BB">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5CC34551">
                  <w:pPr>
                    <w:pStyle w:val="85"/>
                    <w:keepNext w:val="0"/>
                    <w:keepLines w:val="0"/>
                    <w:suppressLineNumbers w:val="0"/>
                    <w:spacing w:before="24" w:beforeAutospacing="0" w:after="24" w:afterAutospacing="0"/>
                    <w:ind w:left="0" w:right="0"/>
                    <w:rPr>
                      <w:rFonts w:hint="default" w:ascii="Times New Roman" w:hAnsi="Times New Roman" w:cs="Times New Roman"/>
                      <w:bCs/>
                      <w:color w:val="auto"/>
                      <w:szCs w:val="21"/>
                      <w:highlight w:val="none"/>
                    </w:rPr>
                  </w:pPr>
                </w:p>
              </w:tc>
              <w:tc>
                <w:tcPr>
                  <w:tcW w:w="339" w:type="pct"/>
                  <w:noWrap w:val="0"/>
                  <w:vAlign w:val="center"/>
                </w:tcPr>
                <w:p w14:paraId="7414F65C">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lang w:bidi="ar"/>
                    </w:rPr>
                  </w:pPr>
                  <w:r>
                    <w:rPr>
                      <w:rFonts w:hint="eastAsia"/>
                      <w:color w:val="auto"/>
                      <w:highlight w:val="none"/>
                    </w:rPr>
                    <w:t>冲床</w:t>
                  </w:r>
                </w:p>
              </w:tc>
              <w:tc>
                <w:tcPr>
                  <w:tcW w:w="281" w:type="pct"/>
                  <w:noWrap w:val="0"/>
                  <w:vAlign w:val="center"/>
                </w:tcPr>
                <w:p w14:paraId="6134CB32">
                  <w:pPr>
                    <w:keepNext w:val="0"/>
                    <w:keepLines w:val="0"/>
                    <w:suppressLineNumbers w:val="0"/>
                    <w:spacing w:before="24" w:beforeAutospacing="0" w:after="24"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cs="Times New Roman"/>
                      <w:color w:val="auto"/>
                      <w:szCs w:val="21"/>
                      <w:highlight w:val="none"/>
                      <w:lang w:val="en-US" w:eastAsia="zh-CN"/>
                    </w:rPr>
                    <w:t>80</w:t>
                  </w:r>
                </w:p>
              </w:tc>
              <w:tc>
                <w:tcPr>
                  <w:tcW w:w="159" w:type="pct"/>
                  <w:noWrap w:val="0"/>
                  <w:vAlign w:val="center"/>
                </w:tcPr>
                <w:p w14:paraId="2522E782">
                  <w:pPr>
                    <w:pStyle w:val="85"/>
                    <w:keepNext w:val="0"/>
                    <w:keepLines w:val="0"/>
                    <w:suppressLineNumbers w:val="0"/>
                    <w:spacing w:before="24" w:beforeAutospacing="0" w:after="24" w:afterAutospacing="0"/>
                    <w:ind w:left="0" w:right="0"/>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46563015">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13.5</w:t>
                  </w:r>
                </w:p>
              </w:tc>
              <w:tc>
                <w:tcPr>
                  <w:tcW w:w="177" w:type="pct"/>
                  <w:noWrap w:val="0"/>
                  <w:vAlign w:val="center"/>
                </w:tcPr>
                <w:p w14:paraId="69BF218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26</w:t>
                  </w:r>
                </w:p>
              </w:tc>
              <w:tc>
                <w:tcPr>
                  <w:tcW w:w="219" w:type="pct"/>
                  <w:noWrap w:val="0"/>
                  <w:vAlign w:val="center"/>
                </w:tcPr>
                <w:p w14:paraId="3195C949">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eastAsia" w:cs="Times New Roman"/>
                      <w:color w:val="auto"/>
                      <w:highlight w:val="none"/>
                      <w:lang w:val="en-US" w:eastAsia="zh-CN"/>
                    </w:rPr>
                    <w:t>23.5</w:t>
                  </w:r>
                </w:p>
              </w:tc>
              <w:tc>
                <w:tcPr>
                  <w:tcW w:w="312" w:type="pct"/>
                  <w:noWrap w:val="0"/>
                  <w:vAlign w:val="center"/>
                </w:tcPr>
                <w:p w14:paraId="5E67429E">
                  <w:pPr>
                    <w:keepNext w:val="0"/>
                    <w:keepLines w:val="0"/>
                    <w:suppressLineNumbers w:val="0"/>
                    <w:spacing w:before="24" w:beforeAutospacing="0" w:after="24"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cs="Times New Roman"/>
                      <w:color w:val="auto"/>
                      <w:szCs w:val="21"/>
                      <w:highlight w:val="none"/>
                      <w:lang w:val="en-US" w:eastAsia="zh-CN"/>
                    </w:rPr>
                    <w:t>80</w:t>
                  </w:r>
                </w:p>
              </w:tc>
              <w:tc>
                <w:tcPr>
                  <w:tcW w:w="367" w:type="pct"/>
                  <w:noWrap w:val="0"/>
                  <w:vAlign w:val="center"/>
                </w:tcPr>
                <w:p w14:paraId="46DDDA33">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03F79E31">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p>
              </w:tc>
              <w:tc>
                <w:tcPr>
                  <w:tcW w:w="490" w:type="pct"/>
                  <w:vMerge w:val="continue"/>
                  <w:noWrap w:val="0"/>
                  <w:vAlign w:val="center"/>
                </w:tcPr>
                <w:p w14:paraId="717538B3">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21" w:type="pct"/>
                  <w:vMerge w:val="continue"/>
                  <w:noWrap w:val="0"/>
                  <w:vAlign w:val="center"/>
                </w:tcPr>
                <w:p w14:paraId="1584A69D">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2CDE136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59.3</w:t>
                  </w:r>
                </w:p>
              </w:tc>
              <w:tc>
                <w:tcPr>
                  <w:tcW w:w="365" w:type="pct"/>
                  <w:noWrap w:val="0"/>
                  <w:vAlign w:val="center"/>
                </w:tcPr>
                <w:p w14:paraId="7076B99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34.3</w:t>
                  </w:r>
                </w:p>
              </w:tc>
              <w:tc>
                <w:tcPr>
                  <w:tcW w:w="443" w:type="pct"/>
                  <w:noWrap w:val="0"/>
                  <w:vAlign w:val="center"/>
                </w:tcPr>
                <w:p w14:paraId="635B082B">
                  <w:pPr>
                    <w:pStyle w:val="85"/>
                    <w:keepNext w:val="0"/>
                    <w:keepLines w:val="0"/>
                    <w:suppressLineNumbers w:val="0"/>
                    <w:spacing w:before="24" w:beforeAutospacing="0" w:after="24"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r>
            <w:tr w14:paraId="22C4AA20">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2C44DA73">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01F92EF4">
                  <w:pPr>
                    <w:pStyle w:val="85"/>
                    <w:keepNext w:val="0"/>
                    <w:keepLines w:val="0"/>
                    <w:suppressLineNumbers w:val="0"/>
                    <w:spacing w:before="24" w:beforeAutospacing="0" w:after="24" w:afterAutospacing="0"/>
                    <w:ind w:left="0" w:right="0"/>
                    <w:rPr>
                      <w:rFonts w:hint="default" w:ascii="Times New Roman" w:hAnsi="Times New Roman" w:cs="Times New Roman"/>
                      <w:bCs/>
                      <w:color w:val="auto"/>
                      <w:szCs w:val="21"/>
                      <w:highlight w:val="none"/>
                    </w:rPr>
                  </w:pPr>
                </w:p>
              </w:tc>
              <w:tc>
                <w:tcPr>
                  <w:tcW w:w="339" w:type="pct"/>
                  <w:noWrap w:val="0"/>
                  <w:vAlign w:val="center"/>
                </w:tcPr>
                <w:p w14:paraId="1871CBF3">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lang w:bidi="ar"/>
                    </w:rPr>
                  </w:pPr>
                  <w:r>
                    <w:rPr>
                      <w:rFonts w:hint="eastAsia" w:ascii="Times New Roman" w:cs="Times New Roman"/>
                      <w:color w:val="auto"/>
                      <w:sz w:val="21"/>
                      <w:szCs w:val="21"/>
                      <w:highlight w:val="none"/>
                      <w:lang w:val="en-US" w:eastAsia="zh-CN"/>
                    </w:rPr>
                    <w:t>冲床</w:t>
                  </w:r>
                </w:p>
              </w:tc>
              <w:tc>
                <w:tcPr>
                  <w:tcW w:w="281" w:type="pct"/>
                  <w:noWrap w:val="0"/>
                  <w:vAlign w:val="center"/>
                </w:tcPr>
                <w:p w14:paraId="49BCACE0">
                  <w:pPr>
                    <w:keepNext w:val="0"/>
                    <w:keepLines w:val="0"/>
                    <w:suppressLineNumbers w:val="0"/>
                    <w:spacing w:before="24" w:beforeAutospacing="0" w:after="24"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cs="Times New Roman"/>
                      <w:color w:val="auto"/>
                      <w:szCs w:val="21"/>
                      <w:highlight w:val="none"/>
                      <w:lang w:val="en-US" w:eastAsia="zh-CN"/>
                    </w:rPr>
                    <w:t>80</w:t>
                  </w:r>
                </w:p>
              </w:tc>
              <w:tc>
                <w:tcPr>
                  <w:tcW w:w="159" w:type="pct"/>
                  <w:noWrap w:val="0"/>
                  <w:vAlign w:val="center"/>
                </w:tcPr>
                <w:p w14:paraId="47195864">
                  <w:pPr>
                    <w:pStyle w:val="85"/>
                    <w:keepNext w:val="0"/>
                    <w:keepLines w:val="0"/>
                    <w:suppressLineNumbers w:val="0"/>
                    <w:spacing w:before="24" w:beforeAutospacing="0" w:after="24" w:afterAutospacing="0"/>
                    <w:ind w:left="0" w:right="0"/>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5F140F2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13.5</w:t>
                  </w:r>
                </w:p>
              </w:tc>
              <w:tc>
                <w:tcPr>
                  <w:tcW w:w="177" w:type="pct"/>
                  <w:noWrap w:val="0"/>
                  <w:vAlign w:val="center"/>
                </w:tcPr>
                <w:p w14:paraId="0B89B6D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28</w:t>
                  </w:r>
                </w:p>
              </w:tc>
              <w:tc>
                <w:tcPr>
                  <w:tcW w:w="219" w:type="pct"/>
                  <w:noWrap w:val="0"/>
                  <w:vAlign w:val="center"/>
                </w:tcPr>
                <w:p w14:paraId="5BDB5CB4">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eastAsia" w:cs="Times New Roman"/>
                      <w:color w:val="auto"/>
                      <w:highlight w:val="none"/>
                      <w:lang w:val="en-US" w:eastAsia="zh-CN"/>
                    </w:rPr>
                    <w:t>23.5</w:t>
                  </w:r>
                </w:p>
              </w:tc>
              <w:tc>
                <w:tcPr>
                  <w:tcW w:w="312" w:type="pct"/>
                  <w:noWrap w:val="0"/>
                  <w:vAlign w:val="center"/>
                </w:tcPr>
                <w:p w14:paraId="5BC461C5">
                  <w:pPr>
                    <w:keepNext w:val="0"/>
                    <w:keepLines w:val="0"/>
                    <w:suppressLineNumbers w:val="0"/>
                    <w:spacing w:before="24" w:beforeAutospacing="0" w:after="24" w:afterAutospacing="0"/>
                    <w:ind w:left="0" w:leftChars="0" w:right="0" w:rightChars="0"/>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cs="Times New Roman"/>
                      <w:color w:val="auto"/>
                      <w:szCs w:val="21"/>
                      <w:highlight w:val="none"/>
                      <w:lang w:val="en-US" w:eastAsia="zh-CN"/>
                    </w:rPr>
                    <w:t>80</w:t>
                  </w:r>
                </w:p>
              </w:tc>
              <w:tc>
                <w:tcPr>
                  <w:tcW w:w="367" w:type="pct"/>
                  <w:noWrap w:val="0"/>
                  <w:vAlign w:val="center"/>
                </w:tcPr>
                <w:p w14:paraId="1DCA82CF">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1F356171">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p>
              </w:tc>
              <w:tc>
                <w:tcPr>
                  <w:tcW w:w="490" w:type="pct"/>
                  <w:vMerge w:val="continue"/>
                  <w:noWrap w:val="0"/>
                  <w:vAlign w:val="center"/>
                </w:tcPr>
                <w:p w14:paraId="6AF09137">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21" w:type="pct"/>
                  <w:vMerge w:val="continue"/>
                  <w:noWrap w:val="0"/>
                  <w:vAlign w:val="center"/>
                </w:tcPr>
                <w:p w14:paraId="2E903208">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5959870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59.3</w:t>
                  </w:r>
                </w:p>
              </w:tc>
              <w:tc>
                <w:tcPr>
                  <w:tcW w:w="365" w:type="pct"/>
                  <w:noWrap w:val="0"/>
                  <w:vAlign w:val="center"/>
                </w:tcPr>
                <w:p w14:paraId="52B8C24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34.3</w:t>
                  </w:r>
                </w:p>
              </w:tc>
              <w:tc>
                <w:tcPr>
                  <w:tcW w:w="443" w:type="pct"/>
                  <w:noWrap w:val="0"/>
                  <w:vAlign w:val="center"/>
                </w:tcPr>
                <w:p w14:paraId="359612ED">
                  <w:pPr>
                    <w:pStyle w:val="85"/>
                    <w:keepNext w:val="0"/>
                    <w:keepLines w:val="0"/>
                    <w:suppressLineNumbers w:val="0"/>
                    <w:spacing w:before="24" w:beforeAutospacing="0" w:after="24"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r>
            <w:tr w14:paraId="2C2DD5CE">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4E37B7C0">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4D1318B7">
                  <w:pPr>
                    <w:pStyle w:val="85"/>
                    <w:keepNext w:val="0"/>
                    <w:keepLines w:val="0"/>
                    <w:suppressLineNumbers w:val="0"/>
                    <w:spacing w:before="24" w:beforeAutospacing="0" w:after="24" w:afterAutospacing="0"/>
                    <w:ind w:left="0" w:right="0"/>
                    <w:rPr>
                      <w:rFonts w:hint="default" w:ascii="Times New Roman" w:hAnsi="Times New Roman" w:cs="Times New Roman"/>
                      <w:bCs/>
                      <w:color w:val="auto"/>
                      <w:szCs w:val="21"/>
                      <w:highlight w:val="none"/>
                    </w:rPr>
                  </w:pPr>
                </w:p>
              </w:tc>
              <w:tc>
                <w:tcPr>
                  <w:tcW w:w="339" w:type="pct"/>
                  <w:noWrap w:val="0"/>
                  <w:vAlign w:val="center"/>
                </w:tcPr>
                <w:p w14:paraId="7F1AD87E">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lang w:bidi="ar"/>
                    </w:rPr>
                  </w:pPr>
                  <w:r>
                    <w:rPr>
                      <w:rFonts w:hint="eastAsia" w:ascii="Times New Roman" w:cs="Times New Roman"/>
                      <w:color w:val="auto"/>
                      <w:sz w:val="21"/>
                      <w:szCs w:val="21"/>
                      <w:highlight w:val="none"/>
                      <w:lang w:val="en-US" w:eastAsia="zh-CN"/>
                    </w:rPr>
                    <w:t>打版机</w:t>
                  </w:r>
                </w:p>
              </w:tc>
              <w:tc>
                <w:tcPr>
                  <w:tcW w:w="281" w:type="pct"/>
                  <w:noWrap w:val="0"/>
                  <w:vAlign w:val="center"/>
                </w:tcPr>
                <w:p w14:paraId="0712673A">
                  <w:pPr>
                    <w:pStyle w:val="85"/>
                    <w:keepNext w:val="0"/>
                    <w:keepLines w:val="0"/>
                    <w:suppressLineNumbers w:val="0"/>
                    <w:spacing w:before="24" w:beforeAutospacing="0" w:after="24" w:afterAutospacing="0"/>
                    <w:ind w:left="0" w:right="0"/>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159" w:type="pct"/>
                  <w:noWrap w:val="0"/>
                  <w:vAlign w:val="center"/>
                </w:tcPr>
                <w:p w14:paraId="3A96D16A">
                  <w:pPr>
                    <w:pStyle w:val="85"/>
                    <w:keepNext w:val="0"/>
                    <w:keepLines w:val="0"/>
                    <w:suppressLineNumbers w:val="0"/>
                    <w:spacing w:before="24" w:beforeAutospacing="0" w:after="24" w:afterAutospacing="0"/>
                    <w:ind w:left="0" w:right="0"/>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10EF4DE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13.5</w:t>
                  </w:r>
                </w:p>
              </w:tc>
              <w:tc>
                <w:tcPr>
                  <w:tcW w:w="177" w:type="pct"/>
                  <w:noWrap w:val="0"/>
                  <w:vAlign w:val="center"/>
                </w:tcPr>
                <w:p w14:paraId="53AFB1D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12</w:t>
                  </w:r>
                </w:p>
              </w:tc>
              <w:tc>
                <w:tcPr>
                  <w:tcW w:w="219" w:type="pct"/>
                  <w:noWrap w:val="0"/>
                  <w:vAlign w:val="center"/>
                </w:tcPr>
                <w:p w14:paraId="3126A39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eastAsia" w:cs="Times New Roman"/>
                      <w:color w:val="auto"/>
                      <w:highlight w:val="none"/>
                      <w:lang w:val="en-US" w:eastAsia="zh-CN"/>
                    </w:rPr>
                    <w:t>23.5</w:t>
                  </w:r>
                </w:p>
              </w:tc>
              <w:tc>
                <w:tcPr>
                  <w:tcW w:w="312" w:type="pct"/>
                  <w:noWrap w:val="0"/>
                  <w:vAlign w:val="center"/>
                </w:tcPr>
                <w:p w14:paraId="74C80D80">
                  <w:pPr>
                    <w:pStyle w:val="85"/>
                    <w:keepNext w:val="0"/>
                    <w:keepLines w:val="0"/>
                    <w:suppressLineNumbers w:val="0"/>
                    <w:spacing w:before="24" w:beforeAutospacing="0" w:after="24" w:afterAutospacing="0"/>
                    <w:ind w:left="0" w:leftChars="0" w:right="0" w:rightChars="0"/>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Cs w:val="21"/>
                      <w:highlight w:val="none"/>
                      <w:lang w:val="en-US" w:eastAsia="zh-CN"/>
                    </w:rPr>
                    <w:t>75</w:t>
                  </w:r>
                </w:p>
              </w:tc>
              <w:tc>
                <w:tcPr>
                  <w:tcW w:w="367" w:type="pct"/>
                  <w:noWrap w:val="0"/>
                  <w:vAlign w:val="center"/>
                </w:tcPr>
                <w:p w14:paraId="6DD7C6A4">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2D95A21F">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p>
              </w:tc>
              <w:tc>
                <w:tcPr>
                  <w:tcW w:w="490" w:type="pct"/>
                  <w:vMerge w:val="continue"/>
                  <w:noWrap w:val="0"/>
                  <w:vAlign w:val="center"/>
                </w:tcPr>
                <w:p w14:paraId="7C3B421C">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21" w:type="pct"/>
                  <w:vMerge w:val="continue"/>
                  <w:noWrap w:val="0"/>
                  <w:vAlign w:val="center"/>
                </w:tcPr>
                <w:p w14:paraId="67EDCE39">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75D2EB4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54.3</w:t>
                  </w:r>
                </w:p>
              </w:tc>
              <w:tc>
                <w:tcPr>
                  <w:tcW w:w="365" w:type="pct"/>
                  <w:noWrap w:val="0"/>
                  <w:vAlign w:val="center"/>
                </w:tcPr>
                <w:p w14:paraId="2AA7AAB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29.3</w:t>
                  </w:r>
                </w:p>
              </w:tc>
              <w:tc>
                <w:tcPr>
                  <w:tcW w:w="443" w:type="pct"/>
                  <w:noWrap w:val="0"/>
                  <w:vAlign w:val="center"/>
                </w:tcPr>
                <w:p w14:paraId="4CFA8A4F">
                  <w:pPr>
                    <w:pStyle w:val="85"/>
                    <w:keepNext w:val="0"/>
                    <w:keepLines w:val="0"/>
                    <w:suppressLineNumbers w:val="0"/>
                    <w:spacing w:before="24" w:beforeAutospacing="0" w:after="24"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r>
            <w:tr w14:paraId="6E13405C">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7E7BF66A">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3BCA551A">
                  <w:pPr>
                    <w:pStyle w:val="85"/>
                    <w:keepNext w:val="0"/>
                    <w:keepLines w:val="0"/>
                    <w:suppressLineNumbers w:val="0"/>
                    <w:spacing w:before="24" w:beforeAutospacing="0" w:after="24" w:afterAutospacing="0"/>
                    <w:ind w:left="0" w:right="0"/>
                    <w:rPr>
                      <w:rFonts w:hint="default" w:ascii="Times New Roman" w:hAnsi="Times New Roman" w:cs="Times New Roman"/>
                      <w:bCs/>
                      <w:color w:val="auto"/>
                      <w:szCs w:val="21"/>
                      <w:highlight w:val="none"/>
                    </w:rPr>
                  </w:pPr>
                </w:p>
              </w:tc>
              <w:tc>
                <w:tcPr>
                  <w:tcW w:w="339" w:type="pct"/>
                  <w:noWrap w:val="0"/>
                  <w:vAlign w:val="center"/>
                </w:tcPr>
                <w:p w14:paraId="40D283DF">
                  <w:pPr>
                    <w:keepNext w:val="0"/>
                    <w:keepLines w:val="0"/>
                    <w:suppressLineNumbers w:val="0"/>
                    <w:spacing w:before="0" w:beforeAutospacing="0" w:after="0" w:afterAutospacing="0"/>
                    <w:ind w:left="0" w:leftChars="0" w:right="0" w:rightChars="0"/>
                    <w:jc w:val="center"/>
                    <w:rPr>
                      <w:rFonts w:hint="eastAsia" w:ascii="Times New Roman"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折边机</w:t>
                  </w:r>
                </w:p>
              </w:tc>
              <w:tc>
                <w:tcPr>
                  <w:tcW w:w="281" w:type="pct"/>
                  <w:noWrap w:val="0"/>
                  <w:vAlign w:val="center"/>
                </w:tcPr>
                <w:p w14:paraId="5B92EB27">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159" w:type="pct"/>
                  <w:noWrap w:val="0"/>
                  <w:vAlign w:val="center"/>
                </w:tcPr>
                <w:p w14:paraId="4942FD9A">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7BD30554">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6</w:t>
                  </w:r>
                </w:p>
              </w:tc>
              <w:tc>
                <w:tcPr>
                  <w:tcW w:w="177" w:type="pct"/>
                  <w:noWrap w:val="0"/>
                  <w:vAlign w:val="center"/>
                </w:tcPr>
                <w:p w14:paraId="6A8328C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12</w:t>
                  </w:r>
                </w:p>
              </w:tc>
              <w:tc>
                <w:tcPr>
                  <w:tcW w:w="219" w:type="pct"/>
                  <w:noWrap w:val="0"/>
                  <w:vAlign w:val="center"/>
                </w:tcPr>
                <w:p w14:paraId="7C876B88">
                  <w:pPr>
                    <w:keepNext w:val="0"/>
                    <w:keepLines w:val="0"/>
                    <w:suppressLineNumbers w:val="0"/>
                    <w:spacing w:before="0" w:beforeAutospacing="0" w:after="0" w:afterAutospacing="0"/>
                    <w:ind w:left="0" w:leftChars="0" w:right="0" w:rightChars="0"/>
                    <w:jc w:val="center"/>
                    <w:rPr>
                      <w:rFonts w:hint="eastAsia" w:cs="Times New Roman"/>
                      <w:color w:val="auto"/>
                      <w:highlight w:val="none"/>
                      <w:lang w:val="en-US" w:eastAsia="zh-CN"/>
                    </w:rPr>
                  </w:pPr>
                  <w:r>
                    <w:rPr>
                      <w:rFonts w:hint="eastAsia" w:cs="Times New Roman"/>
                      <w:color w:val="auto"/>
                      <w:highlight w:val="none"/>
                      <w:lang w:val="en-US" w:eastAsia="zh-CN"/>
                    </w:rPr>
                    <w:t>23.5</w:t>
                  </w:r>
                </w:p>
              </w:tc>
              <w:tc>
                <w:tcPr>
                  <w:tcW w:w="312" w:type="pct"/>
                  <w:noWrap w:val="0"/>
                  <w:vAlign w:val="center"/>
                </w:tcPr>
                <w:p w14:paraId="30114090">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367" w:type="pct"/>
                  <w:noWrap w:val="0"/>
                  <w:vAlign w:val="center"/>
                </w:tcPr>
                <w:p w14:paraId="79A9CE1E">
                  <w:pPr>
                    <w:pStyle w:val="85"/>
                    <w:keepNext w:val="0"/>
                    <w:keepLines w:val="0"/>
                    <w:suppressLineNumbers w:val="0"/>
                    <w:spacing w:before="24" w:beforeAutospacing="0" w:after="24" w:afterAutospacing="0"/>
                    <w:ind w:left="0" w:leftChars="0" w:right="0" w:rightChars="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3ABDC9F7">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p>
              </w:tc>
              <w:tc>
                <w:tcPr>
                  <w:tcW w:w="490" w:type="pct"/>
                  <w:vMerge w:val="continue"/>
                  <w:noWrap w:val="0"/>
                  <w:vAlign w:val="center"/>
                </w:tcPr>
                <w:p w14:paraId="5A34362B">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21" w:type="pct"/>
                  <w:vMerge w:val="continue"/>
                  <w:noWrap w:val="0"/>
                  <w:vAlign w:val="center"/>
                </w:tcPr>
                <w:p w14:paraId="6932E65F">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7D85007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59.4</w:t>
                  </w:r>
                </w:p>
              </w:tc>
              <w:tc>
                <w:tcPr>
                  <w:tcW w:w="365" w:type="pct"/>
                  <w:noWrap w:val="0"/>
                  <w:vAlign w:val="center"/>
                </w:tcPr>
                <w:p w14:paraId="6E44386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34.4</w:t>
                  </w:r>
                </w:p>
              </w:tc>
              <w:tc>
                <w:tcPr>
                  <w:tcW w:w="443" w:type="pct"/>
                  <w:noWrap w:val="0"/>
                  <w:vAlign w:val="center"/>
                </w:tcPr>
                <w:p w14:paraId="68BA89E0">
                  <w:pPr>
                    <w:pStyle w:val="85"/>
                    <w:keepNext w:val="0"/>
                    <w:keepLines w:val="0"/>
                    <w:suppressLineNumbers w:val="0"/>
                    <w:spacing w:before="24" w:beforeAutospacing="0" w:after="24"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r>
            <w:tr w14:paraId="6AEE9546">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7985B5A0">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421AE898">
                  <w:pPr>
                    <w:pStyle w:val="85"/>
                    <w:keepNext w:val="0"/>
                    <w:keepLines w:val="0"/>
                    <w:suppressLineNumbers w:val="0"/>
                    <w:spacing w:before="24" w:beforeAutospacing="0" w:after="24" w:afterAutospacing="0"/>
                    <w:ind w:left="0" w:right="0"/>
                    <w:rPr>
                      <w:rFonts w:hint="default" w:ascii="Times New Roman" w:hAnsi="Times New Roman" w:cs="Times New Roman"/>
                      <w:bCs/>
                      <w:color w:val="auto"/>
                      <w:szCs w:val="21"/>
                      <w:highlight w:val="none"/>
                    </w:rPr>
                  </w:pPr>
                </w:p>
              </w:tc>
              <w:tc>
                <w:tcPr>
                  <w:tcW w:w="339" w:type="pct"/>
                  <w:noWrap w:val="0"/>
                  <w:vAlign w:val="center"/>
                </w:tcPr>
                <w:p w14:paraId="2AC102D3">
                  <w:pPr>
                    <w:keepNext w:val="0"/>
                    <w:keepLines w:val="0"/>
                    <w:suppressLineNumbers w:val="0"/>
                    <w:spacing w:before="0" w:beforeAutospacing="0" w:after="0" w:afterAutospacing="0"/>
                    <w:ind w:left="0" w:leftChars="0" w:right="0" w:rightChars="0"/>
                    <w:jc w:val="center"/>
                    <w:rPr>
                      <w:rFonts w:hint="eastAsia" w:ascii="Times New Roman" w:cs="Times New Roman"/>
                      <w:color w:val="auto"/>
                      <w:sz w:val="21"/>
                      <w:szCs w:val="21"/>
                      <w:highlight w:val="none"/>
                      <w:lang w:val="en-US" w:eastAsia="zh-CN"/>
                    </w:rPr>
                  </w:pPr>
                  <w:r>
                    <w:rPr>
                      <w:rFonts w:hint="eastAsia"/>
                      <w:color w:val="auto"/>
                      <w:highlight w:val="none"/>
                    </w:rPr>
                    <w:t>分切机</w:t>
                  </w:r>
                </w:p>
              </w:tc>
              <w:tc>
                <w:tcPr>
                  <w:tcW w:w="281" w:type="pct"/>
                  <w:noWrap w:val="0"/>
                  <w:vAlign w:val="center"/>
                </w:tcPr>
                <w:p w14:paraId="01019D47">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159" w:type="pct"/>
                  <w:noWrap w:val="0"/>
                  <w:vAlign w:val="center"/>
                </w:tcPr>
                <w:p w14:paraId="21ACE59D">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11F65CB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37</w:t>
                  </w:r>
                </w:p>
              </w:tc>
              <w:tc>
                <w:tcPr>
                  <w:tcW w:w="177" w:type="pct"/>
                  <w:noWrap w:val="0"/>
                  <w:vAlign w:val="center"/>
                </w:tcPr>
                <w:p w14:paraId="0CBE245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20</w:t>
                  </w:r>
                </w:p>
              </w:tc>
              <w:tc>
                <w:tcPr>
                  <w:tcW w:w="219" w:type="pct"/>
                  <w:noWrap w:val="0"/>
                  <w:vAlign w:val="center"/>
                </w:tcPr>
                <w:p w14:paraId="477C16C5">
                  <w:pPr>
                    <w:keepNext w:val="0"/>
                    <w:keepLines w:val="0"/>
                    <w:suppressLineNumbers w:val="0"/>
                    <w:spacing w:before="0" w:beforeAutospacing="0" w:after="0" w:afterAutospacing="0"/>
                    <w:ind w:left="0" w:leftChars="0" w:right="0" w:rightChars="0"/>
                    <w:jc w:val="center"/>
                    <w:rPr>
                      <w:rFonts w:hint="eastAsia" w:cs="Times New Roman"/>
                      <w:color w:val="auto"/>
                      <w:highlight w:val="none"/>
                      <w:lang w:val="en-US" w:eastAsia="zh-CN"/>
                    </w:rPr>
                  </w:pPr>
                  <w:r>
                    <w:rPr>
                      <w:rFonts w:hint="eastAsia" w:cs="Times New Roman"/>
                      <w:color w:val="auto"/>
                      <w:highlight w:val="none"/>
                      <w:lang w:val="en-US" w:eastAsia="zh-CN"/>
                    </w:rPr>
                    <w:t>23.5</w:t>
                  </w:r>
                </w:p>
              </w:tc>
              <w:tc>
                <w:tcPr>
                  <w:tcW w:w="312" w:type="pct"/>
                  <w:noWrap w:val="0"/>
                  <w:vAlign w:val="center"/>
                </w:tcPr>
                <w:p w14:paraId="4BA4808B">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367" w:type="pct"/>
                  <w:noWrap w:val="0"/>
                  <w:vAlign w:val="center"/>
                </w:tcPr>
                <w:p w14:paraId="047E8CF0">
                  <w:pPr>
                    <w:pStyle w:val="85"/>
                    <w:keepNext w:val="0"/>
                    <w:keepLines w:val="0"/>
                    <w:suppressLineNumbers w:val="0"/>
                    <w:spacing w:before="24" w:beforeAutospacing="0" w:after="24" w:afterAutospacing="0"/>
                    <w:ind w:left="0" w:leftChars="0" w:right="0" w:rightChars="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44B0B314">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p>
              </w:tc>
              <w:tc>
                <w:tcPr>
                  <w:tcW w:w="490" w:type="pct"/>
                  <w:vMerge w:val="continue"/>
                  <w:noWrap w:val="0"/>
                  <w:vAlign w:val="center"/>
                </w:tcPr>
                <w:p w14:paraId="01A7DB19">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21" w:type="pct"/>
                  <w:vMerge w:val="continue"/>
                  <w:noWrap w:val="0"/>
                  <w:vAlign w:val="center"/>
                </w:tcPr>
                <w:p w14:paraId="0B691278">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6832211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60.2</w:t>
                  </w:r>
                </w:p>
              </w:tc>
              <w:tc>
                <w:tcPr>
                  <w:tcW w:w="365" w:type="pct"/>
                  <w:noWrap w:val="0"/>
                  <w:vAlign w:val="center"/>
                </w:tcPr>
                <w:p w14:paraId="3CEEE06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35.2</w:t>
                  </w:r>
                </w:p>
              </w:tc>
              <w:tc>
                <w:tcPr>
                  <w:tcW w:w="443" w:type="pct"/>
                  <w:noWrap w:val="0"/>
                  <w:vAlign w:val="center"/>
                </w:tcPr>
                <w:p w14:paraId="77B49896">
                  <w:pPr>
                    <w:pStyle w:val="85"/>
                    <w:keepNext w:val="0"/>
                    <w:keepLines w:val="0"/>
                    <w:suppressLineNumbers w:val="0"/>
                    <w:spacing w:before="24" w:beforeAutospacing="0" w:after="24"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r>
            <w:tr w14:paraId="6EB38F64">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3BB6FBAD">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09718CC6">
                  <w:pPr>
                    <w:pStyle w:val="85"/>
                    <w:keepNext w:val="0"/>
                    <w:keepLines w:val="0"/>
                    <w:suppressLineNumbers w:val="0"/>
                    <w:spacing w:before="24" w:beforeAutospacing="0" w:after="24" w:afterAutospacing="0"/>
                    <w:ind w:left="0" w:right="0"/>
                    <w:rPr>
                      <w:rFonts w:hint="default" w:ascii="Times New Roman" w:hAnsi="Times New Roman" w:cs="Times New Roman"/>
                      <w:bCs/>
                      <w:color w:val="auto"/>
                      <w:szCs w:val="21"/>
                      <w:highlight w:val="none"/>
                    </w:rPr>
                  </w:pPr>
                </w:p>
              </w:tc>
              <w:tc>
                <w:tcPr>
                  <w:tcW w:w="339" w:type="pct"/>
                  <w:noWrap w:val="0"/>
                  <w:vAlign w:val="center"/>
                </w:tcPr>
                <w:p w14:paraId="3FA9D500">
                  <w:pPr>
                    <w:keepNext w:val="0"/>
                    <w:keepLines w:val="0"/>
                    <w:suppressLineNumbers w:val="0"/>
                    <w:spacing w:before="0" w:beforeAutospacing="0" w:after="0" w:afterAutospacing="0"/>
                    <w:ind w:left="0" w:leftChars="0" w:right="0" w:rightChars="0"/>
                    <w:jc w:val="center"/>
                    <w:rPr>
                      <w:rFonts w:hint="eastAsia" w:ascii="Times New Roman" w:cs="Times New Roman"/>
                      <w:color w:val="auto"/>
                      <w:sz w:val="21"/>
                      <w:szCs w:val="21"/>
                      <w:highlight w:val="none"/>
                      <w:lang w:val="en-US" w:eastAsia="zh-CN"/>
                    </w:rPr>
                  </w:pPr>
                  <w:r>
                    <w:rPr>
                      <w:rFonts w:hint="eastAsia"/>
                      <w:color w:val="auto"/>
                      <w:highlight w:val="none"/>
                    </w:rPr>
                    <w:t>分切机</w:t>
                  </w:r>
                </w:p>
              </w:tc>
              <w:tc>
                <w:tcPr>
                  <w:tcW w:w="281" w:type="pct"/>
                  <w:noWrap w:val="0"/>
                  <w:vAlign w:val="center"/>
                </w:tcPr>
                <w:p w14:paraId="14025BEF">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159" w:type="pct"/>
                  <w:noWrap w:val="0"/>
                  <w:vAlign w:val="center"/>
                </w:tcPr>
                <w:p w14:paraId="70B2696F">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01C4CBB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36</w:t>
                  </w:r>
                </w:p>
              </w:tc>
              <w:tc>
                <w:tcPr>
                  <w:tcW w:w="177" w:type="pct"/>
                  <w:noWrap w:val="0"/>
                  <w:vAlign w:val="center"/>
                </w:tcPr>
                <w:p w14:paraId="013A66A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20</w:t>
                  </w:r>
                </w:p>
              </w:tc>
              <w:tc>
                <w:tcPr>
                  <w:tcW w:w="219" w:type="pct"/>
                  <w:noWrap w:val="0"/>
                  <w:vAlign w:val="center"/>
                </w:tcPr>
                <w:p w14:paraId="1E583DD3">
                  <w:pPr>
                    <w:keepNext w:val="0"/>
                    <w:keepLines w:val="0"/>
                    <w:suppressLineNumbers w:val="0"/>
                    <w:spacing w:before="0" w:beforeAutospacing="0" w:after="0" w:afterAutospacing="0"/>
                    <w:ind w:left="0" w:leftChars="0" w:right="0" w:rightChars="0"/>
                    <w:jc w:val="center"/>
                    <w:rPr>
                      <w:rFonts w:hint="eastAsia" w:cs="Times New Roman"/>
                      <w:color w:val="auto"/>
                      <w:highlight w:val="none"/>
                      <w:lang w:val="en-US" w:eastAsia="zh-CN"/>
                    </w:rPr>
                  </w:pPr>
                  <w:r>
                    <w:rPr>
                      <w:rFonts w:hint="eastAsia" w:cs="Times New Roman"/>
                      <w:color w:val="auto"/>
                      <w:highlight w:val="none"/>
                      <w:lang w:val="en-US" w:eastAsia="zh-CN"/>
                    </w:rPr>
                    <w:t>23.5</w:t>
                  </w:r>
                </w:p>
              </w:tc>
              <w:tc>
                <w:tcPr>
                  <w:tcW w:w="312" w:type="pct"/>
                  <w:noWrap w:val="0"/>
                  <w:vAlign w:val="center"/>
                </w:tcPr>
                <w:p w14:paraId="7C5A21A1">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367" w:type="pct"/>
                  <w:noWrap w:val="0"/>
                  <w:vAlign w:val="center"/>
                </w:tcPr>
                <w:p w14:paraId="64BE8C2E">
                  <w:pPr>
                    <w:pStyle w:val="85"/>
                    <w:keepNext w:val="0"/>
                    <w:keepLines w:val="0"/>
                    <w:suppressLineNumbers w:val="0"/>
                    <w:spacing w:before="24" w:beforeAutospacing="0" w:after="24" w:afterAutospacing="0"/>
                    <w:ind w:left="0" w:leftChars="0" w:right="0" w:rightChars="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12D7682F">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p>
              </w:tc>
              <w:tc>
                <w:tcPr>
                  <w:tcW w:w="490" w:type="pct"/>
                  <w:vMerge w:val="continue"/>
                  <w:noWrap w:val="0"/>
                  <w:vAlign w:val="center"/>
                </w:tcPr>
                <w:p w14:paraId="2B840CFE">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21" w:type="pct"/>
                  <w:vMerge w:val="continue"/>
                  <w:noWrap w:val="0"/>
                  <w:vAlign w:val="center"/>
                </w:tcPr>
                <w:p w14:paraId="2ACD83B7">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284C990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60.2</w:t>
                  </w:r>
                </w:p>
              </w:tc>
              <w:tc>
                <w:tcPr>
                  <w:tcW w:w="365" w:type="pct"/>
                  <w:noWrap w:val="0"/>
                  <w:vAlign w:val="center"/>
                </w:tcPr>
                <w:p w14:paraId="2B446A5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35.2</w:t>
                  </w:r>
                </w:p>
              </w:tc>
              <w:tc>
                <w:tcPr>
                  <w:tcW w:w="443" w:type="pct"/>
                  <w:noWrap w:val="0"/>
                  <w:vAlign w:val="center"/>
                </w:tcPr>
                <w:p w14:paraId="0DFB3A9F">
                  <w:pPr>
                    <w:pStyle w:val="85"/>
                    <w:keepNext w:val="0"/>
                    <w:keepLines w:val="0"/>
                    <w:suppressLineNumbers w:val="0"/>
                    <w:spacing w:before="24" w:beforeAutospacing="0" w:after="24"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r>
            <w:tr w14:paraId="51C57B93">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189EA373">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1B4DA8B0">
                  <w:pPr>
                    <w:pStyle w:val="85"/>
                    <w:keepNext w:val="0"/>
                    <w:keepLines w:val="0"/>
                    <w:suppressLineNumbers w:val="0"/>
                    <w:spacing w:before="24" w:beforeAutospacing="0" w:after="24" w:afterAutospacing="0"/>
                    <w:ind w:left="0" w:right="0"/>
                    <w:rPr>
                      <w:rFonts w:hint="default" w:ascii="Times New Roman" w:hAnsi="Times New Roman" w:cs="Times New Roman"/>
                      <w:bCs/>
                      <w:color w:val="auto"/>
                      <w:szCs w:val="21"/>
                      <w:highlight w:val="none"/>
                    </w:rPr>
                  </w:pPr>
                </w:p>
              </w:tc>
              <w:tc>
                <w:tcPr>
                  <w:tcW w:w="339" w:type="pct"/>
                  <w:noWrap w:val="0"/>
                  <w:vAlign w:val="center"/>
                </w:tcPr>
                <w:p w14:paraId="64ADB527">
                  <w:pPr>
                    <w:keepNext w:val="0"/>
                    <w:keepLines w:val="0"/>
                    <w:suppressLineNumbers w:val="0"/>
                    <w:spacing w:before="0" w:beforeAutospacing="0" w:after="0" w:afterAutospacing="0"/>
                    <w:ind w:left="0" w:leftChars="0" w:right="0" w:rightChars="0"/>
                    <w:jc w:val="center"/>
                    <w:rPr>
                      <w:rFonts w:hint="eastAsia" w:ascii="Times New Roman" w:cs="Times New Roman"/>
                      <w:color w:val="auto"/>
                      <w:sz w:val="21"/>
                      <w:szCs w:val="21"/>
                      <w:highlight w:val="none"/>
                      <w:lang w:val="en-US" w:eastAsia="zh-CN"/>
                    </w:rPr>
                  </w:pPr>
                  <w:r>
                    <w:rPr>
                      <w:rFonts w:hint="eastAsia"/>
                      <w:color w:val="auto"/>
                      <w:highlight w:val="none"/>
                    </w:rPr>
                    <w:t>分切机</w:t>
                  </w:r>
                </w:p>
              </w:tc>
              <w:tc>
                <w:tcPr>
                  <w:tcW w:w="281" w:type="pct"/>
                  <w:noWrap w:val="0"/>
                  <w:vAlign w:val="center"/>
                </w:tcPr>
                <w:p w14:paraId="610161AB">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159" w:type="pct"/>
                  <w:noWrap w:val="0"/>
                  <w:vAlign w:val="center"/>
                </w:tcPr>
                <w:p w14:paraId="0FD43A80">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352F01D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35</w:t>
                  </w:r>
                </w:p>
              </w:tc>
              <w:tc>
                <w:tcPr>
                  <w:tcW w:w="177" w:type="pct"/>
                  <w:noWrap w:val="0"/>
                  <w:vAlign w:val="center"/>
                </w:tcPr>
                <w:p w14:paraId="1A3476F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20</w:t>
                  </w:r>
                </w:p>
              </w:tc>
              <w:tc>
                <w:tcPr>
                  <w:tcW w:w="219" w:type="pct"/>
                  <w:noWrap w:val="0"/>
                  <w:vAlign w:val="center"/>
                </w:tcPr>
                <w:p w14:paraId="78B8E4D9">
                  <w:pPr>
                    <w:keepNext w:val="0"/>
                    <w:keepLines w:val="0"/>
                    <w:suppressLineNumbers w:val="0"/>
                    <w:spacing w:before="0" w:beforeAutospacing="0" w:after="0" w:afterAutospacing="0"/>
                    <w:ind w:left="0" w:leftChars="0" w:right="0" w:rightChars="0"/>
                    <w:jc w:val="center"/>
                    <w:rPr>
                      <w:rFonts w:hint="eastAsia" w:cs="Times New Roman"/>
                      <w:color w:val="auto"/>
                      <w:highlight w:val="none"/>
                      <w:lang w:val="en-US" w:eastAsia="zh-CN"/>
                    </w:rPr>
                  </w:pPr>
                  <w:r>
                    <w:rPr>
                      <w:rFonts w:hint="eastAsia" w:cs="Times New Roman"/>
                      <w:color w:val="auto"/>
                      <w:highlight w:val="none"/>
                      <w:lang w:val="en-US" w:eastAsia="zh-CN"/>
                    </w:rPr>
                    <w:t>23.5</w:t>
                  </w:r>
                </w:p>
              </w:tc>
              <w:tc>
                <w:tcPr>
                  <w:tcW w:w="312" w:type="pct"/>
                  <w:noWrap w:val="0"/>
                  <w:vAlign w:val="center"/>
                </w:tcPr>
                <w:p w14:paraId="40C059BA">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367" w:type="pct"/>
                  <w:noWrap w:val="0"/>
                  <w:vAlign w:val="center"/>
                </w:tcPr>
                <w:p w14:paraId="30722FF0">
                  <w:pPr>
                    <w:pStyle w:val="85"/>
                    <w:keepNext w:val="0"/>
                    <w:keepLines w:val="0"/>
                    <w:suppressLineNumbers w:val="0"/>
                    <w:spacing w:before="24" w:beforeAutospacing="0" w:after="24" w:afterAutospacing="0"/>
                    <w:ind w:left="0" w:leftChars="0" w:right="0" w:rightChars="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3D8C7099">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p>
              </w:tc>
              <w:tc>
                <w:tcPr>
                  <w:tcW w:w="490" w:type="pct"/>
                  <w:vMerge w:val="continue"/>
                  <w:noWrap w:val="0"/>
                  <w:vAlign w:val="center"/>
                </w:tcPr>
                <w:p w14:paraId="6E95E75C">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21" w:type="pct"/>
                  <w:vMerge w:val="continue"/>
                  <w:noWrap w:val="0"/>
                  <w:vAlign w:val="center"/>
                </w:tcPr>
                <w:p w14:paraId="559C9973">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5F49430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60.2</w:t>
                  </w:r>
                </w:p>
              </w:tc>
              <w:tc>
                <w:tcPr>
                  <w:tcW w:w="365" w:type="pct"/>
                  <w:noWrap w:val="0"/>
                  <w:vAlign w:val="center"/>
                </w:tcPr>
                <w:p w14:paraId="488DA1D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35.2</w:t>
                  </w:r>
                </w:p>
              </w:tc>
              <w:tc>
                <w:tcPr>
                  <w:tcW w:w="443" w:type="pct"/>
                  <w:noWrap w:val="0"/>
                  <w:vAlign w:val="center"/>
                </w:tcPr>
                <w:p w14:paraId="39C89336">
                  <w:pPr>
                    <w:pStyle w:val="85"/>
                    <w:keepNext w:val="0"/>
                    <w:keepLines w:val="0"/>
                    <w:suppressLineNumbers w:val="0"/>
                    <w:spacing w:before="24" w:beforeAutospacing="0" w:after="24"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r>
            <w:tr w14:paraId="48C15A88">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1A686F42">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1998FD5F">
                  <w:pPr>
                    <w:pStyle w:val="85"/>
                    <w:keepNext w:val="0"/>
                    <w:keepLines w:val="0"/>
                    <w:suppressLineNumbers w:val="0"/>
                    <w:spacing w:before="24" w:beforeAutospacing="0" w:after="24" w:afterAutospacing="0"/>
                    <w:ind w:left="0" w:right="0"/>
                    <w:rPr>
                      <w:rFonts w:hint="default" w:ascii="Times New Roman" w:hAnsi="Times New Roman" w:cs="Times New Roman"/>
                      <w:bCs/>
                      <w:color w:val="auto"/>
                      <w:szCs w:val="21"/>
                      <w:highlight w:val="none"/>
                    </w:rPr>
                  </w:pPr>
                </w:p>
              </w:tc>
              <w:tc>
                <w:tcPr>
                  <w:tcW w:w="339" w:type="pct"/>
                  <w:noWrap w:val="0"/>
                  <w:vAlign w:val="center"/>
                </w:tcPr>
                <w:p w14:paraId="49234BFB">
                  <w:pPr>
                    <w:keepNext w:val="0"/>
                    <w:keepLines w:val="0"/>
                    <w:suppressLineNumbers w:val="0"/>
                    <w:spacing w:before="0" w:beforeAutospacing="0" w:after="0" w:afterAutospacing="0"/>
                    <w:ind w:left="0" w:leftChars="0" w:right="0" w:rightChars="0"/>
                    <w:jc w:val="center"/>
                    <w:rPr>
                      <w:rFonts w:hint="eastAsia" w:ascii="Times New Roman" w:cs="Times New Roman"/>
                      <w:color w:val="auto"/>
                      <w:sz w:val="21"/>
                      <w:szCs w:val="21"/>
                      <w:highlight w:val="none"/>
                      <w:lang w:val="en-US" w:eastAsia="zh-CN"/>
                    </w:rPr>
                  </w:pPr>
                  <w:r>
                    <w:rPr>
                      <w:rFonts w:hint="eastAsia"/>
                      <w:color w:val="auto"/>
                      <w:highlight w:val="none"/>
                    </w:rPr>
                    <w:t>印刷机</w:t>
                  </w:r>
                </w:p>
              </w:tc>
              <w:tc>
                <w:tcPr>
                  <w:tcW w:w="281" w:type="pct"/>
                  <w:noWrap w:val="0"/>
                  <w:vAlign w:val="center"/>
                </w:tcPr>
                <w:p w14:paraId="54E75C2D">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159" w:type="pct"/>
                  <w:noWrap w:val="0"/>
                  <w:vAlign w:val="center"/>
                </w:tcPr>
                <w:p w14:paraId="2D27F41C">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73D9743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34</w:t>
                  </w:r>
                </w:p>
              </w:tc>
              <w:tc>
                <w:tcPr>
                  <w:tcW w:w="177" w:type="pct"/>
                  <w:noWrap w:val="0"/>
                  <w:vAlign w:val="center"/>
                </w:tcPr>
                <w:p w14:paraId="0CAF803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20</w:t>
                  </w:r>
                </w:p>
              </w:tc>
              <w:tc>
                <w:tcPr>
                  <w:tcW w:w="219" w:type="pct"/>
                  <w:noWrap w:val="0"/>
                  <w:vAlign w:val="center"/>
                </w:tcPr>
                <w:p w14:paraId="2AFD8BE7">
                  <w:pPr>
                    <w:keepNext w:val="0"/>
                    <w:keepLines w:val="0"/>
                    <w:suppressLineNumbers w:val="0"/>
                    <w:spacing w:before="0" w:beforeAutospacing="0" w:after="0" w:afterAutospacing="0"/>
                    <w:ind w:left="0" w:leftChars="0" w:right="0" w:rightChars="0"/>
                    <w:jc w:val="center"/>
                    <w:rPr>
                      <w:rFonts w:hint="eastAsia" w:cs="Times New Roman"/>
                      <w:color w:val="auto"/>
                      <w:highlight w:val="none"/>
                      <w:lang w:val="en-US" w:eastAsia="zh-CN"/>
                    </w:rPr>
                  </w:pPr>
                  <w:r>
                    <w:rPr>
                      <w:rFonts w:hint="eastAsia" w:cs="Times New Roman"/>
                      <w:color w:val="auto"/>
                      <w:highlight w:val="none"/>
                      <w:lang w:val="en-US" w:eastAsia="zh-CN"/>
                    </w:rPr>
                    <w:t>23.5</w:t>
                  </w:r>
                </w:p>
              </w:tc>
              <w:tc>
                <w:tcPr>
                  <w:tcW w:w="312" w:type="pct"/>
                  <w:noWrap w:val="0"/>
                  <w:vAlign w:val="center"/>
                </w:tcPr>
                <w:p w14:paraId="78461226">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367" w:type="pct"/>
                  <w:noWrap w:val="0"/>
                  <w:vAlign w:val="center"/>
                </w:tcPr>
                <w:p w14:paraId="2879D060">
                  <w:pPr>
                    <w:pStyle w:val="85"/>
                    <w:keepNext w:val="0"/>
                    <w:keepLines w:val="0"/>
                    <w:suppressLineNumbers w:val="0"/>
                    <w:spacing w:before="24" w:beforeAutospacing="0" w:after="24" w:afterAutospacing="0"/>
                    <w:ind w:left="0" w:leftChars="0" w:right="0" w:rightChars="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710D64D6">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p>
              </w:tc>
              <w:tc>
                <w:tcPr>
                  <w:tcW w:w="490" w:type="pct"/>
                  <w:vMerge w:val="restart"/>
                  <w:noWrap w:val="0"/>
                  <w:vAlign w:val="center"/>
                </w:tcPr>
                <w:p w14:paraId="74C67D2F">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每年工作</w:t>
                  </w:r>
                  <w:r>
                    <w:rPr>
                      <w:rFonts w:hint="eastAsia" w:ascii="Times New Roman" w:cs="Times New Roman"/>
                      <w:color w:val="auto"/>
                      <w:szCs w:val="21"/>
                      <w:highlight w:val="none"/>
                      <w:lang w:val="en-US" w:eastAsia="zh-CN"/>
                    </w:rPr>
                    <w:t>5</w:t>
                  </w:r>
                  <w:r>
                    <w:rPr>
                      <w:rFonts w:hint="default" w:ascii="Times New Roman" w:hAnsi="Times New Roman" w:cs="Times New Roman"/>
                      <w:color w:val="auto"/>
                      <w:szCs w:val="21"/>
                      <w:highlight w:val="none"/>
                    </w:rPr>
                    <w:t>00h</w:t>
                  </w:r>
                </w:p>
              </w:tc>
              <w:tc>
                <w:tcPr>
                  <w:tcW w:w="421" w:type="pct"/>
                  <w:vMerge w:val="continue"/>
                  <w:noWrap w:val="0"/>
                  <w:vAlign w:val="center"/>
                </w:tcPr>
                <w:p w14:paraId="0A9DDF0E">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064762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60.2</w:t>
                  </w:r>
                </w:p>
              </w:tc>
              <w:tc>
                <w:tcPr>
                  <w:tcW w:w="365" w:type="pct"/>
                  <w:noWrap w:val="0"/>
                  <w:vAlign w:val="center"/>
                </w:tcPr>
                <w:p w14:paraId="6D7AE69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35.2</w:t>
                  </w:r>
                </w:p>
              </w:tc>
              <w:tc>
                <w:tcPr>
                  <w:tcW w:w="443" w:type="pct"/>
                  <w:noWrap w:val="0"/>
                  <w:vAlign w:val="center"/>
                </w:tcPr>
                <w:p w14:paraId="24A366D4">
                  <w:pPr>
                    <w:pStyle w:val="85"/>
                    <w:keepNext w:val="0"/>
                    <w:keepLines w:val="0"/>
                    <w:suppressLineNumbers w:val="0"/>
                    <w:spacing w:before="24" w:beforeAutospacing="0" w:after="24"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r>
            <w:tr w14:paraId="0C4CA6A6">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63D0799C">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4C484959">
                  <w:pPr>
                    <w:pStyle w:val="85"/>
                    <w:keepNext w:val="0"/>
                    <w:keepLines w:val="0"/>
                    <w:suppressLineNumbers w:val="0"/>
                    <w:spacing w:before="24" w:beforeAutospacing="0" w:after="24" w:afterAutospacing="0"/>
                    <w:ind w:left="0" w:right="0"/>
                    <w:rPr>
                      <w:rFonts w:hint="default" w:ascii="Times New Roman" w:hAnsi="Times New Roman" w:cs="Times New Roman"/>
                      <w:bCs/>
                      <w:color w:val="auto"/>
                      <w:szCs w:val="21"/>
                      <w:highlight w:val="none"/>
                    </w:rPr>
                  </w:pPr>
                </w:p>
              </w:tc>
              <w:tc>
                <w:tcPr>
                  <w:tcW w:w="339" w:type="pct"/>
                  <w:noWrap w:val="0"/>
                  <w:vAlign w:val="center"/>
                </w:tcPr>
                <w:p w14:paraId="12D71A70">
                  <w:pPr>
                    <w:keepNext w:val="0"/>
                    <w:keepLines w:val="0"/>
                    <w:suppressLineNumbers w:val="0"/>
                    <w:spacing w:before="0" w:beforeAutospacing="0" w:after="0" w:afterAutospacing="0"/>
                    <w:ind w:left="0" w:leftChars="0" w:right="0" w:rightChars="0"/>
                    <w:jc w:val="center"/>
                    <w:rPr>
                      <w:rFonts w:hint="eastAsia" w:ascii="Times New Roman" w:cs="Times New Roman"/>
                      <w:color w:val="auto"/>
                      <w:sz w:val="21"/>
                      <w:szCs w:val="21"/>
                      <w:highlight w:val="none"/>
                      <w:lang w:val="en-US" w:eastAsia="zh-CN"/>
                    </w:rPr>
                  </w:pPr>
                  <w:r>
                    <w:rPr>
                      <w:rFonts w:hint="eastAsia"/>
                      <w:color w:val="auto"/>
                      <w:highlight w:val="none"/>
                    </w:rPr>
                    <w:t>印刷机</w:t>
                  </w:r>
                </w:p>
              </w:tc>
              <w:tc>
                <w:tcPr>
                  <w:tcW w:w="281" w:type="pct"/>
                  <w:noWrap w:val="0"/>
                  <w:vAlign w:val="center"/>
                </w:tcPr>
                <w:p w14:paraId="594F1CA0">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159" w:type="pct"/>
                  <w:noWrap w:val="0"/>
                  <w:vAlign w:val="center"/>
                </w:tcPr>
                <w:p w14:paraId="0EEE77F2">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329F55C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32</w:t>
                  </w:r>
                </w:p>
              </w:tc>
              <w:tc>
                <w:tcPr>
                  <w:tcW w:w="177" w:type="pct"/>
                  <w:noWrap w:val="0"/>
                  <w:vAlign w:val="center"/>
                </w:tcPr>
                <w:p w14:paraId="730A919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20</w:t>
                  </w:r>
                </w:p>
              </w:tc>
              <w:tc>
                <w:tcPr>
                  <w:tcW w:w="219" w:type="pct"/>
                  <w:noWrap w:val="0"/>
                  <w:vAlign w:val="center"/>
                </w:tcPr>
                <w:p w14:paraId="5AD268FE">
                  <w:pPr>
                    <w:keepNext w:val="0"/>
                    <w:keepLines w:val="0"/>
                    <w:suppressLineNumbers w:val="0"/>
                    <w:spacing w:before="0" w:beforeAutospacing="0" w:after="0" w:afterAutospacing="0"/>
                    <w:ind w:left="0" w:leftChars="0" w:right="0" w:rightChars="0"/>
                    <w:jc w:val="center"/>
                    <w:rPr>
                      <w:rFonts w:hint="eastAsia" w:cs="Times New Roman"/>
                      <w:color w:val="auto"/>
                      <w:highlight w:val="none"/>
                      <w:lang w:val="en-US" w:eastAsia="zh-CN"/>
                    </w:rPr>
                  </w:pPr>
                  <w:r>
                    <w:rPr>
                      <w:rFonts w:hint="eastAsia" w:cs="Times New Roman"/>
                      <w:color w:val="auto"/>
                      <w:highlight w:val="none"/>
                      <w:lang w:val="en-US" w:eastAsia="zh-CN"/>
                    </w:rPr>
                    <w:t>23.5</w:t>
                  </w:r>
                </w:p>
              </w:tc>
              <w:tc>
                <w:tcPr>
                  <w:tcW w:w="312" w:type="pct"/>
                  <w:noWrap w:val="0"/>
                  <w:vAlign w:val="center"/>
                </w:tcPr>
                <w:p w14:paraId="69114FAB">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367" w:type="pct"/>
                  <w:noWrap w:val="0"/>
                  <w:vAlign w:val="center"/>
                </w:tcPr>
                <w:p w14:paraId="3A5D52C0">
                  <w:pPr>
                    <w:pStyle w:val="85"/>
                    <w:keepNext w:val="0"/>
                    <w:keepLines w:val="0"/>
                    <w:suppressLineNumbers w:val="0"/>
                    <w:spacing w:before="24" w:beforeAutospacing="0" w:after="24" w:afterAutospacing="0"/>
                    <w:ind w:left="0" w:leftChars="0" w:right="0" w:rightChars="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7C2F8675">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p>
              </w:tc>
              <w:tc>
                <w:tcPr>
                  <w:tcW w:w="490" w:type="pct"/>
                  <w:vMerge w:val="continue"/>
                  <w:noWrap w:val="0"/>
                  <w:vAlign w:val="center"/>
                </w:tcPr>
                <w:p w14:paraId="40ACC1B2">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21" w:type="pct"/>
                  <w:vMerge w:val="continue"/>
                  <w:noWrap w:val="0"/>
                  <w:vAlign w:val="center"/>
                </w:tcPr>
                <w:p w14:paraId="465D9C8D">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1622D32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60.2</w:t>
                  </w:r>
                </w:p>
              </w:tc>
              <w:tc>
                <w:tcPr>
                  <w:tcW w:w="365" w:type="pct"/>
                  <w:noWrap w:val="0"/>
                  <w:vAlign w:val="center"/>
                </w:tcPr>
                <w:p w14:paraId="6C7A4AD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35.2</w:t>
                  </w:r>
                </w:p>
              </w:tc>
              <w:tc>
                <w:tcPr>
                  <w:tcW w:w="443" w:type="pct"/>
                  <w:noWrap w:val="0"/>
                  <w:vAlign w:val="center"/>
                </w:tcPr>
                <w:p w14:paraId="7AEF4375">
                  <w:pPr>
                    <w:pStyle w:val="85"/>
                    <w:keepNext w:val="0"/>
                    <w:keepLines w:val="0"/>
                    <w:suppressLineNumbers w:val="0"/>
                    <w:spacing w:before="24" w:beforeAutospacing="0" w:after="24"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r>
            <w:tr w14:paraId="06716AB7">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7A197A85">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24C25DF4">
                  <w:pPr>
                    <w:pStyle w:val="85"/>
                    <w:keepNext w:val="0"/>
                    <w:keepLines w:val="0"/>
                    <w:suppressLineNumbers w:val="0"/>
                    <w:spacing w:before="24" w:beforeAutospacing="0" w:after="24" w:afterAutospacing="0"/>
                    <w:ind w:left="0" w:right="0"/>
                    <w:rPr>
                      <w:rFonts w:hint="default" w:ascii="Times New Roman" w:hAnsi="Times New Roman" w:cs="Times New Roman"/>
                      <w:bCs/>
                      <w:color w:val="auto"/>
                      <w:szCs w:val="21"/>
                      <w:highlight w:val="none"/>
                    </w:rPr>
                  </w:pPr>
                </w:p>
              </w:tc>
              <w:tc>
                <w:tcPr>
                  <w:tcW w:w="339" w:type="pct"/>
                  <w:noWrap w:val="0"/>
                  <w:vAlign w:val="center"/>
                </w:tcPr>
                <w:p w14:paraId="26A45DA9">
                  <w:pPr>
                    <w:keepNext w:val="0"/>
                    <w:keepLines w:val="0"/>
                    <w:suppressLineNumbers w:val="0"/>
                    <w:spacing w:before="0" w:beforeAutospacing="0" w:after="0" w:afterAutospacing="0"/>
                    <w:ind w:left="0" w:leftChars="0" w:right="0" w:rightChars="0"/>
                    <w:jc w:val="center"/>
                    <w:rPr>
                      <w:rFonts w:hint="eastAsia" w:ascii="Times New Roman"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开槽机</w:t>
                  </w:r>
                </w:p>
              </w:tc>
              <w:tc>
                <w:tcPr>
                  <w:tcW w:w="281" w:type="pct"/>
                  <w:noWrap w:val="0"/>
                  <w:vAlign w:val="center"/>
                </w:tcPr>
                <w:p w14:paraId="117B4E06">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159" w:type="pct"/>
                  <w:noWrap w:val="0"/>
                  <w:vAlign w:val="center"/>
                </w:tcPr>
                <w:p w14:paraId="3D45FE11">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6CA3059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30</w:t>
                  </w:r>
                </w:p>
              </w:tc>
              <w:tc>
                <w:tcPr>
                  <w:tcW w:w="177" w:type="pct"/>
                  <w:noWrap w:val="0"/>
                  <w:vAlign w:val="center"/>
                </w:tcPr>
                <w:p w14:paraId="7ED9317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20</w:t>
                  </w:r>
                </w:p>
              </w:tc>
              <w:tc>
                <w:tcPr>
                  <w:tcW w:w="219" w:type="pct"/>
                  <w:noWrap w:val="0"/>
                  <w:vAlign w:val="center"/>
                </w:tcPr>
                <w:p w14:paraId="7791724F">
                  <w:pPr>
                    <w:keepNext w:val="0"/>
                    <w:keepLines w:val="0"/>
                    <w:suppressLineNumbers w:val="0"/>
                    <w:spacing w:before="0" w:beforeAutospacing="0" w:after="0" w:afterAutospacing="0"/>
                    <w:ind w:left="0" w:leftChars="0" w:right="0" w:rightChars="0"/>
                    <w:jc w:val="center"/>
                    <w:rPr>
                      <w:rFonts w:hint="eastAsia" w:cs="Times New Roman"/>
                      <w:color w:val="auto"/>
                      <w:highlight w:val="none"/>
                      <w:lang w:val="en-US" w:eastAsia="zh-CN"/>
                    </w:rPr>
                  </w:pPr>
                  <w:r>
                    <w:rPr>
                      <w:rFonts w:hint="eastAsia" w:cs="Times New Roman"/>
                      <w:color w:val="auto"/>
                      <w:highlight w:val="none"/>
                      <w:lang w:val="en-US" w:eastAsia="zh-CN"/>
                    </w:rPr>
                    <w:t>23.5</w:t>
                  </w:r>
                </w:p>
              </w:tc>
              <w:tc>
                <w:tcPr>
                  <w:tcW w:w="312" w:type="pct"/>
                  <w:noWrap w:val="0"/>
                  <w:vAlign w:val="center"/>
                </w:tcPr>
                <w:p w14:paraId="40379F53">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367" w:type="pct"/>
                  <w:noWrap w:val="0"/>
                  <w:vAlign w:val="center"/>
                </w:tcPr>
                <w:p w14:paraId="78FB66E0">
                  <w:pPr>
                    <w:pStyle w:val="85"/>
                    <w:keepNext w:val="0"/>
                    <w:keepLines w:val="0"/>
                    <w:suppressLineNumbers w:val="0"/>
                    <w:spacing w:before="24" w:beforeAutospacing="0" w:after="24" w:afterAutospacing="0"/>
                    <w:ind w:left="0" w:leftChars="0" w:right="0" w:rightChars="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766275A8">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p>
              </w:tc>
              <w:tc>
                <w:tcPr>
                  <w:tcW w:w="490" w:type="pct"/>
                  <w:vMerge w:val="restart"/>
                  <w:noWrap w:val="0"/>
                  <w:vAlign w:val="center"/>
                </w:tcPr>
                <w:p w14:paraId="640C097F">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每天连续工作时间为</w:t>
                  </w:r>
                  <w:r>
                    <w:rPr>
                      <w:rFonts w:hint="eastAsia" w:ascii="Times New Roman" w:cs="Times New Roman"/>
                      <w:color w:val="auto"/>
                      <w:szCs w:val="21"/>
                      <w:highlight w:val="none"/>
                      <w:lang w:val="en-US" w:eastAsia="zh-CN"/>
                    </w:rPr>
                    <w:t>8</w:t>
                  </w:r>
                  <w:r>
                    <w:rPr>
                      <w:rFonts w:hint="default" w:ascii="Times New Roman" w:hAnsi="Times New Roman" w:cs="Times New Roman"/>
                      <w:color w:val="auto"/>
                      <w:szCs w:val="21"/>
                      <w:highlight w:val="none"/>
                    </w:rPr>
                    <w:t>h，每年工作2</w:t>
                  </w:r>
                  <w:r>
                    <w:rPr>
                      <w:rFonts w:hint="eastAsia" w:ascii="Times New Roman" w:cs="Times New Roman"/>
                      <w:color w:val="auto"/>
                      <w:szCs w:val="21"/>
                      <w:highlight w:val="none"/>
                      <w:lang w:val="en-US" w:eastAsia="zh-CN"/>
                    </w:rPr>
                    <w:t>4</w:t>
                  </w:r>
                  <w:r>
                    <w:rPr>
                      <w:rFonts w:hint="default" w:ascii="Times New Roman" w:hAnsi="Times New Roman" w:cs="Times New Roman"/>
                      <w:color w:val="auto"/>
                      <w:szCs w:val="21"/>
                      <w:highlight w:val="none"/>
                    </w:rPr>
                    <w:t>00h</w:t>
                  </w:r>
                </w:p>
              </w:tc>
              <w:tc>
                <w:tcPr>
                  <w:tcW w:w="421" w:type="pct"/>
                  <w:vMerge w:val="continue"/>
                  <w:noWrap w:val="0"/>
                  <w:vAlign w:val="center"/>
                </w:tcPr>
                <w:p w14:paraId="20674EF0">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50F780A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60.2</w:t>
                  </w:r>
                </w:p>
              </w:tc>
              <w:tc>
                <w:tcPr>
                  <w:tcW w:w="365" w:type="pct"/>
                  <w:noWrap w:val="0"/>
                  <w:vAlign w:val="center"/>
                </w:tcPr>
                <w:p w14:paraId="03C17A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35.2</w:t>
                  </w:r>
                </w:p>
              </w:tc>
              <w:tc>
                <w:tcPr>
                  <w:tcW w:w="443" w:type="pct"/>
                  <w:noWrap w:val="0"/>
                  <w:vAlign w:val="center"/>
                </w:tcPr>
                <w:p w14:paraId="557BFCEF">
                  <w:pPr>
                    <w:pStyle w:val="85"/>
                    <w:keepNext w:val="0"/>
                    <w:keepLines w:val="0"/>
                    <w:suppressLineNumbers w:val="0"/>
                    <w:spacing w:before="24" w:beforeAutospacing="0" w:after="24"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r>
            <w:tr w14:paraId="5B271B16">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555F3499">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5DF34F1F">
                  <w:pPr>
                    <w:pStyle w:val="85"/>
                    <w:keepNext w:val="0"/>
                    <w:keepLines w:val="0"/>
                    <w:suppressLineNumbers w:val="0"/>
                    <w:spacing w:before="24" w:beforeAutospacing="0" w:after="24" w:afterAutospacing="0"/>
                    <w:ind w:left="0" w:right="0"/>
                    <w:rPr>
                      <w:rFonts w:hint="default" w:ascii="Times New Roman" w:hAnsi="Times New Roman" w:cs="Times New Roman"/>
                      <w:bCs/>
                      <w:color w:val="auto"/>
                      <w:szCs w:val="21"/>
                      <w:highlight w:val="none"/>
                    </w:rPr>
                  </w:pPr>
                </w:p>
              </w:tc>
              <w:tc>
                <w:tcPr>
                  <w:tcW w:w="339" w:type="pct"/>
                  <w:noWrap w:val="0"/>
                  <w:vAlign w:val="center"/>
                </w:tcPr>
                <w:p w14:paraId="59DE3907">
                  <w:pPr>
                    <w:keepNext w:val="0"/>
                    <w:keepLines w:val="0"/>
                    <w:suppressLineNumbers w:val="0"/>
                    <w:spacing w:before="0" w:beforeAutospacing="0" w:after="0" w:afterAutospacing="0"/>
                    <w:ind w:left="0" w:leftChars="0" w:right="0" w:rightChars="0"/>
                    <w:jc w:val="center"/>
                    <w:rPr>
                      <w:rFonts w:hint="eastAsia" w:ascii="Times New Roman"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打角机</w:t>
                  </w:r>
                </w:p>
              </w:tc>
              <w:tc>
                <w:tcPr>
                  <w:tcW w:w="281" w:type="pct"/>
                  <w:noWrap w:val="0"/>
                  <w:vAlign w:val="center"/>
                </w:tcPr>
                <w:p w14:paraId="10393DF2">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159" w:type="pct"/>
                  <w:noWrap w:val="0"/>
                  <w:vAlign w:val="center"/>
                </w:tcPr>
                <w:p w14:paraId="1CED690B">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6030628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28</w:t>
                  </w:r>
                </w:p>
              </w:tc>
              <w:tc>
                <w:tcPr>
                  <w:tcW w:w="177" w:type="pct"/>
                  <w:noWrap w:val="0"/>
                  <w:vAlign w:val="center"/>
                </w:tcPr>
                <w:p w14:paraId="5300DF9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20</w:t>
                  </w:r>
                </w:p>
              </w:tc>
              <w:tc>
                <w:tcPr>
                  <w:tcW w:w="219" w:type="pct"/>
                  <w:noWrap w:val="0"/>
                  <w:vAlign w:val="center"/>
                </w:tcPr>
                <w:p w14:paraId="461D9DEE">
                  <w:pPr>
                    <w:keepNext w:val="0"/>
                    <w:keepLines w:val="0"/>
                    <w:suppressLineNumbers w:val="0"/>
                    <w:spacing w:before="0" w:beforeAutospacing="0" w:after="0" w:afterAutospacing="0"/>
                    <w:ind w:left="0" w:leftChars="0" w:right="0" w:rightChars="0"/>
                    <w:jc w:val="center"/>
                    <w:rPr>
                      <w:rFonts w:hint="eastAsia" w:cs="Times New Roman"/>
                      <w:color w:val="auto"/>
                      <w:highlight w:val="none"/>
                      <w:lang w:val="en-US" w:eastAsia="zh-CN"/>
                    </w:rPr>
                  </w:pPr>
                  <w:r>
                    <w:rPr>
                      <w:rFonts w:hint="eastAsia" w:cs="Times New Roman"/>
                      <w:color w:val="auto"/>
                      <w:highlight w:val="none"/>
                      <w:lang w:val="en-US" w:eastAsia="zh-CN"/>
                    </w:rPr>
                    <w:t>23.5</w:t>
                  </w:r>
                </w:p>
              </w:tc>
              <w:tc>
                <w:tcPr>
                  <w:tcW w:w="312" w:type="pct"/>
                  <w:noWrap w:val="0"/>
                  <w:vAlign w:val="center"/>
                </w:tcPr>
                <w:p w14:paraId="1AA2572A">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367" w:type="pct"/>
                  <w:noWrap w:val="0"/>
                  <w:vAlign w:val="center"/>
                </w:tcPr>
                <w:p w14:paraId="299BF352">
                  <w:pPr>
                    <w:pStyle w:val="85"/>
                    <w:keepNext w:val="0"/>
                    <w:keepLines w:val="0"/>
                    <w:suppressLineNumbers w:val="0"/>
                    <w:spacing w:before="24" w:beforeAutospacing="0" w:after="24" w:afterAutospacing="0"/>
                    <w:ind w:left="0" w:leftChars="0" w:right="0" w:rightChars="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69761412">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p>
              </w:tc>
              <w:tc>
                <w:tcPr>
                  <w:tcW w:w="490" w:type="pct"/>
                  <w:vMerge w:val="continue"/>
                  <w:noWrap w:val="0"/>
                  <w:vAlign w:val="center"/>
                </w:tcPr>
                <w:p w14:paraId="6DBA52E4">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21" w:type="pct"/>
                  <w:vMerge w:val="continue"/>
                  <w:noWrap w:val="0"/>
                  <w:vAlign w:val="center"/>
                </w:tcPr>
                <w:p w14:paraId="0361D7F9">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6469F4D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60.2</w:t>
                  </w:r>
                </w:p>
              </w:tc>
              <w:tc>
                <w:tcPr>
                  <w:tcW w:w="365" w:type="pct"/>
                  <w:noWrap w:val="0"/>
                  <w:vAlign w:val="center"/>
                </w:tcPr>
                <w:p w14:paraId="4803046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35.2</w:t>
                  </w:r>
                </w:p>
              </w:tc>
              <w:tc>
                <w:tcPr>
                  <w:tcW w:w="443" w:type="pct"/>
                  <w:noWrap w:val="0"/>
                  <w:vAlign w:val="center"/>
                </w:tcPr>
                <w:p w14:paraId="3AB40DE4">
                  <w:pPr>
                    <w:pStyle w:val="85"/>
                    <w:keepNext w:val="0"/>
                    <w:keepLines w:val="0"/>
                    <w:suppressLineNumbers w:val="0"/>
                    <w:spacing w:before="24" w:beforeAutospacing="0" w:after="24"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r>
            <w:tr w14:paraId="5CDD535B">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1153E4F0">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19A11D5C">
                  <w:pPr>
                    <w:pStyle w:val="85"/>
                    <w:keepNext w:val="0"/>
                    <w:keepLines w:val="0"/>
                    <w:suppressLineNumbers w:val="0"/>
                    <w:spacing w:before="24" w:beforeAutospacing="0" w:after="24" w:afterAutospacing="0"/>
                    <w:ind w:left="0" w:right="0"/>
                    <w:rPr>
                      <w:rFonts w:hint="default" w:ascii="Times New Roman" w:hAnsi="Times New Roman" w:cs="Times New Roman"/>
                      <w:bCs/>
                      <w:color w:val="auto"/>
                      <w:szCs w:val="21"/>
                      <w:highlight w:val="none"/>
                    </w:rPr>
                  </w:pPr>
                </w:p>
              </w:tc>
              <w:tc>
                <w:tcPr>
                  <w:tcW w:w="339" w:type="pct"/>
                  <w:noWrap w:val="0"/>
                  <w:vAlign w:val="center"/>
                </w:tcPr>
                <w:p w14:paraId="1297EDE1">
                  <w:pPr>
                    <w:keepNext w:val="0"/>
                    <w:keepLines w:val="0"/>
                    <w:suppressLineNumbers w:val="0"/>
                    <w:spacing w:before="0" w:beforeAutospacing="0" w:after="0" w:afterAutospacing="0"/>
                    <w:ind w:left="0" w:leftChars="0" w:right="0" w:rightChars="0"/>
                    <w:jc w:val="center"/>
                    <w:rPr>
                      <w:rFonts w:hint="eastAsia" w:ascii="Times New Roman" w:cs="Times New Roman"/>
                      <w:color w:val="auto"/>
                      <w:sz w:val="21"/>
                      <w:szCs w:val="21"/>
                      <w:highlight w:val="none"/>
                      <w:lang w:val="en-US" w:eastAsia="zh-CN"/>
                    </w:rPr>
                  </w:pPr>
                  <w:r>
                    <w:rPr>
                      <w:rFonts w:hint="eastAsia"/>
                      <w:color w:val="auto"/>
                      <w:highlight w:val="none"/>
                    </w:rPr>
                    <w:t>打钉机</w:t>
                  </w:r>
                </w:p>
              </w:tc>
              <w:tc>
                <w:tcPr>
                  <w:tcW w:w="281" w:type="pct"/>
                  <w:noWrap w:val="0"/>
                  <w:vAlign w:val="center"/>
                </w:tcPr>
                <w:p w14:paraId="6A0A0FB2">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159" w:type="pct"/>
                  <w:noWrap w:val="0"/>
                  <w:vAlign w:val="center"/>
                </w:tcPr>
                <w:p w14:paraId="6CB5C55E">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63EB3E0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26</w:t>
                  </w:r>
                </w:p>
              </w:tc>
              <w:tc>
                <w:tcPr>
                  <w:tcW w:w="177" w:type="pct"/>
                  <w:noWrap w:val="0"/>
                  <w:vAlign w:val="center"/>
                </w:tcPr>
                <w:p w14:paraId="0D1F87E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22</w:t>
                  </w:r>
                </w:p>
              </w:tc>
              <w:tc>
                <w:tcPr>
                  <w:tcW w:w="219" w:type="pct"/>
                  <w:noWrap w:val="0"/>
                  <w:vAlign w:val="center"/>
                </w:tcPr>
                <w:p w14:paraId="788AA42A">
                  <w:pPr>
                    <w:keepNext w:val="0"/>
                    <w:keepLines w:val="0"/>
                    <w:suppressLineNumbers w:val="0"/>
                    <w:spacing w:before="0" w:beforeAutospacing="0" w:after="0" w:afterAutospacing="0"/>
                    <w:ind w:left="0" w:leftChars="0" w:right="0" w:rightChars="0"/>
                    <w:jc w:val="center"/>
                    <w:rPr>
                      <w:rFonts w:hint="eastAsia" w:cs="Times New Roman"/>
                      <w:color w:val="auto"/>
                      <w:highlight w:val="none"/>
                      <w:lang w:val="en-US" w:eastAsia="zh-CN"/>
                    </w:rPr>
                  </w:pPr>
                  <w:r>
                    <w:rPr>
                      <w:rFonts w:hint="eastAsia" w:cs="Times New Roman"/>
                      <w:color w:val="auto"/>
                      <w:highlight w:val="none"/>
                      <w:lang w:val="en-US" w:eastAsia="zh-CN"/>
                    </w:rPr>
                    <w:t>23.5</w:t>
                  </w:r>
                </w:p>
              </w:tc>
              <w:tc>
                <w:tcPr>
                  <w:tcW w:w="312" w:type="pct"/>
                  <w:noWrap w:val="0"/>
                  <w:vAlign w:val="center"/>
                </w:tcPr>
                <w:p w14:paraId="2AC08DAB">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367" w:type="pct"/>
                  <w:noWrap w:val="0"/>
                  <w:vAlign w:val="center"/>
                </w:tcPr>
                <w:p w14:paraId="5D9F5E91">
                  <w:pPr>
                    <w:pStyle w:val="85"/>
                    <w:keepNext w:val="0"/>
                    <w:keepLines w:val="0"/>
                    <w:suppressLineNumbers w:val="0"/>
                    <w:spacing w:before="24" w:beforeAutospacing="0" w:after="24" w:afterAutospacing="0"/>
                    <w:ind w:left="0" w:leftChars="0" w:right="0" w:rightChars="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195B0F0A">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p>
              </w:tc>
              <w:tc>
                <w:tcPr>
                  <w:tcW w:w="490" w:type="pct"/>
                  <w:vMerge w:val="continue"/>
                  <w:noWrap w:val="0"/>
                  <w:vAlign w:val="center"/>
                </w:tcPr>
                <w:p w14:paraId="2251290F">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21" w:type="pct"/>
                  <w:vMerge w:val="continue"/>
                  <w:noWrap w:val="0"/>
                  <w:vAlign w:val="center"/>
                </w:tcPr>
                <w:p w14:paraId="7BE508EC">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703E615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60.2</w:t>
                  </w:r>
                </w:p>
              </w:tc>
              <w:tc>
                <w:tcPr>
                  <w:tcW w:w="365" w:type="pct"/>
                  <w:noWrap w:val="0"/>
                  <w:vAlign w:val="center"/>
                </w:tcPr>
                <w:p w14:paraId="082D12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35.2</w:t>
                  </w:r>
                </w:p>
              </w:tc>
              <w:tc>
                <w:tcPr>
                  <w:tcW w:w="443" w:type="pct"/>
                  <w:noWrap w:val="0"/>
                  <w:vAlign w:val="center"/>
                </w:tcPr>
                <w:p w14:paraId="4242A2F6">
                  <w:pPr>
                    <w:pStyle w:val="85"/>
                    <w:keepNext w:val="0"/>
                    <w:keepLines w:val="0"/>
                    <w:suppressLineNumbers w:val="0"/>
                    <w:spacing w:before="24" w:beforeAutospacing="0" w:after="24"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r>
            <w:tr w14:paraId="70BD5C4E">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09B8166F">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137333DB">
                  <w:pPr>
                    <w:pStyle w:val="85"/>
                    <w:keepNext w:val="0"/>
                    <w:keepLines w:val="0"/>
                    <w:suppressLineNumbers w:val="0"/>
                    <w:spacing w:before="24" w:beforeAutospacing="0" w:after="24" w:afterAutospacing="0"/>
                    <w:ind w:left="0" w:right="0"/>
                    <w:rPr>
                      <w:rFonts w:hint="default" w:ascii="Times New Roman" w:hAnsi="Times New Roman" w:cs="Times New Roman"/>
                      <w:bCs/>
                      <w:color w:val="auto"/>
                      <w:szCs w:val="21"/>
                      <w:highlight w:val="none"/>
                    </w:rPr>
                  </w:pPr>
                </w:p>
              </w:tc>
              <w:tc>
                <w:tcPr>
                  <w:tcW w:w="339" w:type="pct"/>
                  <w:noWrap w:val="0"/>
                  <w:vAlign w:val="center"/>
                </w:tcPr>
                <w:p w14:paraId="57DE07F5">
                  <w:pPr>
                    <w:keepNext w:val="0"/>
                    <w:keepLines w:val="0"/>
                    <w:suppressLineNumbers w:val="0"/>
                    <w:spacing w:before="0" w:beforeAutospacing="0" w:after="0" w:afterAutospacing="0"/>
                    <w:ind w:left="0" w:leftChars="0" w:right="0" w:rightChars="0"/>
                    <w:jc w:val="center"/>
                    <w:rPr>
                      <w:rFonts w:hint="eastAsia" w:ascii="Times New Roman" w:cs="Times New Roman"/>
                      <w:color w:val="auto"/>
                      <w:sz w:val="21"/>
                      <w:szCs w:val="21"/>
                      <w:highlight w:val="none"/>
                      <w:lang w:val="en-US" w:eastAsia="zh-CN"/>
                    </w:rPr>
                  </w:pPr>
                  <w:r>
                    <w:rPr>
                      <w:rFonts w:hint="eastAsia"/>
                      <w:color w:val="auto"/>
                      <w:highlight w:val="none"/>
                    </w:rPr>
                    <w:t>打钉机</w:t>
                  </w:r>
                </w:p>
              </w:tc>
              <w:tc>
                <w:tcPr>
                  <w:tcW w:w="281" w:type="pct"/>
                  <w:noWrap w:val="0"/>
                  <w:vAlign w:val="center"/>
                </w:tcPr>
                <w:p w14:paraId="195746E5">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159" w:type="pct"/>
                  <w:noWrap w:val="0"/>
                  <w:vAlign w:val="center"/>
                </w:tcPr>
                <w:p w14:paraId="2BF55CA1">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7616EFA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26</w:t>
                  </w:r>
                </w:p>
              </w:tc>
              <w:tc>
                <w:tcPr>
                  <w:tcW w:w="177" w:type="pct"/>
                  <w:noWrap w:val="0"/>
                  <w:vAlign w:val="center"/>
                </w:tcPr>
                <w:p w14:paraId="338E126C">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20</w:t>
                  </w:r>
                </w:p>
              </w:tc>
              <w:tc>
                <w:tcPr>
                  <w:tcW w:w="219" w:type="pct"/>
                  <w:noWrap w:val="0"/>
                  <w:vAlign w:val="center"/>
                </w:tcPr>
                <w:p w14:paraId="24B041FB">
                  <w:pPr>
                    <w:keepNext w:val="0"/>
                    <w:keepLines w:val="0"/>
                    <w:suppressLineNumbers w:val="0"/>
                    <w:spacing w:before="0" w:beforeAutospacing="0" w:after="0" w:afterAutospacing="0"/>
                    <w:ind w:left="0" w:leftChars="0" w:right="0" w:rightChars="0"/>
                    <w:jc w:val="center"/>
                    <w:rPr>
                      <w:rFonts w:hint="eastAsia" w:cs="Times New Roman"/>
                      <w:color w:val="auto"/>
                      <w:highlight w:val="none"/>
                      <w:lang w:val="en-US" w:eastAsia="zh-CN"/>
                    </w:rPr>
                  </w:pPr>
                  <w:r>
                    <w:rPr>
                      <w:rFonts w:hint="eastAsia" w:cs="Times New Roman"/>
                      <w:color w:val="auto"/>
                      <w:highlight w:val="none"/>
                      <w:lang w:val="en-US" w:eastAsia="zh-CN"/>
                    </w:rPr>
                    <w:t>23.5</w:t>
                  </w:r>
                </w:p>
              </w:tc>
              <w:tc>
                <w:tcPr>
                  <w:tcW w:w="312" w:type="pct"/>
                  <w:noWrap w:val="0"/>
                  <w:vAlign w:val="center"/>
                </w:tcPr>
                <w:p w14:paraId="39CE19BE">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75</w:t>
                  </w:r>
                </w:p>
              </w:tc>
              <w:tc>
                <w:tcPr>
                  <w:tcW w:w="367" w:type="pct"/>
                  <w:noWrap w:val="0"/>
                  <w:vAlign w:val="center"/>
                </w:tcPr>
                <w:p w14:paraId="44F1858A">
                  <w:pPr>
                    <w:pStyle w:val="85"/>
                    <w:keepNext w:val="0"/>
                    <w:keepLines w:val="0"/>
                    <w:suppressLineNumbers w:val="0"/>
                    <w:spacing w:before="24" w:beforeAutospacing="0" w:after="24" w:afterAutospacing="0"/>
                    <w:ind w:left="0" w:leftChars="0" w:right="0" w:rightChars="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4CB6E75A">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p>
              </w:tc>
              <w:tc>
                <w:tcPr>
                  <w:tcW w:w="490" w:type="pct"/>
                  <w:vMerge w:val="continue"/>
                  <w:noWrap w:val="0"/>
                  <w:vAlign w:val="center"/>
                </w:tcPr>
                <w:p w14:paraId="52AF8586">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21" w:type="pct"/>
                  <w:vMerge w:val="continue"/>
                  <w:noWrap w:val="0"/>
                  <w:vAlign w:val="center"/>
                </w:tcPr>
                <w:p w14:paraId="0CA80147">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2D64C7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60.2</w:t>
                  </w:r>
                </w:p>
              </w:tc>
              <w:tc>
                <w:tcPr>
                  <w:tcW w:w="365" w:type="pct"/>
                  <w:noWrap w:val="0"/>
                  <w:vAlign w:val="center"/>
                </w:tcPr>
                <w:p w14:paraId="2B62741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35.2</w:t>
                  </w:r>
                </w:p>
              </w:tc>
              <w:tc>
                <w:tcPr>
                  <w:tcW w:w="443" w:type="pct"/>
                  <w:noWrap w:val="0"/>
                  <w:vAlign w:val="center"/>
                </w:tcPr>
                <w:p w14:paraId="1BBC8020">
                  <w:pPr>
                    <w:pStyle w:val="85"/>
                    <w:keepNext w:val="0"/>
                    <w:keepLines w:val="0"/>
                    <w:suppressLineNumbers w:val="0"/>
                    <w:spacing w:before="24" w:beforeAutospacing="0" w:after="24"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r>
            <w:tr w14:paraId="71BC4427">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31485F6B">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69690F5A">
                  <w:pPr>
                    <w:pStyle w:val="85"/>
                    <w:keepNext w:val="0"/>
                    <w:keepLines w:val="0"/>
                    <w:suppressLineNumbers w:val="0"/>
                    <w:spacing w:before="24" w:beforeAutospacing="0" w:after="24" w:afterAutospacing="0"/>
                    <w:ind w:left="0" w:right="0"/>
                    <w:rPr>
                      <w:rFonts w:hint="default" w:ascii="Times New Roman" w:hAnsi="Times New Roman" w:cs="Times New Roman"/>
                      <w:bCs/>
                      <w:color w:val="auto"/>
                      <w:szCs w:val="21"/>
                      <w:highlight w:val="none"/>
                    </w:rPr>
                  </w:pPr>
                </w:p>
              </w:tc>
              <w:tc>
                <w:tcPr>
                  <w:tcW w:w="339" w:type="pct"/>
                  <w:noWrap w:val="0"/>
                  <w:vAlign w:val="center"/>
                </w:tcPr>
                <w:p w14:paraId="782C786E">
                  <w:pPr>
                    <w:keepNext w:val="0"/>
                    <w:keepLines w:val="0"/>
                    <w:suppressLineNumbers w:val="0"/>
                    <w:spacing w:before="0" w:beforeAutospacing="0" w:after="0" w:afterAutospacing="0"/>
                    <w:ind w:left="0" w:leftChars="0" w:right="0" w:rightChars="0"/>
                    <w:jc w:val="center"/>
                    <w:rPr>
                      <w:rFonts w:hint="eastAsia" w:ascii="Times New Roman"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啤机</w:t>
                  </w:r>
                </w:p>
              </w:tc>
              <w:tc>
                <w:tcPr>
                  <w:tcW w:w="281" w:type="pct"/>
                  <w:noWrap w:val="0"/>
                  <w:vAlign w:val="center"/>
                </w:tcPr>
                <w:p w14:paraId="350B9F06">
                  <w:pPr>
                    <w:pStyle w:val="85"/>
                    <w:keepNext w:val="0"/>
                    <w:keepLines w:val="0"/>
                    <w:suppressLineNumbers w:val="0"/>
                    <w:spacing w:before="24" w:beforeAutospacing="0" w:after="24" w:afterAutospacing="0"/>
                    <w:ind w:left="0" w:leftChars="0" w:right="0" w:rightChars="0"/>
                    <w:rPr>
                      <w:rFonts w:hint="default" w:ascii="Times New Roman" w:hAnsi="Times New Roman" w:eastAsia="宋体" w:cs="Times New Roman"/>
                      <w:color w:val="auto"/>
                      <w:szCs w:val="21"/>
                      <w:highlight w:val="none"/>
                      <w:lang w:val="en-US" w:eastAsia="zh-CN"/>
                    </w:rPr>
                  </w:pPr>
                  <w:r>
                    <w:rPr>
                      <w:rFonts w:hint="eastAsia" w:ascii="Times New Roman" w:cs="Times New Roman"/>
                      <w:color w:val="auto"/>
                      <w:szCs w:val="21"/>
                      <w:highlight w:val="none"/>
                      <w:lang w:val="en-US" w:eastAsia="zh-CN"/>
                    </w:rPr>
                    <w:t>80</w:t>
                  </w:r>
                </w:p>
              </w:tc>
              <w:tc>
                <w:tcPr>
                  <w:tcW w:w="159" w:type="pct"/>
                  <w:noWrap w:val="0"/>
                  <w:vAlign w:val="center"/>
                </w:tcPr>
                <w:p w14:paraId="3704DA1D">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3D19823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26</w:t>
                  </w:r>
                </w:p>
              </w:tc>
              <w:tc>
                <w:tcPr>
                  <w:tcW w:w="177" w:type="pct"/>
                  <w:noWrap w:val="0"/>
                  <w:vAlign w:val="center"/>
                </w:tcPr>
                <w:p w14:paraId="056148B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18</w:t>
                  </w:r>
                </w:p>
              </w:tc>
              <w:tc>
                <w:tcPr>
                  <w:tcW w:w="219" w:type="pct"/>
                  <w:noWrap w:val="0"/>
                  <w:vAlign w:val="center"/>
                </w:tcPr>
                <w:p w14:paraId="749E1F68">
                  <w:pPr>
                    <w:keepNext w:val="0"/>
                    <w:keepLines w:val="0"/>
                    <w:suppressLineNumbers w:val="0"/>
                    <w:spacing w:before="0" w:beforeAutospacing="0" w:after="0" w:afterAutospacing="0"/>
                    <w:ind w:left="0" w:leftChars="0" w:right="0" w:rightChars="0"/>
                    <w:jc w:val="center"/>
                    <w:rPr>
                      <w:rFonts w:hint="eastAsia" w:cs="Times New Roman"/>
                      <w:color w:val="auto"/>
                      <w:highlight w:val="none"/>
                      <w:lang w:val="en-US" w:eastAsia="zh-CN"/>
                    </w:rPr>
                  </w:pPr>
                  <w:r>
                    <w:rPr>
                      <w:rFonts w:hint="eastAsia" w:cs="Times New Roman"/>
                      <w:color w:val="auto"/>
                      <w:highlight w:val="none"/>
                      <w:lang w:val="en-US" w:eastAsia="zh-CN"/>
                    </w:rPr>
                    <w:t>23.5</w:t>
                  </w:r>
                </w:p>
              </w:tc>
              <w:tc>
                <w:tcPr>
                  <w:tcW w:w="312" w:type="pct"/>
                  <w:noWrap w:val="0"/>
                  <w:vAlign w:val="center"/>
                </w:tcPr>
                <w:p w14:paraId="742D8D11">
                  <w:pPr>
                    <w:pStyle w:val="85"/>
                    <w:keepNext w:val="0"/>
                    <w:keepLines w:val="0"/>
                    <w:suppressLineNumbers w:val="0"/>
                    <w:spacing w:before="24" w:beforeAutospacing="0" w:after="24" w:afterAutospacing="0"/>
                    <w:ind w:left="0" w:leftChars="0" w:right="0" w:rightChars="0"/>
                    <w:rPr>
                      <w:rFonts w:hint="eastAsia" w:ascii="Times New Roman" w:hAnsi="Times New Roman" w:eastAsia="宋体" w:cs="Times New Roman"/>
                      <w:color w:val="auto"/>
                      <w:szCs w:val="21"/>
                      <w:highlight w:val="none"/>
                      <w:lang w:val="en-US" w:eastAsia="zh-CN"/>
                    </w:rPr>
                  </w:pPr>
                  <w:r>
                    <w:rPr>
                      <w:rFonts w:hint="eastAsia" w:ascii="Times New Roman" w:cs="Times New Roman"/>
                      <w:color w:val="auto"/>
                      <w:szCs w:val="21"/>
                      <w:highlight w:val="none"/>
                      <w:lang w:val="en-US" w:eastAsia="zh-CN"/>
                    </w:rPr>
                    <w:t>80</w:t>
                  </w:r>
                </w:p>
              </w:tc>
              <w:tc>
                <w:tcPr>
                  <w:tcW w:w="367" w:type="pct"/>
                  <w:noWrap w:val="0"/>
                  <w:vAlign w:val="center"/>
                </w:tcPr>
                <w:p w14:paraId="766612EB">
                  <w:pPr>
                    <w:pStyle w:val="85"/>
                    <w:keepNext w:val="0"/>
                    <w:keepLines w:val="0"/>
                    <w:suppressLineNumbers w:val="0"/>
                    <w:spacing w:before="24" w:beforeAutospacing="0" w:after="24" w:afterAutospacing="0"/>
                    <w:ind w:left="0" w:leftChars="0" w:right="0" w:rightChars="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224A49D4">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p>
              </w:tc>
              <w:tc>
                <w:tcPr>
                  <w:tcW w:w="490" w:type="pct"/>
                  <w:vMerge w:val="continue"/>
                  <w:noWrap w:val="0"/>
                  <w:vAlign w:val="center"/>
                </w:tcPr>
                <w:p w14:paraId="525BC1F5">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21" w:type="pct"/>
                  <w:vMerge w:val="continue"/>
                  <w:noWrap w:val="0"/>
                  <w:vAlign w:val="center"/>
                </w:tcPr>
                <w:p w14:paraId="16468731">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57E250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62.5</w:t>
                  </w:r>
                </w:p>
              </w:tc>
              <w:tc>
                <w:tcPr>
                  <w:tcW w:w="365" w:type="pct"/>
                  <w:noWrap w:val="0"/>
                  <w:vAlign w:val="center"/>
                </w:tcPr>
                <w:p w14:paraId="08E06D0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37.5</w:t>
                  </w:r>
                </w:p>
              </w:tc>
              <w:tc>
                <w:tcPr>
                  <w:tcW w:w="443" w:type="pct"/>
                  <w:noWrap w:val="0"/>
                  <w:vAlign w:val="center"/>
                </w:tcPr>
                <w:p w14:paraId="17F202BC">
                  <w:pPr>
                    <w:pStyle w:val="85"/>
                    <w:keepNext w:val="0"/>
                    <w:keepLines w:val="0"/>
                    <w:suppressLineNumbers w:val="0"/>
                    <w:spacing w:before="24" w:beforeAutospacing="0" w:after="24"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r>
            <w:tr w14:paraId="270AB722">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24DACE0A">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1B0364FA">
                  <w:pPr>
                    <w:pStyle w:val="85"/>
                    <w:keepNext w:val="0"/>
                    <w:keepLines w:val="0"/>
                    <w:suppressLineNumbers w:val="0"/>
                    <w:spacing w:before="24" w:beforeAutospacing="0" w:after="24" w:afterAutospacing="0"/>
                    <w:ind w:left="0" w:right="0"/>
                    <w:rPr>
                      <w:rFonts w:hint="default" w:ascii="Times New Roman" w:hAnsi="Times New Roman" w:cs="Times New Roman"/>
                      <w:bCs/>
                      <w:color w:val="auto"/>
                      <w:szCs w:val="21"/>
                      <w:highlight w:val="none"/>
                    </w:rPr>
                  </w:pPr>
                </w:p>
              </w:tc>
              <w:tc>
                <w:tcPr>
                  <w:tcW w:w="339" w:type="pct"/>
                  <w:noWrap w:val="0"/>
                  <w:vAlign w:val="center"/>
                </w:tcPr>
                <w:p w14:paraId="1E924A9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olor w:val="auto"/>
                      <w:highlight w:val="none"/>
                    </w:rPr>
                    <w:t>空压机</w:t>
                  </w:r>
                </w:p>
              </w:tc>
              <w:tc>
                <w:tcPr>
                  <w:tcW w:w="281" w:type="pct"/>
                  <w:noWrap w:val="0"/>
                  <w:vAlign w:val="center"/>
                </w:tcPr>
                <w:p w14:paraId="23378BC7">
                  <w:pPr>
                    <w:pStyle w:val="85"/>
                    <w:keepNext w:val="0"/>
                    <w:keepLines w:val="0"/>
                    <w:suppressLineNumbers w:val="0"/>
                    <w:spacing w:before="24" w:beforeAutospacing="0" w:after="24" w:afterAutospacing="0"/>
                    <w:ind w:left="0" w:leftChars="0" w:right="0" w:rightChars="0"/>
                    <w:rPr>
                      <w:rFonts w:hint="default" w:ascii="Times New Roman" w:hAnsi="Times New Roman" w:cs="Times New Roman"/>
                      <w:color w:val="auto"/>
                      <w:szCs w:val="21"/>
                      <w:highlight w:val="none"/>
                      <w:lang w:val="en-US"/>
                    </w:rPr>
                  </w:pPr>
                  <w:r>
                    <w:rPr>
                      <w:rFonts w:hint="eastAsia" w:ascii="Times New Roman" w:cs="Times New Roman"/>
                      <w:color w:val="auto"/>
                      <w:szCs w:val="21"/>
                      <w:highlight w:val="none"/>
                      <w:lang w:val="en-US" w:eastAsia="zh-CN"/>
                    </w:rPr>
                    <w:t>85</w:t>
                  </w:r>
                </w:p>
              </w:tc>
              <w:tc>
                <w:tcPr>
                  <w:tcW w:w="159" w:type="pct"/>
                  <w:noWrap w:val="0"/>
                  <w:vAlign w:val="center"/>
                </w:tcPr>
                <w:p w14:paraId="038449A6">
                  <w:pPr>
                    <w:pStyle w:val="85"/>
                    <w:keepNext w:val="0"/>
                    <w:keepLines w:val="0"/>
                    <w:suppressLineNumbers w:val="0"/>
                    <w:spacing w:before="24" w:beforeAutospacing="0" w:after="24" w:afterAutospacing="0"/>
                    <w:ind w:left="0" w:leftChars="0" w:right="0" w:rightChars="0"/>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1DC7958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26</w:t>
                  </w:r>
                </w:p>
              </w:tc>
              <w:tc>
                <w:tcPr>
                  <w:tcW w:w="177" w:type="pct"/>
                  <w:noWrap w:val="0"/>
                  <w:vAlign w:val="center"/>
                </w:tcPr>
                <w:p w14:paraId="79133A6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15</w:t>
                  </w:r>
                </w:p>
              </w:tc>
              <w:tc>
                <w:tcPr>
                  <w:tcW w:w="219" w:type="pct"/>
                  <w:noWrap w:val="0"/>
                  <w:vAlign w:val="center"/>
                </w:tcPr>
                <w:p w14:paraId="6663D535">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eastAsia" w:cs="Times New Roman"/>
                      <w:color w:val="auto"/>
                      <w:highlight w:val="none"/>
                      <w:lang w:val="en-US" w:eastAsia="zh-CN"/>
                    </w:rPr>
                    <w:t>23.5</w:t>
                  </w:r>
                </w:p>
              </w:tc>
              <w:tc>
                <w:tcPr>
                  <w:tcW w:w="312" w:type="pct"/>
                  <w:noWrap w:val="0"/>
                  <w:vAlign w:val="center"/>
                </w:tcPr>
                <w:p w14:paraId="351252DC">
                  <w:pPr>
                    <w:pStyle w:val="85"/>
                    <w:keepNext w:val="0"/>
                    <w:keepLines w:val="0"/>
                    <w:suppressLineNumbers w:val="0"/>
                    <w:spacing w:before="24" w:beforeAutospacing="0" w:after="24" w:afterAutospacing="0"/>
                    <w:ind w:left="0" w:leftChars="0" w:right="0" w:rightChars="0"/>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cs="Times New Roman"/>
                      <w:color w:val="auto"/>
                      <w:szCs w:val="21"/>
                      <w:highlight w:val="none"/>
                      <w:lang w:val="en-US" w:eastAsia="zh-CN"/>
                    </w:rPr>
                    <w:t>85</w:t>
                  </w:r>
                </w:p>
              </w:tc>
              <w:tc>
                <w:tcPr>
                  <w:tcW w:w="367" w:type="pct"/>
                  <w:noWrap w:val="0"/>
                  <w:vAlign w:val="center"/>
                </w:tcPr>
                <w:p w14:paraId="4B018273">
                  <w:pPr>
                    <w:pStyle w:val="85"/>
                    <w:keepNext w:val="0"/>
                    <w:keepLines w:val="0"/>
                    <w:suppressLineNumbers w:val="0"/>
                    <w:spacing w:before="24" w:beforeAutospacing="0" w:after="24" w:afterAutospacing="0"/>
                    <w:ind w:left="0" w:leftChars="0" w:right="0" w:rightChars="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06768E72">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p>
              </w:tc>
              <w:tc>
                <w:tcPr>
                  <w:tcW w:w="490" w:type="pct"/>
                  <w:vMerge w:val="continue"/>
                  <w:noWrap w:val="0"/>
                  <w:vAlign w:val="center"/>
                </w:tcPr>
                <w:p w14:paraId="27D612E0">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21" w:type="pct"/>
                  <w:vMerge w:val="continue"/>
                  <w:noWrap w:val="0"/>
                  <w:vAlign w:val="center"/>
                </w:tcPr>
                <w:p w14:paraId="40E48390">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7A85611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64.6</w:t>
                  </w:r>
                </w:p>
              </w:tc>
              <w:tc>
                <w:tcPr>
                  <w:tcW w:w="365" w:type="pct"/>
                  <w:noWrap w:val="0"/>
                  <w:vAlign w:val="center"/>
                </w:tcPr>
                <w:p w14:paraId="2EE96DA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39.6</w:t>
                  </w:r>
                </w:p>
              </w:tc>
              <w:tc>
                <w:tcPr>
                  <w:tcW w:w="443" w:type="pct"/>
                  <w:noWrap w:val="0"/>
                  <w:vAlign w:val="center"/>
                </w:tcPr>
                <w:p w14:paraId="5849A030">
                  <w:pPr>
                    <w:pStyle w:val="85"/>
                    <w:keepNext w:val="0"/>
                    <w:keepLines w:val="0"/>
                    <w:suppressLineNumbers w:val="0"/>
                    <w:spacing w:before="24" w:beforeAutospacing="0" w:after="24"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r>
            <w:tr w14:paraId="6F2D36A4">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0603957F">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7F5B6013">
                  <w:pPr>
                    <w:pStyle w:val="85"/>
                    <w:keepNext w:val="0"/>
                    <w:keepLines w:val="0"/>
                    <w:suppressLineNumbers w:val="0"/>
                    <w:spacing w:before="24" w:beforeAutospacing="0" w:after="24" w:afterAutospacing="0"/>
                    <w:ind w:left="0" w:right="0"/>
                    <w:rPr>
                      <w:rFonts w:hint="default" w:ascii="Times New Roman" w:hAnsi="Times New Roman" w:cs="Times New Roman"/>
                      <w:bCs/>
                      <w:color w:val="auto"/>
                      <w:szCs w:val="21"/>
                      <w:highlight w:val="none"/>
                    </w:rPr>
                  </w:pPr>
                </w:p>
              </w:tc>
              <w:tc>
                <w:tcPr>
                  <w:tcW w:w="339" w:type="pct"/>
                  <w:noWrap w:val="0"/>
                  <w:vAlign w:val="center"/>
                </w:tcPr>
                <w:p w14:paraId="3FFEAA32">
                  <w:pPr>
                    <w:keepNext w:val="0"/>
                    <w:keepLines w:val="0"/>
                    <w:suppressLineNumbers w:val="0"/>
                    <w:spacing w:before="0" w:beforeAutospacing="0" w:after="0" w:afterAutospacing="0"/>
                    <w:ind w:left="0" w:right="0"/>
                    <w:jc w:val="center"/>
                    <w:rPr>
                      <w:rFonts w:hint="default" w:ascii="Times New Roman" w:hAnsi="Times New Roman" w:cs="Times New Roman"/>
                      <w:color w:val="auto"/>
                      <w:kern w:val="0"/>
                      <w:sz w:val="21"/>
                      <w:szCs w:val="21"/>
                      <w:highlight w:val="none"/>
                      <w:lang w:bidi="ar"/>
                    </w:rPr>
                  </w:pPr>
                  <w:r>
                    <w:rPr>
                      <w:rFonts w:hint="eastAsia"/>
                      <w:color w:val="auto"/>
                      <w:highlight w:val="none"/>
                    </w:rPr>
                    <w:t>空压机</w:t>
                  </w:r>
                </w:p>
              </w:tc>
              <w:tc>
                <w:tcPr>
                  <w:tcW w:w="281" w:type="pct"/>
                  <w:noWrap w:val="0"/>
                  <w:vAlign w:val="center"/>
                </w:tcPr>
                <w:p w14:paraId="15DAD56E">
                  <w:pPr>
                    <w:pStyle w:val="85"/>
                    <w:keepNext w:val="0"/>
                    <w:keepLines w:val="0"/>
                    <w:suppressLineNumbers w:val="0"/>
                    <w:spacing w:before="24" w:beforeAutospacing="0" w:after="24" w:afterAutospacing="0"/>
                    <w:ind w:left="0" w:leftChars="0" w:right="0" w:rightChars="0"/>
                    <w:rPr>
                      <w:rFonts w:hint="default" w:ascii="Times New Roman" w:hAnsi="Times New Roman" w:cs="Times New Roman"/>
                      <w:color w:val="auto"/>
                      <w:szCs w:val="21"/>
                      <w:highlight w:val="none"/>
                      <w:lang w:val="en-US"/>
                    </w:rPr>
                  </w:pPr>
                  <w:r>
                    <w:rPr>
                      <w:rFonts w:hint="eastAsia" w:ascii="Times New Roman" w:cs="Times New Roman"/>
                      <w:color w:val="auto"/>
                      <w:szCs w:val="21"/>
                      <w:highlight w:val="none"/>
                      <w:lang w:val="en-US" w:eastAsia="zh-CN"/>
                    </w:rPr>
                    <w:t>85</w:t>
                  </w:r>
                </w:p>
              </w:tc>
              <w:tc>
                <w:tcPr>
                  <w:tcW w:w="159" w:type="pct"/>
                  <w:noWrap w:val="0"/>
                  <w:vAlign w:val="center"/>
                </w:tcPr>
                <w:p w14:paraId="2FA941AD">
                  <w:pPr>
                    <w:pStyle w:val="85"/>
                    <w:keepNext w:val="0"/>
                    <w:keepLines w:val="0"/>
                    <w:suppressLineNumbers w:val="0"/>
                    <w:spacing w:before="24" w:beforeAutospacing="0" w:after="24" w:afterAutospacing="0"/>
                    <w:ind w:left="0" w:leftChars="0" w:right="0" w:rightChars="0"/>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1A714EE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26</w:t>
                  </w:r>
                </w:p>
              </w:tc>
              <w:tc>
                <w:tcPr>
                  <w:tcW w:w="177" w:type="pct"/>
                  <w:noWrap w:val="0"/>
                  <w:vAlign w:val="center"/>
                </w:tcPr>
                <w:p w14:paraId="73DA1AB8">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12</w:t>
                  </w:r>
                </w:p>
              </w:tc>
              <w:tc>
                <w:tcPr>
                  <w:tcW w:w="219" w:type="pct"/>
                  <w:noWrap w:val="0"/>
                  <w:vAlign w:val="center"/>
                </w:tcPr>
                <w:p w14:paraId="37D45562">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eastAsia" w:cs="Times New Roman"/>
                      <w:color w:val="auto"/>
                      <w:highlight w:val="none"/>
                      <w:lang w:val="en-US" w:eastAsia="zh-CN"/>
                    </w:rPr>
                    <w:t>23.5</w:t>
                  </w:r>
                </w:p>
              </w:tc>
              <w:tc>
                <w:tcPr>
                  <w:tcW w:w="312" w:type="pct"/>
                  <w:noWrap w:val="0"/>
                  <w:vAlign w:val="center"/>
                </w:tcPr>
                <w:p w14:paraId="1458070A">
                  <w:pPr>
                    <w:pStyle w:val="85"/>
                    <w:keepNext w:val="0"/>
                    <w:keepLines w:val="0"/>
                    <w:suppressLineNumbers w:val="0"/>
                    <w:spacing w:before="24" w:beforeAutospacing="0" w:after="24" w:afterAutospacing="0"/>
                    <w:ind w:left="0" w:leftChars="0" w:right="0" w:rightChars="0"/>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cs="Times New Roman"/>
                      <w:color w:val="auto"/>
                      <w:szCs w:val="21"/>
                      <w:highlight w:val="none"/>
                      <w:lang w:val="en-US" w:eastAsia="zh-CN"/>
                    </w:rPr>
                    <w:t>85</w:t>
                  </w:r>
                </w:p>
              </w:tc>
              <w:tc>
                <w:tcPr>
                  <w:tcW w:w="367" w:type="pct"/>
                  <w:noWrap w:val="0"/>
                  <w:vAlign w:val="center"/>
                </w:tcPr>
                <w:p w14:paraId="5B53743C">
                  <w:pPr>
                    <w:pStyle w:val="85"/>
                    <w:keepNext w:val="0"/>
                    <w:keepLines w:val="0"/>
                    <w:suppressLineNumbers w:val="0"/>
                    <w:spacing w:before="24" w:beforeAutospacing="0" w:after="24" w:afterAutospacing="0"/>
                    <w:ind w:left="0" w:leftChars="0" w:right="0" w:rightChars="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4EDB2208">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p>
              </w:tc>
              <w:tc>
                <w:tcPr>
                  <w:tcW w:w="490" w:type="pct"/>
                  <w:vMerge w:val="continue"/>
                  <w:noWrap w:val="0"/>
                  <w:vAlign w:val="center"/>
                </w:tcPr>
                <w:p w14:paraId="15061A0B">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21" w:type="pct"/>
                  <w:vMerge w:val="continue"/>
                  <w:noWrap w:val="0"/>
                  <w:vAlign w:val="center"/>
                </w:tcPr>
                <w:p w14:paraId="07508C9E">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52F7EBB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63.4</w:t>
                  </w:r>
                </w:p>
              </w:tc>
              <w:tc>
                <w:tcPr>
                  <w:tcW w:w="365" w:type="pct"/>
                  <w:noWrap w:val="0"/>
                  <w:vAlign w:val="center"/>
                </w:tcPr>
                <w:p w14:paraId="298CADD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38.4</w:t>
                  </w:r>
                </w:p>
              </w:tc>
              <w:tc>
                <w:tcPr>
                  <w:tcW w:w="443" w:type="pct"/>
                  <w:noWrap w:val="0"/>
                  <w:vAlign w:val="center"/>
                </w:tcPr>
                <w:p w14:paraId="1F09B597">
                  <w:pPr>
                    <w:pStyle w:val="85"/>
                    <w:keepNext w:val="0"/>
                    <w:keepLines w:val="0"/>
                    <w:suppressLineNumbers w:val="0"/>
                    <w:spacing w:before="24" w:beforeAutospacing="0" w:after="24"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r>
            <w:tr w14:paraId="254675B6">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9" w:type="pct"/>
                  <w:noWrap w:val="0"/>
                  <w:vAlign w:val="center"/>
                </w:tcPr>
                <w:p w14:paraId="59CF08EE">
                  <w:pPr>
                    <w:pStyle w:val="85"/>
                    <w:keepNext w:val="0"/>
                    <w:keepLines w:val="0"/>
                    <w:numPr>
                      <w:ilvl w:val="0"/>
                      <w:numId w:val="13"/>
                    </w:numPr>
                    <w:suppressLineNumbers w:val="0"/>
                    <w:spacing w:before="0" w:beforeLines="0" w:beforeAutospacing="0" w:after="0" w:afterLines="0" w:afterAutospacing="0" w:line="240" w:lineRule="auto"/>
                    <w:ind w:right="0"/>
                    <w:rPr>
                      <w:rFonts w:hint="default" w:ascii="Times New Roman" w:hAnsi="Times New Roman" w:cs="Times New Roman"/>
                      <w:color w:val="auto"/>
                      <w:szCs w:val="21"/>
                      <w:highlight w:val="none"/>
                    </w:rPr>
                  </w:pPr>
                </w:p>
              </w:tc>
              <w:tc>
                <w:tcPr>
                  <w:tcW w:w="202" w:type="pct"/>
                  <w:vMerge w:val="continue"/>
                  <w:noWrap w:val="0"/>
                  <w:vAlign w:val="center"/>
                </w:tcPr>
                <w:p w14:paraId="5CD5B361">
                  <w:pPr>
                    <w:pStyle w:val="85"/>
                    <w:keepNext w:val="0"/>
                    <w:keepLines w:val="0"/>
                    <w:suppressLineNumbers w:val="0"/>
                    <w:spacing w:before="24" w:beforeAutospacing="0" w:after="24" w:afterAutospacing="0"/>
                    <w:ind w:left="0" w:right="0"/>
                    <w:rPr>
                      <w:rFonts w:hint="default" w:ascii="Times New Roman" w:hAnsi="Times New Roman" w:cs="Times New Roman"/>
                      <w:bCs/>
                      <w:color w:val="auto"/>
                      <w:szCs w:val="21"/>
                      <w:highlight w:val="none"/>
                    </w:rPr>
                  </w:pPr>
                </w:p>
              </w:tc>
              <w:tc>
                <w:tcPr>
                  <w:tcW w:w="339" w:type="pct"/>
                  <w:noWrap w:val="0"/>
                  <w:vAlign w:val="center"/>
                </w:tcPr>
                <w:p w14:paraId="60DA1F8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模温机</w:t>
                  </w:r>
                </w:p>
              </w:tc>
              <w:tc>
                <w:tcPr>
                  <w:tcW w:w="281" w:type="pct"/>
                  <w:noWrap w:val="0"/>
                  <w:vAlign w:val="center"/>
                </w:tcPr>
                <w:p w14:paraId="4D1286F1">
                  <w:pPr>
                    <w:pStyle w:val="85"/>
                    <w:keepNext w:val="0"/>
                    <w:keepLines w:val="0"/>
                    <w:suppressLineNumbers w:val="0"/>
                    <w:spacing w:before="24" w:beforeAutospacing="0" w:after="24" w:afterAutospacing="0"/>
                    <w:ind w:left="0" w:leftChars="0" w:right="0" w:rightChars="0"/>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w:t>
                  </w:r>
                  <w:r>
                    <w:rPr>
                      <w:rFonts w:hint="eastAsia" w:ascii="Times New Roman" w:cs="Times New Roman"/>
                      <w:color w:val="auto"/>
                      <w:szCs w:val="21"/>
                      <w:highlight w:val="none"/>
                      <w:lang w:val="en-US" w:eastAsia="zh-CN"/>
                    </w:rPr>
                    <w:t>0</w:t>
                  </w:r>
                </w:p>
              </w:tc>
              <w:tc>
                <w:tcPr>
                  <w:tcW w:w="159" w:type="pct"/>
                  <w:noWrap w:val="0"/>
                  <w:vAlign w:val="center"/>
                </w:tcPr>
                <w:p w14:paraId="662B2E3E">
                  <w:pPr>
                    <w:pStyle w:val="85"/>
                    <w:keepNext w:val="0"/>
                    <w:keepLines w:val="0"/>
                    <w:suppressLineNumbers w:val="0"/>
                    <w:spacing w:before="24" w:beforeAutospacing="0" w:after="24" w:afterAutospacing="0"/>
                    <w:ind w:left="0" w:leftChars="0" w:right="0" w:rightChars="0"/>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w:t>
                  </w:r>
                </w:p>
              </w:tc>
              <w:tc>
                <w:tcPr>
                  <w:tcW w:w="218" w:type="pct"/>
                  <w:noWrap w:val="0"/>
                  <w:vAlign w:val="center"/>
                </w:tcPr>
                <w:p w14:paraId="4FDAAA4B">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6</w:t>
                  </w:r>
                </w:p>
              </w:tc>
              <w:tc>
                <w:tcPr>
                  <w:tcW w:w="177" w:type="pct"/>
                  <w:noWrap w:val="0"/>
                  <w:vAlign w:val="center"/>
                </w:tcPr>
                <w:p w14:paraId="32CEF54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25</w:t>
                  </w:r>
                </w:p>
              </w:tc>
              <w:tc>
                <w:tcPr>
                  <w:tcW w:w="219" w:type="pct"/>
                  <w:noWrap w:val="0"/>
                  <w:vAlign w:val="center"/>
                </w:tcPr>
                <w:p w14:paraId="38239379">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eastAsia" w:cs="Times New Roman"/>
                      <w:color w:val="auto"/>
                      <w:highlight w:val="none"/>
                      <w:lang w:val="en-US" w:eastAsia="zh-CN"/>
                    </w:rPr>
                    <w:t>23.5</w:t>
                  </w:r>
                </w:p>
              </w:tc>
              <w:tc>
                <w:tcPr>
                  <w:tcW w:w="312" w:type="pct"/>
                  <w:noWrap w:val="0"/>
                  <w:vAlign w:val="center"/>
                </w:tcPr>
                <w:p w14:paraId="6FF8C57F">
                  <w:pPr>
                    <w:pStyle w:val="85"/>
                    <w:keepNext w:val="0"/>
                    <w:keepLines w:val="0"/>
                    <w:suppressLineNumbers w:val="0"/>
                    <w:spacing w:before="24" w:beforeAutospacing="0" w:after="24" w:afterAutospacing="0"/>
                    <w:ind w:left="0" w:leftChars="0" w:right="0" w:rightChars="0"/>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Cs w:val="21"/>
                      <w:highlight w:val="none"/>
                      <w:lang w:val="en-US" w:eastAsia="zh-CN"/>
                    </w:rPr>
                    <w:t>7</w:t>
                  </w:r>
                  <w:r>
                    <w:rPr>
                      <w:rFonts w:hint="eastAsia" w:ascii="Times New Roman" w:cs="Times New Roman"/>
                      <w:color w:val="auto"/>
                      <w:szCs w:val="21"/>
                      <w:highlight w:val="none"/>
                      <w:lang w:val="en-US" w:eastAsia="zh-CN"/>
                    </w:rPr>
                    <w:t>0</w:t>
                  </w:r>
                </w:p>
              </w:tc>
              <w:tc>
                <w:tcPr>
                  <w:tcW w:w="367" w:type="pct"/>
                  <w:noWrap w:val="0"/>
                  <w:vAlign w:val="center"/>
                </w:tcPr>
                <w:p w14:paraId="468F32B6">
                  <w:pPr>
                    <w:pStyle w:val="85"/>
                    <w:keepNext w:val="0"/>
                    <w:keepLines w:val="0"/>
                    <w:suppressLineNumbers w:val="0"/>
                    <w:spacing w:before="24" w:beforeAutospacing="0" w:after="24" w:afterAutospacing="0"/>
                    <w:ind w:left="0" w:leftChars="0" w:right="0" w:rightChars="0"/>
                    <w:rPr>
                      <w:rFonts w:hint="default" w:ascii="Times New Roman" w:hAnsi="Times New Roman" w:cs="Times New Roman"/>
                      <w:color w:val="auto"/>
                      <w:kern w:val="28"/>
                      <w:szCs w:val="21"/>
                      <w:highlight w:val="none"/>
                    </w:rPr>
                  </w:pPr>
                  <w:r>
                    <w:rPr>
                      <w:rFonts w:hint="default" w:ascii="Times New Roman" w:hAnsi="Times New Roman" w:cs="Times New Roman"/>
                      <w:color w:val="auto"/>
                      <w:kern w:val="28"/>
                      <w:szCs w:val="21"/>
                      <w:highlight w:val="none"/>
                    </w:rPr>
                    <w:t>1</w:t>
                  </w:r>
                </w:p>
              </w:tc>
              <w:tc>
                <w:tcPr>
                  <w:tcW w:w="430" w:type="pct"/>
                  <w:vMerge w:val="continue"/>
                  <w:noWrap w:val="0"/>
                  <w:vAlign w:val="center"/>
                </w:tcPr>
                <w:p w14:paraId="5ED8BE11">
                  <w:pPr>
                    <w:pStyle w:val="85"/>
                    <w:keepNext w:val="0"/>
                    <w:keepLines w:val="0"/>
                    <w:suppressLineNumbers w:val="0"/>
                    <w:spacing w:before="24" w:beforeAutospacing="0" w:after="24" w:afterAutospacing="0"/>
                    <w:ind w:left="0" w:right="0"/>
                    <w:rPr>
                      <w:rFonts w:hint="default" w:ascii="Times New Roman" w:hAnsi="Times New Roman" w:cs="Times New Roman"/>
                      <w:color w:val="auto"/>
                      <w:kern w:val="28"/>
                      <w:szCs w:val="21"/>
                      <w:highlight w:val="none"/>
                    </w:rPr>
                  </w:pPr>
                </w:p>
              </w:tc>
              <w:tc>
                <w:tcPr>
                  <w:tcW w:w="490" w:type="pct"/>
                  <w:vMerge w:val="continue"/>
                  <w:noWrap w:val="0"/>
                  <w:vAlign w:val="center"/>
                </w:tcPr>
                <w:p w14:paraId="2B3635A2">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21" w:type="pct"/>
                  <w:vMerge w:val="continue"/>
                  <w:noWrap w:val="0"/>
                  <w:vAlign w:val="center"/>
                </w:tcPr>
                <w:p w14:paraId="4AD55F7A">
                  <w:pPr>
                    <w:pStyle w:val="85"/>
                    <w:keepNext w:val="0"/>
                    <w:keepLines w:val="0"/>
                    <w:suppressLineNumbers w:val="0"/>
                    <w:spacing w:before="24" w:beforeAutospacing="0" w:after="24" w:afterAutospacing="0"/>
                    <w:ind w:left="0" w:right="0"/>
                    <w:rPr>
                      <w:rFonts w:hint="default" w:ascii="Times New Roman" w:hAnsi="Times New Roman" w:cs="Times New Roman"/>
                      <w:color w:val="auto"/>
                      <w:szCs w:val="21"/>
                      <w:highlight w:val="none"/>
                    </w:rPr>
                  </w:pPr>
                </w:p>
              </w:tc>
              <w:tc>
                <w:tcPr>
                  <w:tcW w:w="409" w:type="pct"/>
                  <w:noWrap w:val="0"/>
                  <w:vAlign w:val="center"/>
                </w:tcPr>
                <w:p w14:paraId="79FA11E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54.4</w:t>
                  </w:r>
                </w:p>
              </w:tc>
              <w:tc>
                <w:tcPr>
                  <w:tcW w:w="365" w:type="pct"/>
                  <w:noWrap w:val="0"/>
                  <w:vAlign w:val="center"/>
                </w:tcPr>
                <w:p w14:paraId="76A32CA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29.4</w:t>
                  </w:r>
                </w:p>
              </w:tc>
              <w:tc>
                <w:tcPr>
                  <w:tcW w:w="443" w:type="pct"/>
                  <w:noWrap w:val="0"/>
                  <w:vAlign w:val="center"/>
                </w:tcPr>
                <w:p w14:paraId="6374F167">
                  <w:pPr>
                    <w:pStyle w:val="85"/>
                    <w:keepNext w:val="0"/>
                    <w:keepLines w:val="0"/>
                    <w:suppressLineNumbers w:val="0"/>
                    <w:spacing w:before="24" w:beforeAutospacing="0" w:after="24"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r>
            <w:tr w14:paraId="62EC27F7">
              <w:tblPrEx>
                <w:tblBorders>
                  <w:top w:val="single" w:color="auto" w:sz="12" w:space="0"/>
                  <w:left w:val="single" w:color="auto" w:sz="6" w:space="0"/>
                  <w:bottom w:val="single" w:color="auto" w:sz="12"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16"/>
                  <w:noWrap w:val="0"/>
                  <w:vAlign w:val="center"/>
                </w:tcPr>
                <w:p w14:paraId="075B8631">
                  <w:pPr>
                    <w:pStyle w:val="85"/>
                    <w:keepNext w:val="0"/>
                    <w:keepLines w:val="0"/>
                    <w:suppressLineNumbers w:val="0"/>
                    <w:spacing w:before="24" w:beforeAutospacing="0" w:after="24" w:afterAutospacing="0"/>
                    <w:ind w:left="0" w:right="0"/>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备注：1、根据《环境影响评价技术导则声环境》（HJ2.4-2021）附录B，房间常数R＝S</w:t>
                  </w:r>
                  <w:r>
                    <w:rPr>
                      <w:rFonts w:hint="default" w:ascii="Times New Roman" w:hAnsi="Times New Roman" w:cs="Times New Roman"/>
                      <w:i/>
                      <w:iCs/>
                      <w:color w:val="auto"/>
                      <w:szCs w:val="21"/>
                      <w:highlight w:val="none"/>
                    </w:rPr>
                    <w:t>α</w:t>
                  </w:r>
                  <w:r>
                    <w:rPr>
                      <w:rFonts w:hint="default" w:ascii="Times New Roman" w:hAnsi="Times New Roman" w:cs="Times New Roman"/>
                      <w:color w:val="auto"/>
                      <w:szCs w:val="21"/>
                      <w:highlight w:val="none"/>
                    </w:rPr>
                    <w:t>/（1－</w:t>
                  </w:r>
                  <w:r>
                    <w:rPr>
                      <w:rFonts w:hint="default" w:ascii="Times New Roman" w:hAnsi="Times New Roman" w:cs="Times New Roman"/>
                      <w:i/>
                      <w:iCs/>
                      <w:color w:val="auto"/>
                      <w:szCs w:val="21"/>
                      <w:highlight w:val="none"/>
                    </w:rPr>
                    <w:t>α</w:t>
                  </w:r>
                  <w:r>
                    <w:rPr>
                      <w:rFonts w:hint="default" w:ascii="Times New Roman" w:hAnsi="Times New Roman" w:cs="Times New Roman"/>
                      <w:color w:val="auto"/>
                      <w:szCs w:val="21"/>
                      <w:highlight w:val="none"/>
                    </w:rPr>
                    <w:t>）；</w:t>
                  </w:r>
                  <w:r>
                    <w:rPr>
                      <w:rFonts w:hint="default" w:ascii="Times New Roman" w:hAnsi="Times New Roman" w:cs="Times New Roman"/>
                      <w:i/>
                      <w:iCs/>
                      <w:color w:val="auto"/>
                      <w:szCs w:val="21"/>
                      <w:highlight w:val="none"/>
                    </w:rPr>
                    <w:t>S</w:t>
                  </w:r>
                  <w:r>
                    <w:rPr>
                      <w:rFonts w:hint="default" w:ascii="Times New Roman" w:hAnsi="Times New Roman" w:cs="Times New Roman"/>
                      <w:color w:val="auto"/>
                      <w:szCs w:val="21"/>
                      <w:highlight w:val="none"/>
                    </w:rPr>
                    <w:t>为房间内表面面积，m</w:t>
                  </w:r>
                  <w:r>
                    <w:rPr>
                      <w:rFonts w:hint="default" w:ascii="Times New Roman" w:hAnsi="Times New Roman" w:cs="Times New Roman"/>
                      <w:color w:val="auto"/>
                      <w:szCs w:val="21"/>
                      <w:highlight w:val="none"/>
                      <w:vertAlign w:val="superscript"/>
                    </w:rPr>
                    <w:t>2</w:t>
                  </w:r>
                  <w:r>
                    <w:rPr>
                      <w:rFonts w:hint="default" w:ascii="Times New Roman" w:hAnsi="Times New Roman" w:cs="Times New Roman"/>
                      <w:color w:val="auto"/>
                      <w:szCs w:val="21"/>
                      <w:highlight w:val="none"/>
                    </w:rPr>
                    <w:t>；</w:t>
                  </w:r>
                  <w:r>
                    <w:rPr>
                      <w:rFonts w:hint="default" w:ascii="Times New Roman" w:hAnsi="Times New Roman" w:cs="Times New Roman"/>
                      <w:i/>
                      <w:iCs/>
                      <w:color w:val="auto"/>
                      <w:szCs w:val="21"/>
                      <w:highlight w:val="none"/>
                    </w:rPr>
                    <w:t>α</w:t>
                  </w:r>
                  <w:r>
                    <w:rPr>
                      <w:rFonts w:hint="default" w:ascii="Times New Roman" w:hAnsi="Times New Roman" w:cs="Times New Roman"/>
                      <w:color w:val="auto"/>
                      <w:szCs w:val="21"/>
                      <w:highlight w:val="none"/>
                    </w:rPr>
                    <w:t>为平均吸声系数（本项目取0.1）；经计算得项目R</w:t>
                  </w:r>
                  <w:r>
                    <w:rPr>
                      <w:rFonts w:hint="eastAsia" w:ascii="Times New Roman" w:cs="Times New Roman"/>
                      <w:color w:val="auto"/>
                      <w:szCs w:val="21"/>
                      <w:highlight w:val="none"/>
                      <w:lang w:val="en-US" w:eastAsia="zh-CN"/>
                    </w:rPr>
                    <w:t>=692.28</w:t>
                  </w:r>
                  <w:r>
                    <w:rPr>
                      <w:rFonts w:hint="default" w:ascii="Times New Roman" w:hAnsi="Times New Roman" w:cs="Times New Roman"/>
                      <w:color w:val="auto"/>
                      <w:szCs w:val="21"/>
                      <w:highlight w:val="none"/>
                    </w:rPr>
                    <w:t>；</w:t>
                  </w:r>
                </w:p>
                <w:p w14:paraId="2F1E4D5C">
                  <w:pPr>
                    <w:pStyle w:val="85"/>
                    <w:keepNext w:val="0"/>
                    <w:keepLines w:val="0"/>
                    <w:suppressLineNumbers w:val="0"/>
                    <w:spacing w:before="24" w:beforeAutospacing="0" w:after="24" w:afterAutospacing="0"/>
                    <w:ind w:left="0" w:right="0"/>
                    <w:jc w:val="lef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2、空间相对位置的Z代表设备相对厂房的离地高度；</w:t>
                  </w:r>
                </w:p>
                <w:p w14:paraId="5CC47C33">
                  <w:pPr>
                    <w:pStyle w:val="85"/>
                    <w:keepNext w:val="0"/>
                    <w:keepLines w:val="0"/>
                    <w:suppressLineNumbers w:val="0"/>
                    <w:spacing w:before="24" w:beforeAutospacing="0" w:after="24" w:afterAutospacing="0"/>
                    <w:ind w:left="0" w:right="0"/>
                    <w:jc w:val="left"/>
                    <w:rPr>
                      <w:rFonts w:hint="eastAsia" w:ascii="Times New Roman" w:hAnsi="Times New Roman" w:eastAsia="宋体" w:cs="Times New Roman"/>
                      <w:color w:val="auto"/>
                      <w:kern w:val="28"/>
                      <w:szCs w:val="21"/>
                      <w:highlight w:val="none"/>
                      <w:lang w:val="en-US" w:eastAsia="zh-CN"/>
                    </w:rPr>
                  </w:pPr>
                  <w:r>
                    <w:rPr>
                      <w:rFonts w:hint="default" w:ascii="Times New Roman" w:hAnsi="Times New Roman" w:cs="Times New Roman"/>
                      <w:color w:val="auto"/>
                      <w:szCs w:val="21"/>
                      <w:highlight w:val="none"/>
                    </w:rPr>
                    <w:t>3、根据刘惠玲主编的《环境噪声控制》（2002年10月第1版），采用隔声间（室）技术措施，降噪效果可达20~40dB（A）；减振处理，降噪效果可达5~25dB（A）。本项目通过减振、墙体隔音的方式，噪声效果降低25dB（A）</w:t>
                  </w:r>
                  <w:r>
                    <w:rPr>
                      <w:rFonts w:hint="eastAsia" w:ascii="Times New Roman" w:cs="Times New Roman"/>
                      <w:color w:val="auto"/>
                      <w:szCs w:val="21"/>
                      <w:highlight w:val="none"/>
                      <w:lang w:eastAsia="zh-CN"/>
                    </w:rPr>
                    <w:t>。</w:t>
                  </w:r>
                </w:p>
              </w:tc>
            </w:tr>
          </w:tbl>
          <w:p w14:paraId="3A20DCAC">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157" w:afterLines="50" w:afterAutospacing="0"/>
              <w:ind w:right="0"/>
              <w:jc w:val="center"/>
              <w:textAlignment w:val="auto"/>
              <w:rPr>
                <w:rFonts w:hint="default" w:ascii="Times New Roman" w:hAnsi="Times New Roman" w:eastAsia="宋体" w:cs="Times New Roman"/>
                <w:b/>
                <w:bCs/>
                <w:color w:val="auto"/>
                <w:szCs w:val="21"/>
                <w:highlight w:val="none"/>
                <w:lang w:val="en-US" w:eastAsia="zh-CN"/>
              </w:rPr>
            </w:pPr>
            <w:r>
              <w:rPr>
                <w:rFonts w:hint="eastAsia" w:ascii="Times New Roman" w:hAnsi="Times New Roman" w:eastAsia="宋体" w:cs="Times New Roman"/>
                <w:b/>
                <w:bCs/>
                <w:color w:val="auto"/>
                <w:szCs w:val="21"/>
                <w:highlight w:val="none"/>
                <w:lang w:val="en-US" w:eastAsia="zh-CN"/>
              </w:rPr>
              <w:t xml:space="preserve"> </w:t>
            </w:r>
            <w:r>
              <w:rPr>
                <w:rFonts w:hint="default" w:ascii="Times New Roman" w:hAnsi="Times New Roman" w:eastAsia="宋体" w:cs="Times New Roman"/>
                <w:b/>
                <w:bCs/>
                <w:color w:val="auto"/>
                <w:szCs w:val="21"/>
                <w:highlight w:val="none"/>
                <w:lang w:val="en-US" w:eastAsia="zh-CN"/>
              </w:rPr>
              <w:t>项目主要设备噪声源情况-室外</w:t>
            </w:r>
          </w:p>
          <w:tbl>
            <w:tblPr>
              <w:tblStyle w:val="41"/>
              <w:tblW w:w="4998" w:type="pct"/>
              <w:tblInd w:w="0" w:type="dxa"/>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48"/>
              <w:gridCol w:w="1080"/>
              <w:gridCol w:w="649"/>
              <w:gridCol w:w="587"/>
              <w:gridCol w:w="587"/>
              <w:gridCol w:w="584"/>
              <w:gridCol w:w="1413"/>
              <w:gridCol w:w="1905"/>
              <w:gridCol w:w="2790"/>
              <w:gridCol w:w="3166"/>
            </w:tblGrid>
            <w:tr w14:paraId="1A7E6433">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242" w:type="pct"/>
                  <w:vMerge w:val="restart"/>
                  <w:tcBorders>
                    <w:tl2br w:val="nil"/>
                    <w:tr2bl w:val="nil"/>
                  </w:tcBorders>
                  <w:noWrap/>
                  <w:vAlign w:val="center"/>
                </w:tcPr>
                <w:p w14:paraId="29321DBF">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序号</w:t>
                  </w:r>
                </w:p>
              </w:tc>
              <w:tc>
                <w:tcPr>
                  <w:tcW w:w="403" w:type="pct"/>
                  <w:vMerge w:val="restart"/>
                  <w:tcBorders>
                    <w:tl2br w:val="nil"/>
                    <w:tr2bl w:val="nil"/>
                  </w:tcBorders>
                  <w:noWrap/>
                  <w:vAlign w:val="center"/>
                </w:tcPr>
                <w:p w14:paraId="1810988F">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声源名称</w:t>
                  </w:r>
                </w:p>
              </w:tc>
              <w:tc>
                <w:tcPr>
                  <w:tcW w:w="242" w:type="pct"/>
                  <w:vMerge w:val="restart"/>
                  <w:tcBorders>
                    <w:tl2br w:val="nil"/>
                    <w:tr2bl w:val="nil"/>
                  </w:tcBorders>
                  <w:noWrap/>
                  <w:vAlign w:val="center"/>
                </w:tcPr>
                <w:p w14:paraId="42FE11BF">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型号</w:t>
                  </w:r>
                </w:p>
              </w:tc>
              <w:tc>
                <w:tcPr>
                  <w:tcW w:w="652" w:type="pct"/>
                  <w:gridSpan w:val="3"/>
                  <w:tcBorders>
                    <w:tl2br w:val="nil"/>
                    <w:tr2bl w:val="nil"/>
                  </w:tcBorders>
                  <w:noWrap/>
                  <w:vAlign w:val="center"/>
                </w:tcPr>
                <w:p w14:paraId="705FFBC0">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空间相对位置/m</w:t>
                  </w:r>
                </w:p>
              </w:tc>
              <w:tc>
                <w:tcPr>
                  <w:tcW w:w="1237" w:type="pct"/>
                  <w:gridSpan w:val="2"/>
                  <w:tcBorders>
                    <w:tl2br w:val="nil"/>
                    <w:tr2bl w:val="nil"/>
                  </w:tcBorders>
                  <w:noWrap/>
                  <w:vAlign w:val="center"/>
                </w:tcPr>
                <w:p w14:paraId="2E870E44">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声源源强</w:t>
                  </w:r>
                </w:p>
              </w:tc>
              <w:tc>
                <w:tcPr>
                  <w:tcW w:w="1040" w:type="pct"/>
                  <w:vMerge w:val="restart"/>
                  <w:tcBorders>
                    <w:tl2br w:val="nil"/>
                    <w:tr2bl w:val="nil"/>
                  </w:tcBorders>
                  <w:noWrap/>
                  <w:vAlign w:val="center"/>
                </w:tcPr>
                <w:p w14:paraId="6D71834C">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声源控制措施</w:t>
                  </w:r>
                </w:p>
              </w:tc>
              <w:tc>
                <w:tcPr>
                  <w:tcW w:w="1180" w:type="pct"/>
                  <w:vMerge w:val="restart"/>
                  <w:tcBorders>
                    <w:tl2br w:val="nil"/>
                    <w:tr2bl w:val="nil"/>
                  </w:tcBorders>
                  <w:noWrap/>
                  <w:vAlign w:val="center"/>
                </w:tcPr>
                <w:p w14:paraId="52DC68DD">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运行时段</w:t>
                  </w:r>
                </w:p>
              </w:tc>
            </w:tr>
            <w:tr w14:paraId="67681E50">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242" w:type="pct"/>
                  <w:vMerge w:val="continue"/>
                  <w:tcBorders>
                    <w:tl2br w:val="nil"/>
                    <w:tr2bl w:val="nil"/>
                  </w:tcBorders>
                  <w:noWrap w:val="0"/>
                  <w:vAlign w:val="center"/>
                </w:tcPr>
                <w:p w14:paraId="486F1897">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highlight w:val="none"/>
                    </w:rPr>
                  </w:pPr>
                </w:p>
              </w:tc>
              <w:tc>
                <w:tcPr>
                  <w:tcW w:w="403" w:type="pct"/>
                  <w:vMerge w:val="continue"/>
                  <w:tcBorders>
                    <w:tl2br w:val="nil"/>
                    <w:tr2bl w:val="nil"/>
                  </w:tcBorders>
                  <w:noWrap w:val="0"/>
                  <w:vAlign w:val="center"/>
                </w:tcPr>
                <w:p w14:paraId="38625FA3">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highlight w:val="none"/>
                    </w:rPr>
                  </w:pPr>
                </w:p>
              </w:tc>
              <w:tc>
                <w:tcPr>
                  <w:tcW w:w="242" w:type="pct"/>
                  <w:vMerge w:val="continue"/>
                  <w:tcBorders>
                    <w:tl2br w:val="nil"/>
                    <w:tr2bl w:val="nil"/>
                  </w:tcBorders>
                  <w:noWrap w:val="0"/>
                  <w:vAlign w:val="center"/>
                </w:tcPr>
                <w:p w14:paraId="7BA40B0E">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highlight w:val="none"/>
                    </w:rPr>
                  </w:pPr>
                </w:p>
              </w:tc>
              <w:tc>
                <w:tcPr>
                  <w:tcW w:w="219" w:type="pct"/>
                  <w:tcBorders>
                    <w:tl2br w:val="nil"/>
                    <w:tr2bl w:val="nil"/>
                  </w:tcBorders>
                  <w:noWrap/>
                  <w:vAlign w:val="center"/>
                </w:tcPr>
                <w:p w14:paraId="4F5DD6B0">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X</w:t>
                  </w:r>
                </w:p>
              </w:tc>
              <w:tc>
                <w:tcPr>
                  <w:tcW w:w="219" w:type="pct"/>
                  <w:tcBorders>
                    <w:tl2br w:val="nil"/>
                    <w:tr2bl w:val="nil"/>
                  </w:tcBorders>
                  <w:noWrap/>
                  <w:vAlign w:val="center"/>
                </w:tcPr>
                <w:p w14:paraId="2E5AC2AE">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Y</w:t>
                  </w:r>
                </w:p>
              </w:tc>
              <w:tc>
                <w:tcPr>
                  <w:tcW w:w="214" w:type="pct"/>
                  <w:tcBorders>
                    <w:tl2br w:val="nil"/>
                    <w:tr2bl w:val="nil"/>
                  </w:tcBorders>
                  <w:noWrap/>
                  <w:vAlign w:val="center"/>
                </w:tcPr>
                <w:p w14:paraId="0C4B46CA">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Z</w:t>
                  </w:r>
                </w:p>
              </w:tc>
              <w:tc>
                <w:tcPr>
                  <w:tcW w:w="527" w:type="pct"/>
                  <w:tcBorders>
                    <w:tl2br w:val="nil"/>
                    <w:tr2bl w:val="nil"/>
                  </w:tcBorders>
                  <w:noWrap/>
                  <w:vAlign w:val="center"/>
                </w:tcPr>
                <w:p w14:paraId="1754F75E">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b/>
                      <w:color w:val="auto"/>
                      <w:kern w:val="28"/>
                      <w:highlight w:val="none"/>
                    </w:rPr>
                    <w:t>声压级(dB）</w:t>
                  </w:r>
                </w:p>
              </w:tc>
              <w:tc>
                <w:tcPr>
                  <w:tcW w:w="710" w:type="pct"/>
                  <w:tcBorders>
                    <w:tl2br w:val="nil"/>
                    <w:tr2bl w:val="nil"/>
                  </w:tcBorders>
                  <w:noWrap w:val="0"/>
                  <w:vAlign w:val="center"/>
                </w:tcPr>
                <w:p w14:paraId="6E9AB291">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b/>
                      <w:color w:val="auto"/>
                      <w:kern w:val="28"/>
                      <w:highlight w:val="none"/>
                    </w:rPr>
                    <w:t>距声源距离（m）</w:t>
                  </w:r>
                </w:p>
              </w:tc>
              <w:tc>
                <w:tcPr>
                  <w:tcW w:w="1040" w:type="pct"/>
                  <w:vMerge w:val="continue"/>
                  <w:tcBorders>
                    <w:tl2br w:val="nil"/>
                    <w:tr2bl w:val="nil"/>
                  </w:tcBorders>
                  <w:noWrap w:val="0"/>
                  <w:vAlign w:val="center"/>
                </w:tcPr>
                <w:p w14:paraId="3A3D88F1">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highlight w:val="none"/>
                    </w:rPr>
                  </w:pPr>
                </w:p>
              </w:tc>
              <w:tc>
                <w:tcPr>
                  <w:tcW w:w="1180" w:type="pct"/>
                  <w:vMerge w:val="continue"/>
                  <w:tcBorders>
                    <w:tl2br w:val="nil"/>
                    <w:tr2bl w:val="nil"/>
                  </w:tcBorders>
                  <w:noWrap w:val="0"/>
                  <w:vAlign w:val="center"/>
                </w:tcPr>
                <w:p w14:paraId="5AD7BBD4">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highlight w:val="none"/>
                    </w:rPr>
                  </w:pPr>
                </w:p>
              </w:tc>
            </w:tr>
            <w:tr w14:paraId="2258F933">
              <w:tblPrEx>
                <w:tblBorders>
                  <w:top w:val="single" w:color="000000" w:sz="12" w:space="0"/>
                  <w:left w:val="single" w:color="000000" w:sz="4" w:space="0"/>
                  <w:bottom w:val="single" w:color="000000" w:sz="12"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242" w:type="pct"/>
                  <w:tcBorders>
                    <w:tl2br w:val="nil"/>
                    <w:tr2bl w:val="nil"/>
                  </w:tcBorders>
                  <w:noWrap/>
                  <w:vAlign w:val="center"/>
                </w:tcPr>
                <w:p w14:paraId="2A16E35B">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1</w:t>
                  </w:r>
                </w:p>
              </w:tc>
              <w:tc>
                <w:tcPr>
                  <w:tcW w:w="403" w:type="pct"/>
                  <w:tcBorders>
                    <w:tl2br w:val="nil"/>
                    <w:tr2bl w:val="nil"/>
                  </w:tcBorders>
                  <w:noWrap/>
                  <w:vAlign w:val="center"/>
                </w:tcPr>
                <w:p w14:paraId="20C19347">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风机</w:t>
                  </w:r>
                </w:p>
              </w:tc>
              <w:tc>
                <w:tcPr>
                  <w:tcW w:w="242" w:type="pct"/>
                  <w:tcBorders>
                    <w:tl2br w:val="nil"/>
                    <w:tr2bl w:val="nil"/>
                  </w:tcBorders>
                  <w:noWrap/>
                  <w:vAlign w:val="center"/>
                </w:tcPr>
                <w:p w14:paraId="5AF6196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点源</w:t>
                  </w:r>
                </w:p>
              </w:tc>
              <w:tc>
                <w:tcPr>
                  <w:tcW w:w="219" w:type="pct"/>
                  <w:tcBorders>
                    <w:tl2br w:val="nil"/>
                    <w:tr2bl w:val="nil"/>
                  </w:tcBorders>
                  <w:noWrap/>
                  <w:vAlign w:val="center"/>
                </w:tcPr>
                <w:p w14:paraId="0806B9E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12</w:t>
                  </w:r>
                </w:p>
              </w:tc>
              <w:tc>
                <w:tcPr>
                  <w:tcW w:w="219" w:type="pct"/>
                  <w:tcBorders>
                    <w:tl2br w:val="nil"/>
                    <w:tr2bl w:val="nil"/>
                  </w:tcBorders>
                  <w:noWrap/>
                  <w:vAlign w:val="center"/>
                </w:tcPr>
                <w:p w14:paraId="17B66C4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33.5</w:t>
                  </w:r>
                </w:p>
              </w:tc>
              <w:tc>
                <w:tcPr>
                  <w:tcW w:w="214" w:type="pct"/>
                  <w:tcBorders>
                    <w:tl2br w:val="nil"/>
                    <w:tr2bl w:val="nil"/>
                  </w:tcBorders>
                  <w:noWrap/>
                  <w:vAlign w:val="center"/>
                </w:tcPr>
                <w:p w14:paraId="673C054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46.8</w:t>
                  </w:r>
                </w:p>
              </w:tc>
              <w:tc>
                <w:tcPr>
                  <w:tcW w:w="527" w:type="pct"/>
                  <w:tcBorders>
                    <w:tl2br w:val="nil"/>
                    <w:tr2bl w:val="nil"/>
                  </w:tcBorders>
                  <w:noWrap/>
                  <w:vAlign w:val="center"/>
                </w:tcPr>
                <w:p w14:paraId="36B57DA2">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rPr>
                    <w:t>8</w:t>
                  </w:r>
                  <w:r>
                    <w:rPr>
                      <w:rFonts w:hint="eastAsia" w:cs="Times New Roman"/>
                      <w:color w:val="auto"/>
                      <w:highlight w:val="none"/>
                      <w:lang w:val="en-US" w:eastAsia="zh-CN"/>
                    </w:rPr>
                    <w:t>0</w:t>
                  </w:r>
                </w:p>
              </w:tc>
              <w:tc>
                <w:tcPr>
                  <w:tcW w:w="710" w:type="pct"/>
                  <w:tcBorders>
                    <w:tl2br w:val="nil"/>
                    <w:tr2bl w:val="nil"/>
                  </w:tcBorders>
                  <w:noWrap w:val="0"/>
                  <w:vAlign w:val="center"/>
                </w:tcPr>
                <w:p w14:paraId="47CCBD04">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1</w:t>
                  </w:r>
                </w:p>
              </w:tc>
              <w:tc>
                <w:tcPr>
                  <w:tcW w:w="1040" w:type="pct"/>
                  <w:tcBorders>
                    <w:tl2br w:val="nil"/>
                    <w:tr2bl w:val="nil"/>
                  </w:tcBorders>
                  <w:noWrap/>
                  <w:vAlign w:val="center"/>
                </w:tcPr>
                <w:p w14:paraId="7B1498EA">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设备减震隔声，厂区围墙、</w:t>
                  </w:r>
                </w:p>
                <w:p w14:paraId="75047906">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厂区绿化等</w:t>
                  </w:r>
                </w:p>
              </w:tc>
              <w:tc>
                <w:tcPr>
                  <w:tcW w:w="1180" w:type="pct"/>
                  <w:tcBorders>
                    <w:tl2br w:val="nil"/>
                    <w:tr2bl w:val="nil"/>
                  </w:tcBorders>
                  <w:noWrap/>
                  <w:vAlign w:val="center"/>
                </w:tcPr>
                <w:p w14:paraId="2786BC4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变化声源，2个时段，昼夜不同</w:t>
                  </w:r>
                </w:p>
              </w:tc>
            </w:tr>
          </w:tbl>
          <w:p w14:paraId="5AC68B2B">
            <w:pPr>
              <w:pStyle w:val="2"/>
              <w:keepNext w:val="0"/>
              <w:keepLines w:val="0"/>
              <w:suppressLineNumbers w:val="0"/>
              <w:spacing w:before="0" w:beforeAutospacing="0" w:after="0" w:afterAutospacing="0"/>
              <w:ind w:left="0" w:right="0"/>
              <w:jc w:val="both"/>
              <w:rPr>
                <w:color w:val="auto"/>
                <w:highlight w:val="none"/>
                <w:vertAlign w:val="baseline"/>
              </w:rPr>
            </w:pPr>
          </w:p>
        </w:tc>
      </w:tr>
    </w:tbl>
    <w:p w14:paraId="6AD8ACB6">
      <w:pPr>
        <w:pStyle w:val="2"/>
        <w:rPr>
          <w:color w:val="auto"/>
          <w:highlight w:val="none"/>
        </w:rPr>
        <w:sectPr>
          <w:pgSz w:w="16840" w:h="11907" w:orient="landscape"/>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tbl>
      <w:tblPr>
        <w:tblStyle w:val="4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1"/>
        <w:gridCol w:w="8466"/>
      </w:tblGrid>
      <w:tr w14:paraId="7FD7B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2" w:type="pct"/>
            <w:vAlign w:val="center"/>
          </w:tcPr>
          <w:p w14:paraId="0E114229">
            <w:pPr>
              <w:pStyle w:val="3"/>
              <w:keepNext w:val="0"/>
              <w:keepLines w:val="0"/>
              <w:suppressLineNumbers w:val="0"/>
              <w:spacing w:before="0" w:beforeAutospacing="0" w:after="0" w:afterAutospacing="0"/>
              <w:ind w:left="0" w:right="0"/>
              <w:jc w:val="center"/>
              <w:rPr>
                <w:b w:val="0"/>
                <w:bCs/>
                <w:color w:val="auto"/>
                <w:highlight w:val="none"/>
                <w:vertAlign w:val="baseline"/>
              </w:rPr>
            </w:pPr>
            <w:r>
              <w:rPr>
                <w:rFonts w:hint="eastAsia"/>
                <w:b w:val="0"/>
                <w:bCs/>
                <w:color w:val="auto"/>
                <w:sz w:val="21"/>
                <w:szCs w:val="32"/>
                <w:highlight w:val="none"/>
                <w:vertAlign w:val="baseline"/>
              </w:rPr>
              <w:t>运营期环境影响和保护措施</w:t>
            </w:r>
          </w:p>
        </w:tc>
        <w:tc>
          <w:tcPr>
            <w:tcW w:w="4557" w:type="pct"/>
          </w:tcPr>
          <w:p w14:paraId="37C179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2" w:firstLineChars="200"/>
              <w:jc w:val="both"/>
              <w:textAlignment w:val="auto"/>
              <w:rPr>
                <w:rFonts w:hint="default" w:ascii="Times New Roman" w:hAnsi="Times New Roman" w:eastAsia="宋体" w:cs="Times New Roman"/>
                <w:b/>
                <w:bCs/>
                <w:color w:val="auto"/>
                <w:szCs w:val="21"/>
                <w:highlight w:val="none"/>
                <w:lang w:val="en-US" w:eastAsia="zh-CN"/>
              </w:rPr>
            </w:pPr>
            <w:r>
              <w:rPr>
                <w:rFonts w:hint="eastAsia" w:cs="Times New Roman"/>
                <w:b/>
                <w:bCs/>
                <w:color w:val="auto"/>
                <w:szCs w:val="21"/>
                <w:highlight w:val="none"/>
                <w:lang w:val="en-US" w:eastAsia="zh-CN"/>
              </w:rPr>
              <w:t>3.</w:t>
            </w:r>
            <w:r>
              <w:rPr>
                <w:rFonts w:hint="eastAsia" w:ascii="Times New Roman" w:hAnsi="Times New Roman" w:cs="Times New Roman"/>
                <w:b/>
                <w:bCs/>
                <w:color w:val="auto"/>
                <w:szCs w:val="21"/>
                <w:highlight w:val="none"/>
              </w:rPr>
              <w:t>2</w:t>
            </w:r>
            <w:r>
              <w:rPr>
                <w:rFonts w:hint="eastAsia" w:cs="Times New Roman"/>
                <w:b/>
                <w:bCs/>
                <w:color w:val="auto"/>
                <w:szCs w:val="21"/>
                <w:highlight w:val="none"/>
                <w:lang w:val="en-US" w:eastAsia="zh-CN"/>
              </w:rPr>
              <w:t>降噪措施</w:t>
            </w:r>
          </w:p>
          <w:p w14:paraId="396266B3">
            <w:pPr>
              <w:keepNext w:val="0"/>
              <w:keepLines w:val="0"/>
              <w:suppressLineNumbers w:val="0"/>
              <w:adjustRightInd w:val="0"/>
              <w:snapToGrid w:val="0"/>
              <w:spacing w:before="0" w:beforeAutospacing="0" w:after="0" w:afterAutospacing="0" w:line="360" w:lineRule="auto"/>
              <w:ind w:left="0" w:right="0" w:firstLine="420" w:firstLineChars="200"/>
              <w:rPr>
                <w:rFonts w:hint="default"/>
                <w:color w:val="auto"/>
                <w:szCs w:val="21"/>
                <w:highlight w:val="none"/>
              </w:rPr>
            </w:pPr>
            <w:r>
              <w:rPr>
                <w:rFonts w:hint="default"/>
                <w:color w:val="auto"/>
                <w:szCs w:val="21"/>
                <w:highlight w:val="none"/>
              </w:rPr>
              <w:t>为了减少项目噪声对周围声环境的影响，建设单位拟采取下列措施：</w:t>
            </w:r>
          </w:p>
          <w:p w14:paraId="292F49A4">
            <w:pPr>
              <w:keepNext w:val="0"/>
              <w:keepLines w:val="0"/>
              <w:suppressLineNumbers w:val="0"/>
              <w:adjustRightInd w:val="0"/>
              <w:snapToGrid w:val="0"/>
              <w:spacing w:before="0" w:beforeAutospacing="0" w:after="0" w:afterAutospacing="0" w:line="360" w:lineRule="auto"/>
              <w:ind w:left="0" w:right="0" w:firstLine="420" w:firstLineChars="200"/>
              <w:rPr>
                <w:rFonts w:hint="default"/>
                <w:color w:val="auto"/>
                <w:szCs w:val="21"/>
                <w:highlight w:val="none"/>
              </w:rPr>
            </w:pPr>
            <w:r>
              <w:rPr>
                <w:rFonts w:hint="eastAsia" w:ascii="宋体" w:hAnsi="宋体" w:cs="宋体"/>
                <w:color w:val="auto"/>
                <w:szCs w:val="21"/>
                <w:highlight w:val="none"/>
              </w:rPr>
              <w:t>①</w:t>
            </w:r>
            <w:r>
              <w:rPr>
                <w:rFonts w:hint="default"/>
                <w:color w:val="auto"/>
                <w:szCs w:val="21"/>
                <w:highlight w:val="none"/>
              </w:rPr>
              <w:t>对车间进行合理布局，将高噪声的生产设备放置在远离居民点一侧，利用厂房墙壁来阻隔声波的传播。</w:t>
            </w:r>
          </w:p>
          <w:p w14:paraId="03FFE878">
            <w:pPr>
              <w:keepNext w:val="0"/>
              <w:keepLines w:val="0"/>
              <w:suppressLineNumbers w:val="0"/>
              <w:adjustRightInd w:val="0"/>
              <w:snapToGrid w:val="0"/>
              <w:spacing w:before="0" w:beforeAutospacing="0" w:after="0" w:afterAutospacing="0" w:line="360" w:lineRule="auto"/>
              <w:ind w:left="0" w:right="0" w:firstLine="420" w:firstLineChars="200"/>
              <w:rPr>
                <w:rFonts w:hint="default"/>
                <w:color w:val="auto"/>
                <w:szCs w:val="21"/>
                <w:highlight w:val="none"/>
              </w:rPr>
            </w:pPr>
            <w:r>
              <w:rPr>
                <w:rFonts w:hint="eastAsia" w:ascii="宋体" w:hAnsi="宋体" w:cs="宋体"/>
                <w:color w:val="auto"/>
                <w:szCs w:val="21"/>
                <w:highlight w:val="none"/>
              </w:rPr>
              <w:t>②</w:t>
            </w:r>
            <w:r>
              <w:rPr>
                <w:rFonts w:hint="default"/>
                <w:color w:val="auto"/>
                <w:szCs w:val="21"/>
                <w:highlight w:val="none"/>
              </w:rPr>
              <w:t>在设备选型方面，在满足工艺生产的前提下，选用噪声低的设备；对于压滤机等运行时由振动产生的噪声，应对设备基础进行减振。</w:t>
            </w:r>
          </w:p>
          <w:p w14:paraId="0BD11BBC">
            <w:pPr>
              <w:keepNext w:val="0"/>
              <w:keepLines w:val="0"/>
              <w:suppressLineNumbers w:val="0"/>
              <w:adjustRightInd w:val="0"/>
              <w:snapToGrid w:val="0"/>
              <w:spacing w:before="0" w:beforeAutospacing="0" w:after="0" w:afterAutospacing="0" w:line="360" w:lineRule="auto"/>
              <w:ind w:left="0" w:right="0" w:firstLine="420" w:firstLineChars="200"/>
              <w:rPr>
                <w:rFonts w:hint="default"/>
                <w:color w:val="auto"/>
                <w:szCs w:val="21"/>
                <w:highlight w:val="none"/>
              </w:rPr>
            </w:pPr>
            <w:r>
              <w:rPr>
                <w:rFonts w:hint="eastAsia" w:ascii="宋体" w:hAnsi="宋体" w:cs="宋体"/>
                <w:color w:val="auto"/>
                <w:szCs w:val="21"/>
                <w:highlight w:val="none"/>
              </w:rPr>
              <w:t>③</w:t>
            </w:r>
            <w:r>
              <w:rPr>
                <w:rFonts w:hint="default"/>
                <w:color w:val="auto"/>
                <w:szCs w:val="21"/>
                <w:highlight w:val="none"/>
              </w:rPr>
              <w:t>对于高噪声设备，必要时可加设减震底座和墙壁吸声材料。</w:t>
            </w:r>
          </w:p>
          <w:p w14:paraId="45537FBA">
            <w:pPr>
              <w:keepNext w:val="0"/>
              <w:keepLines w:val="0"/>
              <w:suppressLineNumbers w:val="0"/>
              <w:adjustRightInd w:val="0"/>
              <w:snapToGrid w:val="0"/>
              <w:spacing w:before="0" w:beforeAutospacing="0" w:after="0" w:afterAutospacing="0" w:line="360" w:lineRule="auto"/>
              <w:ind w:left="0" w:right="0" w:firstLine="420" w:firstLineChars="200"/>
              <w:rPr>
                <w:rFonts w:hint="default"/>
                <w:color w:val="auto"/>
                <w:szCs w:val="21"/>
                <w:highlight w:val="none"/>
              </w:rPr>
            </w:pPr>
            <w:r>
              <w:rPr>
                <w:rFonts w:hint="eastAsia" w:ascii="宋体" w:hAnsi="宋体" w:cs="宋体"/>
                <w:color w:val="auto"/>
                <w:szCs w:val="21"/>
                <w:highlight w:val="none"/>
              </w:rPr>
              <w:t>④</w:t>
            </w:r>
            <w:r>
              <w:rPr>
                <w:rFonts w:hint="default"/>
                <w:color w:val="auto"/>
                <w:szCs w:val="21"/>
                <w:highlight w:val="none"/>
              </w:rPr>
              <w:t>加强管理建立设备定期维护、保养的管理制度，以防止设备故障形成的非生产噪声，同时确保环保措施发挥最有效的功能；加强职工环保意识教育，提倡文明生产，防止人为噪声。</w:t>
            </w:r>
          </w:p>
          <w:p w14:paraId="0B4E54BB">
            <w:pPr>
              <w:keepNext w:val="0"/>
              <w:keepLines w:val="0"/>
              <w:suppressLineNumbers w:val="0"/>
              <w:adjustRightInd w:val="0"/>
              <w:snapToGrid w:val="0"/>
              <w:spacing w:before="0" w:beforeAutospacing="0" w:after="0" w:afterAutospacing="0" w:line="360" w:lineRule="auto"/>
              <w:ind w:left="0" w:right="0" w:firstLine="420" w:firstLineChars="200"/>
              <w:rPr>
                <w:rFonts w:hint="default"/>
                <w:color w:val="auto"/>
                <w:szCs w:val="21"/>
                <w:highlight w:val="none"/>
              </w:rPr>
            </w:pPr>
            <w:r>
              <w:rPr>
                <w:rFonts w:hint="default"/>
                <w:color w:val="auto"/>
                <w:szCs w:val="21"/>
                <w:highlight w:val="none"/>
              </w:rPr>
              <w:t>根据刘惠玲主编的《</w:t>
            </w:r>
            <w:r>
              <w:rPr>
                <w:rFonts w:hint="eastAsia"/>
                <w:color w:val="auto"/>
                <w:szCs w:val="21"/>
                <w:highlight w:val="none"/>
              </w:rPr>
              <w:t>环境</w:t>
            </w:r>
            <w:r>
              <w:rPr>
                <w:rFonts w:hint="default"/>
                <w:color w:val="auto"/>
                <w:szCs w:val="21"/>
                <w:highlight w:val="none"/>
              </w:rPr>
              <w:t>噪声控制》（2002年10月第1版），采用隔声间（室）技术措施，降噪效果可达20~40dB（A）；减振处理，降噪效果可达5~25dB（A）。本项目通过减振、墙体隔音的方式，噪声效果降低25dB（A）。</w:t>
            </w:r>
          </w:p>
          <w:p w14:paraId="360B81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2" w:firstLineChars="200"/>
              <w:jc w:val="both"/>
              <w:textAlignment w:val="auto"/>
              <w:rPr>
                <w:rFonts w:hint="eastAsia" w:cs="Times New Roman"/>
                <w:b/>
                <w:bCs/>
                <w:color w:val="auto"/>
                <w:szCs w:val="21"/>
                <w:highlight w:val="none"/>
                <w:lang w:val="en-US" w:eastAsia="zh-CN"/>
              </w:rPr>
            </w:pPr>
            <w:r>
              <w:rPr>
                <w:rFonts w:hint="eastAsia" w:cs="Times New Roman"/>
                <w:b/>
                <w:bCs/>
                <w:color w:val="auto"/>
                <w:szCs w:val="21"/>
                <w:highlight w:val="none"/>
                <w:lang w:val="en-US" w:eastAsia="zh-CN"/>
              </w:rPr>
              <w:t>3.3达标性分析</w:t>
            </w:r>
          </w:p>
          <w:p w14:paraId="73C26F60">
            <w:pPr>
              <w:keepNext w:val="0"/>
              <w:keepLines w:val="0"/>
              <w:widowControl/>
              <w:suppressLineNumbers w:val="0"/>
              <w:adjustRightInd w:val="0"/>
              <w:snapToGrid w:val="0"/>
              <w:spacing w:before="0" w:beforeAutospacing="0" w:after="0" w:afterAutospacing="0" w:line="360" w:lineRule="auto"/>
              <w:ind w:left="0" w:right="0" w:firstLine="420" w:firstLineChars="200"/>
              <w:rPr>
                <w:rFonts w:hint="default"/>
                <w:color w:val="auto"/>
                <w:szCs w:val="21"/>
                <w:highlight w:val="none"/>
              </w:rPr>
            </w:pPr>
            <w:r>
              <w:rPr>
                <w:rFonts w:hint="default"/>
                <w:color w:val="auto"/>
                <w:szCs w:val="21"/>
                <w:highlight w:val="none"/>
              </w:rPr>
              <w:t>固定声源的噪声向周围传播过程中，会发生反射、折射、衍射、吸收等现象。因此，随传播距离的增加而产生的衰减量并不按简单的几何规律计算。根据《环境影响评价技术导则-声环境》（HJ2.4-2009）对室内声源的预测方法，声源位于室内，室内声源可采用等效室外声源声功率级法进行计算。</w:t>
            </w:r>
          </w:p>
          <w:p w14:paraId="08E9AEEC">
            <w:pPr>
              <w:keepNext w:val="0"/>
              <w:keepLines w:val="0"/>
              <w:widowControl/>
              <w:suppressLineNumbers w:val="0"/>
              <w:adjustRightInd w:val="0"/>
              <w:snapToGrid w:val="0"/>
              <w:spacing w:before="0" w:beforeAutospacing="0" w:after="0" w:afterAutospacing="0" w:line="360" w:lineRule="auto"/>
              <w:ind w:left="0" w:right="0" w:firstLine="525" w:firstLineChars="250"/>
              <w:rPr>
                <w:rFonts w:hint="default"/>
                <w:color w:val="auto"/>
                <w:szCs w:val="21"/>
                <w:highlight w:val="none"/>
              </w:rPr>
            </w:pPr>
            <w:r>
              <w:rPr>
                <w:rFonts w:hint="default"/>
                <w:color w:val="auto"/>
                <w:szCs w:val="21"/>
                <w:highlight w:val="none"/>
              </w:rPr>
              <w:t>（1）预测模型</w:t>
            </w:r>
          </w:p>
          <w:p w14:paraId="6A9FF4D2">
            <w:pPr>
              <w:keepNext w:val="0"/>
              <w:keepLines w:val="0"/>
              <w:widowControl/>
              <w:suppressLineNumbers w:val="0"/>
              <w:adjustRightInd w:val="0"/>
              <w:snapToGrid w:val="0"/>
              <w:spacing w:before="0" w:beforeAutospacing="0" w:after="0" w:afterAutospacing="0" w:line="360" w:lineRule="auto"/>
              <w:ind w:left="0" w:right="0" w:firstLine="525" w:firstLineChars="250"/>
              <w:rPr>
                <w:rFonts w:hint="default"/>
                <w:color w:val="auto"/>
                <w:szCs w:val="21"/>
                <w:highlight w:val="none"/>
              </w:rPr>
            </w:pPr>
            <w:r>
              <w:rPr>
                <w:rFonts w:hint="eastAsia" w:ascii="宋体" w:hAnsi="宋体" w:cs="宋体"/>
                <w:color w:val="auto"/>
                <w:szCs w:val="21"/>
                <w:highlight w:val="none"/>
              </w:rPr>
              <w:t>①</w:t>
            </w:r>
            <w:r>
              <w:rPr>
                <w:rFonts w:hint="default"/>
                <w:color w:val="auto"/>
                <w:szCs w:val="21"/>
                <w:highlight w:val="none"/>
              </w:rPr>
              <w:t>计算某一室内声源靠近围护结构处产生的倍频带声压级：</w:t>
            </w:r>
          </w:p>
          <w:p w14:paraId="49C4ADA8">
            <w:pPr>
              <w:keepNext w:val="0"/>
              <w:keepLines w:val="0"/>
              <w:widowControl/>
              <w:suppressLineNumbers w:val="0"/>
              <w:spacing w:before="0" w:beforeAutospacing="0" w:after="0" w:afterAutospacing="0" w:line="360" w:lineRule="auto"/>
              <w:ind w:left="0" w:right="0"/>
              <w:jc w:val="center"/>
              <w:rPr>
                <w:rFonts w:hint="default"/>
                <w:bCs/>
                <w:color w:val="auto"/>
                <w:szCs w:val="21"/>
                <w:highlight w:val="none"/>
              </w:rPr>
            </w:pPr>
            <w:r>
              <w:rPr>
                <w:rFonts w:hint="default"/>
                <w:bCs/>
                <w:color w:val="auto"/>
                <w:szCs w:val="21"/>
                <w:highlight w:val="none"/>
              </w:rPr>
              <w:object>
                <v:shape id="_x0000_i1025" o:spt="75" type="#_x0000_t75" style="height:27pt;width:120.05pt;" o:ole="t" filled="f" o:preferrelative="t" stroked="f" coordsize="21600,21600">
                  <v:path/>
                  <v:fill on="f" focussize="0,0"/>
                  <v:stroke on="f"/>
                  <v:imagedata r:id="rId18" o:title=""/>
                  <o:lock v:ext="edit" aspectratio="t"/>
                  <w10:wrap type="none"/>
                  <w10:anchorlock/>
                </v:shape>
                <o:OLEObject Type="Embed" ProgID="Equation.3" ShapeID="_x0000_i1025" DrawAspect="Content" ObjectID="_1468075725" r:id="rId17">
                  <o:LockedField>false</o:LockedField>
                </o:OLEObject>
              </w:object>
            </w:r>
          </w:p>
          <w:p w14:paraId="5BE386B9">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default"/>
                <w:color w:val="auto"/>
                <w:szCs w:val="21"/>
                <w:highlight w:val="none"/>
              </w:rPr>
              <w:t>式中：</w:t>
            </w:r>
          </w:p>
          <w:p w14:paraId="0D6BFF2C">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default"/>
                <w:color w:val="auto"/>
                <w:szCs w:val="21"/>
                <w:highlight w:val="none"/>
              </w:rPr>
              <w:t>Q——指向性因数：通常对无指向性声源，当声源放在房间中心时，Q=1；当放在一面墙的中心时，Q=2；当放在两面墙夹角时，Q=4；当放在三面墙夹角处时，Q=8。</w:t>
            </w:r>
          </w:p>
          <w:p w14:paraId="28E3D504">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default"/>
                <w:color w:val="auto"/>
                <w:szCs w:val="21"/>
                <w:highlight w:val="none"/>
              </w:rPr>
              <w:t>R——房间常数：R=Sa/(1-a)，S为房间内表面面积，m</w:t>
            </w:r>
            <w:r>
              <w:rPr>
                <w:rFonts w:hint="default"/>
                <w:color w:val="auto"/>
                <w:szCs w:val="21"/>
                <w:highlight w:val="none"/>
                <w:vertAlign w:val="superscript"/>
              </w:rPr>
              <w:t>2</w:t>
            </w:r>
            <w:r>
              <w:rPr>
                <w:rFonts w:hint="default"/>
                <w:color w:val="auto"/>
                <w:szCs w:val="21"/>
                <w:highlight w:val="none"/>
              </w:rPr>
              <w:t>；a为平均吸声系数。</w:t>
            </w:r>
          </w:p>
          <w:p w14:paraId="5A9A83AA">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default"/>
                <w:color w:val="auto"/>
                <w:szCs w:val="21"/>
                <w:highlight w:val="none"/>
              </w:rPr>
              <w:t>r——声源到靠近围护结构某点处的距离，m。</w:t>
            </w:r>
          </w:p>
          <w:p w14:paraId="1555FE9A">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eastAsia" w:ascii="宋体" w:hAnsi="宋体" w:cs="宋体"/>
                <w:color w:val="auto"/>
                <w:szCs w:val="21"/>
                <w:highlight w:val="none"/>
              </w:rPr>
              <w:t>②</w:t>
            </w:r>
            <w:r>
              <w:rPr>
                <w:rFonts w:hint="default"/>
                <w:color w:val="auto"/>
                <w:szCs w:val="21"/>
                <w:highlight w:val="none"/>
              </w:rPr>
              <w:t>计算出所有室内声源在围护结构处产生的i倍频带叠加声压级：</w:t>
            </w:r>
          </w:p>
          <w:p w14:paraId="782E3D8D">
            <w:pPr>
              <w:keepNext w:val="0"/>
              <w:keepLines w:val="0"/>
              <w:widowControl/>
              <w:suppressLineNumbers w:val="0"/>
              <w:spacing w:before="0" w:beforeAutospacing="0" w:after="0" w:afterAutospacing="0" w:line="360" w:lineRule="auto"/>
              <w:ind w:left="0" w:right="0"/>
              <w:jc w:val="center"/>
              <w:rPr>
                <w:rFonts w:hint="default"/>
                <w:bCs/>
                <w:color w:val="auto"/>
                <w:szCs w:val="21"/>
                <w:highlight w:val="none"/>
              </w:rPr>
            </w:pPr>
            <w:r>
              <w:rPr>
                <w:rFonts w:hint="default"/>
                <w:color w:val="auto"/>
                <w:szCs w:val="21"/>
                <w:highlight w:val="none"/>
              </w:rPr>
              <w:drawing>
                <wp:inline distT="0" distB="0" distL="114300" distR="114300">
                  <wp:extent cx="1645920" cy="472440"/>
                  <wp:effectExtent l="0" t="0" r="0" b="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19"/>
                          <a:stretch>
                            <a:fillRect/>
                          </a:stretch>
                        </pic:blipFill>
                        <pic:spPr>
                          <a:xfrm>
                            <a:off x="0" y="0"/>
                            <a:ext cx="1645920" cy="472440"/>
                          </a:xfrm>
                          <a:prstGeom prst="rect">
                            <a:avLst/>
                          </a:prstGeom>
                          <a:noFill/>
                          <a:ln>
                            <a:noFill/>
                          </a:ln>
                        </pic:spPr>
                      </pic:pic>
                    </a:graphicData>
                  </a:graphic>
                </wp:inline>
              </w:drawing>
            </w:r>
          </w:p>
          <w:p w14:paraId="768CEFA3">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default"/>
                <w:color w:val="auto"/>
                <w:szCs w:val="21"/>
                <w:highlight w:val="none"/>
              </w:rPr>
              <w:t>式中：</w:t>
            </w:r>
          </w:p>
          <w:p w14:paraId="7B8FB8EB">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default"/>
                <w:color w:val="auto"/>
                <w:szCs w:val="21"/>
                <w:highlight w:val="none"/>
              </w:rPr>
              <w:t>L</w:t>
            </w:r>
            <w:r>
              <w:rPr>
                <w:rFonts w:hint="default"/>
                <w:color w:val="auto"/>
                <w:szCs w:val="21"/>
                <w:highlight w:val="none"/>
                <w:vertAlign w:val="subscript"/>
              </w:rPr>
              <w:t>P1i</w:t>
            </w:r>
            <w:r>
              <w:rPr>
                <w:rFonts w:hint="default"/>
                <w:color w:val="auto"/>
                <w:szCs w:val="21"/>
                <w:highlight w:val="none"/>
              </w:rPr>
              <w:t>(T)——靠近围护结构处室内N个声源i倍频带的叠加声压级，dB；</w:t>
            </w:r>
          </w:p>
          <w:p w14:paraId="20747F2A">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default"/>
                <w:color w:val="auto"/>
                <w:szCs w:val="21"/>
                <w:highlight w:val="none"/>
              </w:rPr>
              <w:t>L</w:t>
            </w:r>
            <w:r>
              <w:rPr>
                <w:rFonts w:hint="default"/>
                <w:color w:val="auto"/>
                <w:szCs w:val="21"/>
                <w:highlight w:val="none"/>
                <w:vertAlign w:val="subscript"/>
              </w:rPr>
              <w:t>P1ij</w:t>
            </w:r>
            <w:r>
              <w:rPr>
                <w:rFonts w:hint="default"/>
                <w:color w:val="auto"/>
                <w:szCs w:val="21"/>
                <w:highlight w:val="none"/>
              </w:rPr>
              <w:t>——室内j声源i倍频带的声压级，dB；</w:t>
            </w:r>
          </w:p>
          <w:p w14:paraId="73BF47E0">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eastAsia" w:ascii="宋体" w:hAnsi="宋体" w:cs="宋体"/>
                <w:color w:val="auto"/>
                <w:szCs w:val="21"/>
                <w:highlight w:val="none"/>
              </w:rPr>
              <w:t>③</w:t>
            </w:r>
            <w:r>
              <w:rPr>
                <w:rFonts w:hint="default"/>
                <w:color w:val="auto"/>
                <w:szCs w:val="21"/>
                <w:highlight w:val="none"/>
              </w:rPr>
              <w:t>在室内近似为扩散声场地，按下式计算出靠近室外围护结构处的声压级：</w:t>
            </w:r>
          </w:p>
          <w:p w14:paraId="78C0ECC8">
            <w:pPr>
              <w:keepNext w:val="0"/>
              <w:keepLines w:val="0"/>
              <w:widowControl/>
              <w:suppressLineNumbers w:val="0"/>
              <w:spacing w:before="0" w:beforeAutospacing="0" w:after="0" w:afterAutospacing="0" w:line="360" w:lineRule="auto"/>
              <w:ind w:left="0" w:right="0"/>
              <w:jc w:val="center"/>
              <w:rPr>
                <w:rFonts w:hint="default"/>
                <w:bCs/>
                <w:color w:val="auto"/>
                <w:szCs w:val="21"/>
                <w:highlight w:val="none"/>
              </w:rPr>
            </w:pPr>
            <w:r>
              <w:rPr>
                <w:rFonts w:hint="default"/>
                <w:color w:val="auto"/>
                <w:position w:val="-16"/>
                <w:szCs w:val="21"/>
                <w:highlight w:val="none"/>
              </w:rPr>
              <w:drawing>
                <wp:inline distT="0" distB="0" distL="114300" distR="114300">
                  <wp:extent cx="1759585" cy="259080"/>
                  <wp:effectExtent l="0" t="0" r="8255" b="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20"/>
                          <a:stretch>
                            <a:fillRect/>
                          </a:stretch>
                        </pic:blipFill>
                        <pic:spPr>
                          <a:xfrm>
                            <a:off x="0" y="0"/>
                            <a:ext cx="1759585" cy="259080"/>
                          </a:xfrm>
                          <a:prstGeom prst="rect">
                            <a:avLst/>
                          </a:prstGeom>
                          <a:noFill/>
                          <a:ln>
                            <a:noFill/>
                          </a:ln>
                        </pic:spPr>
                      </pic:pic>
                    </a:graphicData>
                  </a:graphic>
                </wp:inline>
              </w:drawing>
            </w:r>
          </w:p>
          <w:p w14:paraId="2B1F2464">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default"/>
                <w:color w:val="auto"/>
                <w:szCs w:val="21"/>
                <w:highlight w:val="none"/>
              </w:rPr>
              <w:t>式中：</w:t>
            </w:r>
          </w:p>
          <w:p w14:paraId="22EC1F1E">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default"/>
                <w:color w:val="auto"/>
                <w:szCs w:val="21"/>
                <w:highlight w:val="none"/>
              </w:rPr>
              <w:t>L</w:t>
            </w:r>
            <w:r>
              <w:rPr>
                <w:rFonts w:hint="default"/>
                <w:color w:val="auto"/>
                <w:szCs w:val="21"/>
                <w:highlight w:val="none"/>
                <w:vertAlign w:val="subscript"/>
              </w:rPr>
              <w:t>P2i</w:t>
            </w:r>
            <w:r>
              <w:rPr>
                <w:rFonts w:hint="default"/>
                <w:color w:val="auto"/>
                <w:szCs w:val="21"/>
                <w:highlight w:val="none"/>
              </w:rPr>
              <w:t>(T)——靠近围护结构处室外N个声源i倍频带的叠加声压级，dB；</w:t>
            </w:r>
          </w:p>
          <w:p w14:paraId="442C068E">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default"/>
                <w:color w:val="auto"/>
                <w:szCs w:val="21"/>
                <w:highlight w:val="none"/>
              </w:rPr>
              <w:t>TL</w:t>
            </w:r>
            <w:r>
              <w:rPr>
                <w:rFonts w:hint="default"/>
                <w:color w:val="auto"/>
                <w:szCs w:val="21"/>
                <w:highlight w:val="none"/>
                <w:vertAlign w:val="subscript"/>
              </w:rPr>
              <w:t>i</w:t>
            </w:r>
            <w:r>
              <w:rPr>
                <w:rFonts w:hint="default"/>
                <w:color w:val="auto"/>
                <w:szCs w:val="21"/>
                <w:highlight w:val="none"/>
              </w:rPr>
              <w:t>——围护结构i倍频带的隔声量，dB；</w:t>
            </w:r>
          </w:p>
          <w:p w14:paraId="6EDB88DB">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eastAsia" w:ascii="宋体" w:hAnsi="宋体" w:cs="宋体"/>
                <w:color w:val="auto"/>
                <w:szCs w:val="21"/>
                <w:highlight w:val="none"/>
              </w:rPr>
              <w:t>④</w:t>
            </w:r>
            <w:r>
              <w:rPr>
                <w:rFonts w:hint="default"/>
                <w:color w:val="auto"/>
                <w:szCs w:val="21"/>
                <w:highlight w:val="none"/>
              </w:rPr>
              <w:t>将室外声源的声压级和透过面积换算成等效的室外声源，计算出中心位置位于透声面积（S）处的等效声源的倍频带声功率级。</w:t>
            </w:r>
          </w:p>
          <w:p w14:paraId="6034D455">
            <w:pPr>
              <w:keepNext w:val="0"/>
              <w:keepLines w:val="0"/>
              <w:widowControl/>
              <w:suppressLineNumbers w:val="0"/>
              <w:spacing w:before="0" w:beforeAutospacing="0" w:after="0" w:afterAutospacing="0" w:line="360" w:lineRule="auto"/>
              <w:ind w:left="0" w:right="0"/>
              <w:jc w:val="center"/>
              <w:rPr>
                <w:rFonts w:hint="default"/>
                <w:bCs/>
                <w:color w:val="auto"/>
                <w:szCs w:val="21"/>
                <w:highlight w:val="none"/>
              </w:rPr>
            </w:pPr>
            <w:r>
              <w:rPr>
                <w:rFonts w:hint="default"/>
                <w:color w:val="auto"/>
                <w:position w:val="-12"/>
                <w:szCs w:val="21"/>
                <w:highlight w:val="none"/>
              </w:rPr>
              <w:drawing>
                <wp:inline distT="0" distB="0" distL="114300" distR="114300">
                  <wp:extent cx="1303020" cy="228600"/>
                  <wp:effectExtent l="0" t="0" r="0" b="0"/>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21"/>
                          <a:stretch>
                            <a:fillRect/>
                          </a:stretch>
                        </pic:blipFill>
                        <pic:spPr>
                          <a:xfrm>
                            <a:off x="0" y="0"/>
                            <a:ext cx="1303020" cy="228600"/>
                          </a:xfrm>
                          <a:prstGeom prst="rect">
                            <a:avLst/>
                          </a:prstGeom>
                          <a:noFill/>
                          <a:ln>
                            <a:noFill/>
                          </a:ln>
                        </pic:spPr>
                      </pic:pic>
                    </a:graphicData>
                  </a:graphic>
                </wp:inline>
              </w:drawing>
            </w:r>
          </w:p>
          <w:p w14:paraId="15406291">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eastAsia" w:ascii="宋体" w:hAnsi="宋体" w:cs="宋体"/>
                <w:color w:val="auto"/>
                <w:szCs w:val="21"/>
                <w:highlight w:val="none"/>
              </w:rPr>
              <w:t>⑤</w:t>
            </w:r>
            <w:r>
              <w:rPr>
                <w:rFonts w:hint="default"/>
                <w:color w:val="auto"/>
                <w:szCs w:val="21"/>
                <w:highlight w:val="none"/>
              </w:rPr>
              <w:t>按室外声源预测方法计算预测点处的A声级。</w:t>
            </w:r>
          </w:p>
          <w:p w14:paraId="69FACC01">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default"/>
                <w:color w:val="auto"/>
                <w:szCs w:val="21"/>
                <w:highlight w:val="none"/>
              </w:rPr>
              <w:t>设第i个室外声源在预测点产生的A声级为L</w:t>
            </w:r>
            <w:r>
              <w:rPr>
                <w:rFonts w:hint="default"/>
                <w:color w:val="auto"/>
                <w:szCs w:val="21"/>
                <w:highlight w:val="none"/>
                <w:vertAlign w:val="subscript"/>
              </w:rPr>
              <w:t>Ai</w:t>
            </w:r>
            <w:r>
              <w:rPr>
                <w:rFonts w:hint="default"/>
                <w:color w:val="auto"/>
                <w:szCs w:val="21"/>
                <w:highlight w:val="none"/>
              </w:rPr>
              <w:t>，在T时间内该声源工作时间为t</w:t>
            </w:r>
            <w:r>
              <w:rPr>
                <w:rFonts w:hint="default"/>
                <w:color w:val="auto"/>
                <w:szCs w:val="21"/>
                <w:highlight w:val="none"/>
                <w:vertAlign w:val="subscript"/>
              </w:rPr>
              <w:t>i</w:t>
            </w:r>
            <w:r>
              <w:rPr>
                <w:rFonts w:hint="default"/>
                <w:color w:val="auto"/>
                <w:szCs w:val="21"/>
                <w:highlight w:val="none"/>
              </w:rPr>
              <w:t>；第j个等效室外声源在预测点产生的A声级为L</w:t>
            </w:r>
            <w:r>
              <w:rPr>
                <w:rFonts w:hint="default"/>
                <w:color w:val="auto"/>
                <w:szCs w:val="21"/>
                <w:highlight w:val="none"/>
                <w:vertAlign w:val="subscript"/>
              </w:rPr>
              <w:t>Aj</w:t>
            </w:r>
            <w:r>
              <w:rPr>
                <w:rFonts w:hint="default"/>
                <w:color w:val="auto"/>
                <w:szCs w:val="21"/>
                <w:highlight w:val="none"/>
              </w:rPr>
              <w:t>，在T时间内该声源工作时间为t</w:t>
            </w:r>
            <w:r>
              <w:rPr>
                <w:rFonts w:hint="default"/>
                <w:color w:val="auto"/>
                <w:szCs w:val="21"/>
                <w:highlight w:val="none"/>
                <w:vertAlign w:val="subscript"/>
              </w:rPr>
              <w:t>j</w:t>
            </w:r>
            <w:r>
              <w:rPr>
                <w:rFonts w:hint="default"/>
                <w:color w:val="auto"/>
                <w:szCs w:val="21"/>
                <w:highlight w:val="none"/>
              </w:rPr>
              <w:t>，则拟建工程声源对预测点产生的贡献值（L</w:t>
            </w:r>
            <w:r>
              <w:rPr>
                <w:rFonts w:hint="default"/>
                <w:color w:val="auto"/>
                <w:szCs w:val="21"/>
                <w:highlight w:val="none"/>
                <w:vertAlign w:val="subscript"/>
              </w:rPr>
              <w:t>eqg</w:t>
            </w:r>
            <w:r>
              <w:rPr>
                <w:rFonts w:hint="default"/>
                <w:color w:val="auto"/>
                <w:szCs w:val="21"/>
                <w:highlight w:val="none"/>
              </w:rPr>
              <w:t>）为：</w:t>
            </w:r>
          </w:p>
          <w:p w14:paraId="455433D9">
            <w:pPr>
              <w:keepNext w:val="0"/>
              <w:keepLines w:val="0"/>
              <w:widowControl/>
              <w:suppressLineNumbers w:val="0"/>
              <w:spacing w:before="0" w:beforeAutospacing="0" w:after="0" w:afterAutospacing="0" w:line="360" w:lineRule="auto"/>
              <w:ind w:left="0" w:right="0"/>
              <w:jc w:val="center"/>
              <w:rPr>
                <w:rFonts w:hint="default"/>
                <w:bCs/>
                <w:color w:val="auto"/>
                <w:szCs w:val="21"/>
                <w:highlight w:val="none"/>
              </w:rPr>
            </w:pPr>
            <w:r>
              <w:rPr>
                <w:rFonts w:hint="default"/>
                <w:color w:val="auto"/>
                <w:szCs w:val="21"/>
                <w:highlight w:val="none"/>
              </w:rPr>
              <w:drawing>
                <wp:inline distT="0" distB="0" distL="114300" distR="114300">
                  <wp:extent cx="2673985" cy="518160"/>
                  <wp:effectExtent l="0" t="0" r="8255" b="0"/>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pic:cNvPicPr>
                            <a:picLocks noChangeAspect="1"/>
                          </pic:cNvPicPr>
                        </pic:nvPicPr>
                        <pic:blipFill>
                          <a:blip r:embed="rId22"/>
                          <a:stretch>
                            <a:fillRect/>
                          </a:stretch>
                        </pic:blipFill>
                        <pic:spPr>
                          <a:xfrm>
                            <a:off x="0" y="0"/>
                            <a:ext cx="2673985" cy="518160"/>
                          </a:xfrm>
                          <a:prstGeom prst="rect">
                            <a:avLst/>
                          </a:prstGeom>
                          <a:noFill/>
                          <a:ln>
                            <a:noFill/>
                          </a:ln>
                        </pic:spPr>
                      </pic:pic>
                    </a:graphicData>
                  </a:graphic>
                </wp:inline>
              </w:drawing>
            </w:r>
          </w:p>
          <w:p w14:paraId="7C2537D3">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default"/>
                <w:color w:val="auto"/>
                <w:szCs w:val="21"/>
                <w:highlight w:val="none"/>
              </w:rPr>
              <w:t>式中：</w:t>
            </w:r>
          </w:p>
          <w:p w14:paraId="09426F61">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default"/>
                <w:color w:val="auto"/>
                <w:szCs w:val="21"/>
                <w:highlight w:val="none"/>
              </w:rPr>
              <w:t>t</w:t>
            </w:r>
            <w:r>
              <w:rPr>
                <w:rFonts w:hint="default"/>
                <w:color w:val="auto"/>
                <w:szCs w:val="21"/>
                <w:highlight w:val="none"/>
                <w:vertAlign w:val="subscript"/>
              </w:rPr>
              <w:t>j</w:t>
            </w:r>
            <w:r>
              <w:rPr>
                <w:rFonts w:hint="default"/>
                <w:color w:val="auto"/>
                <w:szCs w:val="21"/>
                <w:highlight w:val="none"/>
              </w:rPr>
              <w:t>——在T时间内j声源工作时间，s；</w:t>
            </w:r>
          </w:p>
          <w:p w14:paraId="71C0A440">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default"/>
                <w:color w:val="auto"/>
                <w:szCs w:val="21"/>
                <w:highlight w:val="none"/>
              </w:rPr>
              <w:t>t</w:t>
            </w:r>
            <w:r>
              <w:rPr>
                <w:rFonts w:hint="default"/>
                <w:color w:val="auto"/>
                <w:szCs w:val="21"/>
                <w:highlight w:val="none"/>
                <w:vertAlign w:val="subscript"/>
              </w:rPr>
              <w:t>i</w:t>
            </w:r>
            <w:r>
              <w:rPr>
                <w:rFonts w:hint="default"/>
                <w:color w:val="auto"/>
                <w:szCs w:val="21"/>
                <w:highlight w:val="none"/>
              </w:rPr>
              <w:t>——在T时间内i声源工作时间，s；</w:t>
            </w:r>
          </w:p>
          <w:p w14:paraId="78B23E70">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default"/>
                <w:color w:val="auto"/>
                <w:szCs w:val="21"/>
                <w:highlight w:val="none"/>
              </w:rPr>
              <w:t>T——用于计算等效声级的时间，s；</w:t>
            </w:r>
          </w:p>
          <w:p w14:paraId="51559D86">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default"/>
                <w:color w:val="auto"/>
                <w:szCs w:val="21"/>
                <w:highlight w:val="none"/>
              </w:rPr>
              <w:t>N——室外声源个数；</w:t>
            </w:r>
          </w:p>
          <w:p w14:paraId="5DD88568">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default"/>
                <w:color w:val="auto"/>
                <w:szCs w:val="21"/>
                <w:highlight w:val="none"/>
              </w:rPr>
              <w:t>M——等效室外声源个数；</w:t>
            </w:r>
          </w:p>
          <w:p w14:paraId="5D2EEEA2">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eastAsia" w:ascii="宋体" w:hAnsi="宋体" w:cs="宋体"/>
                <w:color w:val="auto"/>
                <w:szCs w:val="21"/>
                <w:highlight w:val="none"/>
              </w:rPr>
              <w:t>⑥</w:t>
            </w:r>
            <w:r>
              <w:rPr>
                <w:rFonts w:hint="default"/>
                <w:color w:val="auto"/>
                <w:szCs w:val="21"/>
                <w:highlight w:val="none"/>
              </w:rPr>
              <w:t>预测点的预测等效声级（Leq）计算：</w:t>
            </w:r>
          </w:p>
          <w:p w14:paraId="6B8229D3">
            <w:pPr>
              <w:keepNext w:val="0"/>
              <w:keepLines w:val="0"/>
              <w:widowControl/>
              <w:suppressLineNumbers w:val="0"/>
              <w:spacing w:before="0" w:beforeAutospacing="0" w:after="0" w:afterAutospacing="0" w:line="360" w:lineRule="auto"/>
              <w:ind w:left="0" w:right="0"/>
              <w:jc w:val="center"/>
              <w:rPr>
                <w:rFonts w:hint="default"/>
                <w:bCs/>
                <w:color w:val="auto"/>
                <w:szCs w:val="21"/>
                <w:highlight w:val="none"/>
              </w:rPr>
            </w:pPr>
            <w:r>
              <w:rPr>
                <w:rFonts w:hint="default"/>
                <w:color w:val="auto"/>
                <w:szCs w:val="21"/>
                <w:highlight w:val="none"/>
              </w:rPr>
              <w:drawing>
                <wp:inline distT="0" distB="0" distL="114300" distR="114300">
                  <wp:extent cx="1874520" cy="289560"/>
                  <wp:effectExtent l="0" t="0" r="0" b="0"/>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pic:cNvPicPr>
                            <a:picLocks noChangeAspect="1"/>
                          </pic:cNvPicPr>
                        </pic:nvPicPr>
                        <pic:blipFill>
                          <a:blip r:embed="rId23"/>
                          <a:stretch>
                            <a:fillRect/>
                          </a:stretch>
                        </pic:blipFill>
                        <pic:spPr>
                          <a:xfrm>
                            <a:off x="0" y="0"/>
                            <a:ext cx="1874520" cy="289560"/>
                          </a:xfrm>
                          <a:prstGeom prst="rect">
                            <a:avLst/>
                          </a:prstGeom>
                          <a:noFill/>
                          <a:ln>
                            <a:noFill/>
                          </a:ln>
                        </pic:spPr>
                      </pic:pic>
                    </a:graphicData>
                  </a:graphic>
                </wp:inline>
              </w:drawing>
            </w:r>
          </w:p>
          <w:p w14:paraId="178F3C16">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default"/>
                <w:color w:val="auto"/>
                <w:szCs w:val="21"/>
                <w:highlight w:val="none"/>
              </w:rPr>
              <w:t>式中：L</w:t>
            </w:r>
            <w:r>
              <w:rPr>
                <w:rFonts w:hint="default"/>
                <w:color w:val="auto"/>
                <w:szCs w:val="21"/>
                <w:highlight w:val="none"/>
                <w:vertAlign w:val="subscript"/>
              </w:rPr>
              <w:t>eq</w:t>
            </w:r>
            <w:r>
              <w:rPr>
                <w:rFonts w:hint="default"/>
                <w:color w:val="auto"/>
                <w:szCs w:val="21"/>
                <w:highlight w:val="none"/>
              </w:rPr>
              <w:t>——建设项目声源在预测点的等效声级贡献量，dB(A)；</w:t>
            </w:r>
          </w:p>
          <w:p w14:paraId="0EB1B765">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default"/>
                <w:color w:val="auto"/>
                <w:szCs w:val="21"/>
                <w:highlight w:val="none"/>
              </w:rPr>
              <w:t>L</w:t>
            </w:r>
            <w:r>
              <w:rPr>
                <w:rFonts w:hint="default"/>
                <w:color w:val="auto"/>
                <w:szCs w:val="21"/>
                <w:highlight w:val="none"/>
                <w:vertAlign w:val="subscript"/>
              </w:rPr>
              <w:t>eqb</w:t>
            </w:r>
            <w:r>
              <w:rPr>
                <w:rFonts w:hint="default"/>
                <w:color w:val="auto"/>
                <w:szCs w:val="21"/>
                <w:highlight w:val="none"/>
              </w:rPr>
              <w:t>——预测点背景值，dB(A)；</w:t>
            </w:r>
          </w:p>
          <w:p w14:paraId="545D9A5D">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eastAsia" w:ascii="宋体" w:hAnsi="宋体" w:cs="宋体"/>
                <w:color w:val="auto"/>
                <w:szCs w:val="21"/>
                <w:highlight w:val="none"/>
              </w:rPr>
              <w:t>⑦</w:t>
            </w:r>
            <w:r>
              <w:rPr>
                <w:rFonts w:hint="default"/>
                <w:color w:val="auto"/>
                <w:szCs w:val="21"/>
                <w:highlight w:val="none"/>
              </w:rPr>
              <w:t>预测值计算采用点声源的半自由声场几何发散衰减公式：</w:t>
            </w:r>
          </w:p>
          <w:p w14:paraId="318FF2F4">
            <w:pPr>
              <w:keepNext w:val="0"/>
              <w:keepLines w:val="0"/>
              <w:widowControl/>
              <w:suppressLineNumbers w:val="0"/>
              <w:spacing w:before="0" w:beforeAutospacing="0" w:after="0" w:afterAutospacing="0" w:line="360" w:lineRule="auto"/>
              <w:ind w:left="0" w:right="0" w:firstLine="63" w:firstLineChars="30"/>
              <w:jc w:val="center"/>
              <w:rPr>
                <w:rFonts w:hint="default"/>
                <w:color w:val="auto"/>
                <w:szCs w:val="21"/>
                <w:highlight w:val="none"/>
              </w:rPr>
            </w:pPr>
            <w:r>
              <w:rPr>
                <w:rFonts w:hint="default"/>
                <w:color w:val="auto"/>
                <w:position w:val="-24"/>
                <w:szCs w:val="21"/>
                <w:highlight w:val="none"/>
              </w:rPr>
              <w:drawing>
                <wp:inline distT="0" distB="0" distL="114300" distR="114300">
                  <wp:extent cx="2004695" cy="365760"/>
                  <wp:effectExtent l="0" t="0" r="0" b="0"/>
                  <wp:docPr id="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pic:cNvPicPr>
                            <a:picLocks noChangeAspect="1"/>
                          </pic:cNvPicPr>
                        </pic:nvPicPr>
                        <pic:blipFill>
                          <a:blip r:embed="rId24"/>
                          <a:stretch>
                            <a:fillRect/>
                          </a:stretch>
                        </pic:blipFill>
                        <pic:spPr>
                          <a:xfrm>
                            <a:off x="0" y="0"/>
                            <a:ext cx="2004695" cy="365760"/>
                          </a:xfrm>
                          <a:prstGeom prst="rect">
                            <a:avLst/>
                          </a:prstGeom>
                          <a:noFill/>
                          <a:ln>
                            <a:noFill/>
                          </a:ln>
                        </pic:spPr>
                      </pic:pic>
                    </a:graphicData>
                  </a:graphic>
                </wp:inline>
              </w:drawing>
            </w:r>
          </w:p>
          <w:p w14:paraId="30D834F6">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default"/>
                <w:color w:val="auto"/>
                <w:szCs w:val="21"/>
                <w:highlight w:val="none"/>
              </w:rPr>
              <w:t>式中：L</w:t>
            </w:r>
            <w:r>
              <w:rPr>
                <w:rFonts w:hint="default"/>
                <w:color w:val="auto"/>
                <w:szCs w:val="21"/>
                <w:highlight w:val="none"/>
                <w:vertAlign w:val="subscript"/>
              </w:rPr>
              <w:t>oct(r)</w:t>
            </w:r>
            <w:r>
              <w:rPr>
                <w:rFonts w:hint="default"/>
                <w:color w:val="auto"/>
                <w:szCs w:val="21"/>
                <w:highlight w:val="none"/>
              </w:rPr>
              <w:t>—点声源在预测点产生的倍频带声压级；</w:t>
            </w:r>
          </w:p>
          <w:p w14:paraId="5D63CD7D">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default"/>
                <w:color w:val="auto"/>
                <w:szCs w:val="21"/>
                <w:highlight w:val="none"/>
              </w:rPr>
              <w:t>L</w:t>
            </w:r>
            <w:r>
              <w:rPr>
                <w:rFonts w:hint="default"/>
                <w:color w:val="auto"/>
                <w:szCs w:val="21"/>
                <w:highlight w:val="none"/>
                <w:vertAlign w:val="subscript"/>
              </w:rPr>
              <w:t>oct(r0)</w:t>
            </w:r>
            <w:r>
              <w:rPr>
                <w:rFonts w:hint="default"/>
                <w:color w:val="auto"/>
                <w:szCs w:val="21"/>
                <w:highlight w:val="none"/>
              </w:rPr>
              <w:t>—参考位置r</w:t>
            </w:r>
            <w:r>
              <w:rPr>
                <w:rFonts w:hint="default"/>
                <w:color w:val="auto"/>
                <w:szCs w:val="21"/>
                <w:highlight w:val="none"/>
                <w:vertAlign w:val="subscript"/>
              </w:rPr>
              <w:t>0</w:t>
            </w:r>
            <w:r>
              <w:rPr>
                <w:rFonts w:hint="default"/>
                <w:color w:val="auto"/>
                <w:szCs w:val="21"/>
                <w:highlight w:val="none"/>
              </w:rPr>
              <w:t>处的倍频带声压级；</w:t>
            </w:r>
          </w:p>
          <w:p w14:paraId="70B729D3">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default"/>
                <w:color w:val="auto"/>
                <w:szCs w:val="21"/>
                <w:highlight w:val="none"/>
              </w:rPr>
              <w:t>r—预测点距声源的距离，m；</w:t>
            </w:r>
          </w:p>
          <w:p w14:paraId="120DB0A9">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default"/>
                <w:color w:val="auto"/>
                <w:szCs w:val="21"/>
                <w:highlight w:val="none"/>
              </w:rPr>
              <w:t>r</w:t>
            </w:r>
            <w:r>
              <w:rPr>
                <w:rFonts w:hint="default"/>
                <w:color w:val="auto"/>
                <w:szCs w:val="21"/>
                <w:highlight w:val="none"/>
                <w:vertAlign w:val="subscript"/>
              </w:rPr>
              <w:t>0</w:t>
            </w:r>
            <w:r>
              <w:rPr>
                <w:rFonts w:hint="default"/>
                <w:color w:val="auto"/>
                <w:szCs w:val="21"/>
                <w:highlight w:val="none"/>
              </w:rPr>
              <w:t>—参考位置距声源的距离，m；r</w:t>
            </w:r>
            <w:r>
              <w:rPr>
                <w:rFonts w:hint="default"/>
                <w:color w:val="auto"/>
                <w:szCs w:val="21"/>
                <w:highlight w:val="none"/>
                <w:vertAlign w:val="subscript"/>
              </w:rPr>
              <w:t>0</w:t>
            </w:r>
            <w:r>
              <w:rPr>
                <w:rFonts w:hint="default"/>
                <w:color w:val="auto"/>
                <w:szCs w:val="21"/>
                <w:highlight w:val="none"/>
              </w:rPr>
              <w:t>=1</w:t>
            </w:r>
          </w:p>
          <w:p w14:paraId="51C7A585">
            <w:pPr>
              <w:keepNext w:val="0"/>
              <w:keepLines w:val="0"/>
              <w:widowControl/>
              <w:suppressLineNumbers w:val="0"/>
              <w:spacing w:before="0" w:beforeAutospacing="0" w:after="0" w:afterAutospacing="0" w:line="360" w:lineRule="auto"/>
              <w:ind w:left="0" w:right="0" w:firstLine="525" w:firstLineChars="250"/>
              <w:rPr>
                <w:rFonts w:hint="default"/>
                <w:color w:val="auto"/>
                <w:szCs w:val="21"/>
                <w:highlight w:val="none"/>
              </w:rPr>
            </w:pPr>
            <w:r>
              <w:rPr>
                <w:rFonts w:hint="default"/>
                <w:color w:val="auto"/>
                <w:szCs w:val="21"/>
                <w:highlight w:val="none"/>
              </w:rPr>
              <w:t>综上分析，上式可简化为：</w:t>
            </w:r>
          </w:p>
          <w:p w14:paraId="463D43AD">
            <w:pPr>
              <w:keepNext w:val="0"/>
              <w:keepLines w:val="0"/>
              <w:widowControl/>
              <w:suppressLineNumbers w:val="0"/>
              <w:spacing w:before="0" w:beforeAutospacing="0" w:after="0" w:afterAutospacing="0" w:line="360" w:lineRule="auto"/>
              <w:ind w:left="0" w:right="0"/>
              <w:jc w:val="center"/>
              <w:rPr>
                <w:rFonts w:hint="default"/>
                <w:color w:val="auto"/>
                <w:szCs w:val="21"/>
                <w:highlight w:val="none"/>
              </w:rPr>
            </w:pPr>
            <w:r>
              <w:rPr>
                <w:rFonts w:hint="default"/>
                <w:color w:val="auto"/>
                <w:position w:val="-14"/>
                <w:szCs w:val="21"/>
                <w:highlight w:val="none"/>
              </w:rPr>
              <w:drawing>
                <wp:inline distT="0" distB="0" distL="114300" distR="114300">
                  <wp:extent cx="1873885" cy="259080"/>
                  <wp:effectExtent l="0" t="0" r="635" b="0"/>
                  <wp:docPr id="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pic:cNvPicPr>
                            <a:picLocks noChangeAspect="1"/>
                          </pic:cNvPicPr>
                        </pic:nvPicPr>
                        <pic:blipFill>
                          <a:blip r:embed="rId25"/>
                          <a:stretch>
                            <a:fillRect/>
                          </a:stretch>
                        </pic:blipFill>
                        <pic:spPr>
                          <a:xfrm>
                            <a:off x="0" y="0"/>
                            <a:ext cx="1873885" cy="259080"/>
                          </a:xfrm>
                          <a:prstGeom prst="rect">
                            <a:avLst/>
                          </a:prstGeom>
                          <a:noFill/>
                          <a:ln>
                            <a:noFill/>
                          </a:ln>
                        </pic:spPr>
                      </pic:pic>
                    </a:graphicData>
                  </a:graphic>
                </wp:inline>
              </w:drawing>
            </w:r>
          </w:p>
          <w:p w14:paraId="6418AF0C">
            <w:pPr>
              <w:keepNext w:val="0"/>
              <w:keepLines w:val="0"/>
              <w:widowControl/>
              <w:suppressLineNumbers w:val="0"/>
              <w:spacing w:before="0" w:beforeAutospacing="0" w:after="0" w:afterAutospacing="0" w:line="360" w:lineRule="auto"/>
              <w:ind w:left="0" w:right="0"/>
              <w:rPr>
                <w:color w:val="auto"/>
                <w:highlight w:val="none"/>
                <w:vertAlign w:val="baseline"/>
              </w:rPr>
            </w:pPr>
            <w:r>
              <w:rPr>
                <w:rFonts w:hint="default"/>
                <w:color w:val="auto"/>
                <w:szCs w:val="21"/>
                <w:highlight w:val="none"/>
              </w:rPr>
              <w:t>通过上述预测模式，在采取措施后预测出项目声源在项目边界的噪声值，计算结果下表。</w:t>
            </w:r>
          </w:p>
        </w:tc>
      </w:tr>
    </w:tbl>
    <w:p w14:paraId="20221FBA">
      <w:pPr>
        <w:pStyle w:val="3"/>
        <w:rPr>
          <w:color w:val="auto"/>
          <w:highlight w:val="none"/>
        </w:rPr>
        <w:sectPr>
          <w:pgSz w:w="11907" w:h="16840"/>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tbl>
      <w:tblPr>
        <w:tblStyle w:val="4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794"/>
      </w:tblGrid>
      <w:tr w14:paraId="76578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 w:type="pct"/>
            <w:noWrap w:val="0"/>
            <w:vAlign w:val="center"/>
          </w:tcPr>
          <w:p w14:paraId="48D76D54">
            <w:pPr>
              <w:pStyle w:val="37"/>
              <w:keepNext w:val="0"/>
              <w:keepLines w:val="0"/>
              <w:suppressLineNumbers w:val="0"/>
              <w:ind w:left="0" w:right="0"/>
              <w:jc w:val="center"/>
              <w:outlineLvl w:val="9"/>
              <w:rPr>
                <w:rFonts w:hint="default" w:ascii="Times New Roman" w:hAnsi="Times New Roman" w:cs="Times New Roman"/>
                <w:snapToGrid w:val="0"/>
                <w:color w:val="auto"/>
                <w:sz w:val="30"/>
                <w:szCs w:val="30"/>
                <w:highlight w:val="none"/>
              </w:rPr>
            </w:pPr>
            <w:r>
              <w:rPr>
                <w:rFonts w:hint="eastAsia"/>
                <w:b w:val="0"/>
                <w:bCs/>
                <w:color w:val="auto"/>
                <w:sz w:val="21"/>
                <w:szCs w:val="32"/>
                <w:highlight w:val="none"/>
                <w:vertAlign w:val="baseline"/>
              </w:rPr>
              <w:t>运营期环境影响和保护措施</w:t>
            </w:r>
          </w:p>
        </w:tc>
        <w:tc>
          <w:tcPr>
            <w:tcW w:w="4921" w:type="pct"/>
            <w:noWrap w:val="0"/>
            <w:vAlign w:val="top"/>
          </w:tcPr>
          <w:p w14:paraId="398438CC">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157" w:afterLines="50" w:afterAutospacing="0"/>
              <w:ind w:right="0"/>
              <w:jc w:val="center"/>
              <w:textAlignment w:val="auto"/>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 xml:space="preserve"> 厂界噪声和敏感点预测结果 dB(A)</w:t>
            </w:r>
          </w:p>
          <w:tbl>
            <w:tblPr>
              <w:tblStyle w:val="41"/>
              <w:tblW w:w="5000" w:type="pct"/>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7"/>
              <w:gridCol w:w="1441"/>
              <w:gridCol w:w="887"/>
              <w:gridCol w:w="890"/>
              <w:gridCol w:w="887"/>
              <w:gridCol w:w="890"/>
              <w:gridCol w:w="906"/>
              <w:gridCol w:w="890"/>
              <w:gridCol w:w="887"/>
              <w:gridCol w:w="890"/>
              <w:gridCol w:w="887"/>
              <w:gridCol w:w="891"/>
              <w:gridCol w:w="1162"/>
              <w:gridCol w:w="1173"/>
            </w:tblGrid>
            <w:tr w14:paraId="24D592F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7" w:type="pct"/>
                  <w:vMerge w:val="restart"/>
                  <w:tcBorders>
                    <w:tl2br w:val="nil"/>
                    <w:tr2bl w:val="nil"/>
                  </w:tcBorders>
                  <w:noWrap w:val="0"/>
                  <w:vAlign w:val="center"/>
                </w:tcPr>
                <w:p w14:paraId="5830CED4">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序号</w:t>
                  </w:r>
                </w:p>
              </w:tc>
              <w:tc>
                <w:tcPr>
                  <w:tcW w:w="531" w:type="pct"/>
                  <w:vMerge w:val="restart"/>
                  <w:tcBorders>
                    <w:tl2br w:val="nil"/>
                    <w:tr2bl w:val="nil"/>
                  </w:tcBorders>
                  <w:noWrap w:val="0"/>
                  <w:vAlign w:val="center"/>
                </w:tcPr>
                <w:p w14:paraId="4BF49E8C">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t>预测点位</w:t>
                  </w:r>
                </w:p>
              </w:tc>
              <w:tc>
                <w:tcPr>
                  <w:tcW w:w="655" w:type="pct"/>
                  <w:gridSpan w:val="2"/>
                  <w:tcBorders>
                    <w:tl2br w:val="nil"/>
                    <w:tr2bl w:val="nil"/>
                  </w:tcBorders>
                  <w:noWrap w:val="0"/>
                  <w:vAlign w:val="center"/>
                </w:tcPr>
                <w:p w14:paraId="41B80769">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噪声现状值</w:t>
                  </w:r>
                </w:p>
              </w:tc>
              <w:tc>
                <w:tcPr>
                  <w:tcW w:w="655" w:type="pct"/>
                  <w:gridSpan w:val="2"/>
                  <w:tcBorders>
                    <w:tl2br w:val="nil"/>
                    <w:tr2bl w:val="nil"/>
                  </w:tcBorders>
                  <w:noWrap w:val="0"/>
                  <w:vAlign w:val="center"/>
                </w:tcPr>
                <w:p w14:paraId="75D8DDDD">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噪声标准值</w:t>
                  </w:r>
                </w:p>
              </w:tc>
              <w:tc>
                <w:tcPr>
                  <w:tcW w:w="662" w:type="pct"/>
                  <w:gridSpan w:val="2"/>
                  <w:tcBorders>
                    <w:tl2br w:val="nil"/>
                    <w:tr2bl w:val="nil"/>
                  </w:tcBorders>
                  <w:noWrap w:val="0"/>
                  <w:vAlign w:val="center"/>
                </w:tcPr>
                <w:p w14:paraId="666BCB5B">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噪声贡献值</w:t>
                  </w:r>
                </w:p>
              </w:tc>
              <w:tc>
                <w:tcPr>
                  <w:tcW w:w="655" w:type="pct"/>
                  <w:gridSpan w:val="2"/>
                  <w:tcBorders>
                    <w:tl2br w:val="nil"/>
                    <w:tr2bl w:val="nil"/>
                  </w:tcBorders>
                  <w:noWrap w:val="0"/>
                  <w:vAlign w:val="center"/>
                </w:tcPr>
                <w:p w14:paraId="7014BD2D">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噪声预测值</w:t>
                  </w:r>
                </w:p>
              </w:tc>
              <w:tc>
                <w:tcPr>
                  <w:tcW w:w="655" w:type="pct"/>
                  <w:gridSpan w:val="2"/>
                  <w:tcBorders>
                    <w:tl2br w:val="nil"/>
                    <w:tr2bl w:val="nil"/>
                  </w:tcBorders>
                  <w:noWrap w:val="0"/>
                  <w:vAlign w:val="center"/>
                </w:tcPr>
                <w:p w14:paraId="09C150DB">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较现状增量</w:t>
                  </w:r>
                </w:p>
              </w:tc>
              <w:tc>
                <w:tcPr>
                  <w:tcW w:w="856" w:type="pct"/>
                  <w:gridSpan w:val="2"/>
                  <w:tcBorders>
                    <w:tl2br w:val="nil"/>
                    <w:tr2bl w:val="nil"/>
                  </w:tcBorders>
                  <w:noWrap w:val="0"/>
                  <w:vAlign w:val="center"/>
                </w:tcPr>
                <w:p w14:paraId="2972B559">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超标和达标情况</w:t>
                  </w:r>
                </w:p>
              </w:tc>
            </w:tr>
            <w:tr w14:paraId="6ED1A13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7" w:type="pct"/>
                  <w:vMerge w:val="continue"/>
                  <w:tcBorders>
                    <w:tl2br w:val="nil"/>
                    <w:tr2bl w:val="nil"/>
                  </w:tcBorders>
                  <w:noWrap w:val="0"/>
                  <w:vAlign w:val="center"/>
                </w:tcPr>
                <w:p w14:paraId="68AE3002">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p>
              </w:tc>
              <w:tc>
                <w:tcPr>
                  <w:tcW w:w="531" w:type="pct"/>
                  <w:vMerge w:val="continue"/>
                  <w:tcBorders>
                    <w:tl2br w:val="nil"/>
                    <w:tr2bl w:val="nil"/>
                  </w:tcBorders>
                  <w:noWrap w:val="0"/>
                  <w:vAlign w:val="center"/>
                </w:tcPr>
                <w:p w14:paraId="5DC1A1D3">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p>
              </w:tc>
              <w:tc>
                <w:tcPr>
                  <w:tcW w:w="327" w:type="pct"/>
                  <w:tcBorders>
                    <w:tl2br w:val="nil"/>
                    <w:tr2bl w:val="nil"/>
                  </w:tcBorders>
                  <w:noWrap w:val="0"/>
                  <w:vAlign w:val="center"/>
                </w:tcPr>
                <w:p w14:paraId="2D234BE9">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昼间</w:t>
                  </w:r>
                </w:p>
              </w:tc>
              <w:tc>
                <w:tcPr>
                  <w:tcW w:w="327" w:type="pct"/>
                  <w:tcBorders>
                    <w:tl2br w:val="nil"/>
                    <w:tr2bl w:val="nil"/>
                  </w:tcBorders>
                  <w:noWrap w:val="0"/>
                  <w:vAlign w:val="center"/>
                </w:tcPr>
                <w:p w14:paraId="5DF534A4">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夜间</w:t>
                  </w:r>
                </w:p>
              </w:tc>
              <w:tc>
                <w:tcPr>
                  <w:tcW w:w="327" w:type="pct"/>
                  <w:tcBorders>
                    <w:tl2br w:val="nil"/>
                    <w:tr2bl w:val="nil"/>
                  </w:tcBorders>
                  <w:noWrap w:val="0"/>
                  <w:vAlign w:val="center"/>
                </w:tcPr>
                <w:p w14:paraId="3AF78528">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昼间</w:t>
                  </w:r>
                </w:p>
              </w:tc>
              <w:tc>
                <w:tcPr>
                  <w:tcW w:w="327" w:type="pct"/>
                  <w:tcBorders>
                    <w:tl2br w:val="nil"/>
                    <w:tr2bl w:val="nil"/>
                  </w:tcBorders>
                  <w:noWrap w:val="0"/>
                  <w:vAlign w:val="center"/>
                </w:tcPr>
                <w:p w14:paraId="609C01A1">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夜间</w:t>
                  </w:r>
                </w:p>
              </w:tc>
              <w:tc>
                <w:tcPr>
                  <w:tcW w:w="334" w:type="pct"/>
                  <w:tcBorders>
                    <w:tl2br w:val="nil"/>
                    <w:tr2bl w:val="nil"/>
                  </w:tcBorders>
                  <w:noWrap w:val="0"/>
                  <w:vAlign w:val="center"/>
                </w:tcPr>
                <w:p w14:paraId="1F4F1493">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昼间</w:t>
                  </w:r>
                </w:p>
              </w:tc>
              <w:tc>
                <w:tcPr>
                  <w:tcW w:w="327" w:type="pct"/>
                  <w:tcBorders>
                    <w:tl2br w:val="nil"/>
                    <w:tr2bl w:val="nil"/>
                  </w:tcBorders>
                  <w:noWrap w:val="0"/>
                  <w:vAlign w:val="center"/>
                </w:tcPr>
                <w:p w14:paraId="74C83202">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夜间</w:t>
                  </w:r>
                </w:p>
              </w:tc>
              <w:tc>
                <w:tcPr>
                  <w:tcW w:w="327" w:type="pct"/>
                  <w:tcBorders>
                    <w:tl2br w:val="nil"/>
                    <w:tr2bl w:val="nil"/>
                  </w:tcBorders>
                  <w:noWrap w:val="0"/>
                  <w:vAlign w:val="center"/>
                </w:tcPr>
                <w:p w14:paraId="255BB734">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昼间</w:t>
                  </w:r>
                </w:p>
              </w:tc>
              <w:tc>
                <w:tcPr>
                  <w:tcW w:w="327" w:type="pct"/>
                  <w:tcBorders>
                    <w:tl2br w:val="nil"/>
                    <w:tr2bl w:val="nil"/>
                  </w:tcBorders>
                  <w:noWrap w:val="0"/>
                  <w:vAlign w:val="center"/>
                </w:tcPr>
                <w:p w14:paraId="0A991FCD">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夜间</w:t>
                  </w:r>
                </w:p>
              </w:tc>
              <w:tc>
                <w:tcPr>
                  <w:tcW w:w="327" w:type="pct"/>
                  <w:tcBorders>
                    <w:tl2br w:val="nil"/>
                    <w:tr2bl w:val="nil"/>
                  </w:tcBorders>
                  <w:noWrap w:val="0"/>
                  <w:vAlign w:val="center"/>
                </w:tcPr>
                <w:p w14:paraId="3CC2465C">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昼间</w:t>
                  </w:r>
                </w:p>
              </w:tc>
              <w:tc>
                <w:tcPr>
                  <w:tcW w:w="327" w:type="pct"/>
                  <w:tcBorders>
                    <w:tl2br w:val="nil"/>
                    <w:tr2bl w:val="nil"/>
                  </w:tcBorders>
                  <w:noWrap w:val="0"/>
                  <w:vAlign w:val="center"/>
                </w:tcPr>
                <w:p w14:paraId="5A1BD734">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夜间</w:t>
                  </w:r>
                </w:p>
              </w:tc>
              <w:tc>
                <w:tcPr>
                  <w:tcW w:w="428" w:type="pct"/>
                  <w:tcBorders>
                    <w:tl2br w:val="nil"/>
                    <w:tr2bl w:val="nil"/>
                  </w:tcBorders>
                  <w:noWrap w:val="0"/>
                  <w:vAlign w:val="center"/>
                </w:tcPr>
                <w:p w14:paraId="4B24BA2A">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昼间</w:t>
                  </w:r>
                </w:p>
              </w:tc>
              <w:tc>
                <w:tcPr>
                  <w:tcW w:w="428" w:type="pct"/>
                  <w:tcBorders>
                    <w:tl2br w:val="nil"/>
                    <w:tr2bl w:val="nil"/>
                  </w:tcBorders>
                  <w:noWrap w:val="0"/>
                  <w:vAlign w:val="center"/>
                </w:tcPr>
                <w:p w14:paraId="5553910C">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夜间</w:t>
                  </w:r>
                </w:p>
              </w:tc>
            </w:tr>
            <w:tr w14:paraId="2A6B0C1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7" w:type="pct"/>
                  <w:tcBorders>
                    <w:tl2br w:val="nil"/>
                    <w:tr2bl w:val="nil"/>
                  </w:tcBorders>
                  <w:noWrap w:val="0"/>
                  <w:vAlign w:val="center"/>
                </w:tcPr>
                <w:p w14:paraId="66CC3750">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1</w:t>
                  </w:r>
                </w:p>
              </w:tc>
              <w:tc>
                <w:tcPr>
                  <w:tcW w:w="531" w:type="pct"/>
                  <w:tcBorders>
                    <w:tl2br w:val="nil"/>
                    <w:tr2bl w:val="nil"/>
                  </w:tcBorders>
                  <w:noWrap w:val="0"/>
                  <w:vAlign w:val="center"/>
                </w:tcPr>
                <w:p w14:paraId="622AEA21">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cs="Times New Roman"/>
                      <w:color w:val="auto"/>
                      <w:szCs w:val="21"/>
                      <w:highlight w:val="none"/>
                      <w:lang w:val="en-US" w:eastAsia="zh-CN"/>
                    </w:rPr>
                    <w:t>东</w:t>
                  </w:r>
                  <w:r>
                    <w:rPr>
                      <w:rFonts w:hint="default" w:ascii="Times New Roman" w:hAnsi="Times New Roman" w:cs="Times New Roman"/>
                      <w:color w:val="auto"/>
                      <w:szCs w:val="21"/>
                      <w:highlight w:val="none"/>
                    </w:rPr>
                    <w:t>侧边界</w:t>
                  </w:r>
                </w:p>
              </w:tc>
              <w:tc>
                <w:tcPr>
                  <w:tcW w:w="327" w:type="pct"/>
                  <w:tcBorders>
                    <w:tl2br w:val="nil"/>
                    <w:tr2bl w:val="nil"/>
                  </w:tcBorders>
                  <w:noWrap w:val="0"/>
                  <w:vAlign w:val="center"/>
                </w:tcPr>
                <w:p w14:paraId="3087C734">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327" w:type="pct"/>
                  <w:tcBorders>
                    <w:tl2br w:val="nil"/>
                    <w:tr2bl w:val="nil"/>
                  </w:tcBorders>
                  <w:noWrap w:val="0"/>
                  <w:vAlign w:val="center"/>
                </w:tcPr>
                <w:p w14:paraId="71A896A3">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327" w:type="pct"/>
                  <w:tcBorders>
                    <w:tl2br w:val="nil"/>
                    <w:tr2bl w:val="nil"/>
                  </w:tcBorders>
                  <w:noWrap w:val="0"/>
                  <w:vAlign w:val="center"/>
                </w:tcPr>
                <w:p w14:paraId="1F700A3C">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65</w:t>
                  </w:r>
                </w:p>
              </w:tc>
              <w:tc>
                <w:tcPr>
                  <w:tcW w:w="327" w:type="pct"/>
                  <w:tcBorders>
                    <w:tl2br w:val="nil"/>
                    <w:tr2bl w:val="nil"/>
                  </w:tcBorders>
                  <w:noWrap w:val="0"/>
                  <w:vAlign w:val="center"/>
                </w:tcPr>
                <w:p w14:paraId="40EB60C5">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55</w:t>
                  </w:r>
                </w:p>
              </w:tc>
              <w:tc>
                <w:tcPr>
                  <w:tcW w:w="334" w:type="pct"/>
                  <w:tcBorders>
                    <w:tl2br w:val="nil"/>
                    <w:tr2bl w:val="nil"/>
                  </w:tcBorders>
                  <w:noWrap w:val="0"/>
                  <w:vAlign w:val="center"/>
                </w:tcPr>
                <w:p w14:paraId="0652372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b w:val="0"/>
                      <w:bCs w:val="0"/>
                      <w:color w:val="auto"/>
                      <w:highlight w:val="none"/>
                      <w:lang w:val="en-US" w:eastAsia="zh-CN"/>
                    </w:rPr>
                  </w:pPr>
                  <w:r>
                    <w:rPr>
                      <w:rFonts w:hint="eastAsia" w:cs="Times New Roman"/>
                      <w:b w:val="0"/>
                      <w:bCs w:val="0"/>
                      <w:color w:val="auto"/>
                      <w:highlight w:val="none"/>
                      <w:lang w:val="en-US" w:eastAsia="zh-CN"/>
                    </w:rPr>
                    <w:t>52.1</w:t>
                  </w:r>
                </w:p>
              </w:tc>
              <w:tc>
                <w:tcPr>
                  <w:tcW w:w="327" w:type="pct"/>
                  <w:tcBorders>
                    <w:tl2br w:val="nil"/>
                    <w:tr2bl w:val="nil"/>
                  </w:tcBorders>
                  <w:noWrap w:val="0"/>
                  <w:vAlign w:val="center"/>
                </w:tcPr>
                <w:p w14:paraId="6D45EE33">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327" w:type="pct"/>
                  <w:tcBorders>
                    <w:tl2br w:val="nil"/>
                    <w:tr2bl w:val="nil"/>
                  </w:tcBorders>
                  <w:noWrap w:val="0"/>
                  <w:vAlign w:val="center"/>
                </w:tcPr>
                <w:p w14:paraId="12A78374">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327" w:type="pct"/>
                  <w:tcBorders>
                    <w:tl2br w:val="nil"/>
                    <w:tr2bl w:val="nil"/>
                  </w:tcBorders>
                  <w:noWrap w:val="0"/>
                  <w:vAlign w:val="center"/>
                </w:tcPr>
                <w:p w14:paraId="7AD9C46A">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327" w:type="pct"/>
                  <w:tcBorders>
                    <w:tl2br w:val="nil"/>
                    <w:tr2bl w:val="nil"/>
                  </w:tcBorders>
                  <w:noWrap w:val="0"/>
                  <w:vAlign w:val="center"/>
                </w:tcPr>
                <w:p w14:paraId="37119696">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327" w:type="pct"/>
                  <w:tcBorders>
                    <w:tl2br w:val="nil"/>
                    <w:tr2bl w:val="nil"/>
                  </w:tcBorders>
                  <w:noWrap w:val="0"/>
                  <w:vAlign w:val="center"/>
                </w:tcPr>
                <w:p w14:paraId="78378BE7">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428" w:type="pct"/>
                  <w:tcBorders>
                    <w:tl2br w:val="nil"/>
                    <w:tr2bl w:val="nil"/>
                  </w:tcBorders>
                  <w:noWrap w:val="0"/>
                  <w:vAlign w:val="center"/>
                </w:tcPr>
                <w:p w14:paraId="54DFDD9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达标</w:t>
                  </w:r>
                </w:p>
              </w:tc>
              <w:tc>
                <w:tcPr>
                  <w:tcW w:w="428" w:type="pct"/>
                  <w:tcBorders>
                    <w:tl2br w:val="nil"/>
                    <w:tr2bl w:val="nil"/>
                  </w:tcBorders>
                  <w:noWrap w:val="0"/>
                  <w:vAlign w:val="center"/>
                </w:tcPr>
                <w:p w14:paraId="7B1B26DA">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达标</w:t>
                  </w:r>
                </w:p>
              </w:tc>
            </w:tr>
            <w:tr w14:paraId="6AD2816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7" w:type="pct"/>
                  <w:tcBorders>
                    <w:tl2br w:val="nil"/>
                    <w:tr2bl w:val="nil"/>
                  </w:tcBorders>
                  <w:noWrap w:val="0"/>
                  <w:vAlign w:val="center"/>
                </w:tcPr>
                <w:p w14:paraId="2C85AEDC">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2</w:t>
                  </w:r>
                </w:p>
              </w:tc>
              <w:tc>
                <w:tcPr>
                  <w:tcW w:w="531" w:type="pct"/>
                  <w:tcBorders>
                    <w:tl2br w:val="nil"/>
                    <w:tr2bl w:val="nil"/>
                  </w:tcBorders>
                  <w:noWrap w:val="0"/>
                  <w:vAlign w:val="center"/>
                </w:tcPr>
                <w:p w14:paraId="12ABF96F">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t>南侧边界</w:t>
                  </w:r>
                </w:p>
              </w:tc>
              <w:tc>
                <w:tcPr>
                  <w:tcW w:w="327" w:type="pct"/>
                  <w:tcBorders>
                    <w:tl2br w:val="nil"/>
                    <w:tr2bl w:val="nil"/>
                  </w:tcBorders>
                  <w:noWrap w:val="0"/>
                  <w:vAlign w:val="center"/>
                </w:tcPr>
                <w:p w14:paraId="759BBE5F">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327" w:type="pct"/>
                  <w:tcBorders>
                    <w:tl2br w:val="nil"/>
                    <w:tr2bl w:val="nil"/>
                  </w:tcBorders>
                  <w:noWrap w:val="0"/>
                  <w:vAlign w:val="center"/>
                </w:tcPr>
                <w:p w14:paraId="4063694B">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327" w:type="pct"/>
                  <w:tcBorders>
                    <w:tl2br w:val="nil"/>
                    <w:tr2bl w:val="nil"/>
                  </w:tcBorders>
                  <w:noWrap w:val="0"/>
                  <w:vAlign w:val="center"/>
                </w:tcPr>
                <w:p w14:paraId="733A6624">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65</w:t>
                  </w:r>
                </w:p>
              </w:tc>
              <w:tc>
                <w:tcPr>
                  <w:tcW w:w="327" w:type="pct"/>
                  <w:tcBorders>
                    <w:tl2br w:val="nil"/>
                    <w:tr2bl w:val="nil"/>
                  </w:tcBorders>
                  <w:noWrap w:val="0"/>
                  <w:vAlign w:val="center"/>
                </w:tcPr>
                <w:p w14:paraId="68B73028">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55</w:t>
                  </w:r>
                </w:p>
              </w:tc>
              <w:tc>
                <w:tcPr>
                  <w:tcW w:w="334" w:type="pct"/>
                  <w:tcBorders>
                    <w:tl2br w:val="nil"/>
                    <w:tr2bl w:val="nil"/>
                  </w:tcBorders>
                  <w:noWrap w:val="0"/>
                  <w:vAlign w:val="center"/>
                </w:tcPr>
                <w:p w14:paraId="4D26AFE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54.5</w:t>
                  </w:r>
                </w:p>
              </w:tc>
              <w:tc>
                <w:tcPr>
                  <w:tcW w:w="327" w:type="pct"/>
                  <w:tcBorders>
                    <w:tl2br w:val="nil"/>
                    <w:tr2bl w:val="nil"/>
                  </w:tcBorders>
                  <w:noWrap w:val="0"/>
                  <w:vAlign w:val="center"/>
                </w:tcPr>
                <w:p w14:paraId="2B3C17B6">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327" w:type="pct"/>
                  <w:tcBorders>
                    <w:tl2br w:val="nil"/>
                    <w:tr2bl w:val="nil"/>
                  </w:tcBorders>
                  <w:noWrap w:val="0"/>
                  <w:vAlign w:val="center"/>
                </w:tcPr>
                <w:p w14:paraId="656BA49B">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327" w:type="pct"/>
                  <w:tcBorders>
                    <w:tl2br w:val="nil"/>
                    <w:tr2bl w:val="nil"/>
                  </w:tcBorders>
                  <w:noWrap w:val="0"/>
                  <w:vAlign w:val="center"/>
                </w:tcPr>
                <w:p w14:paraId="149D19A9">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327" w:type="pct"/>
                  <w:tcBorders>
                    <w:tl2br w:val="nil"/>
                    <w:tr2bl w:val="nil"/>
                  </w:tcBorders>
                  <w:noWrap w:val="0"/>
                  <w:vAlign w:val="center"/>
                </w:tcPr>
                <w:p w14:paraId="5CAE13B4">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327" w:type="pct"/>
                  <w:tcBorders>
                    <w:tl2br w:val="nil"/>
                    <w:tr2bl w:val="nil"/>
                  </w:tcBorders>
                  <w:noWrap w:val="0"/>
                  <w:vAlign w:val="center"/>
                </w:tcPr>
                <w:p w14:paraId="0FCCFFEE">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428" w:type="pct"/>
                  <w:tcBorders>
                    <w:tl2br w:val="nil"/>
                    <w:tr2bl w:val="nil"/>
                  </w:tcBorders>
                  <w:noWrap w:val="0"/>
                  <w:vAlign w:val="center"/>
                </w:tcPr>
                <w:p w14:paraId="4F2691C3">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达标</w:t>
                  </w:r>
                </w:p>
              </w:tc>
              <w:tc>
                <w:tcPr>
                  <w:tcW w:w="428" w:type="pct"/>
                  <w:tcBorders>
                    <w:tl2br w:val="nil"/>
                    <w:tr2bl w:val="nil"/>
                  </w:tcBorders>
                  <w:noWrap w:val="0"/>
                  <w:vAlign w:val="center"/>
                </w:tcPr>
                <w:p w14:paraId="084089ED">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达标</w:t>
                  </w:r>
                </w:p>
              </w:tc>
            </w:tr>
            <w:tr w14:paraId="062AB1C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7" w:type="pct"/>
                  <w:tcBorders>
                    <w:tl2br w:val="nil"/>
                    <w:tr2bl w:val="nil"/>
                  </w:tcBorders>
                  <w:noWrap w:val="0"/>
                  <w:vAlign w:val="center"/>
                </w:tcPr>
                <w:p w14:paraId="36681C3C">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3</w:t>
                  </w:r>
                </w:p>
              </w:tc>
              <w:tc>
                <w:tcPr>
                  <w:tcW w:w="531" w:type="pct"/>
                  <w:tcBorders>
                    <w:tl2br w:val="nil"/>
                    <w:tr2bl w:val="nil"/>
                  </w:tcBorders>
                  <w:noWrap w:val="0"/>
                  <w:vAlign w:val="center"/>
                </w:tcPr>
                <w:p w14:paraId="3770F5DB">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eastAsia" w:ascii="Times New Roman" w:hAnsi="Times New Roman" w:cs="Times New Roman"/>
                      <w:color w:val="auto"/>
                      <w:szCs w:val="21"/>
                      <w:highlight w:val="none"/>
                      <w:lang w:val="en-US" w:eastAsia="zh-CN"/>
                    </w:rPr>
                    <w:t>西</w:t>
                  </w:r>
                  <w:r>
                    <w:rPr>
                      <w:rFonts w:hint="default" w:ascii="Times New Roman" w:hAnsi="Times New Roman" w:cs="Times New Roman"/>
                      <w:color w:val="auto"/>
                      <w:szCs w:val="21"/>
                      <w:highlight w:val="none"/>
                    </w:rPr>
                    <w:t>侧边界</w:t>
                  </w:r>
                </w:p>
              </w:tc>
              <w:tc>
                <w:tcPr>
                  <w:tcW w:w="327" w:type="pct"/>
                  <w:tcBorders>
                    <w:tl2br w:val="nil"/>
                    <w:tr2bl w:val="nil"/>
                  </w:tcBorders>
                  <w:noWrap w:val="0"/>
                  <w:vAlign w:val="center"/>
                </w:tcPr>
                <w:p w14:paraId="00D84A31">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327" w:type="pct"/>
                  <w:tcBorders>
                    <w:tl2br w:val="nil"/>
                    <w:tr2bl w:val="nil"/>
                  </w:tcBorders>
                  <w:noWrap w:val="0"/>
                  <w:vAlign w:val="center"/>
                </w:tcPr>
                <w:p w14:paraId="2C9075D0">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327" w:type="pct"/>
                  <w:tcBorders>
                    <w:tl2br w:val="nil"/>
                    <w:tr2bl w:val="nil"/>
                  </w:tcBorders>
                  <w:noWrap w:val="0"/>
                  <w:vAlign w:val="center"/>
                </w:tcPr>
                <w:p w14:paraId="66617B99">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65</w:t>
                  </w:r>
                </w:p>
              </w:tc>
              <w:tc>
                <w:tcPr>
                  <w:tcW w:w="327" w:type="pct"/>
                  <w:tcBorders>
                    <w:tl2br w:val="nil"/>
                    <w:tr2bl w:val="nil"/>
                  </w:tcBorders>
                  <w:noWrap w:val="0"/>
                  <w:vAlign w:val="center"/>
                </w:tcPr>
                <w:p w14:paraId="48130816">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55</w:t>
                  </w:r>
                </w:p>
              </w:tc>
              <w:tc>
                <w:tcPr>
                  <w:tcW w:w="334" w:type="pct"/>
                  <w:tcBorders>
                    <w:tl2br w:val="nil"/>
                    <w:tr2bl w:val="nil"/>
                  </w:tcBorders>
                  <w:noWrap w:val="0"/>
                  <w:vAlign w:val="center"/>
                </w:tcPr>
                <w:p w14:paraId="5E3F494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53.2</w:t>
                  </w:r>
                </w:p>
              </w:tc>
              <w:tc>
                <w:tcPr>
                  <w:tcW w:w="327" w:type="pct"/>
                  <w:tcBorders>
                    <w:tl2br w:val="nil"/>
                    <w:tr2bl w:val="nil"/>
                  </w:tcBorders>
                  <w:noWrap w:val="0"/>
                  <w:vAlign w:val="center"/>
                </w:tcPr>
                <w:p w14:paraId="4A5BAFA9">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327" w:type="pct"/>
                  <w:tcBorders>
                    <w:tl2br w:val="nil"/>
                    <w:tr2bl w:val="nil"/>
                  </w:tcBorders>
                  <w:noWrap w:val="0"/>
                  <w:vAlign w:val="center"/>
                </w:tcPr>
                <w:p w14:paraId="6188320D">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327" w:type="pct"/>
                  <w:tcBorders>
                    <w:tl2br w:val="nil"/>
                    <w:tr2bl w:val="nil"/>
                  </w:tcBorders>
                  <w:noWrap w:val="0"/>
                  <w:vAlign w:val="center"/>
                </w:tcPr>
                <w:p w14:paraId="6AE3DC45">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327" w:type="pct"/>
                  <w:tcBorders>
                    <w:tl2br w:val="nil"/>
                    <w:tr2bl w:val="nil"/>
                  </w:tcBorders>
                  <w:noWrap w:val="0"/>
                  <w:vAlign w:val="center"/>
                </w:tcPr>
                <w:p w14:paraId="43ABAE4E">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327" w:type="pct"/>
                  <w:tcBorders>
                    <w:tl2br w:val="nil"/>
                    <w:tr2bl w:val="nil"/>
                  </w:tcBorders>
                  <w:noWrap w:val="0"/>
                  <w:vAlign w:val="center"/>
                </w:tcPr>
                <w:p w14:paraId="32E84045">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428" w:type="pct"/>
                  <w:tcBorders>
                    <w:tl2br w:val="nil"/>
                    <w:tr2bl w:val="nil"/>
                  </w:tcBorders>
                  <w:noWrap w:val="0"/>
                  <w:vAlign w:val="center"/>
                </w:tcPr>
                <w:p w14:paraId="0903EDA7">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达标</w:t>
                  </w:r>
                </w:p>
              </w:tc>
              <w:tc>
                <w:tcPr>
                  <w:tcW w:w="428" w:type="pct"/>
                  <w:tcBorders>
                    <w:tl2br w:val="nil"/>
                    <w:tr2bl w:val="nil"/>
                  </w:tcBorders>
                  <w:noWrap w:val="0"/>
                  <w:vAlign w:val="center"/>
                </w:tcPr>
                <w:p w14:paraId="19495482">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达标</w:t>
                  </w:r>
                </w:p>
              </w:tc>
            </w:tr>
            <w:tr w14:paraId="124F890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7" w:type="pct"/>
                  <w:tcBorders>
                    <w:tl2br w:val="nil"/>
                    <w:tr2bl w:val="nil"/>
                  </w:tcBorders>
                  <w:noWrap w:val="0"/>
                  <w:vAlign w:val="center"/>
                </w:tcPr>
                <w:p w14:paraId="09615A6D">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highlight w:val="none"/>
                      <w:lang w:val="en-US" w:eastAsia="zh-CN"/>
                    </w:rPr>
                  </w:pPr>
                  <w:r>
                    <w:rPr>
                      <w:rFonts w:hint="eastAsia" w:cs="Times New Roman"/>
                      <w:color w:val="auto"/>
                      <w:highlight w:val="none"/>
                      <w:lang w:val="en-US" w:eastAsia="zh-CN"/>
                    </w:rPr>
                    <w:t>4</w:t>
                  </w:r>
                </w:p>
              </w:tc>
              <w:tc>
                <w:tcPr>
                  <w:tcW w:w="531" w:type="pct"/>
                  <w:tcBorders>
                    <w:tl2br w:val="nil"/>
                    <w:tr2bl w:val="nil"/>
                  </w:tcBorders>
                  <w:noWrap w:val="0"/>
                  <w:vAlign w:val="center"/>
                </w:tcPr>
                <w:p w14:paraId="076D2CB1">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t>北侧边界</w:t>
                  </w:r>
                </w:p>
              </w:tc>
              <w:tc>
                <w:tcPr>
                  <w:tcW w:w="327" w:type="pct"/>
                  <w:tcBorders>
                    <w:tl2br w:val="nil"/>
                    <w:tr2bl w:val="nil"/>
                  </w:tcBorders>
                  <w:noWrap w:val="0"/>
                  <w:vAlign w:val="center"/>
                </w:tcPr>
                <w:p w14:paraId="7ABF9755">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327" w:type="pct"/>
                  <w:tcBorders>
                    <w:tl2br w:val="nil"/>
                    <w:tr2bl w:val="nil"/>
                  </w:tcBorders>
                  <w:noWrap w:val="0"/>
                  <w:vAlign w:val="center"/>
                </w:tcPr>
                <w:p w14:paraId="5BAA64BB">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327" w:type="pct"/>
                  <w:tcBorders>
                    <w:tl2br w:val="nil"/>
                    <w:tr2bl w:val="nil"/>
                  </w:tcBorders>
                  <w:noWrap w:val="0"/>
                  <w:vAlign w:val="center"/>
                </w:tcPr>
                <w:p w14:paraId="23117494">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65</w:t>
                  </w:r>
                </w:p>
              </w:tc>
              <w:tc>
                <w:tcPr>
                  <w:tcW w:w="327" w:type="pct"/>
                  <w:tcBorders>
                    <w:tl2br w:val="nil"/>
                    <w:tr2bl w:val="nil"/>
                  </w:tcBorders>
                  <w:noWrap w:val="0"/>
                  <w:vAlign w:val="center"/>
                </w:tcPr>
                <w:p w14:paraId="50B3715B">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55</w:t>
                  </w:r>
                </w:p>
              </w:tc>
              <w:tc>
                <w:tcPr>
                  <w:tcW w:w="334" w:type="pct"/>
                  <w:tcBorders>
                    <w:tl2br w:val="nil"/>
                    <w:tr2bl w:val="nil"/>
                  </w:tcBorders>
                  <w:noWrap w:val="0"/>
                  <w:vAlign w:val="center"/>
                </w:tcPr>
                <w:p w14:paraId="7E4F4F1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51.6</w:t>
                  </w:r>
                </w:p>
              </w:tc>
              <w:tc>
                <w:tcPr>
                  <w:tcW w:w="327" w:type="pct"/>
                  <w:tcBorders>
                    <w:tl2br w:val="nil"/>
                    <w:tr2bl w:val="nil"/>
                  </w:tcBorders>
                  <w:noWrap w:val="0"/>
                  <w:vAlign w:val="center"/>
                </w:tcPr>
                <w:p w14:paraId="4DE581F7">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327" w:type="pct"/>
                  <w:tcBorders>
                    <w:tl2br w:val="nil"/>
                    <w:tr2bl w:val="nil"/>
                  </w:tcBorders>
                  <w:noWrap w:val="0"/>
                  <w:vAlign w:val="center"/>
                </w:tcPr>
                <w:p w14:paraId="4B380D46">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327" w:type="pct"/>
                  <w:tcBorders>
                    <w:tl2br w:val="nil"/>
                    <w:tr2bl w:val="nil"/>
                  </w:tcBorders>
                  <w:noWrap w:val="0"/>
                  <w:vAlign w:val="center"/>
                </w:tcPr>
                <w:p w14:paraId="742418B1">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327" w:type="pct"/>
                  <w:tcBorders>
                    <w:tl2br w:val="nil"/>
                    <w:tr2bl w:val="nil"/>
                  </w:tcBorders>
                  <w:noWrap w:val="0"/>
                  <w:vAlign w:val="center"/>
                </w:tcPr>
                <w:p w14:paraId="3A400F63">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327" w:type="pct"/>
                  <w:tcBorders>
                    <w:tl2br w:val="nil"/>
                    <w:tr2bl w:val="nil"/>
                  </w:tcBorders>
                  <w:noWrap w:val="0"/>
                  <w:vAlign w:val="center"/>
                </w:tcPr>
                <w:p w14:paraId="7814496B">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428" w:type="pct"/>
                  <w:tcBorders>
                    <w:tl2br w:val="nil"/>
                    <w:tr2bl w:val="nil"/>
                  </w:tcBorders>
                  <w:noWrap w:val="0"/>
                  <w:vAlign w:val="center"/>
                </w:tcPr>
                <w:p w14:paraId="5DEEC261">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达标</w:t>
                  </w:r>
                </w:p>
              </w:tc>
              <w:tc>
                <w:tcPr>
                  <w:tcW w:w="428" w:type="pct"/>
                  <w:tcBorders>
                    <w:tl2br w:val="nil"/>
                    <w:tr2bl w:val="nil"/>
                  </w:tcBorders>
                  <w:noWrap w:val="0"/>
                  <w:vAlign w:val="center"/>
                </w:tcPr>
                <w:p w14:paraId="067C7F2D">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达标</w:t>
                  </w:r>
                </w:p>
              </w:tc>
            </w:tr>
            <w:tr w14:paraId="14A606E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000" w:type="pct"/>
                  <w:gridSpan w:val="14"/>
                  <w:tcBorders>
                    <w:tl2br w:val="nil"/>
                    <w:tr2bl w:val="nil"/>
                  </w:tcBorders>
                  <w:noWrap w:val="0"/>
                  <w:vAlign w:val="center"/>
                </w:tcPr>
                <w:p w14:paraId="54B87D21">
                  <w:pPr>
                    <w:keepNext w:val="0"/>
                    <w:keepLines w:val="0"/>
                    <w:suppressLineNumbers w:val="0"/>
                    <w:spacing w:before="0" w:beforeAutospacing="0" w:after="0" w:afterAutospacing="0"/>
                    <w:ind w:left="0" w:right="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备注：1、项目厂界噪声执行《工业企业厂界环境噪声排放标准》（GB12348-2008）中3类标准。</w:t>
                  </w:r>
                </w:p>
                <w:p w14:paraId="3BA43193">
                  <w:pPr>
                    <w:pStyle w:val="50"/>
                    <w:keepNext w:val="0"/>
                    <w:keepLines w:val="0"/>
                    <w:suppressLineNumbers w:val="0"/>
                    <w:spacing w:before="0" w:beforeAutospacing="0" w:after="0" w:afterAutospacing="0"/>
                    <w:ind w:left="0" w:right="0"/>
                    <w:jc w:val="both"/>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2、根据《环境影响评价技术导则声环境》（HJ2.4-2021）8.6.1列表给出建设项目厂界（场界、边界）噪声贡献值和各声环境保护目标处的背景噪声值、噪声</w:t>
                  </w:r>
                </w:p>
                <w:p w14:paraId="691C8F44">
                  <w:pPr>
                    <w:pStyle w:val="50"/>
                    <w:keepNext w:val="0"/>
                    <w:keepLines w:val="0"/>
                    <w:suppressLineNumbers w:val="0"/>
                    <w:spacing w:before="0" w:beforeAutospacing="0" w:after="0" w:afterAutospacing="0"/>
                    <w:ind w:left="0" w:right="0"/>
                    <w:jc w:val="both"/>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贡献值、噪声预测值、超标和达标情况等，因此本项目厂界仅给出噪声贡献值。</w:t>
                  </w:r>
                </w:p>
                <w:p w14:paraId="2F057DB6">
                  <w:pPr>
                    <w:pStyle w:val="50"/>
                    <w:keepNext w:val="0"/>
                    <w:keepLines w:val="0"/>
                    <w:suppressLineNumbers w:val="0"/>
                    <w:spacing w:before="0" w:beforeAutospacing="0" w:after="0" w:afterAutospacing="0"/>
                    <w:ind w:left="0" w:right="0"/>
                    <w:jc w:val="both"/>
                    <w:rPr>
                      <w:rFonts w:hint="default" w:ascii="Times New Roman" w:hAnsi="Times New Roman" w:cs="Times New Roman"/>
                      <w:color w:val="auto"/>
                      <w:highlight w:val="none"/>
                    </w:rPr>
                  </w:pPr>
                  <w:r>
                    <w:rPr>
                      <w:rFonts w:hint="default" w:ascii="Times New Roman" w:hAnsi="Times New Roman" w:cs="Times New Roman"/>
                      <w:color w:val="auto"/>
                      <w:sz w:val="21"/>
                      <w:szCs w:val="21"/>
                      <w:highlight w:val="none"/>
                    </w:rPr>
                    <w:t>3、项目每天工作时间为上午8：00~12：</w:t>
                  </w:r>
                  <w:r>
                    <w:rPr>
                      <w:rFonts w:hint="eastAsia" w:hAnsi="Times New Roman" w:cs="Times New Roman"/>
                      <w:color w:val="auto"/>
                      <w:sz w:val="21"/>
                      <w:szCs w:val="21"/>
                      <w:highlight w:val="none"/>
                      <w:lang w:val="en-US" w:eastAsia="zh-CN"/>
                    </w:rPr>
                    <w:t>00</w:t>
                  </w:r>
                  <w:r>
                    <w:rPr>
                      <w:rFonts w:hint="default" w:ascii="Times New Roman" w:hAnsi="Times New Roman" w:cs="Times New Roman"/>
                      <w:color w:val="auto"/>
                      <w:sz w:val="21"/>
                      <w:szCs w:val="21"/>
                      <w:highlight w:val="none"/>
                    </w:rPr>
                    <w:t>；2：00~6：</w:t>
                  </w:r>
                  <w:r>
                    <w:rPr>
                      <w:rFonts w:hint="eastAsia" w:hAnsi="Times New Roman" w:cs="Times New Roman"/>
                      <w:color w:val="auto"/>
                      <w:sz w:val="21"/>
                      <w:szCs w:val="21"/>
                      <w:highlight w:val="none"/>
                      <w:lang w:val="en-US" w:eastAsia="zh-CN"/>
                    </w:rPr>
                    <w:t>0</w:t>
                  </w:r>
                  <w:r>
                    <w:rPr>
                      <w:rFonts w:hint="default" w:ascii="Times New Roman" w:hAnsi="Times New Roman" w:cs="Times New Roman"/>
                      <w:color w:val="auto"/>
                      <w:sz w:val="21"/>
                      <w:szCs w:val="21"/>
                      <w:highlight w:val="none"/>
                    </w:rPr>
                    <w:t>0，即夜间不生产，因此不预测夜间噪声。</w:t>
                  </w:r>
                </w:p>
              </w:tc>
            </w:tr>
          </w:tbl>
          <w:p w14:paraId="18973D5D">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2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t>由上表可知，项目四周厂界噪声能满足《工业企业厂界环境噪声排放标准》（GB12348-2008）中3类标准，因此项目运营期设备在采取相应措施后，噪声对声环境质量影响较小。</w:t>
            </w:r>
          </w:p>
        </w:tc>
      </w:tr>
    </w:tbl>
    <w:p w14:paraId="524AA45E">
      <w:pPr>
        <w:rPr>
          <w:color w:val="auto"/>
          <w:highlight w:val="none"/>
        </w:rPr>
        <w:sectPr>
          <w:pgSz w:w="16840" w:h="11907" w:orient="landscape"/>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tbl>
      <w:tblPr>
        <w:tblStyle w:val="4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1"/>
        <w:gridCol w:w="8466"/>
      </w:tblGrid>
      <w:tr w14:paraId="161D7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2" w:type="pct"/>
            <w:vAlign w:val="center"/>
          </w:tcPr>
          <w:p w14:paraId="121AF775">
            <w:pPr>
              <w:pStyle w:val="3"/>
              <w:keepNext w:val="0"/>
              <w:keepLines w:val="0"/>
              <w:suppressLineNumbers w:val="0"/>
              <w:spacing w:before="0" w:beforeAutospacing="0" w:after="0" w:afterAutospacing="0"/>
              <w:ind w:left="0" w:right="0"/>
              <w:jc w:val="center"/>
              <w:rPr>
                <w:b w:val="0"/>
                <w:bCs/>
                <w:color w:val="auto"/>
                <w:highlight w:val="none"/>
                <w:vertAlign w:val="baseline"/>
              </w:rPr>
            </w:pPr>
            <w:r>
              <w:rPr>
                <w:rFonts w:hint="eastAsia"/>
                <w:b w:val="0"/>
                <w:bCs/>
                <w:color w:val="auto"/>
                <w:sz w:val="21"/>
                <w:szCs w:val="32"/>
                <w:highlight w:val="none"/>
                <w:vertAlign w:val="baseline"/>
              </w:rPr>
              <w:t>运营期环境影响和保护措施</w:t>
            </w:r>
          </w:p>
        </w:tc>
        <w:tc>
          <w:tcPr>
            <w:tcW w:w="4557" w:type="pct"/>
          </w:tcPr>
          <w:p w14:paraId="11168520">
            <w:pPr>
              <w:keepNext w:val="0"/>
              <w:keepLines w:val="0"/>
              <w:suppressLineNumbers w:val="0"/>
              <w:adjustRightInd w:val="0"/>
              <w:snapToGrid w:val="0"/>
              <w:spacing w:before="0" w:beforeAutospacing="0" w:after="0" w:afterAutospacing="0" w:line="360" w:lineRule="auto"/>
              <w:ind w:left="0" w:right="0" w:firstLine="382" w:firstLineChars="200"/>
              <w:rPr>
                <w:rFonts w:hint="default" w:ascii="Times New Roman" w:hAnsi="Times New Roman" w:cs="Times New Roman"/>
                <w:b/>
                <w:bCs/>
                <w:color w:val="auto"/>
                <w:spacing w:val="-10"/>
                <w:szCs w:val="21"/>
                <w:highlight w:val="none"/>
              </w:rPr>
            </w:pPr>
            <w:r>
              <w:rPr>
                <w:rFonts w:hint="eastAsia" w:cs="Times New Roman"/>
                <w:b/>
                <w:bCs/>
                <w:color w:val="auto"/>
                <w:spacing w:val="-10"/>
                <w:szCs w:val="21"/>
                <w:highlight w:val="none"/>
                <w:lang w:val="en-US" w:eastAsia="zh-CN"/>
              </w:rPr>
              <w:t>3.4</w:t>
            </w:r>
            <w:r>
              <w:rPr>
                <w:rFonts w:hint="default" w:ascii="Times New Roman" w:hAnsi="Times New Roman" w:cs="Times New Roman"/>
                <w:b/>
                <w:bCs/>
                <w:color w:val="auto"/>
                <w:spacing w:val="-10"/>
                <w:szCs w:val="21"/>
                <w:highlight w:val="none"/>
              </w:rPr>
              <w:t>、噪声监测要求</w:t>
            </w:r>
          </w:p>
          <w:p w14:paraId="373462F6">
            <w:pPr>
              <w:keepNext w:val="0"/>
              <w:keepLines w:val="0"/>
              <w:suppressLineNumbers w:val="0"/>
              <w:adjustRightInd w:val="0"/>
              <w:snapToGrid w:val="0"/>
              <w:spacing w:before="0" w:beforeAutospacing="0" w:after="0" w:afterAutospacing="0" w:line="360" w:lineRule="auto"/>
              <w:ind w:left="0" w:right="0" w:firstLine="380" w:firstLineChars="200"/>
              <w:rPr>
                <w:rFonts w:hint="default" w:ascii="Times New Roman" w:hAnsi="Times New Roman" w:cs="Times New Roman"/>
                <w:bCs/>
                <w:color w:val="auto"/>
                <w:spacing w:val="-10"/>
                <w:szCs w:val="21"/>
                <w:highlight w:val="none"/>
              </w:rPr>
            </w:pPr>
            <w:r>
              <w:rPr>
                <w:rFonts w:hint="default" w:ascii="Times New Roman" w:hAnsi="Times New Roman" w:cs="Times New Roman"/>
                <w:color w:val="auto"/>
                <w:spacing w:val="-10"/>
                <w:szCs w:val="21"/>
                <w:highlight w:val="none"/>
              </w:rPr>
              <w:t>根据《排污单位自行监测技术指南 总则》（HJ819-2017）</w:t>
            </w:r>
            <w:r>
              <w:rPr>
                <w:rFonts w:hint="default" w:ascii="Times New Roman" w:hAnsi="Times New Roman" w:cs="Times New Roman"/>
                <w:bCs/>
                <w:color w:val="auto"/>
                <w:spacing w:val="-10"/>
                <w:szCs w:val="21"/>
                <w:highlight w:val="none"/>
              </w:rPr>
              <w:t>制定项目噪声监测计划。</w:t>
            </w:r>
          </w:p>
          <w:p w14:paraId="1777C28B">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157" w:afterLines="50" w:afterAutospacing="0"/>
              <w:ind w:right="0"/>
              <w:jc w:val="center"/>
              <w:textAlignment w:val="auto"/>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 xml:space="preserve"> 项目噪声监测一览表</w:t>
            </w:r>
          </w:p>
          <w:tbl>
            <w:tblPr>
              <w:tblStyle w:val="41"/>
              <w:tblW w:w="5000" w:type="pct"/>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6"/>
              <w:gridCol w:w="1592"/>
              <w:gridCol w:w="694"/>
              <w:gridCol w:w="849"/>
              <w:gridCol w:w="694"/>
              <w:gridCol w:w="3895"/>
            </w:tblGrid>
            <w:tr w14:paraId="0C200B0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trPr>
              <w:tc>
                <w:tcPr>
                  <w:tcW w:w="313" w:type="pct"/>
                  <w:tcBorders>
                    <w:tl2br w:val="nil"/>
                    <w:tr2bl w:val="nil"/>
                  </w:tcBorders>
                  <w:noWrap w:val="0"/>
                  <w:vAlign w:val="center"/>
                </w:tcPr>
                <w:p w14:paraId="42430BB4">
                  <w:pPr>
                    <w:pStyle w:val="167"/>
                    <w:keepNext w:val="0"/>
                    <w:keepLines w:val="0"/>
                    <w:suppressLineNumbers w:val="0"/>
                    <w:snapToGrid w:val="0"/>
                    <w:spacing w:before="0" w:beforeAutospacing="0" w:after="0" w:afterAutospacing="0" w:line="240" w:lineRule="auto"/>
                    <w:ind w:left="0" w:right="0" w:firstLine="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项目</w:t>
                  </w:r>
                </w:p>
              </w:tc>
              <w:tc>
                <w:tcPr>
                  <w:tcW w:w="966" w:type="pct"/>
                  <w:tcBorders>
                    <w:tl2br w:val="nil"/>
                    <w:tr2bl w:val="nil"/>
                  </w:tcBorders>
                  <w:noWrap w:val="0"/>
                  <w:vAlign w:val="center"/>
                </w:tcPr>
                <w:p w14:paraId="537EF370">
                  <w:pPr>
                    <w:pStyle w:val="167"/>
                    <w:keepNext w:val="0"/>
                    <w:keepLines w:val="0"/>
                    <w:suppressLineNumbers w:val="0"/>
                    <w:snapToGrid w:val="0"/>
                    <w:spacing w:before="0" w:beforeAutospacing="0" w:after="0" w:afterAutospacing="0" w:line="240" w:lineRule="auto"/>
                    <w:ind w:left="0" w:right="0" w:firstLine="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监测点位</w:t>
                  </w:r>
                </w:p>
              </w:tc>
              <w:tc>
                <w:tcPr>
                  <w:tcW w:w="421" w:type="pct"/>
                  <w:tcBorders>
                    <w:tl2br w:val="nil"/>
                    <w:tr2bl w:val="nil"/>
                  </w:tcBorders>
                  <w:noWrap w:val="0"/>
                  <w:vAlign w:val="center"/>
                </w:tcPr>
                <w:p w14:paraId="7611152A">
                  <w:pPr>
                    <w:pStyle w:val="167"/>
                    <w:keepNext w:val="0"/>
                    <w:keepLines w:val="0"/>
                    <w:suppressLineNumbers w:val="0"/>
                    <w:snapToGrid w:val="0"/>
                    <w:spacing w:before="0" w:beforeAutospacing="0" w:after="0" w:afterAutospacing="0" w:line="240" w:lineRule="auto"/>
                    <w:ind w:left="0" w:right="0" w:firstLine="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监测时段</w:t>
                  </w:r>
                </w:p>
              </w:tc>
              <w:tc>
                <w:tcPr>
                  <w:tcW w:w="515" w:type="pct"/>
                  <w:tcBorders>
                    <w:tl2br w:val="nil"/>
                    <w:tr2bl w:val="nil"/>
                  </w:tcBorders>
                  <w:noWrap w:val="0"/>
                  <w:vAlign w:val="center"/>
                </w:tcPr>
                <w:p w14:paraId="630408F8">
                  <w:pPr>
                    <w:pStyle w:val="167"/>
                    <w:keepNext w:val="0"/>
                    <w:keepLines w:val="0"/>
                    <w:suppressLineNumbers w:val="0"/>
                    <w:snapToGrid w:val="0"/>
                    <w:spacing w:before="0" w:beforeAutospacing="0" w:after="0" w:afterAutospacing="0" w:line="240" w:lineRule="auto"/>
                    <w:ind w:left="0" w:right="0" w:firstLine="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监测指标</w:t>
                  </w:r>
                </w:p>
              </w:tc>
              <w:tc>
                <w:tcPr>
                  <w:tcW w:w="421" w:type="pct"/>
                  <w:tcBorders>
                    <w:tl2br w:val="nil"/>
                    <w:tr2bl w:val="nil"/>
                  </w:tcBorders>
                  <w:noWrap w:val="0"/>
                  <w:vAlign w:val="center"/>
                </w:tcPr>
                <w:p w14:paraId="73538277">
                  <w:pPr>
                    <w:pStyle w:val="167"/>
                    <w:keepNext w:val="0"/>
                    <w:keepLines w:val="0"/>
                    <w:suppressLineNumbers w:val="0"/>
                    <w:snapToGrid w:val="0"/>
                    <w:spacing w:before="0" w:beforeAutospacing="0" w:after="0" w:afterAutospacing="0" w:line="240" w:lineRule="auto"/>
                    <w:ind w:left="0" w:right="0" w:firstLine="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监测频次</w:t>
                  </w:r>
                </w:p>
              </w:tc>
              <w:tc>
                <w:tcPr>
                  <w:tcW w:w="2363" w:type="pct"/>
                  <w:tcBorders>
                    <w:tl2br w:val="nil"/>
                    <w:tr2bl w:val="nil"/>
                  </w:tcBorders>
                  <w:noWrap w:val="0"/>
                  <w:vAlign w:val="center"/>
                </w:tcPr>
                <w:p w14:paraId="53DA9D98">
                  <w:pPr>
                    <w:pStyle w:val="167"/>
                    <w:keepNext w:val="0"/>
                    <w:keepLines w:val="0"/>
                    <w:suppressLineNumbers w:val="0"/>
                    <w:snapToGrid w:val="0"/>
                    <w:spacing w:before="0" w:beforeAutospacing="0" w:after="0" w:afterAutospacing="0" w:line="240" w:lineRule="auto"/>
                    <w:ind w:left="0" w:right="0" w:firstLine="0"/>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执行排放标准</w:t>
                  </w:r>
                </w:p>
              </w:tc>
            </w:tr>
            <w:tr w14:paraId="0F70698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313" w:type="pct"/>
                  <w:tcBorders>
                    <w:tl2br w:val="nil"/>
                    <w:tr2bl w:val="nil"/>
                  </w:tcBorders>
                  <w:noWrap w:val="0"/>
                  <w:vAlign w:val="center"/>
                </w:tcPr>
                <w:p w14:paraId="6237583B">
                  <w:pPr>
                    <w:pStyle w:val="167"/>
                    <w:keepNext w:val="0"/>
                    <w:keepLines w:val="0"/>
                    <w:suppressLineNumbers w:val="0"/>
                    <w:snapToGrid w:val="0"/>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w:t>
                  </w:r>
                </w:p>
              </w:tc>
              <w:tc>
                <w:tcPr>
                  <w:tcW w:w="966" w:type="pct"/>
                  <w:tcBorders>
                    <w:tl2br w:val="nil"/>
                    <w:tr2bl w:val="nil"/>
                  </w:tcBorders>
                  <w:noWrap w:val="0"/>
                  <w:vAlign w:val="center"/>
                </w:tcPr>
                <w:p w14:paraId="3C2AA275">
                  <w:pPr>
                    <w:pStyle w:val="167"/>
                    <w:keepNext w:val="0"/>
                    <w:keepLines w:val="0"/>
                    <w:suppressLineNumbers w:val="0"/>
                    <w:snapToGrid w:val="0"/>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东</w:t>
                  </w:r>
                  <w:r>
                    <w:rPr>
                      <w:rFonts w:hint="default" w:ascii="Times New Roman" w:hAnsi="Times New Roman" w:eastAsia="宋体" w:cs="Times New Roman"/>
                      <w:color w:val="auto"/>
                      <w:sz w:val="21"/>
                      <w:szCs w:val="21"/>
                      <w:highlight w:val="none"/>
                    </w:rPr>
                    <w:t>、南、</w:t>
                  </w:r>
                  <w:r>
                    <w:rPr>
                      <w:rFonts w:hint="eastAsia" w:eastAsia="宋体" w:cs="Times New Roman"/>
                      <w:color w:val="auto"/>
                      <w:sz w:val="21"/>
                      <w:szCs w:val="21"/>
                      <w:highlight w:val="none"/>
                      <w:lang w:val="en-US" w:eastAsia="zh-CN"/>
                    </w:rPr>
                    <w:t>西、</w:t>
                  </w:r>
                  <w:r>
                    <w:rPr>
                      <w:rFonts w:hint="default" w:ascii="Times New Roman" w:hAnsi="Times New Roman" w:eastAsia="宋体" w:cs="Times New Roman"/>
                      <w:color w:val="auto"/>
                      <w:sz w:val="21"/>
                      <w:szCs w:val="21"/>
                      <w:highlight w:val="none"/>
                    </w:rPr>
                    <w:t>北厂界</w:t>
                  </w:r>
                  <w:r>
                    <w:rPr>
                      <w:rFonts w:hint="eastAsia" w:eastAsia="宋体" w:cs="Times New Roman"/>
                      <w:color w:val="auto"/>
                      <w:sz w:val="21"/>
                      <w:szCs w:val="21"/>
                      <w:highlight w:val="none"/>
                      <w:lang w:val="en-US" w:eastAsia="zh-CN"/>
                    </w:rPr>
                    <w:t>外1m处</w:t>
                  </w:r>
                </w:p>
              </w:tc>
              <w:tc>
                <w:tcPr>
                  <w:tcW w:w="421" w:type="pct"/>
                  <w:tcBorders>
                    <w:tl2br w:val="nil"/>
                    <w:tr2bl w:val="nil"/>
                  </w:tcBorders>
                  <w:noWrap w:val="0"/>
                  <w:vAlign w:val="center"/>
                </w:tcPr>
                <w:p w14:paraId="7984609A">
                  <w:pPr>
                    <w:pStyle w:val="167"/>
                    <w:keepNext w:val="0"/>
                    <w:keepLines w:val="0"/>
                    <w:suppressLineNumbers w:val="0"/>
                    <w:snapToGrid w:val="0"/>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昼间</w:t>
                  </w:r>
                </w:p>
              </w:tc>
              <w:tc>
                <w:tcPr>
                  <w:tcW w:w="515" w:type="pct"/>
                  <w:tcBorders>
                    <w:tl2br w:val="nil"/>
                    <w:tr2bl w:val="nil"/>
                  </w:tcBorders>
                  <w:noWrap w:val="0"/>
                  <w:vAlign w:val="center"/>
                </w:tcPr>
                <w:p w14:paraId="75746285">
                  <w:pPr>
                    <w:pStyle w:val="167"/>
                    <w:keepNext w:val="0"/>
                    <w:keepLines w:val="0"/>
                    <w:suppressLineNumbers w:val="0"/>
                    <w:snapToGrid w:val="0"/>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LAeq</w:t>
                  </w:r>
                </w:p>
              </w:tc>
              <w:tc>
                <w:tcPr>
                  <w:tcW w:w="421" w:type="pct"/>
                  <w:tcBorders>
                    <w:tl2br w:val="nil"/>
                    <w:tr2bl w:val="nil"/>
                  </w:tcBorders>
                  <w:noWrap w:val="0"/>
                  <w:vAlign w:val="center"/>
                </w:tcPr>
                <w:p w14:paraId="4B9A3AA4">
                  <w:pPr>
                    <w:pStyle w:val="167"/>
                    <w:keepNext w:val="0"/>
                    <w:keepLines w:val="0"/>
                    <w:suppressLineNumbers w:val="0"/>
                    <w:snapToGrid w:val="0"/>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1次/季</w:t>
                  </w:r>
                </w:p>
              </w:tc>
              <w:tc>
                <w:tcPr>
                  <w:tcW w:w="2363" w:type="pct"/>
                  <w:tcBorders>
                    <w:tl2br w:val="nil"/>
                    <w:tr2bl w:val="nil"/>
                  </w:tcBorders>
                  <w:noWrap w:val="0"/>
                  <w:vAlign w:val="center"/>
                </w:tcPr>
                <w:p w14:paraId="01FB147A">
                  <w:pPr>
                    <w:pStyle w:val="167"/>
                    <w:keepNext w:val="0"/>
                    <w:keepLines w:val="0"/>
                    <w:suppressLineNumbers w:val="0"/>
                    <w:snapToGrid w:val="0"/>
                    <w:spacing w:before="0" w:beforeAutospacing="0" w:after="0" w:afterAutospacing="0" w:line="240" w:lineRule="auto"/>
                    <w:ind w:left="0" w:right="0" w:firstLine="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《工业企业厂界环境噪声排放标准》</w:t>
                  </w:r>
                  <w:r>
                    <w:rPr>
                      <w:rFonts w:hint="eastAsia"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GB12348-2008</w:t>
                  </w:r>
                  <w:r>
                    <w:rPr>
                      <w:rFonts w:hint="eastAsia"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中的3类标准</w:t>
                  </w:r>
                </w:p>
              </w:tc>
            </w:tr>
          </w:tbl>
          <w:p w14:paraId="18A1C55A">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382" w:firstLineChars="200"/>
              <w:textAlignment w:val="auto"/>
              <w:rPr>
                <w:rFonts w:hint="default" w:ascii="Times New Roman" w:hAnsi="Times New Roman" w:cs="Times New Roman"/>
                <w:bCs/>
                <w:color w:val="auto"/>
                <w:szCs w:val="21"/>
                <w:highlight w:val="none"/>
              </w:rPr>
            </w:pPr>
            <w:r>
              <w:rPr>
                <w:rFonts w:hint="eastAsia" w:cs="Times New Roman"/>
                <w:b/>
                <w:bCs/>
                <w:color w:val="auto"/>
                <w:spacing w:val="-10"/>
                <w:szCs w:val="21"/>
                <w:highlight w:val="none"/>
                <w:lang w:val="en-US" w:eastAsia="zh-CN"/>
              </w:rPr>
              <w:t>3.5</w:t>
            </w:r>
            <w:r>
              <w:rPr>
                <w:rFonts w:hint="default" w:ascii="Times New Roman" w:hAnsi="Times New Roman" w:cs="Times New Roman"/>
                <w:b/>
                <w:bCs/>
                <w:color w:val="auto"/>
                <w:spacing w:val="-10"/>
                <w:szCs w:val="21"/>
                <w:highlight w:val="none"/>
              </w:rPr>
              <w:t>噪声防治措施</w:t>
            </w:r>
          </w:p>
          <w:p w14:paraId="4488F935">
            <w:pPr>
              <w:keepNext w:val="0"/>
              <w:keepLines w:val="0"/>
              <w:widowControl/>
              <w:suppressLineNumbers w:val="0"/>
              <w:adjustRightInd w:val="0"/>
              <w:snapToGrid w:val="0"/>
              <w:spacing w:before="0" w:beforeAutospacing="0" w:after="0" w:afterAutospacing="0" w:line="360" w:lineRule="auto"/>
              <w:ind w:left="0" w:right="0"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项目周边设置了绿化带和围墙进行防护，建设单位已选用低噪声设备，并合理安排布局，项目建设对周边声环境质量的影响较小。为保证项目对周边声环境质量影响，建设单位采取以下防治措施，具体见下文。</w:t>
            </w:r>
          </w:p>
          <w:p w14:paraId="04BD1582">
            <w:pPr>
              <w:keepNext w:val="0"/>
              <w:keepLines w:val="0"/>
              <w:widowControl/>
              <w:suppressLineNumbers w:val="0"/>
              <w:adjustRightInd w:val="0"/>
              <w:snapToGrid w:val="0"/>
              <w:spacing w:before="0" w:beforeAutospacing="0" w:after="0" w:afterAutospacing="0" w:line="360" w:lineRule="auto"/>
              <w:ind w:left="0" w:right="0"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1）在靠近居民区一侧，</w:t>
            </w:r>
            <w:r>
              <w:rPr>
                <w:rFonts w:hint="default" w:ascii="Times New Roman" w:hAnsi="Times New Roman" w:cs="Times New Roman"/>
                <w:color w:val="auto"/>
                <w:kern w:val="0"/>
                <w:szCs w:val="21"/>
                <w:highlight w:val="none"/>
              </w:rPr>
              <w:t>增加厂区绿化带，绿化带的设置可以减少噪声的传播；</w:t>
            </w:r>
          </w:p>
          <w:p w14:paraId="38C37AC0">
            <w:pPr>
              <w:keepNext w:val="0"/>
              <w:keepLines w:val="0"/>
              <w:widowControl/>
              <w:suppressLineNumbers w:val="0"/>
              <w:spacing w:before="0" w:beforeAutospacing="0" w:after="0" w:afterAutospacing="0" w:line="360" w:lineRule="auto"/>
              <w:ind w:left="0" w:right="0" w:firstLine="420" w:firstLineChars="200"/>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2）维持设备处于良好的运转状态，减少因零部件磨损产生的噪声；</w:t>
            </w:r>
          </w:p>
          <w:p w14:paraId="29EA01DE">
            <w:pPr>
              <w:keepNext w:val="0"/>
              <w:keepLines w:val="0"/>
              <w:widowControl/>
              <w:suppressLineNumbers w:val="0"/>
              <w:spacing w:before="0" w:beforeAutospacing="0" w:after="0" w:afterAutospacing="0" w:line="360" w:lineRule="auto"/>
              <w:ind w:left="0" w:right="0" w:firstLine="420" w:firstLineChars="200"/>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3）合理布设生产车间，把车间的噪声影响限制在厂区范围内，降低噪声对外界的影响；</w:t>
            </w:r>
          </w:p>
          <w:p w14:paraId="02EBFEBF">
            <w:pPr>
              <w:keepNext w:val="0"/>
              <w:keepLines w:val="0"/>
              <w:widowControl/>
              <w:suppressLineNumbers w:val="0"/>
              <w:spacing w:before="0" w:beforeAutospacing="0" w:after="0" w:afterAutospacing="0" w:line="360" w:lineRule="auto"/>
              <w:ind w:left="0" w:right="0" w:firstLine="420" w:firstLineChars="200"/>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4）强噪声设备底座设置防振装置，并设置适当的隔声屏障；</w:t>
            </w:r>
          </w:p>
          <w:p w14:paraId="3ED9937B">
            <w:pPr>
              <w:keepNext w:val="0"/>
              <w:keepLines w:val="0"/>
              <w:widowControl/>
              <w:suppressLineNumbers w:val="0"/>
              <w:spacing w:before="0" w:beforeAutospacing="0" w:after="0" w:afterAutospacing="0" w:line="360" w:lineRule="auto"/>
              <w:ind w:left="0" w:right="0" w:firstLine="420" w:firstLineChars="200"/>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5）加强作业管理，减少非正常噪声。生产时门窗紧闭，通过强制机械排风来加强车间通风换气，以减少噪声外传。</w:t>
            </w:r>
          </w:p>
          <w:p w14:paraId="56C46EB1">
            <w:pPr>
              <w:keepNext w:val="0"/>
              <w:keepLines w:val="0"/>
              <w:widowControl/>
              <w:suppressLineNumbers w:val="0"/>
              <w:spacing w:before="0" w:beforeAutospacing="0" w:after="0" w:afterAutospacing="0" w:line="360" w:lineRule="auto"/>
              <w:ind w:left="0" w:right="0"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项目四周厂界噪声能满足《工业企业厂界环境噪声排放标准》（GB12348-2008）中3类标准要求，对周边敏感点的影响较小。</w:t>
            </w:r>
          </w:p>
          <w:p w14:paraId="1475ECC0">
            <w:pPr>
              <w:keepNext w:val="0"/>
              <w:keepLines w:val="0"/>
              <w:widowControl/>
              <w:suppressLineNumbers w:val="0"/>
              <w:spacing w:before="0" w:beforeAutospacing="0" w:after="0" w:afterAutospacing="0" w:line="360" w:lineRule="auto"/>
              <w:ind w:left="0" w:right="0" w:firstLine="382" w:firstLineChars="200"/>
              <w:rPr>
                <w:rFonts w:hint="default" w:ascii="Times New Roman" w:hAnsi="Times New Roman" w:cs="Times New Roman"/>
                <w:bCs/>
                <w:color w:val="auto"/>
                <w:sz w:val="24"/>
                <w:highlight w:val="none"/>
              </w:rPr>
            </w:pPr>
            <w:r>
              <w:rPr>
                <w:rFonts w:hint="eastAsia" w:cs="Times New Roman"/>
                <w:b/>
                <w:bCs/>
                <w:color w:val="auto"/>
                <w:spacing w:val="-10"/>
                <w:szCs w:val="21"/>
                <w:highlight w:val="none"/>
                <w:lang w:val="en-US" w:eastAsia="zh-CN"/>
              </w:rPr>
              <w:t>4、</w:t>
            </w:r>
            <w:r>
              <w:rPr>
                <w:rFonts w:hint="default" w:ascii="Times New Roman" w:hAnsi="Times New Roman" w:cs="Times New Roman"/>
                <w:b/>
                <w:bCs/>
                <w:color w:val="auto"/>
                <w:spacing w:val="-10"/>
                <w:szCs w:val="21"/>
                <w:highlight w:val="none"/>
              </w:rPr>
              <w:t>固体废物</w:t>
            </w:r>
          </w:p>
          <w:p w14:paraId="5BEBF506">
            <w:pPr>
              <w:pStyle w:val="2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firstLine="422" w:firstLineChars="200"/>
              <w:jc w:val="left"/>
              <w:textAlignment w:val="auto"/>
              <w:rPr>
                <w:rFonts w:hint="eastAsia" w:cs="Times New Roman"/>
                <w:b/>
                <w:bCs/>
                <w:color w:val="auto"/>
                <w:szCs w:val="21"/>
                <w:highlight w:val="none"/>
                <w:lang w:val="en-US" w:eastAsia="zh-CN"/>
              </w:rPr>
            </w:pPr>
            <w:r>
              <w:rPr>
                <w:rFonts w:hint="default" w:ascii="Times New Roman" w:hAnsi="Times New Roman" w:cs="Times New Roman"/>
                <w:b/>
                <w:bCs/>
                <w:color w:val="auto"/>
                <w:szCs w:val="21"/>
                <w:highlight w:val="none"/>
              </w:rPr>
              <w:t>4</w:t>
            </w:r>
            <w:r>
              <w:rPr>
                <w:rFonts w:hint="eastAsia" w:cs="Times New Roman"/>
                <w:b/>
                <w:bCs/>
                <w:color w:val="auto"/>
                <w:szCs w:val="21"/>
                <w:highlight w:val="none"/>
                <w:lang w:eastAsia="zh-CN"/>
              </w:rPr>
              <w:t>.</w:t>
            </w:r>
            <w:r>
              <w:rPr>
                <w:rFonts w:hint="eastAsia" w:cs="Times New Roman"/>
                <w:b/>
                <w:bCs/>
                <w:color w:val="auto"/>
                <w:szCs w:val="21"/>
                <w:highlight w:val="none"/>
                <w:lang w:val="en-US" w:eastAsia="zh-CN"/>
              </w:rPr>
              <w:t>1固废产生量核算</w:t>
            </w:r>
          </w:p>
          <w:p w14:paraId="66AA29A3">
            <w:pPr>
              <w:keepNext w:val="0"/>
              <w:keepLines w:val="0"/>
              <w:suppressLineNumbers w:val="0"/>
              <w:adjustRightInd w:val="0"/>
              <w:snapToGrid w:val="0"/>
              <w:spacing w:before="0" w:beforeAutospacing="0" w:after="0" w:afterAutospacing="0" w:line="360" w:lineRule="auto"/>
              <w:ind w:left="0" w:right="0" w:firstLine="420" w:firstLineChars="200"/>
              <w:jc w:val="left"/>
              <w:rPr>
                <w:rFonts w:hint="default" w:cs="Times New Roman"/>
                <w:b/>
                <w:bCs/>
                <w:color w:val="auto"/>
                <w:szCs w:val="21"/>
                <w:highlight w:val="none"/>
                <w:lang w:val="en-US" w:eastAsia="zh-CN"/>
              </w:rPr>
            </w:pPr>
            <w:r>
              <w:rPr>
                <w:rFonts w:hint="default" w:ascii="Times New Roman" w:hAnsi="Times New Roman" w:cs="Times New Roman"/>
                <w:snapToGrid w:val="0"/>
                <w:color w:val="auto"/>
                <w:kern w:val="0"/>
                <w:szCs w:val="21"/>
                <w:highlight w:val="none"/>
              </w:rPr>
              <w:t>项目产生固体废物主要包括一般固废、生活垃圾和危险废物。</w:t>
            </w:r>
          </w:p>
          <w:p w14:paraId="651C37D4">
            <w:pPr>
              <w:keepNext w:val="0"/>
              <w:keepLines w:val="0"/>
              <w:suppressLineNumbers w:val="0"/>
              <w:spacing w:before="24" w:beforeAutospacing="0" w:after="24" w:afterAutospacing="0" w:line="360" w:lineRule="auto"/>
              <w:ind w:left="0" w:right="0" w:firstLine="422" w:firstLineChars="200"/>
              <w:rPr>
                <w:rFonts w:hint="default" w:ascii="Times New Roman" w:hAnsi="Times New Roman" w:cs="Times New Roman"/>
                <w:b/>
                <w:bCs/>
                <w:color w:val="auto"/>
                <w:szCs w:val="21"/>
                <w:highlight w:val="none"/>
              </w:rPr>
            </w:pPr>
            <w:r>
              <w:rPr>
                <w:rFonts w:hint="eastAsia" w:cs="Times New Roman"/>
                <w:b/>
                <w:bCs/>
                <w:color w:val="auto"/>
                <w:szCs w:val="21"/>
                <w:highlight w:val="none"/>
                <w:lang w:eastAsia="zh-CN"/>
              </w:rPr>
              <w:t>（</w:t>
            </w:r>
            <w:r>
              <w:rPr>
                <w:rFonts w:hint="eastAsia" w:cs="Times New Roman"/>
                <w:b/>
                <w:bCs/>
                <w:color w:val="auto"/>
                <w:szCs w:val="21"/>
                <w:highlight w:val="none"/>
                <w:lang w:val="en-US" w:eastAsia="zh-CN"/>
              </w:rPr>
              <w:t>1）</w:t>
            </w:r>
            <w:r>
              <w:rPr>
                <w:rFonts w:hint="default" w:ascii="Times New Roman" w:hAnsi="Times New Roman" w:cs="Times New Roman"/>
                <w:b/>
                <w:bCs/>
                <w:color w:val="auto"/>
                <w:szCs w:val="21"/>
                <w:highlight w:val="none"/>
              </w:rPr>
              <w:t>生活垃圾</w:t>
            </w:r>
          </w:p>
          <w:p w14:paraId="2D621408">
            <w:pPr>
              <w:keepNext w:val="0"/>
              <w:keepLines w:val="0"/>
              <w:suppressLineNumbers w:val="0"/>
              <w:spacing w:before="24" w:beforeAutospacing="0" w:after="24" w:afterAutospacing="0" w:line="360" w:lineRule="auto"/>
              <w:ind w:left="0" w:right="0"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项目员</w:t>
            </w:r>
            <w:r>
              <w:rPr>
                <w:rFonts w:hint="eastAsia" w:cs="Times New Roman"/>
                <w:color w:val="auto"/>
                <w:szCs w:val="21"/>
                <w:highlight w:val="none"/>
                <w:lang w:val="en-US" w:eastAsia="zh-CN"/>
              </w:rPr>
              <w:t>工21</w:t>
            </w:r>
            <w:r>
              <w:rPr>
                <w:rFonts w:hint="default" w:ascii="Times New Roman" w:hAnsi="Times New Roman" w:cs="Times New Roman"/>
                <w:color w:val="auto"/>
                <w:szCs w:val="21"/>
                <w:highlight w:val="none"/>
              </w:rPr>
              <w:t>人，均不在厂区内食宿，生活垃圾产生系数0.5kg/d·人，生活垃圾产生量为</w:t>
            </w:r>
            <w:r>
              <w:rPr>
                <w:rFonts w:hint="eastAsia" w:cs="Times New Roman"/>
                <w:color w:val="auto"/>
                <w:szCs w:val="21"/>
                <w:highlight w:val="none"/>
                <w:lang w:val="en-US" w:eastAsia="zh-CN"/>
              </w:rPr>
              <w:t>10.5</w:t>
            </w:r>
            <w:r>
              <w:rPr>
                <w:rFonts w:hint="default" w:ascii="Times New Roman" w:hAnsi="Times New Roman" w:cs="Times New Roman"/>
                <w:color w:val="auto"/>
                <w:szCs w:val="21"/>
                <w:highlight w:val="none"/>
              </w:rPr>
              <w:t>kg/d，</w:t>
            </w:r>
            <w:r>
              <w:rPr>
                <w:rFonts w:hint="eastAsia" w:cs="Times New Roman"/>
                <w:color w:val="auto"/>
                <w:szCs w:val="21"/>
                <w:highlight w:val="none"/>
                <w:lang w:val="en-US" w:eastAsia="zh-CN"/>
              </w:rPr>
              <w:t>3.15</w:t>
            </w:r>
            <w:r>
              <w:rPr>
                <w:rFonts w:hint="default" w:ascii="Times New Roman" w:hAnsi="Times New Roman" w:cs="Times New Roman"/>
                <w:color w:val="auto"/>
                <w:szCs w:val="21"/>
                <w:highlight w:val="none"/>
              </w:rPr>
              <w:t>t/a，集中收集后交环卫部门进行无害化处理。</w:t>
            </w:r>
            <w:r>
              <w:rPr>
                <w:rFonts w:hint="eastAsia"/>
                <w:color w:val="auto"/>
                <w:sz w:val="21"/>
                <w:szCs w:val="21"/>
                <w:highlight w:val="none"/>
                <w:lang w:val="en-US" w:eastAsia="zh-CN"/>
              </w:rPr>
              <w:t>根据《固体废物分类与代码目录》生活垃圾的固废编号为“SW64其他垃圾”中的“以上之外的生活垃圾”，细分代码为900-099-S64</w:t>
            </w:r>
            <w:r>
              <w:rPr>
                <w:rFonts w:hint="default"/>
                <w:color w:val="auto"/>
                <w:sz w:val="21"/>
                <w:szCs w:val="21"/>
                <w:highlight w:val="none"/>
              </w:rPr>
              <w:t>。</w:t>
            </w:r>
          </w:p>
          <w:p w14:paraId="44FAF8FC">
            <w:pPr>
              <w:keepNext w:val="0"/>
              <w:keepLines w:val="0"/>
              <w:suppressLineNumbers w:val="0"/>
              <w:spacing w:before="24" w:beforeAutospacing="0" w:after="24" w:afterAutospacing="0" w:line="360" w:lineRule="auto"/>
              <w:ind w:left="0" w:right="0" w:firstLine="422" w:firstLineChars="200"/>
              <w:rPr>
                <w:rFonts w:hint="default" w:ascii="Times New Roman" w:hAnsi="Times New Roman" w:cs="Times New Roman"/>
                <w:b/>
                <w:bCs/>
                <w:color w:val="auto"/>
                <w:szCs w:val="21"/>
                <w:highlight w:val="none"/>
              </w:rPr>
            </w:pPr>
            <w:r>
              <w:rPr>
                <w:rFonts w:hint="eastAsia" w:cs="Times New Roman"/>
                <w:b/>
                <w:bCs/>
                <w:color w:val="auto"/>
                <w:szCs w:val="21"/>
                <w:highlight w:val="none"/>
                <w:lang w:eastAsia="zh-CN"/>
              </w:rPr>
              <w:t>（</w:t>
            </w:r>
            <w:r>
              <w:rPr>
                <w:rFonts w:hint="eastAsia" w:cs="Times New Roman"/>
                <w:b/>
                <w:bCs/>
                <w:color w:val="auto"/>
                <w:szCs w:val="21"/>
                <w:highlight w:val="none"/>
                <w:lang w:val="en-US" w:eastAsia="zh-CN"/>
              </w:rPr>
              <w:t>2）</w:t>
            </w:r>
            <w:r>
              <w:rPr>
                <w:rFonts w:hint="default" w:ascii="Times New Roman" w:hAnsi="Times New Roman" w:cs="Times New Roman"/>
                <w:b/>
                <w:bCs/>
                <w:color w:val="auto"/>
                <w:szCs w:val="21"/>
                <w:highlight w:val="none"/>
              </w:rPr>
              <w:t>一般固废</w:t>
            </w:r>
          </w:p>
          <w:p w14:paraId="4B77EF07">
            <w:pPr>
              <w:keepNext w:val="0"/>
              <w:keepLines w:val="0"/>
              <w:suppressLineNumbers w:val="0"/>
              <w:spacing w:before="24" w:beforeAutospacing="0" w:after="24" w:afterAutospacing="0" w:line="360" w:lineRule="auto"/>
              <w:ind w:left="0" w:right="0" w:firstLine="422" w:firstLineChars="200"/>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①废包装材料</w:t>
            </w:r>
          </w:p>
          <w:p w14:paraId="0BE051EB">
            <w:pPr>
              <w:keepNext w:val="0"/>
              <w:keepLines w:val="0"/>
              <w:suppressLineNumbers w:val="0"/>
              <w:spacing w:before="24" w:beforeAutospacing="0" w:after="24" w:afterAutospacing="0" w:line="360" w:lineRule="auto"/>
              <w:ind w:left="0" w:right="0"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项目在原料拆封及产品打包运输是会产生废包装材料，主要为纸箱、塑料绳、塑料袋等。根据业主提供资料，预计产生量为</w:t>
            </w:r>
            <w:r>
              <w:rPr>
                <w:rFonts w:hint="eastAsia" w:cs="Times New Roman"/>
                <w:color w:val="auto"/>
                <w:szCs w:val="21"/>
                <w:highlight w:val="none"/>
                <w:lang w:val="en-US" w:eastAsia="zh-CN"/>
              </w:rPr>
              <w:t>0.1</w:t>
            </w:r>
            <w:r>
              <w:rPr>
                <w:rFonts w:hint="default" w:ascii="Times New Roman" w:hAnsi="Times New Roman" w:cs="Times New Roman"/>
                <w:color w:val="auto"/>
                <w:szCs w:val="21"/>
                <w:highlight w:val="none"/>
              </w:rPr>
              <w:t>t/a。收集后交给物资部门处理。</w:t>
            </w:r>
            <w:r>
              <w:rPr>
                <w:rFonts w:hint="eastAsia"/>
                <w:color w:val="auto"/>
                <w:sz w:val="21"/>
                <w:szCs w:val="21"/>
                <w:highlight w:val="none"/>
                <w:lang w:val="en-US" w:eastAsia="zh-CN"/>
              </w:rPr>
              <w:t>根据《固体废物分类与代码目录》废包装材料的固废编号为“SW17可再生类废物”中的“废塑料，工业生产活动中产生的塑料废弃边角料、废弃塑料包装等废物”，细分代码为900-003-S17</w:t>
            </w:r>
            <w:r>
              <w:rPr>
                <w:rFonts w:hint="default"/>
                <w:color w:val="auto"/>
                <w:sz w:val="21"/>
                <w:szCs w:val="21"/>
                <w:highlight w:val="none"/>
              </w:rPr>
              <w:t>。</w:t>
            </w:r>
          </w:p>
          <w:p w14:paraId="554AA397">
            <w:pPr>
              <w:keepNext w:val="0"/>
              <w:keepLines w:val="0"/>
              <w:suppressLineNumbers w:val="0"/>
              <w:spacing w:before="24" w:beforeAutospacing="0" w:after="24" w:afterAutospacing="0" w:line="360" w:lineRule="auto"/>
              <w:ind w:left="0" w:right="0" w:firstLine="422" w:firstLineChars="200"/>
              <w:rPr>
                <w:rFonts w:hint="eastAsia" w:cs="Times New Roman"/>
                <w:b/>
                <w:bCs/>
                <w:color w:val="auto"/>
                <w:szCs w:val="21"/>
                <w:highlight w:val="none"/>
                <w:lang w:val="en-US" w:eastAsia="zh-CN"/>
              </w:rPr>
            </w:pPr>
            <w:r>
              <w:rPr>
                <w:rFonts w:hint="default" w:ascii="Times New Roman" w:hAnsi="Times New Roman" w:cs="Times New Roman"/>
                <w:b/>
                <w:bCs/>
                <w:color w:val="auto"/>
                <w:szCs w:val="21"/>
                <w:highlight w:val="none"/>
              </w:rPr>
              <w:t>②</w:t>
            </w:r>
            <w:r>
              <w:rPr>
                <w:rFonts w:hint="eastAsia" w:cs="Times New Roman"/>
                <w:b/>
                <w:bCs/>
                <w:color w:val="auto"/>
                <w:szCs w:val="21"/>
                <w:highlight w:val="none"/>
                <w:lang w:eastAsia="zh-CN"/>
              </w:rPr>
              <w:t>塑料</w:t>
            </w:r>
            <w:r>
              <w:rPr>
                <w:rFonts w:hint="default" w:ascii="Times New Roman" w:hAnsi="Times New Roman" w:cs="Times New Roman"/>
                <w:b/>
                <w:bCs/>
                <w:color w:val="auto"/>
                <w:szCs w:val="21"/>
                <w:highlight w:val="none"/>
              </w:rPr>
              <w:t>边角料、</w:t>
            </w:r>
            <w:r>
              <w:rPr>
                <w:rFonts w:hint="eastAsia" w:cs="Times New Roman"/>
                <w:b/>
                <w:bCs/>
                <w:color w:val="auto"/>
                <w:szCs w:val="21"/>
                <w:highlight w:val="none"/>
                <w:lang w:val="en-US" w:eastAsia="zh-CN"/>
              </w:rPr>
              <w:t>废塑料制品</w:t>
            </w:r>
          </w:p>
          <w:p w14:paraId="720A8627">
            <w:pPr>
              <w:keepNext w:val="0"/>
              <w:keepLines w:val="0"/>
              <w:suppressLineNumbers w:val="0"/>
              <w:spacing w:before="24" w:beforeAutospacing="0" w:after="24" w:afterAutospacing="0" w:line="360" w:lineRule="auto"/>
              <w:ind w:left="0" w:right="0" w:firstLine="420" w:firstLineChars="200"/>
              <w:rPr>
                <w:rFonts w:hint="default"/>
                <w:color w:val="auto"/>
                <w:sz w:val="21"/>
                <w:szCs w:val="21"/>
                <w:highlight w:val="none"/>
              </w:rPr>
            </w:pPr>
            <w:r>
              <w:rPr>
                <w:rFonts w:hint="default" w:ascii="Times New Roman" w:hAnsi="Times New Roman" w:cs="Times New Roman"/>
                <w:color w:val="auto"/>
                <w:szCs w:val="21"/>
                <w:highlight w:val="none"/>
              </w:rPr>
              <w:t>根据建设单位提供的资料，</w:t>
            </w:r>
            <w:r>
              <w:rPr>
                <w:rFonts w:hint="eastAsia" w:cs="Times New Roman"/>
                <w:color w:val="auto"/>
                <w:szCs w:val="21"/>
                <w:highlight w:val="none"/>
                <w:lang w:eastAsia="zh-CN"/>
              </w:rPr>
              <w:t>塑料</w:t>
            </w:r>
            <w:r>
              <w:rPr>
                <w:rFonts w:hint="default" w:ascii="Times New Roman" w:hAnsi="Times New Roman" w:cs="Times New Roman"/>
                <w:color w:val="auto"/>
                <w:szCs w:val="21"/>
                <w:highlight w:val="none"/>
              </w:rPr>
              <w:t>边角料、</w:t>
            </w:r>
            <w:r>
              <w:rPr>
                <w:rFonts w:hint="eastAsia" w:cs="Times New Roman"/>
                <w:color w:val="auto"/>
                <w:szCs w:val="21"/>
                <w:highlight w:val="none"/>
                <w:lang w:val="en-US" w:eastAsia="zh-CN"/>
              </w:rPr>
              <w:t>废塑料制品</w:t>
            </w:r>
            <w:r>
              <w:rPr>
                <w:rFonts w:hint="default" w:ascii="Times New Roman" w:hAnsi="Times New Roman" w:cs="Times New Roman"/>
                <w:color w:val="auto"/>
                <w:szCs w:val="21"/>
                <w:highlight w:val="none"/>
              </w:rPr>
              <w:t>产生量</w:t>
            </w:r>
            <w:r>
              <w:rPr>
                <w:rFonts w:hint="eastAsia" w:cs="Times New Roman"/>
                <w:color w:val="auto"/>
                <w:szCs w:val="21"/>
                <w:highlight w:val="none"/>
                <w:lang w:val="en-US" w:eastAsia="zh-CN"/>
              </w:rPr>
              <w:t>约</w:t>
            </w:r>
            <w:r>
              <w:rPr>
                <w:rFonts w:hint="default" w:ascii="Times New Roman" w:hAnsi="Times New Roman" w:cs="Times New Roman"/>
                <w:color w:val="auto"/>
                <w:szCs w:val="21"/>
                <w:highlight w:val="none"/>
              </w:rPr>
              <w:t>为1</w:t>
            </w:r>
            <w:r>
              <w:rPr>
                <w:rFonts w:hint="eastAsia" w:cs="Times New Roman"/>
                <w:color w:val="auto"/>
                <w:szCs w:val="21"/>
                <w:highlight w:val="none"/>
                <w:lang w:val="en-US" w:eastAsia="zh-CN"/>
              </w:rPr>
              <w:t>.715</w:t>
            </w:r>
            <w:r>
              <w:rPr>
                <w:rFonts w:hint="default" w:ascii="Times New Roman" w:hAnsi="Times New Roman" w:cs="Times New Roman"/>
                <w:color w:val="auto"/>
                <w:szCs w:val="21"/>
                <w:highlight w:val="none"/>
              </w:rPr>
              <w:t>t/a。</w:t>
            </w:r>
            <w:r>
              <w:rPr>
                <w:rFonts w:hint="eastAsia"/>
                <w:color w:val="auto"/>
                <w:sz w:val="21"/>
                <w:szCs w:val="21"/>
                <w:highlight w:val="none"/>
                <w:lang w:val="en-US" w:eastAsia="zh-CN"/>
              </w:rPr>
              <w:t>根据《固体废物分类与代码目录》</w:t>
            </w:r>
            <w:r>
              <w:rPr>
                <w:rFonts w:hint="eastAsia" w:cs="Times New Roman"/>
                <w:color w:val="auto"/>
                <w:szCs w:val="21"/>
                <w:highlight w:val="none"/>
                <w:lang w:eastAsia="zh-CN"/>
              </w:rPr>
              <w:t>塑料</w:t>
            </w:r>
            <w:r>
              <w:rPr>
                <w:rFonts w:hint="default" w:ascii="Times New Roman" w:hAnsi="Times New Roman" w:cs="Times New Roman"/>
                <w:color w:val="auto"/>
                <w:szCs w:val="21"/>
                <w:highlight w:val="none"/>
              </w:rPr>
              <w:t>边角料、</w:t>
            </w:r>
            <w:r>
              <w:rPr>
                <w:rFonts w:hint="eastAsia" w:cs="Times New Roman"/>
                <w:color w:val="auto"/>
                <w:szCs w:val="21"/>
                <w:highlight w:val="none"/>
                <w:lang w:val="en-US" w:eastAsia="zh-CN"/>
              </w:rPr>
              <w:t>废塑料制品</w:t>
            </w:r>
            <w:r>
              <w:rPr>
                <w:rFonts w:hint="eastAsia"/>
                <w:color w:val="auto"/>
                <w:sz w:val="21"/>
                <w:szCs w:val="21"/>
                <w:highlight w:val="none"/>
                <w:lang w:val="en-US" w:eastAsia="zh-CN"/>
              </w:rPr>
              <w:t>的固废编号为“SW17可再生类废物”中的“废塑料。工业生产活动中产生的塑料废弃边角料、废弃塑料包装等废物”，细分代码为900-003-S17</w:t>
            </w:r>
            <w:r>
              <w:rPr>
                <w:rFonts w:hint="default"/>
                <w:color w:val="auto"/>
                <w:sz w:val="21"/>
                <w:szCs w:val="21"/>
                <w:highlight w:val="none"/>
              </w:rPr>
              <w:t>。</w:t>
            </w:r>
          </w:p>
          <w:p w14:paraId="0DEBA68C">
            <w:pPr>
              <w:keepNext w:val="0"/>
              <w:keepLines w:val="0"/>
              <w:suppressLineNumbers w:val="0"/>
              <w:spacing w:before="24" w:beforeAutospacing="0" w:after="24" w:afterAutospacing="0" w:line="360" w:lineRule="auto"/>
              <w:ind w:left="0" w:right="0" w:firstLine="422" w:firstLineChars="200"/>
              <w:rPr>
                <w:rFonts w:hint="eastAsia" w:cs="Times New Roman"/>
                <w:b/>
                <w:bCs/>
                <w:color w:val="auto"/>
                <w:szCs w:val="21"/>
                <w:highlight w:val="none"/>
                <w:lang w:val="en-US" w:eastAsia="zh-CN"/>
              </w:rPr>
            </w:pPr>
            <w:r>
              <w:rPr>
                <w:rFonts w:hint="eastAsia" w:cs="Times New Roman"/>
                <w:b/>
                <w:bCs/>
                <w:color w:val="auto"/>
                <w:szCs w:val="21"/>
                <w:highlight w:val="none"/>
                <w:lang w:val="en-US" w:eastAsia="zh-CN"/>
              </w:rPr>
              <w:t>③纸板边角料</w:t>
            </w:r>
          </w:p>
          <w:p w14:paraId="573D6345">
            <w:pPr>
              <w:keepNext w:val="0"/>
              <w:keepLines w:val="0"/>
              <w:suppressLineNumbers w:val="0"/>
              <w:spacing w:before="24" w:beforeAutospacing="0" w:after="24" w:afterAutospacing="0" w:line="360" w:lineRule="auto"/>
              <w:ind w:left="0" w:right="0" w:firstLine="420" w:firstLineChars="200"/>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项目在纸箱制造时，分切、开槽/啤模时会产生纸板边角料，产生量约2.2t/a。根据</w:t>
            </w:r>
            <w:r>
              <w:rPr>
                <w:rFonts w:hint="eastAsia"/>
                <w:b w:val="0"/>
                <w:bCs w:val="0"/>
                <w:color w:val="auto"/>
                <w:sz w:val="21"/>
                <w:szCs w:val="21"/>
                <w:highlight w:val="none"/>
                <w:lang w:val="en-US" w:eastAsia="zh-CN"/>
              </w:rPr>
              <w:t>《固体废物分类与代码目录》</w:t>
            </w:r>
            <w:r>
              <w:rPr>
                <w:rFonts w:hint="eastAsia" w:cs="宋体"/>
                <w:color w:val="auto"/>
                <w:sz w:val="21"/>
                <w:highlight w:val="none"/>
                <w:lang w:val="en-US" w:eastAsia="zh-CN"/>
              </w:rPr>
              <w:t>，</w:t>
            </w:r>
            <w:r>
              <w:rPr>
                <w:rFonts w:hint="eastAsia" w:cs="Times New Roman"/>
                <w:b w:val="0"/>
                <w:bCs w:val="0"/>
                <w:color w:val="auto"/>
                <w:szCs w:val="21"/>
                <w:highlight w:val="none"/>
                <w:lang w:val="en-US" w:eastAsia="zh-CN"/>
              </w:rPr>
              <w:t>纸板边角料的固废编号为“SW17可再生类废物”中的“废纸。工业生产活动中产生的废纸、废纸质包装、废边角料、残次品等废物”，细分代码为900-005-S17。</w:t>
            </w:r>
          </w:p>
          <w:p w14:paraId="1F8BB0F9">
            <w:pPr>
              <w:keepNext w:val="0"/>
              <w:keepLines w:val="0"/>
              <w:suppressLineNumbers w:val="0"/>
              <w:spacing w:before="24" w:beforeAutospacing="0" w:after="24" w:afterAutospacing="0" w:line="360" w:lineRule="auto"/>
              <w:ind w:left="0" w:right="0" w:firstLine="422" w:firstLineChars="200"/>
              <w:rPr>
                <w:rFonts w:hint="eastAsia" w:ascii="Times New Roman" w:hAnsi="Times New Roman" w:eastAsia="宋体" w:cs="宋体"/>
                <w:b/>
                <w:bCs/>
                <w:color w:val="auto"/>
                <w:sz w:val="21"/>
                <w:highlight w:val="none"/>
                <w:lang w:val="en-US" w:eastAsia="zh-CN"/>
              </w:rPr>
            </w:pPr>
            <w:r>
              <w:rPr>
                <w:rFonts w:hint="eastAsia" w:ascii="Times New Roman" w:hAnsi="Times New Roman" w:eastAsia="宋体" w:cs="宋体"/>
                <w:b/>
                <w:bCs/>
                <w:color w:val="auto"/>
                <w:sz w:val="21"/>
                <w:highlight w:val="none"/>
                <w:lang w:val="en-US" w:eastAsia="zh-CN"/>
              </w:rPr>
              <w:t>④废模具</w:t>
            </w:r>
          </w:p>
          <w:p w14:paraId="37D1FA04">
            <w:pPr>
              <w:keepNext w:val="0"/>
              <w:keepLines w:val="0"/>
              <w:suppressLineNumbers w:val="0"/>
              <w:spacing w:before="24" w:beforeAutospacing="0" w:after="24" w:afterAutospacing="0" w:line="360" w:lineRule="auto"/>
              <w:ind w:left="0" w:right="0" w:firstLine="420" w:firstLineChars="200"/>
              <w:rPr>
                <w:rFonts w:hint="default" w:ascii="Times New Roman" w:hAnsi="Times New Roman" w:eastAsia="宋体"/>
                <w:color w:val="auto"/>
                <w:sz w:val="21"/>
                <w:highlight w:val="none"/>
                <w:lang w:val="en-US" w:eastAsia="zh-CN"/>
              </w:rPr>
            </w:pPr>
            <w:r>
              <w:rPr>
                <w:rFonts w:hint="eastAsia" w:ascii="Times New Roman" w:hAnsi="Times New Roman" w:eastAsia="宋体" w:cs="宋体"/>
                <w:color w:val="auto"/>
                <w:sz w:val="21"/>
                <w:highlight w:val="none"/>
                <w:lang w:val="en-US" w:eastAsia="zh-CN"/>
              </w:rPr>
              <w:t>项目吸塑工序使用到模具，会产生少量的废模具，根据企业提供的资料，产生量约为0.6t/a，属于一般固体废物，根据《固体废物分类与代码目录》（生态环境部公告2024年第4号），废物种类为SW17可再生类废物，废物代码为900-001-S17，废模具收集后交由专业回收公司回收处理。</w:t>
            </w:r>
          </w:p>
          <w:p w14:paraId="5313DA04">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157" w:afterLines="50" w:afterAutospacing="0"/>
              <w:ind w:right="0"/>
              <w:jc w:val="center"/>
              <w:textAlignment w:val="auto"/>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一般工业固体废物产生情况表</w:t>
            </w:r>
          </w:p>
          <w:tbl>
            <w:tblPr>
              <w:tblStyle w:val="41"/>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5"/>
              <w:gridCol w:w="985"/>
              <w:gridCol w:w="840"/>
              <w:gridCol w:w="1313"/>
              <w:gridCol w:w="988"/>
              <w:gridCol w:w="544"/>
              <w:gridCol w:w="544"/>
              <w:gridCol w:w="544"/>
              <w:gridCol w:w="544"/>
              <w:gridCol w:w="620"/>
              <w:gridCol w:w="853"/>
            </w:tblGrid>
            <w:tr w14:paraId="63C0BD8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282" w:type="pct"/>
                  <w:tcBorders>
                    <w:tl2br w:val="nil"/>
                    <w:tr2bl w:val="nil"/>
                  </w:tcBorders>
                  <w:noWrap w:val="0"/>
                  <w:vAlign w:val="center"/>
                </w:tcPr>
                <w:p w14:paraId="39097EF1">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序号</w:t>
                  </w:r>
                </w:p>
              </w:tc>
              <w:tc>
                <w:tcPr>
                  <w:tcW w:w="597" w:type="pct"/>
                  <w:tcBorders>
                    <w:tl2br w:val="nil"/>
                    <w:tr2bl w:val="nil"/>
                  </w:tcBorders>
                  <w:noWrap w:val="0"/>
                  <w:vAlign w:val="center"/>
                </w:tcPr>
                <w:p w14:paraId="06FAF4C8">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名称</w:t>
                  </w:r>
                </w:p>
              </w:tc>
              <w:tc>
                <w:tcPr>
                  <w:tcW w:w="509" w:type="pct"/>
                  <w:tcBorders>
                    <w:tl2br w:val="nil"/>
                    <w:tr2bl w:val="nil"/>
                  </w:tcBorders>
                  <w:noWrap w:val="0"/>
                  <w:vAlign w:val="center"/>
                </w:tcPr>
                <w:p w14:paraId="7AA2DF01">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产生环节</w:t>
                  </w:r>
                </w:p>
              </w:tc>
              <w:tc>
                <w:tcPr>
                  <w:tcW w:w="796" w:type="pct"/>
                  <w:tcBorders>
                    <w:tl2br w:val="nil"/>
                    <w:tr2bl w:val="nil"/>
                  </w:tcBorders>
                  <w:noWrap w:val="0"/>
                  <w:vAlign w:val="center"/>
                </w:tcPr>
                <w:p w14:paraId="6B03C3A9">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代码</w:t>
                  </w:r>
                </w:p>
              </w:tc>
              <w:tc>
                <w:tcPr>
                  <w:tcW w:w="599" w:type="pct"/>
                  <w:tcBorders>
                    <w:tl2br w:val="nil"/>
                    <w:tr2bl w:val="nil"/>
                  </w:tcBorders>
                  <w:noWrap w:val="0"/>
                  <w:vAlign w:val="center"/>
                </w:tcPr>
                <w:p w14:paraId="6FFA7D53">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产生量（t/a）</w:t>
                  </w:r>
                </w:p>
              </w:tc>
              <w:tc>
                <w:tcPr>
                  <w:tcW w:w="330" w:type="pct"/>
                  <w:tcBorders>
                    <w:tl2br w:val="nil"/>
                    <w:tr2bl w:val="nil"/>
                  </w:tcBorders>
                  <w:noWrap w:val="0"/>
                  <w:vAlign w:val="center"/>
                </w:tcPr>
                <w:p w14:paraId="58545249">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物理特性</w:t>
                  </w:r>
                </w:p>
              </w:tc>
              <w:tc>
                <w:tcPr>
                  <w:tcW w:w="330" w:type="pct"/>
                  <w:tcBorders>
                    <w:tl2br w:val="nil"/>
                    <w:tr2bl w:val="nil"/>
                  </w:tcBorders>
                  <w:noWrap w:val="0"/>
                  <w:vAlign w:val="center"/>
                </w:tcPr>
                <w:p w14:paraId="146CBBE5">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主要成分</w:t>
                  </w:r>
                </w:p>
              </w:tc>
              <w:tc>
                <w:tcPr>
                  <w:tcW w:w="330" w:type="pct"/>
                  <w:tcBorders>
                    <w:tl2br w:val="nil"/>
                    <w:tr2bl w:val="nil"/>
                  </w:tcBorders>
                  <w:noWrap w:val="0"/>
                  <w:vAlign w:val="center"/>
                </w:tcPr>
                <w:p w14:paraId="34FCE9CA">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有害成分</w:t>
                  </w:r>
                </w:p>
              </w:tc>
              <w:tc>
                <w:tcPr>
                  <w:tcW w:w="330" w:type="pct"/>
                  <w:tcBorders>
                    <w:tl2br w:val="nil"/>
                    <w:tr2bl w:val="nil"/>
                  </w:tcBorders>
                  <w:noWrap w:val="0"/>
                  <w:vAlign w:val="center"/>
                </w:tcPr>
                <w:p w14:paraId="1DD0571F">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贮存方式</w:t>
                  </w:r>
                </w:p>
              </w:tc>
              <w:tc>
                <w:tcPr>
                  <w:tcW w:w="376" w:type="pct"/>
                  <w:tcBorders>
                    <w:tl2br w:val="nil"/>
                    <w:tr2bl w:val="nil"/>
                  </w:tcBorders>
                  <w:noWrap w:val="0"/>
                  <w:vAlign w:val="center"/>
                </w:tcPr>
                <w:p w14:paraId="3DA5B1C2">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利用处置方式</w:t>
                  </w:r>
                </w:p>
              </w:tc>
              <w:tc>
                <w:tcPr>
                  <w:tcW w:w="517" w:type="pct"/>
                  <w:tcBorders>
                    <w:tl2br w:val="nil"/>
                    <w:tr2bl w:val="nil"/>
                  </w:tcBorders>
                  <w:noWrap w:val="0"/>
                  <w:vAlign w:val="center"/>
                </w:tcPr>
                <w:p w14:paraId="43999190">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去向</w:t>
                  </w:r>
                </w:p>
              </w:tc>
            </w:tr>
            <w:tr w14:paraId="03148BF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2" w:type="pct"/>
                  <w:tcBorders>
                    <w:tl2br w:val="nil"/>
                    <w:tr2bl w:val="nil"/>
                  </w:tcBorders>
                  <w:noWrap w:val="0"/>
                  <w:vAlign w:val="center"/>
                </w:tcPr>
                <w:p w14:paraId="2B6A08C4">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1</w:t>
                  </w:r>
                </w:p>
              </w:tc>
              <w:tc>
                <w:tcPr>
                  <w:tcW w:w="597" w:type="pct"/>
                  <w:tcBorders>
                    <w:tl2br w:val="nil"/>
                    <w:tr2bl w:val="nil"/>
                  </w:tcBorders>
                  <w:noWrap w:val="0"/>
                  <w:vAlign w:val="center"/>
                </w:tcPr>
                <w:p w14:paraId="46CD95AE">
                  <w:pPr>
                    <w:keepNext w:val="0"/>
                    <w:keepLines w:val="0"/>
                    <w:widowControl/>
                    <w:suppressLineNumbers w:val="0"/>
                    <w:spacing w:before="0" w:beforeAutospacing="0" w:after="0" w:afterAutospacing="0"/>
                    <w:ind w:left="0" w:right="0"/>
                    <w:jc w:val="center"/>
                    <w:rPr>
                      <w:rFonts w:hint="default" w:cs="Times New Roman"/>
                      <w:snapToGrid w:val="0"/>
                      <w:color w:val="auto"/>
                      <w:kern w:val="21"/>
                      <w:szCs w:val="21"/>
                      <w:highlight w:val="none"/>
                      <w:lang w:val="en-US" w:eastAsia="zh-CN"/>
                    </w:rPr>
                  </w:pPr>
                  <w:r>
                    <w:rPr>
                      <w:rFonts w:hint="default" w:cs="Times New Roman"/>
                      <w:snapToGrid w:val="0"/>
                      <w:color w:val="auto"/>
                      <w:kern w:val="21"/>
                      <w:szCs w:val="21"/>
                      <w:highlight w:val="none"/>
                      <w:lang w:val="en-US" w:eastAsia="zh-CN"/>
                    </w:rPr>
                    <w:t>废包装材料</w:t>
                  </w:r>
                </w:p>
              </w:tc>
              <w:tc>
                <w:tcPr>
                  <w:tcW w:w="509" w:type="pct"/>
                  <w:tcBorders>
                    <w:tl2br w:val="nil"/>
                    <w:tr2bl w:val="nil"/>
                  </w:tcBorders>
                  <w:noWrap w:val="0"/>
                  <w:vAlign w:val="center"/>
                </w:tcPr>
                <w:p w14:paraId="246EA382">
                  <w:pPr>
                    <w:keepNext w:val="0"/>
                    <w:keepLines w:val="0"/>
                    <w:widowControl/>
                    <w:suppressLineNumbers w:val="0"/>
                    <w:spacing w:before="0" w:beforeAutospacing="0" w:after="0" w:afterAutospacing="0"/>
                    <w:ind w:left="0" w:right="0"/>
                    <w:jc w:val="center"/>
                    <w:rPr>
                      <w:rFonts w:hint="default"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包装出货</w:t>
                  </w:r>
                </w:p>
              </w:tc>
              <w:tc>
                <w:tcPr>
                  <w:tcW w:w="796" w:type="pct"/>
                  <w:tcBorders>
                    <w:tl2br w:val="nil"/>
                    <w:tr2bl w:val="nil"/>
                  </w:tcBorders>
                  <w:noWrap w:val="0"/>
                  <w:vAlign w:val="center"/>
                </w:tcPr>
                <w:p w14:paraId="68384004">
                  <w:pPr>
                    <w:keepNext w:val="0"/>
                    <w:keepLines w:val="0"/>
                    <w:widowControl/>
                    <w:suppressLineNumbers w:val="0"/>
                    <w:spacing w:before="0" w:beforeAutospacing="0" w:after="0" w:afterAutospacing="0"/>
                    <w:ind w:left="0" w:right="0"/>
                    <w:jc w:val="center"/>
                    <w:rPr>
                      <w:rFonts w:hint="eastAsia"/>
                      <w:color w:val="auto"/>
                      <w:sz w:val="21"/>
                      <w:szCs w:val="21"/>
                      <w:highlight w:val="none"/>
                      <w:lang w:val="en-US" w:eastAsia="zh-CN"/>
                    </w:rPr>
                  </w:pPr>
                  <w:r>
                    <w:rPr>
                      <w:rFonts w:hint="eastAsia"/>
                      <w:color w:val="auto"/>
                      <w:sz w:val="21"/>
                      <w:szCs w:val="21"/>
                      <w:highlight w:val="none"/>
                      <w:lang w:val="en-US" w:eastAsia="zh-CN"/>
                    </w:rPr>
                    <w:t>900-003-S17</w:t>
                  </w:r>
                </w:p>
              </w:tc>
              <w:tc>
                <w:tcPr>
                  <w:tcW w:w="599" w:type="pct"/>
                  <w:tcBorders>
                    <w:tl2br w:val="nil"/>
                    <w:tr2bl w:val="nil"/>
                  </w:tcBorders>
                  <w:noWrap w:val="0"/>
                  <w:vAlign w:val="center"/>
                </w:tcPr>
                <w:p w14:paraId="10B0DC71">
                  <w:pPr>
                    <w:keepNext w:val="0"/>
                    <w:keepLines w:val="0"/>
                    <w:widowControl/>
                    <w:suppressLineNumbers w:val="0"/>
                    <w:spacing w:before="0" w:beforeAutospacing="0" w:after="0" w:afterAutospacing="0"/>
                    <w:ind w:left="0" w:right="0"/>
                    <w:jc w:val="center"/>
                    <w:rPr>
                      <w:rFonts w:hint="default"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0.1</w:t>
                  </w:r>
                </w:p>
              </w:tc>
              <w:tc>
                <w:tcPr>
                  <w:tcW w:w="330" w:type="pct"/>
                  <w:tcBorders>
                    <w:tl2br w:val="nil"/>
                    <w:tr2bl w:val="nil"/>
                  </w:tcBorders>
                  <w:noWrap w:val="0"/>
                  <w:vAlign w:val="center"/>
                </w:tcPr>
                <w:p w14:paraId="6E0755A3">
                  <w:pPr>
                    <w:keepNext w:val="0"/>
                    <w:keepLines w:val="0"/>
                    <w:widowControl/>
                    <w:suppressLineNumbers w:val="0"/>
                    <w:spacing w:before="0" w:beforeAutospacing="0" w:after="0" w:afterAutospacing="0"/>
                    <w:ind w:left="0" w:right="0"/>
                    <w:jc w:val="center"/>
                    <w:rPr>
                      <w:rFonts w:hint="default" w:ascii="Times New Roman" w:hAnsi="Times New Roman" w:cs="Times New Roman"/>
                      <w:snapToGrid w:val="0"/>
                      <w:color w:val="auto"/>
                      <w:kern w:val="21"/>
                      <w:szCs w:val="21"/>
                      <w:highlight w:val="none"/>
                    </w:rPr>
                  </w:pPr>
                  <w:r>
                    <w:rPr>
                      <w:rFonts w:hint="default" w:ascii="Times New Roman" w:hAnsi="Times New Roman" w:cs="Times New Roman"/>
                      <w:snapToGrid w:val="0"/>
                      <w:color w:val="auto"/>
                      <w:kern w:val="21"/>
                      <w:szCs w:val="21"/>
                      <w:highlight w:val="none"/>
                    </w:rPr>
                    <w:t>固态</w:t>
                  </w:r>
                </w:p>
              </w:tc>
              <w:tc>
                <w:tcPr>
                  <w:tcW w:w="330" w:type="pct"/>
                  <w:tcBorders>
                    <w:tl2br w:val="nil"/>
                    <w:tr2bl w:val="nil"/>
                  </w:tcBorders>
                  <w:noWrap w:val="0"/>
                  <w:vAlign w:val="center"/>
                </w:tcPr>
                <w:p w14:paraId="1C63F625">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废塑料</w:t>
                  </w:r>
                </w:p>
              </w:tc>
              <w:tc>
                <w:tcPr>
                  <w:tcW w:w="330" w:type="pct"/>
                  <w:tcBorders>
                    <w:tl2br w:val="nil"/>
                    <w:tr2bl w:val="nil"/>
                  </w:tcBorders>
                  <w:noWrap w:val="0"/>
                  <w:vAlign w:val="center"/>
                </w:tcPr>
                <w:p w14:paraId="083A4563">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w:t>
                  </w:r>
                </w:p>
              </w:tc>
              <w:tc>
                <w:tcPr>
                  <w:tcW w:w="330" w:type="pct"/>
                  <w:tcBorders>
                    <w:tl2br w:val="nil"/>
                    <w:tr2bl w:val="nil"/>
                  </w:tcBorders>
                  <w:noWrap w:val="0"/>
                  <w:vAlign w:val="center"/>
                </w:tcPr>
                <w:p w14:paraId="74F96A12">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袋装</w:t>
                  </w:r>
                </w:p>
              </w:tc>
              <w:tc>
                <w:tcPr>
                  <w:tcW w:w="376" w:type="pct"/>
                  <w:vMerge w:val="restart"/>
                  <w:tcBorders>
                    <w:tl2br w:val="nil"/>
                    <w:tr2bl w:val="nil"/>
                  </w:tcBorders>
                  <w:noWrap w:val="0"/>
                  <w:vAlign w:val="center"/>
                </w:tcPr>
                <w:p w14:paraId="1300D778">
                  <w:pPr>
                    <w:keepNext w:val="0"/>
                    <w:keepLines w:val="0"/>
                    <w:widowControl/>
                    <w:suppressLineNumbers w:val="0"/>
                    <w:spacing w:before="0" w:beforeAutospacing="0" w:after="0" w:afterAutospacing="0"/>
                    <w:ind w:left="0" w:right="0"/>
                    <w:jc w:val="center"/>
                    <w:rPr>
                      <w:rFonts w:hint="default" w:ascii="Times New Roman" w:hAnsi="Times New Roman" w:cs="Times New Roman"/>
                      <w:snapToGrid w:val="0"/>
                      <w:color w:val="auto"/>
                      <w:kern w:val="21"/>
                      <w:szCs w:val="21"/>
                      <w:highlight w:val="none"/>
                    </w:rPr>
                  </w:pPr>
                  <w:r>
                    <w:rPr>
                      <w:rFonts w:hint="default" w:ascii="Times New Roman" w:hAnsi="Times New Roman" w:cs="Times New Roman"/>
                      <w:snapToGrid w:val="0"/>
                      <w:color w:val="auto"/>
                      <w:kern w:val="21"/>
                      <w:szCs w:val="21"/>
                      <w:highlight w:val="none"/>
                    </w:rPr>
                    <w:t>委外利用</w:t>
                  </w:r>
                </w:p>
              </w:tc>
              <w:tc>
                <w:tcPr>
                  <w:tcW w:w="517" w:type="pct"/>
                  <w:vMerge w:val="restart"/>
                  <w:tcBorders>
                    <w:tl2br w:val="nil"/>
                    <w:tr2bl w:val="nil"/>
                  </w:tcBorders>
                  <w:noWrap w:val="0"/>
                  <w:vAlign w:val="center"/>
                </w:tcPr>
                <w:p w14:paraId="25603509">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eastAsia" w:ascii="Times New Roman" w:hAnsi="Times New Roman" w:eastAsia="宋体" w:cs="宋体"/>
                      <w:color w:val="auto"/>
                      <w:sz w:val="21"/>
                      <w:highlight w:val="none"/>
                      <w:lang w:val="en-US" w:eastAsia="zh-CN"/>
                    </w:rPr>
                    <w:t>交由专业回收公司回收处理</w:t>
                  </w:r>
                </w:p>
              </w:tc>
            </w:tr>
            <w:tr w14:paraId="1E88775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2" w:type="pct"/>
                  <w:tcBorders>
                    <w:tl2br w:val="nil"/>
                    <w:tr2bl w:val="nil"/>
                  </w:tcBorders>
                  <w:noWrap w:val="0"/>
                  <w:vAlign w:val="center"/>
                </w:tcPr>
                <w:p w14:paraId="0FAFC5F6">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2</w:t>
                  </w:r>
                </w:p>
              </w:tc>
              <w:tc>
                <w:tcPr>
                  <w:tcW w:w="597" w:type="pct"/>
                  <w:tcBorders>
                    <w:tl2br w:val="nil"/>
                    <w:tr2bl w:val="nil"/>
                  </w:tcBorders>
                  <w:noWrap w:val="0"/>
                  <w:vAlign w:val="center"/>
                </w:tcPr>
                <w:p w14:paraId="326079CD">
                  <w:pPr>
                    <w:keepNext w:val="0"/>
                    <w:keepLines w:val="0"/>
                    <w:widowControl/>
                    <w:suppressLineNumbers w:val="0"/>
                    <w:spacing w:before="0" w:beforeAutospacing="0" w:after="0" w:afterAutospacing="0"/>
                    <w:ind w:left="0" w:right="0"/>
                    <w:jc w:val="center"/>
                    <w:rPr>
                      <w:rFonts w:hint="default" w:ascii="Times New Roman" w:hAnsi="Times New Roman" w:cs="Times New Roman"/>
                      <w:snapToGrid w:val="0"/>
                      <w:color w:val="auto"/>
                      <w:kern w:val="21"/>
                      <w:szCs w:val="21"/>
                      <w:highlight w:val="none"/>
                    </w:rPr>
                  </w:pPr>
                  <w:r>
                    <w:rPr>
                      <w:rFonts w:hint="eastAsia" w:cs="Times New Roman"/>
                      <w:color w:val="auto"/>
                      <w:szCs w:val="21"/>
                      <w:highlight w:val="none"/>
                      <w:lang w:eastAsia="zh-CN"/>
                    </w:rPr>
                    <w:t>塑料</w:t>
                  </w:r>
                  <w:r>
                    <w:rPr>
                      <w:rFonts w:hint="default" w:ascii="Times New Roman" w:hAnsi="Times New Roman" w:cs="Times New Roman"/>
                      <w:color w:val="auto"/>
                      <w:szCs w:val="21"/>
                      <w:highlight w:val="none"/>
                    </w:rPr>
                    <w:t>边角料、</w:t>
                  </w:r>
                  <w:r>
                    <w:rPr>
                      <w:rFonts w:hint="eastAsia" w:cs="Times New Roman"/>
                      <w:color w:val="auto"/>
                      <w:szCs w:val="21"/>
                      <w:highlight w:val="none"/>
                      <w:lang w:val="en-US" w:eastAsia="zh-CN"/>
                    </w:rPr>
                    <w:t>废塑料制品</w:t>
                  </w:r>
                </w:p>
              </w:tc>
              <w:tc>
                <w:tcPr>
                  <w:tcW w:w="509" w:type="pct"/>
                  <w:tcBorders>
                    <w:tl2br w:val="nil"/>
                    <w:tr2bl w:val="nil"/>
                  </w:tcBorders>
                  <w:noWrap w:val="0"/>
                  <w:vAlign w:val="center"/>
                </w:tcPr>
                <w:p w14:paraId="0AD27FB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冲压、质检</w:t>
                  </w:r>
                </w:p>
              </w:tc>
              <w:tc>
                <w:tcPr>
                  <w:tcW w:w="796" w:type="pct"/>
                  <w:tcBorders>
                    <w:tl2br w:val="nil"/>
                    <w:tr2bl w:val="nil"/>
                  </w:tcBorders>
                  <w:noWrap w:val="0"/>
                  <w:vAlign w:val="center"/>
                </w:tcPr>
                <w:p w14:paraId="39741151">
                  <w:pPr>
                    <w:keepNext w:val="0"/>
                    <w:keepLines w:val="0"/>
                    <w:widowControl/>
                    <w:suppressLineNumbers w:val="0"/>
                    <w:spacing w:before="0" w:beforeAutospacing="0" w:after="0" w:afterAutospacing="0"/>
                    <w:ind w:left="0" w:right="0"/>
                    <w:jc w:val="center"/>
                    <w:rPr>
                      <w:rFonts w:hint="default" w:ascii="Times New Roman" w:hAnsi="Times New Roman" w:cs="Times New Roman"/>
                      <w:snapToGrid w:val="0"/>
                      <w:color w:val="auto"/>
                      <w:kern w:val="21"/>
                      <w:szCs w:val="21"/>
                      <w:highlight w:val="none"/>
                    </w:rPr>
                  </w:pPr>
                  <w:r>
                    <w:rPr>
                      <w:rFonts w:hint="eastAsia"/>
                      <w:color w:val="auto"/>
                      <w:sz w:val="21"/>
                      <w:szCs w:val="21"/>
                      <w:highlight w:val="none"/>
                      <w:lang w:val="en-US" w:eastAsia="zh-CN"/>
                    </w:rPr>
                    <w:t>900-003-S17</w:t>
                  </w:r>
                </w:p>
              </w:tc>
              <w:tc>
                <w:tcPr>
                  <w:tcW w:w="599" w:type="pct"/>
                  <w:tcBorders>
                    <w:tl2br w:val="nil"/>
                    <w:tr2bl w:val="nil"/>
                  </w:tcBorders>
                  <w:noWrap w:val="0"/>
                  <w:vAlign w:val="center"/>
                </w:tcPr>
                <w:p w14:paraId="04EEA13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1.715</w:t>
                  </w:r>
                </w:p>
              </w:tc>
              <w:tc>
                <w:tcPr>
                  <w:tcW w:w="330" w:type="pct"/>
                  <w:tcBorders>
                    <w:tl2br w:val="nil"/>
                    <w:tr2bl w:val="nil"/>
                  </w:tcBorders>
                  <w:noWrap w:val="0"/>
                  <w:vAlign w:val="center"/>
                </w:tcPr>
                <w:p w14:paraId="05098A62">
                  <w:pPr>
                    <w:keepNext w:val="0"/>
                    <w:keepLines w:val="0"/>
                    <w:widowControl/>
                    <w:suppressLineNumbers w:val="0"/>
                    <w:spacing w:before="0" w:beforeAutospacing="0" w:after="0" w:afterAutospacing="0"/>
                    <w:ind w:left="0" w:right="0"/>
                    <w:jc w:val="center"/>
                    <w:rPr>
                      <w:rFonts w:hint="default" w:ascii="Times New Roman" w:hAnsi="Times New Roman" w:cs="Times New Roman"/>
                      <w:snapToGrid w:val="0"/>
                      <w:color w:val="auto"/>
                      <w:kern w:val="21"/>
                      <w:szCs w:val="21"/>
                      <w:highlight w:val="none"/>
                    </w:rPr>
                  </w:pPr>
                  <w:r>
                    <w:rPr>
                      <w:rFonts w:hint="default" w:ascii="Times New Roman" w:hAnsi="Times New Roman" w:cs="Times New Roman"/>
                      <w:snapToGrid w:val="0"/>
                      <w:color w:val="auto"/>
                      <w:kern w:val="21"/>
                      <w:szCs w:val="21"/>
                      <w:highlight w:val="none"/>
                    </w:rPr>
                    <w:t>固态</w:t>
                  </w:r>
                </w:p>
              </w:tc>
              <w:tc>
                <w:tcPr>
                  <w:tcW w:w="330" w:type="pct"/>
                  <w:tcBorders>
                    <w:tl2br w:val="nil"/>
                    <w:tr2bl w:val="nil"/>
                  </w:tcBorders>
                  <w:noWrap w:val="0"/>
                  <w:vAlign w:val="center"/>
                </w:tcPr>
                <w:p w14:paraId="74119A39">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eastAsia="zh-CN"/>
                    </w:rPr>
                  </w:pPr>
                  <w:r>
                    <w:rPr>
                      <w:rFonts w:hint="eastAsia" w:cs="Times New Roman"/>
                      <w:snapToGrid w:val="0"/>
                      <w:color w:val="auto"/>
                      <w:kern w:val="21"/>
                      <w:szCs w:val="21"/>
                      <w:highlight w:val="none"/>
                      <w:lang w:val="en-US" w:eastAsia="zh-CN"/>
                    </w:rPr>
                    <w:t>废塑料</w:t>
                  </w:r>
                </w:p>
              </w:tc>
              <w:tc>
                <w:tcPr>
                  <w:tcW w:w="330" w:type="pct"/>
                  <w:tcBorders>
                    <w:tl2br w:val="nil"/>
                    <w:tr2bl w:val="nil"/>
                  </w:tcBorders>
                  <w:noWrap w:val="0"/>
                  <w:vAlign w:val="center"/>
                </w:tcPr>
                <w:p w14:paraId="4D9EE802">
                  <w:pPr>
                    <w:keepNext w:val="0"/>
                    <w:keepLines w:val="0"/>
                    <w:widowControl/>
                    <w:suppressLineNumbers w:val="0"/>
                    <w:spacing w:before="0" w:beforeAutospacing="0" w:after="0" w:afterAutospacing="0"/>
                    <w:ind w:left="0" w:right="0"/>
                    <w:jc w:val="center"/>
                    <w:rPr>
                      <w:rFonts w:hint="default" w:ascii="Times New Roman" w:hAnsi="Times New Roman" w:cs="Times New Roman"/>
                      <w:snapToGrid w:val="0"/>
                      <w:color w:val="auto"/>
                      <w:kern w:val="21"/>
                      <w:szCs w:val="21"/>
                      <w:highlight w:val="none"/>
                    </w:rPr>
                  </w:pPr>
                  <w:r>
                    <w:rPr>
                      <w:rFonts w:hint="default" w:ascii="Times New Roman" w:hAnsi="Times New Roman" w:cs="Times New Roman"/>
                      <w:snapToGrid w:val="0"/>
                      <w:color w:val="auto"/>
                      <w:kern w:val="21"/>
                      <w:szCs w:val="21"/>
                      <w:highlight w:val="none"/>
                    </w:rPr>
                    <w:t>/</w:t>
                  </w:r>
                </w:p>
              </w:tc>
              <w:tc>
                <w:tcPr>
                  <w:tcW w:w="330" w:type="pct"/>
                  <w:tcBorders>
                    <w:tl2br w:val="nil"/>
                    <w:tr2bl w:val="nil"/>
                  </w:tcBorders>
                  <w:noWrap w:val="0"/>
                  <w:vAlign w:val="center"/>
                </w:tcPr>
                <w:p w14:paraId="77BB7A62">
                  <w:pPr>
                    <w:keepNext w:val="0"/>
                    <w:keepLines w:val="0"/>
                    <w:widowControl/>
                    <w:suppressLineNumbers w:val="0"/>
                    <w:spacing w:before="0" w:beforeAutospacing="0" w:after="0" w:afterAutospacing="0"/>
                    <w:ind w:left="0" w:right="0"/>
                    <w:jc w:val="center"/>
                    <w:rPr>
                      <w:rFonts w:hint="default" w:ascii="Times New Roman" w:hAnsi="Times New Roman" w:cs="Times New Roman"/>
                      <w:snapToGrid w:val="0"/>
                      <w:color w:val="auto"/>
                      <w:kern w:val="21"/>
                      <w:szCs w:val="21"/>
                      <w:highlight w:val="none"/>
                    </w:rPr>
                  </w:pPr>
                  <w:r>
                    <w:rPr>
                      <w:rFonts w:hint="eastAsia" w:cs="Times New Roman"/>
                      <w:snapToGrid w:val="0"/>
                      <w:color w:val="auto"/>
                      <w:kern w:val="21"/>
                      <w:szCs w:val="21"/>
                      <w:highlight w:val="none"/>
                      <w:lang w:val="en-US" w:eastAsia="zh-CN"/>
                    </w:rPr>
                    <w:t>袋装</w:t>
                  </w:r>
                </w:p>
              </w:tc>
              <w:tc>
                <w:tcPr>
                  <w:tcW w:w="376" w:type="pct"/>
                  <w:vMerge w:val="continue"/>
                  <w:tcBorders>
                    <w:tl2br w:val="nil"/>
                    <w:tr2bl w:val="nil"/>
                  </w:tcBorders>
                  <w:noWrap w:val="0"/>
                  <w:vAlign w:val="center"/>
                </w:tcPr>
                <w:p w14:paraId="75845503">
                  <w:pPr>
                    <w:keepNext w:val="0"/>
                    <w:keepLines w:val="0"/>
                    <w:widowControl/>
                    <w:suppressLineNumbers w:val="0"/>
                    <w:spacing w:before="0" w:beforeAutospacing="0" w:after="0" w:afterAutospacing="0"/>
                    <w:ind w:left="0" w:right="0"/>
                    <w:jc w:val="center"/>
                    <w:rPr>
                      <w:rFonts w:hint="default" w:ascii="Times New Roman" w:hAnsi="Times New Roman" w:cs="Times New Roman"/>
                      <w:snapToGrid w:val="0"/>
                      <w:color w:val="auto"/>
                      <w:kern w:val="21"/>
                      <w:szCs w:val="21"/>
                      <w:highlight w:val="none"/>
                    </w:rPr>
                  </w:pPr>
                </w:p>
              </w:tc>
              <w:tc>
                <w:tcPr>
                  <w:tcW w:w="517" w:type="pct"/>
                  <w:vMerge w:val="continue"/>
                  <w:tcBorders>
                    <w:tl2br w:val="nil"/>
                    <w:tr2bl w:val="nil"/>
                  </w:tcBorders>
                  <w:noWrap w:val="0"/>
                  <w:vAlign w:val="center"/>
                </w:tcPr>
                <w:p w14:paraId="6045F480">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Cs w:val="21"/>
                      <w:highlight w:val="none"/>
                    </w:rPr>
                  </w:pPr>
                </w:p>
              </w:tc>
            </w:tr>
            <w:tr w14:paraId="349E723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2" w:type="pct"/>
                  <w:tcBorders>
                    <w:tl2br w:val="nil"/>
                    <w:tr2bl w:val="nil"/>
                  </w:tcBorders>
                  <w:noWrap w:val="0"/>
                  <w:vAlign w:val="center"/>
                </w:tcPr>
                <w:p w14:paraId="6B965413">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3</w:t>
                  </w:r>
                </w:p>
              </w:tc>
              <w:tc>
                <w:tcPr>
                  <w:tcW w:w="597" w:type="pct"/>
                  <w:tcBorders>
                    <w:tl2br w:val="nil"/>
                    <w:tr2bl w:val="nil"/>
                  </w:tcBorders>
                  <w:noWrap w:val="0"/>
                  <w:vAlign w:val="center"/>
                </w:tcPr>
                <w:p w14:paraId="2A27526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纸板边角料</w:t>
                  </w:r>
                </w:p>
              </w:tc>
              <w:tc>
                <w:tcPr>
                  <w:tcW w:w="509" w:type="pct"/>
                  <w:tcBorders>
                    <w:tl2br w:val="nil"/>
                    <w:tr2bl w:val="nil"/>
                  </w:tcBorders>
                  <w:noWrap w:val="0"/>
                  <w:vAlign w:val="center"/>
                </w:tcPr>
                <w:p w14:paraId="22EE2D8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分切、开槽/模切</w:t>
                  </w:r>
                </w:p>
              </w:tc>
              <w:tc>
                <w:tcPr>
                  <w:tcW w:w="796" w:type="pct"/>
                  <w:tcBorders>
                    <w:tl2br w:val="nil"/>
                    <w:tr2bl w:val="nil"/>
                  </w:tcBorders>
                  <w:noWrap w:val="0"/>
                  <w:vAlign w:val="center"/>
                </w:tcPr>
                <w:p w14:paraId="53360721">
                  <w:pPr>
                    <w:keepNext w:val="0"/>
                    <w:keepLines w:val="0"/>
                    <w:widowControl/>
                    <w:suppressLineNumbers w:val="0"/>
                    <w:spacing w:before="0" w:beforeAutospacing="0" w:after="0" w:afterAutospacing="0"/>
                    <w:ind w:left="0" w:right="0"/>
                    <w:jc w:val="center"/>
                    <w:rPr>
                      <w:rFonts w:hint="default" w:ascii="Times New Roman" w:hAnsi="Times New Roman" w:cs="Times New Roman"/>
                      <w:snapToGrid w:val="0"/>
                      <w:color w:val="auto"/>
                      <w:kern w:val="21"/>
                      <w:szCs w:val="21"/>
                      <w:highlight w:val="none"/>
                    </w:rPr>
                  </w:pPr>
                  <w:r>
                    <w:rPr>
                      <w:rFonts w:hint="eastAsia" w:cs="Times New Roman"/>
                      <w:b w:val="0"/>
                      <w:bCs w:val="0"/>
                      <w:color w:val="auto"/>
                      <w:szCs w:val="21"/>
                      <w:highlight w:val="none"/>
                      <w:lang w:val="en-US" w:eastAsia="zh-CN"/>
                    </w:rPr>
                    <w:t>900-005-S17</w:t>
                  </w:r>
                </w:p>
              </w:tc>
              <w:tc>
                <w:tcPr>
                  <w:tcW w:w="599" w:type="pct"/>
                  <w:tcBorders>
                    <w:tl2br w:val="nil"/>
                    <w:tr2bl w:val="nil"/>
                  </w:tcBorders>
                  <w:noWrap w:val="0"/>
                  <w:vAlign w:val="center"/>
                </w:tcPr>
                <w:p w14:paraId="442DD50F">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2.2</w:t>
                  </w:r>
                </w:p>
              </w:tc>
              <w:tc>
                <w:tcPr>
                  <w:tcW w:w="330" w:type="pct"/>
                  <w:tcBorders>
                    <w:tl2br w:val="nil"/>
                    <w:tr2bl w:val="nil"/>
                  </w:tcBorders>
                  <w:noWrap w:val="0"/>
                  <w:vAlign w:val="center"/>
                </w:tcPr>
                <w:p w14:paraId="3B83FF3C">
                  <w:pPr>
                    <w:keepNext w:val="0"/>
                    <w:keepLines w:val="0"/>
                    <w:widowControl/>
                    <w:suppressLineNumbers w:val="0"/>
                    <w:spacing w:before="0" w:beforeAutospacing="0" w:after="0" w:afterAutospacing="0"/>
                    <w:ind w:left="0" w:right="0"/>
                    <w:jc w:val="center"/>
                    <w:rPr>
                      <w:rFonts w:hint="default" w:ascii="Times New Roman" w:hAnsi="Times New Roman" w:cs="Times New Roman"/>
                      <w:snapToGrid w:val="0"/>
                      <w:color w:val="auto"/>
                      <w:kern w:val="21"/>
                      <w:szCs w:val="21"/>
                      <w:highlight w:val="none"/>
                    </w:rPr>
                  </w:pPr>
                  <w:r>
                    <w:rPr>
                      <w:rFonts w:hint="default" w:ascii="Times New Roman" w:hAnsi="Times New Roman" w:cs="Times New Roman"/>
                      <w:snapToGrid w:val="0"/>
                      <w:color w:val="auto"/>
                      <w:kern w:val="21"/>
                      <w:szCs w:val="21"/>
                      <w:highlight w:val="none"/>
                    </w:rPr>
                    <w:t>固态</w:t>
                  </w:r>
                </w:p>
              </w:tc>
              <w:tc>
                <w:tcPr>
                  <w:tcW w:w="330" w:type="pct"/>
                  <w:tcBorders>
                    <w:tl2br w:val="nil"/>
                    <w:tr2bl w:val="nil"/>
                  </w:tcBorders>
                  <w:noWrap w:val="0"/>
                  <w:vAlign w:val="center"/>
                </w:tcPr>
                <w:p w14:paraId="75A5E10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废纸</w:t>
                  </w:r>
                </w:p>
              </w:tc>
              <w:tc>
                <w:tcPr>
                  <w:tcW w:w="330" w:type="pct"/>
                  <w:tcBorders>
                    <w:tl2br w:val="nil"/>
                    <w:tr2bl w:val="nil"/>
                  </w:tcBorders>
                  <w:noWrap w:val="0"/>
                  <w:vAlign w:val="center"/>
                </w:tcPr>
                <w:p w14:paraId="1E533390">
                  <w:pPr>
                    <w:keepNext w:val="0"/>
                    <w:keepLines w:val="0"/>
                    <w:widowControl/>
                    <w:suppressLineNumbers w:val="0"/>
                    <w:spacing w:before="0" w:beforeAutospacing="0" w:after="0" w:afterAutospacing="0"/>
                    <w:ind w:left="0" w:right="0"/>
                    <w:jc w:val="center"/>
                    <w:rPr>
                      <w:rFonts w:hint="default" w:ascii="Times New Roman" w:hAnsi="Times New Roman" w:cs="Times New Roman"/>
                      <w:snapToGrid w:val="0"/>
                      <w:color w:val="auto"/>
                      <w:kern w:val="21"/>
                      <w:szCs w:val="21"/>
                      <w:highlight w:val="none"/>
                    </w:rPr>
                  </w:pPr>
                  <w:r>
                    <w:rPr>
                      <w:rFonts w:hint="default" w:ascii="Times New Roman" w:hAnsi="Times New Roman" w:cs="Times New Roman"/>
                      <w:snapToGrid w:val="0"/>
                      <w:color w:val="auto"/>
                      <w:kern w:val="21"/>
                      <w:szCs w:val="21"/>
                      <w:highlight w:val="none"/>
                    </w:rPr>
                    <w:t>/</w:t>
                  </w:r>
                </w:p>
              </w:tc>
              <w:tc>
                <w:tcPr>
                  <w:tcW w:w="330" w:type="pct"/>
                  <w:tcBorders>
                    <w:tl2br w:val="nil"/>
                    <w:tr2bl w:val="nil"/>
                  </w:tcBorders>
                  <w:noWrap w:val="0"/>
                  <w:vAlign w:val="center"/>
                </w:tcPr>
                <w:p w14:paraId="578B80FF">
                  <w:pPr>
                    <w:keepNext w:val="0"/>
                    <w:keepLines w:val="0"/>
                    <w:widowControl/>
                    <w:suppressLineNumbers w:val="0"/>
                    <w:spacing w:before="0" w:beforeAutospacing="0" w:after="0" w:afterAutospacing="0"/>
                    <w:ind w:left="0" w:right="0"/>
                    <w:jc w:val="center"/>
                    <w:rPr>
                      <w:rFonts w:hint="default" w:ascii="Times New Roman" w:hAnsi="Times New Roman" w:cs="Times New Roman"/>
                      <w:snapToGrid w:val="0"/>
                      <w:color w:val="auto"/>
                      <w:kern w:val="21"/>
                      <w:szCs w:val="21"/>
                      <w:highlight w:val="none"/>
                    </w:rPr>
                  </w:pPr>
                  <w:r>
                    <w:rPr>
                      <w:rFonts w:hint="eastAsia" w:cs="Times New Roman"/>
                      <w:snapToGrid w:val="0"/>
                      <w:color w:val="auto"/>
                      <w:kern w:val="21"/>
                      <w:szCs w:val="21"/>
                      <w:highlight w:val="none"/>
                      <w:lang w:val="en-US" w:eastAsia="zh-CN"/>
                    </w:rPr>
                    <w:t>袋装</w:t>
                  </w:r>
                </w:p>
              </w:tc>
              <w:tc>
                <w:tcPr>
                  <w:tcW w:w="376" w:type="pct"/>
                  <w:vMerge w:val="continue"/>
                  <w:tcBorders>
                    <w:tl2br w:val="nil"/>
                    <w:tr2bl w:val="nil"/>
                  </w:tcBorders>
                  <w:noWrap w:val="0"/>
                  <w:vAlign w:val="center"/>
                </w:tcPr>
                <w:p w14:paraId="17833CF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Cs w:val="21"/>
                      <w:highlight w:val="none"/>
                      <w:lang w:val="en-US" w:eastAsia="zh-CN"/>
                    </w:rPr>
                  </w:pPr>
                </w:p>
              </w:tc>
              <w:tc>
                <w:tcPr>
                  <w:tcW w:w="517" w:type="pct"/>
                  <w:vMerge w:val="continue"/>
                  <w:tcBorders>
                    <w:tl2br w:val="nil"/>
                    <w:tr2bl w:val="nil"/>
                  </w:tcBorders>
                  <w:noWrap w:val="0"/>
                  <w:vAlign w:val="center"/>
                </w:tcPr>
                <w:p w14:paraId="4C4ED43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p>
              </w:tc>
            </w:tr>
            <w:tr w14:paraId="3EECE0E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2" w:type="pct"/>
                  <w:tcBorders>
                    <w:tl2br w:val="nil"/>
                    <w:tr2bl w:val="nil"/>
                  </w:tcBorders>
                  <w:noWrap w:val="0"/>
                  <w:vAlign w:val="center"/>
                </w:tcPr>
                <w:p w14:paraId="5F934707">
                  <w:pPr>
                    <w:keepNext w:val="0"/>
                    <w:keepLines w:val="0"/>
                    <w:suppressLineNumbers w:val="0"/>
                    <w:spacing w:before="0" w:beforeAutospacing="0" w:after="0" w:afterAutospacing="0"/>
                    <w:ind w:left="0" w:right="0"/>
                    <w:jc w:val="center"/>
                    <w:rPr>
                      <w:rFonts w:hint="default"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4</w:t>
                  </w:r>
                </w:p>
              </w:tc>
              <w:tc>
                <w:tcPr>
                  <w:tcW w:w="597" w:type="pct"/>
                  <w:tcBorders>
                    <w:tl2br w:val="nil"/>
                    <w:tr2bl w:val="nil"/>
                  </w:tcBorders>
                  <w:noWrap w:val="0"/>
                  <w:vAlign w:val="center"/>
                </w:tcPr>
                <w:p w14:paraId="22558C7A">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废模具</w:t>
                  </w:r>
                </w:p>
              </w:tc>
              <w:tc>
                <w:tcPr>
                  <w:tcW w:w="509" w:type="pct"/>
                  <w:tcBorders>
                    <w:tl2br w:val="nil"/>
                    <w:tr2bl w:val="nil"/>
                  </w:tcBorders>
                  <w:noWrap w:val="0"/>
                  <w:vAlign w:val="center"/>
                </w:tcPr>
                <w:p w14:paraId="2200876B">
                  <w:pPr>
                    <w:keepNext w:val="0"/>
                    <w:keepLines w:val="0"/>
                    <w:widowControl/>
                    <w:suppressLineNumbers w:val="0"/>
                    <w:spacing w:before="0" w:beforeAutospacing="0" w:after="0" w:afterAutospacing="0"/>
                    <w:ind w:left="0" w:right="0"/>
                    <w:jc w:val="center"/>
                    <w:rPr>
                      <w:rFonts w:hint="default"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吸塑</w:t>
                  </w:r>
                </w:p>
              </w:tc>
              <w:tc>
                <w:tcPr>
                  <w:tcW w:w="796" w:type="pct"/>
                  <w:tcBorders>
                    <w:tl2br w:val="nil"/>
                    <w:tr2bl w:val="nil"/>
                  </w:tcBorders>
                  <w:noWrap w:val="0"/>
                  <w:vAlign w:val="center"/>
                </w:tcPr>
                <w:p w14:paraId="04ABB724">
                  <w:pPr>
                    <w:keepNext w:val="0"/>
                    <w:keepLines w:val="0"/>
                    <w:widowControl/>
                    <w:suppressLineNumbers w:val="0"/>
                    <w:spacing w:before="0" w:beforeAutospacing="0" w:after="0" w:afterAutospacing="0"/>
                    <w:ind w:left="0" w:right="0"/>
                    <w:jc w:val="center"/>
                    <w:rPr>
                      <w:rFonts w:hint="eastAsia"/>
                      <w:color w:val="auto"/>
                      <w:sz w:val="21"/>
                      <w:szCs w:val="21"/>
                      <w:highlight w:val="none"/>
                      <w:lang w:val="en-US" w:eastAsia="zh-CN"/>
                    </w:rPr>
                  </w:pPr>
                  <w:r>
                    <w:rPr>
                      <w:rFonts w:hint="eastAsia" w:ascii="Times New Roman" w:hAnsi="Times New Roman" w:eastAsia="宋体" w:cs="宋体"/>
                      <w:color w:val="auto"/>
                      <w:sz w:val="21"/>
                      <w:highlight w:val="none"/>
                      <w:lang w:val="en-US" w:eastAsia="zh-CN"/>
                    </w:rPr>
                    <w:t>900-001-S17</w:t>
                  </w:r>
                </w:p>
              </w:tc>
              <w:tc>
                <w:tcPr>
                  <w:tcW w:w="599" w:type="pct"/>
                  <w:tcBorders>
                    <w:tl2br w:val="nil"/>
                    <w:tr2bl w:val="nil"/>
                  </w:tcBorders>
                  <w:noWrap w:val="0"/>
                  <w:vAlign w:val="center"/>
                </w:tcPr>
                <w:p w14:paraId="1102967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0.6</w:t>
                  </w:r>
                </w:p>
              </w:tc>
              <w:tc>
                <w:tcPr>
                  <w:tcW w:w="330" w:type="pct"/>
                  <w:tcBorders>
                    <w:tl2br w:val="nil"/>
                    <w:tr2bl w:val="nil"/>
                  </w:tcBorders>
                  <w:noWrap w:val="0"/>
                  <w:vAlign w:val="center"/>
                </w:tcPr>
                <w:p w14:paraId="0E245323">
                  <w:pPr>
                    <w:keepNext w:val="0"/>
                    <w:keepLines w:val="0"/>
                    <w:widowControl/>
                    <w:suppressLineNumbers w:val="0"/>
                    <w:spacing w:before="0" w:beforeAutospacing="0" w:after="0" w:afterAutospacing="0"/>
                    <w:ind w:left="0" w:right="0"/>
                    <w:jc w:val="center"/>
                    <w:rPr>
                      <w:rFonts w:hint="default" w:ascii="Times New Roman" w:hAnsi="Times New Roman" w:cs="Times New Roman"/>
                      <w:snapToGrid w:val="0"/>
                      <w:color w:val="auto"/>
                      <w:kern w:val="21"/>
                      <w:szCs w:val="21"/>
                      <w:highlight w:val="none"/>
                    </w:rPr>
                  </w:pPr>
                  <w:r>
                    <w:rPr>
                      <w:rFonts w:hint="default" w:ascii="Times New Roman" w:hAnsi="Times New Roman" w:cs="Times New Roman"/>
                      <w:snapToGrid w:val="0"/>
                      <w:color w:val="auto"/>
                      <w:kern w:val="21"/>
                      <w:szCs w:val="21"/>
                      <w:highlight w:val="none"/>
                    </w:rPr>
                    <w:t>固态</w:t>
                  </w:r>
                </w:p>
              </w:tc>
              <w:tc>
                <w:tcPr>
                  <w:tcW w:w="330" w:type="pct"/>
                  <w:tcBorders>
                    <w:tl2br w:val="nil"/>
                    <w:tr2bl w:val="nil"/>
                  </w:tcBorders>
                  <w:noWrap w:val="0"/>
                  <w:vAlign w:val="center"/>
                </w:tcPr>
                <w:p w14:paraId="0D89CA5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废钢铁</w:t>
                  </w:r>
                </w:p>
              </w:tc>
              <w:tc>
                <w:tcPr>
                  <w:tcW w:w="330" w:type="pct"/>
                  <w:tcBorders>
                    <w:tl2br w:val="nil"/>
                    <w:tr2bl w:val="nil"/>
                  </w:tcBorders>
                  <w:noWrap w:val="0"/>
                  <w:vAlign w:val="center"/>
                </w:tcPr>
                <w:p w14:paraId="044162F7">
                  <w:pPr>
                    <w:keepNext w:val="0"/>
                    <w:keepLines w:val="0"/>
                    <w:widowControl/>
                    <w:suppressLineNumbers w:val="0"/>
                    <w:spacing w:before="0" w:beforeAutospacing="0" w:after="0" w:afterAutospacing="0"/>
                    <w:ind w:left="0" w:right="0"/>
                    <w:jc w:val="center"/>
                    <w:rPr>
                      <w:rFonts w:hint="default" w:ascii="Times New Roman" w:hAnsi="Times New Roman" w:cs="Times New Roman"/>
                      <w:snapToGrid w:val="0"/>
                      <w:color w:val="auto"/>
                      <w:kern w:val="21"/>
                      <w:szCs w:val="21"/>
                      <w:highlight w:val="none"/>
                    </w:rPr>
                  </w:pPr>
                  <w:r>
                    <w:rPr>
                      <w:rFonts w:hint="default" w:ascii="Times New Roman" w:hAnsi="Times New Roman" w:cs="Times New Roman"/>
                      <w:snapToGrid w:val="0"/>
                      <w:color w:val="auto"/>
                      <w:kern w:val="21"/>
                      <w:szCs w:val="21"/>
                      <w:highlight w:val="none"/>
                    </w:rPr>
                    <w:t>/</w:t>
                  </w:r>
                </w:p>
              </w:tc>
              <w:tc>
                <w:tcPr>
                  <w:tcW w:w="330" w:type="pct"/>
                  <w:tcBorders>
                    <w:tl2br w:val="nil"/>
                    <w:tr2bl w:val="nil"/>
                  </w:tcBorders>
                  <w:noWrap w:val="0"/>
                  <w:vAlign w:val="center"/>
                </w:tcPr>
                <w:p w14:paraId="24E8C8CD">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w:t>
                  </w:r>
                </w:p>
              </w:tc>
              <w:tc>
                <w:tcPr>
                  <w:tcW w:w="376" w:type="pct"/>
                  <w:vMerge w:val="continue"/>
                  <w:tcBorders>
                    <w:tl2br w:val="nil"/>
                    <w:tr2bl w:val="nil"/>
                  </w:tcBorders>
                  <w:noWrap w:val="0"/>
                  <w:vAlign w:val="center"/>
                </w:tcPr>
                <w:p w14:paraId="498EC823">
                  <w:pPr>
                    <w:keepNext w:val="0"/>
                    <w:keepLines w:val="0"/>
                    <w:widowControl/>
                    <w:suppressLineNumbers w:val="0"/>
                    <w:spacing w:before="0" w:beforeAutospacing="0" w:after="0" w:afterAutospacing="0"/>
                    <w:ind w:left="0" w:right="0"/>
                    <w:jc w:val="center"/>
                    <w:rPr>
                      <w:rFonts w:hint="eastAsia" w:cs="Times New Roman"/>
                      <w:snapToGrid w:val="0"/>
                      <w:color w:val="auto"/>
                      <w:kern w:val="21"/>
                      <w:szCs w:val="21"/>
                      <w:highlight w:val="none"/>
                      <w:lang w:val="en-US" w:eastAsia="zh-CN"/>
                    </w:rPr>
                  </w:pPr>
                </w:p>
              </w:tc>
              <w:tc>
                <w:tcPr>
                  <w:tcW w:w="517" w:type="pct"/>
                  <w:vMerge w:val="continue"/>
                  <w:tcBorders>
                    <w:tl2br w:val="nil"/>
                    <w:tr2bl w:val="nil"/>
                  </w:tcBorders>
                  <w:noWrap w:val="0"/>
                  <w:vAlign w:val="center"/>
                </w:tcPr>
                <w:p w14:paraId="03C6A232">
                  <w:pPr>
                    <w:keepNext w:val="0"/>
                    <w:keepLines w:val="0"/>
                    <w:widowControl/>
                    <w:suppressLineNumbers w:val="0"/>
                    <w:spacing w:before="0" w:beforeAutospacing="0" w:after="0" w:afterAutospacing="0"/>
                    <w:ind w:left="0" w:right="0"/>
                    <w:jc w:val="center"/>
                    <w:rPr>
                      <w:rFonts w:hint="eastAsia" w:cs="Times New Roman"/>
                      <w:color w:val="auto"/>
                      <w:szCs w:val="21"/>
                      <w:highlight w:val="none"/>
                      <w:lang w:val="en-US" w:eastAsia="zh-CN"/>
                    </w:rPr>
                  </w:pPr>
                </w:p>
              </w:tc>
            </w:tr>
          </w:tbl>
          <w:p w14:paraId="17521C13">
            <w:pPr>
              <w:pStyle w:val="26"/>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leftChars="0" w:right="0" w:firstLine="422" w:firstLineChars="200"/>
              <w:jc w:val="left"/>
              <w:textAlignment w:val="auto"/>
              <w:rPr>
                <w:rFonts w:hint="default" w:ascii="Times New Roman" w:hAnsi="Times New Roman" w:eastAsia="宋体" w:cs="Times New Roman"/>
                <w:b/>
                <w:color w:val="auto"/>
                <w:szCs w:val="21"/>
                <w:highlight w:val="none"/>
              </w:rPr>
            </w:pPr>
            <w:r>
              <w:rPr>
                <w:rFonts w:hint="eastAsia" w:cs="Times New Roman"/>
                <w:b/>
                <w:color w:val="auto"/>
                <w:szCs w:val="21"/>
                <w:highlight w:val="none"/>
                <w:lang w:eastAsia="zh-CN"/>
              </w:rPr>
              <w:t>（</w:t>
            </w:r>
            <w:r>
              <w:rPr>
                <w:rFonts w:hint="eastAsia" w:cs="Times New Roman"/>
                <w:b/>
                <w:color w:val="auto"/>
                <w:szCs w:val="21"/>
                <w:highlight w:val="none"/>
                <w:lang w:val="en-US" w:eastAsia="zh-CN"/>
              </w:rPr>
              <w:t>3）</w:t>
            </w:r>
            <w:r>
              <w:rPr>
                <w:rFonts w:hint="default" w:ascii="Times New Roman" w:hAnsi="Times New Roman" w:eastAsia="宋体" w:cs="Times New Roman"/>
                <w:b/>
                <w:color w:val="auto"/>
                <w:szCs w:val="21"/>
                <w:highlight w:val="none"/>
              </w:rPr>
              <w:t>危险废物</w:t>
            </w:r>
          </w:p>
          <w:p w14:paraId="78C945D8">
            <w:pPr>
              <w:keepNext w:val="0"/>
              <w:keepLines w:val="0"/>
              <w:suppressLineNumbers w:val="0"/>
              <w:tabs>
                <w:tab w:val="left" w:pos="1081"/>
              </w:tabs>
              <w:spacing w:before="0" w:beforeAutospacing="0" w:after="0" w:afterAutospacing="0" w:line="360" w:lineRule="auto"/>
              <w:ind w:left="0" w:right="0" w:firstLine="422" w:firstLineChars="200"/>
              <w:rPr>
                <w:rFonts w:hint="eastAsia" w:ascii="Times New Roman" w:hAnsi="Times New Roman" w:eastAsia="宋体" w:cs="Times New Roman"/>
                <w:b/>
                <w:bCs/>
                <w:color w:val="auto"/>
                <w:szCs w:val="21"/>
                <w:highlight w:val="none"/>
                <w:lang w:val="en-US" w:eastAsia="zh-CN"/>
              </w:rPr>
            </w:pPr>
            <w:r>
              <w:rPr>
                <w:rFonts w:hint="default" w:ascii="Times New Roman" w:hAnsi="Times New Roman" w:cs="Times New Roman"/>
                <w:b/>
                <w:bCs/>
                <w:color w:val="auto"/>
                <w:szCs w:val="21"/>
                <w:highlight w:val="none"/>
              </w:rPr>
              <w:t>①</w:t>
            </w:r>
            <w:r>
              <w:rPr>
                <w:rFonts w:hint="eastAsia" w:cs="Times New Roman"/>
                <w:b/>
                <w:bCs/>
                <w:color w:val="auto"/>
                <w:szCs w:val="21"/>
                <w:highlight w:val="none"/>
                <w:lang w:val="en-US" w:eastAsia="zh-CN"/>
              </w:rPr>
              <w:t>废活性炭</w:t>
            </w:r>
          </w:p>
          <w:p w14:paraId="5CED400B">
            <w:pPr>
              <w:keepNext w:val="0"/>
              <w:keepLines w:val="0"/>
              <w:suppressLineNumbers w:val="0"/>
              <w:adjustRightInd w:val="0"/>
              <w:snapToGrid w:val="0"/>
              <w:spacing w:before="0" w:beforeAutospacing="0" w:after="0" w:afterAutospacing="0" w:line="360" w:lineRule="auto"/>
              <w:ind w:left="0" w:right="0" w:firstLine="420" w:firstLineChars="20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项目</w:t>
            </w:r>
            <w:r>
              <w:rPr>
                <w:rFonts w:hint="eastAsia" w:ascii="Times New Roman" w:hAnsi="Times New Roman" w:eastAsia="宋体" w:cs="Times New Roman"/>
                <w:color w:val="auto"/>
                <w:highlight w:val="none"/>
              </w:rPr>
              <w:t>活性炭吸附装置会</w:t>
            </w:r>
            <w:r>
              <w:rPr>
                <w:rFonts w:hint="default" w:ascii="Times New Roman" w:hAnsi="Times New Roman" w:eastAsia="宋体" w:cs="Times New Roman"/>
                <w:color w:val="auto"/>
                <w:highlight w:val="none"/>
              </w:rPr>
              <w:t>产生废活性炭。根据</w:t>
            </w:r>
            <w:r>
              <w:rPr>
                <w:rFonts w:hint="eastAsia" w:ascii="Times New Roman" w:hAnsi="Times New Roman" w:eastAsia="宋体" w:cs="Times New Roman"/>
                <w:color w:val="auto"/>
                <w:highlight w:val="none"/>
              </w:rPr>
              <w:t>活性炭吸附装置设计参数，项目活性炭更换量</w:t>
            </w:r>
            <w:r>
              <w:rPr>
                <w:rFonts w:hint="eastAsia" w:cs="Times New Roman"/>
                <w:color w:val="auto"/>
                <w:highlight w:val="none"/>
                <w:lang w:val="en-US" w:eastAsia="zh-CN"/>
              </w:rPr>
              <w:t>为4.2</w:t>
            </w:r>
            <w:r>
              <w:rPr>
                <w:rFonts w:hint="eastAsia" w:ascii="Times New Roman" w:hAnsi="Times New Roman" w:eastAsia="宋体" w:cs="Times New Roman"/>
                <w:color w:val="auto"/>
                <w:highlight w:val="none"/>
              </w:rPr>
              <w:t>t/a，加上</w:t>
            </w:r>
            <w:r>
              <w:rPr>
                <w:rFonts w:hint="default" w:ascii="Times New Roman" w:hAnsi="Times New Roman" w:eastAsia="宋体" w:cs="Times New Roman"/>
                <w:color w:val="auto"/>
                <w:highlight w:val="none"/>
              </w:rPr>
              <w:t>有机废气吸附量0</w:t>
            </w:r>
            <w:r>
              <w:rPr>
                <w:rFonts w:hint="eastAsia" w:ascii="Times New Roman" w:hAnsi="Times New Roman" w:eastAsia="宋体" w:cs="Times New Roman"/>
                <w:color w:val="auto"/>
                <w:highlight w:val="none"/>
              </w:rPr>
              <w:t>.</w:t>
            </w:r>
            <w:r>
              <w:rPr>
                <w:rFonts w:hint="eastAsia" w:cs="Times New Roman"/>
                <w:color w:val="auto"/>
                <w:highlight w:val="none"/>
                <w:lang w:val="en-US" w:eastAsia="zh-CN"/>
              </w:rPr>
              <w:t>107</w:t>
            </w:r>
            <w:r>
              <w:rPr>
                <w:rFonts w:hint="default" w:ascii="Times New Roman" w:hAnsi="Times New Roman" w:eastAsia="宋体" w:cs="Times New Roman"/>
                <w:color w:val="auto"/>
                <w:highlight w:val="none"/>
              </w:rPr>
              <w:t>t/a，本项目废活性炭产生量约为</w:t>
            </w:r>
            <w:r>
              <w:rPr>
                <w:rFonts w:hint="eastAsia" w:cs="Times New Roman"/>
                <w:color w:val="auto"/>
                <w:highlight w:val="none"/>
                <w:lang w:val="en-US" w:eastAsia="zh-CN"/>
              </w:rPr>
              <w:t>4.31</w:t>
            </w:r>
            <w:r>
              <w:rPr>
                <w:rFonts w:hint="default" w:ascii="Times New Roman" w:hAnsi="Times New Roman" w:eastAsia="宋体" w:cs="Times New Roman"/>
                <w:color w:val="auto"/>
                <w:highlight w:val="none"/>
              </w:rPr>
              <w:t>t/a，属于《国家危险废物名录（20</w:t>
            </w:r>
            <w:r>
              <w:rPr>
                <w:rFonts w:hint="eastAsia" w:cs="Times New Roman"/>
                <w:color w:val="auto"/>
                <w:highlight w:val="none"/>
                <w:lang w:val="en-US" w:eastAsia="zh-CN"/>
              </w:rPr>
              <w:t>25</w:t>
            </w:r>
            <w:r>
              <w:rPr>
                <w:rFonts w:hint="default" w:ascii="Times New Roman" w:hAnsi="Times New Roman" w:eastAsia="宋体" w:cs="Times New Roman"/>
                <w:color w:val="auto"/>
                <w:highlight w:val="none"/>
              </w:rPr>
              <w:t>年版）》（2021年1月1日起施行）中规定的危险废物，编号为</w:t>
            </w:r>
            <w:r>
              <w:rPr>
                <w:rFonts w:hint="eastAsia" w:ascii="宋体" w:hAnsi="宋体" w:eastAsia="宋体" w:cs="Times New Roman"/>
                <w:color w:val="auto"/>
                <w:sz w:val="21"/>
                <w:highlight w:val="none"/>
              </w:rPr>
              <w:t>“</w:t>
            </w:r>
            <w:r>
              <w:rPr>
                <w:rFonts w:hint="default" w:ascii="Times New Roman" w:hAnsi="Times New Roman" w:eastAsia="宋体" w:cs="Times New Roman"/>
                <w:color w:val="auto"/>
                <w:highlight w:val="none"/>
              </w:rPr>
              <w:t>HW49其他废物</w:t>
            </w:r>
            <w:r>
              <w:rPr>
                <w:rFonts w:hint="eastAsia" w:ascii="Times New Roman" w:hAnsi="Times New Roman" w:eastAsia="宋体" w:cs="Times New Roman"/>
                <w:color w:val="auto"/>
                <w:highlight w:val="none"/>
              </w:rPr>
              <w:t>”</w:t>
            </w:r>
            <w:r>
              <w:rPr>
                <w:rFonts w:hint="default" w:ascii="Times New Roman" w:hAnsi="Times New Roman" w:eastAsia="宋体" w:cs="Times New Roman"/>
                <w:color w:val="auto"/>
                <w:highlight w:val="none"/>
              </w:rPr>
              <w:t>-</w:t>
            </w:r>
            <w:r>
              <w:rPr>
                <w:rFonts w:hint="eastAsia" w:ascii="Times New Roman" w:hAnsi="Times New Roman" w:eastAsia="宋体" w:cs="Times New Roman"/>
                <w:color w:val="auto"/>
                <w:highlight w:val="none"/>
              </w:rPr>
              <w:t>“</w:t>
            </w:r>
            <w:r>
              <w:rPr>
                <w:rFonts w:hint="default" w:ascii="Times New Roman" w:hAnsi="Times New Roman" w:eastAsia="宋体" w:cs="Times New Roman"/>
                <w:color w:val="auto"/>
                <w:highlight w:val="none"/>
              </w:rPr>
              <w:t>非特定行业-900-039-49</w:t>
            </w:r>
            <w:r>
              <w:rPr>
                <w:rFonts w:hint="eastAsia" w:ascii="Times New Roman" w:hAnsi="Times New Roman" w:eastAsia="宋体" w:cs="Times New Roman"/>
                <w:color w:val="auto"/>
                <w:highlight w:val="none"/>
              </w:rPr>
              <w:t>”</w:t>
            </w:r>
            <w:r>
              <w:rPr>
                <w:rFonts w:hint="eastAsia" w:cs="Times New Roman"/>
                <w:color w:val="auto"/>
                <w:highlight w:val="none"/>
                <w:lang w:val="en-US" w:eastAsia="zh-CN"/>
              </w:rPr>
              <w:t>-“烟气、VOCs治理过程（不包括餐饮行业油烟治理过程）产生的废活性炭，化学原料和化学制品脱色（不包括有机合成食品添加剂脱色）、除杂、净化过程产生的废活性炭”</w:t>
            </w:r>
            <w:r>
              <w:rPr>
                <w:rFonts w:hint="default" w:ascii="Times New Roman" w:hAnsi="Times New Roman" w:eastAsia="宋体" w:cs="Times New Roman"/>
                <w:color w:val="auto"/>
                <w:highlight w:val="none"/>
              </w:rPr>
              <w:t>，收集后交由有危险废物处理资质的单位处理。</w:t>
            </w:r>
          </w:p>
          <w:p w14:paraId="0A6DDCD8">
            <w:pPr>
              <w:keepNext w:val="0"/>
              <w:keepLines w:val="0"/>
              <w:suppressLineNumbers w:val="0"/>
              <w:adjustRightInd w:val="0"/>
              <w:snapToGrid w:val="0"/>
              <w:spacing w:before="0" w:beforeAutospacing="0" w:after="0" w:afterAutospacing="0" w:line="360" w:lineRule="auto"/>
              <w:ind w:left="0" w:right="0" w:firstLine="422" w:firstLineChars="200"/>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②废机油</w:t>
            </w:r>
          </w:p>
          <w:p w14:paraId="2A1EBA7B">
            <w:pPr>
              <w:keepNext w:val="0"/>
              <w:keepLines w:val="0"/>
              <w:suppressLineNumbers w:val="0"/>
              <w:adjustRightInd w:val="0"/>
              <w:snapToGrid w:val="0"/>
              <w:spacing w:before="0" w:beforeAutospacing="0" w:after="0" w:afterAutospacing="0" w:line="360" w:lineRule="auto"/>
              <w:ind w:left="0" w:right="0"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项目生产机械需要定期检修、保养，会产生少量更换的废机油，根据建设单位提供的资料，废机油的产生量为</w:t>
            </w:r>
            <w:r>
              <w:rPr>
                <w:rFonts w:hint="eastAsia" w:cs="Times New Roman"/>
                <w:color w:val="auto"/>
                <w:szCs w:val="21"/>
                <w:highlight w:val="none"/>
                <w:lang w:val="en-US" w:eastAsia="zh-CN"/>
              </w:rPr>
              <w:t>0.01</w:t>
            </w:r>
            <w:r>
              <w:rPr>
                <w:rFonts w:hint="default" w:ascii="Times New Roman" w:hAnsi="Times New Roman" w:cs="Times New Roman"/>
                <w:color w:val="auto"/>
                <w:szCs w:val="21"/>
                <w:highlight w:val="none"/>
              </w:rPr>
              <w:t>t/a。废机油属于《国家危险废物名录</w:t>
            </w:r>
            <w:r>
              <w:rPr>
                <w:rFonts w:hint="eastAsia" w:cs="Times New Roman"/>
                <w:color w:val="auto"/>
                <w:szCs w:val="21"/>
                <w:highlight w:val="none"/>
                <w:lang w:eastAsia="zh-CN"/>
              </w:rPr>
              <w:t>（</w:t>
            </w:r>
            <w:r>
              <w:rPr>
                <w:rFonts w:hint="eastAsia" w:cs="Times New Roman"/>
                <w:color w:val="auto"/>
                <w:szCs w:val="21"/>
                <w:highlight w:val="none"/>
                <w:lang w:val="en-US" w:eastAsia="zh-CN"/>
              </w:rPr>
              <w:t>2025年版</w:t>
            </w:r>
            <w:r>
              <w:rPr>
                <w:rFonts w:hint="eastAsia" w:cs="Times New Roman"/>
                <w:color w:val="auto"/>
                <w:szCs w:val="21"/>
                <w:highlight w:val="none"/>
                <w:lang w:eastAsia="zh-CN"/>
              </w:rPr>
              <w:t>）</w:t>
            </w:r>
            <w:r>
              <w:rPr>
                <w:rFonts w:hint="default" w:ascii="Times New Roman" w:hAnsi="Times New Roman" w:cs="Times New Roman"/>
                <w:color w:val="auto"/>
                <w:szCs w:val="21"/>
                <w:highlight w:val="none"/>
              </w:rPr>
              <w:t>》中</w:t>
            </w:r>
            <w:r>
              <w:rPr>
                <w:rFonts w:hint="eastAsia" w:cs="Times New Roman"/>
                <w:color w:val="auto"/>
                <w:szCs w:val="21"/>
                <w:highlight w:val="none"/>
                <w:lang w:eastAsia="zh-CN"/>
              </w:rPr>
              <w:t>“</w:t>
            </w:r>
            <w:r>
              <w:rPr>
                <w:rFonts w:hint="default" w:ascii="Times New Roman" w:hAnsi="Times New Roman" w:cs="Times New Roman"/>
                <w:color w:val="auto"/>
                <w:szCs w:val="21"/>
                <w:highlight w:val="none"/>
              </w:rPr>
              <w:t>HW08废矿物油与含矿物油废物</w:t>
            </w:r>
            <w:r>
              <w:rPr>
                <w:rFonts w:hint="eastAsia" w:cs="Times New Roman"/>
                <w:color w:val="auto"/>
                <w:szCs w:val="21"/>
                <w:highlight w:val="none"/>
                <w:lang w:eastAsia="zh-CN"/>
              </w:rPr>
              <w:t>”</w:t>
            </w:r>
            <w:r>
              <w:rPr>
                <w:rFonts w:hint="default" w:ascii="Times New Roman" w:hAnsi="Times New Roman" w:cs="Times New Roman"/>
                <w:color w:val="auto"/>
                <w:szCs w:val="21"/>
                <w:highlight w:val="none"/>
              </w:rPr>
              <w:t>-</w:t>
            </w:r>
            <w:r>
              <w:rPr>
                <w:rFonts w:hint="eastAsia" w:cs="Times New Roman"/>
                <w:color w:val="auto"/>
                <w:szCs w:val="21"/>
                <w:highlight w:val="none"/>
                <w:lang w:eastAsia="zh-CN"/>
              </w:rPr>
              <w:t>“</w:t>
            </w:r>
            <w:r>
              <w:rPr>
                <w:rFonts w:hint="default" w:ascii="Times New Roman" w:hAnsi="Times New Roman" w:cs="Times New Roman"/>
                <w:color w:val="auto"/>
                <w:szCs w:val="21"/>
                <w:highlight w:val="none"/>
              </w:rPr>
              <w:t>非特定行业-900-2</w:t>
            </w:r>
            <w:r>
              <w:rPr>
                <w:rFonts w:hint="eastAsia" w:cs="Times New Roman"/>
                <w:color w:val="auto"/>
                <w:szCs w:val="21"/>
                <w:highlight w:val="none"/>
                <w:lang w:val="en-US" w:eastAsia="zh-CN"/>
              </w:rPr>
              <w:t>14</w:t>
            </w:r>
            <w:r>
              <w:rPr>
                <w:rFonts w:hint="default" w:ascii="Times New Roman" w:hAnsi="Times New Roman" w:cs="Times New Roman"/>
                <w:color w:val="auto"/>
                <w:szCs w:val="21"/>
                <w:highlight w:val="none"/>
              </w:rPr>
              <w:t>-08</w:t>
            </w:r>
            <w:r>
              <w:rPr>
                <w:rFonts w:hint="eastAsia" w:cs="Times New Roman"/>
                <w:color w:val="auto"/>
                <w:szCs w:val="21"/>
                <w:highlight w:val="none"/>
                <w:lang w:eastAsia="zh-CN"/>
              </w:rPr>
              <w:t>”</w:t>
            </w:r>
            <w:r>
              <w:rPr>
                <w:rFonts w:hint="default" w:ascii="Times New Roman" w:hAnsi="Times New Roman" w:cs="Times New Roman"/>
                <w:color w:val="auto"/>
                <w:szCs w:val="21"/>
                <w:highlight w:val="none"/>
              </w:rPr>
              <w:t>-</w:t>
            </w:r>
            <w:r>
              <w:rPr>
                <w:rFonts w:hint="eastAsia" w:cs="Times New Roman"/>
                <w:color w:val="auto"/>
                <w:szCs w:val="21"/>
                <w:highlight w:val="none"/>
                <w:lang w:eastAsia="zh-CN"/>
              </w:rPr>
              <w:t>“</w:t>
            </w:r>
            <w:r>
              <w:rPr>
                <w:rFonts w:hint="default" w:ascii="Times New Roman" w:hAnsi="Times New Roman" w:cs="Times New Roman"/>
                <w:color w:val="auto"/>
                <w:szCs w:val="21"/>
                <w:highlight w:val="none"/>
              </w:rPr>
              <w:t>车辆、轮船及其它机械维修过程中产生的废发动机油、制动器油、自动变速器油、齿轮油等废润滑油</w:t>
            </w:r>
            <w:r>
              <w:rPr>
                <w:rFonts w:hint="eastAsia" w:cs="Times New Roman"/>
                <w:color w:val="auto"/>
                <w:szCs w:val="21"/>
                <w:highlight w:val="none"/>
                <w:lang w:eastAsia="zh-CN"/>
              </w:rPr>
              <w:t>”</w:t>
            </w:r>
            <w:r>
              <w:rPr>
                <w:rFonts w:hint="default" w:ascii="Times New Roman" w:hAnsi="Times New Roman" w:eastAsia="宋体" w:cs="Times New Roman"/>
                <w:color w:val="auto"/>
                <w:highlight w:val="none"/>
              </w:rPr>
              <w:t>，收集后交由有危险废物处理资质的单位处理。</w:t>
            </w:r>
          </w:p>
          <w:p w14:paraId="417AF0F0">
            <w:pPr>
              <w:keepNext w:val="0"/>
              <w:keepLines w:val="0"/>
              <w:suppressLineNumbers w:val="0"/>
              <w:adjustRightInd w:val="0"/>
              <w:snapToGrid w:val="0"/>
              <w:spacing w:before="0" w:beforeAutospacing="0" w:after="0" w:afterAutospacing="0" w:line="360" w:lineRule="auto"/>
              <w:ind w:left="0" w:right="0" w:firstLine="422" w:firstLineChars="200"/>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③废</w:t>
            </w:r>
            <w:r>
              <w:rPr>
                <w:rFonts w:hint="eastAsia" w:cs="Times New Roman"/>
                <w:b/>
                <w:bCs/>
                <w:color w:val="auto"/>
                <w:szCs w:val="21"/>
                <w:highlight w:val="none"/>
                <w:lang w:val="en-US" w:eastAsia="zh-CN"/>
              </w:rPr>
              <w:t>机</w:t>
            </w:r>
            <w:r>
              <w:rPr>
                <w:rFonts w:hint="default" w:ascii="Times New Roman" w:hAnsi="Times New Roman" w:cs="Times New Roman"/>
                <w:b/>
                <w:bCs/>
                <w:color w:val="auto"/>
                <w:szCs w:val="21"/>
                <w:highlight w:val="none"/>
              </w:rPr>
              <w:t>油桶</w:t>
            </w:r>
          </w:p>
          <w:p w14:paraId="364BC26B">
            <w:pPr>
              <w:keepNext w:val="0"/>
              <w:keepLines w:val="0"/>
              <w:suppressLineNumbers w:val="0"/>
              <w:adjustRightInd w:val="0"/>
              <w:snapToGrid w:val="0"/>
              <w:spacing w:before="0" w:beforeAutospacing="0" w:after="0" w:afterAutospacing="0" w:line="360" w:lineRule="auto"/>
              <w:ind w:left="0" w:right="0"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项目生产过程中会产生废</w:t>
            </w:r>
            <w:r>
              <w:rPr>
                <w:rFonts w:hint="eastAsia" w:cs="Times New Roman"/>
                <w:color w:val="auto"/>
                <w:szCs w:val="21"/>
                <w:highlight w:val="none"/>
                <w:lang w:val="en-US" w:eastAsia="zh-CN"/>
              </w:rPr>
              <w:t>机油</w:t>
            </w:r>
            <w:r>
              <w:rPr>
                <w:rFonts w:hint="default" w:ascii="Times New Roman" w:hAnsi="Times New Roman" w:cs="Times New Roman"/>
                <w:color w:val="auto"/>
                <w:szCs w:val="21"/>
                <w:highlight w:val="none"/>
              </w:rPr>
              <w:t>桶，根据建设单位提供的资料，产生量约</w:t>
            </w:r>
            <w:r>
              <w:rPr>
                <w:rFonts w:hint="eastAsia" w:cs="Times New Roman"/>
                <w:color w:val="auto"/>
                <w:szCs w:val="21"/>
                <w:highlight w:val="none"/>
                <w:lang w:val="en-US" w:eastAsia="zh-CN"/>
              </w:rPr>
              <w:t>0.001</w:t>
            </w:r>
            <w:r>
              <w:rPr>
                <w:rFonts w:hint="default" w:ascii="Times New Roman" w:hAnsi="Times New Roman" w:cs="Times New Roman"/>
                <w:color w:val="auto"/>
                <w:szCs w:val="21"/>
                <w:highlight w:val="none"/>
              </w:rPr>
              <w:t>t/a，废油桶属于《国家危险废物名录</w:t>
            </w:r>
            <w:r>
              <w:rPr>
                <w:rFonts w:hint="eastAsia" w:cs="Times New Roman"/>
                <w:color w:val="auto"/>
                <w:szCs w:val="21"/>
                <w:highlight w:val="none"/>
                <w:lang w:eastAsia="zh-CN"/>
              </w:rPr>
              <w:t>（</w:t>
            </w:r>
            <w:r>
              <w:rPr>
                <w:rFonts w:hint="eastAsia" w:cs="Times New Roman"/>
                <w:color w:val="auto"/>
                <w:szCs w:val="21"/>
                <w:highlight w:val="none"/>
                <w:lang w:val="en-US" w:eastAsia="zh-CN"/>
              </w:rPr>
              <w:t>2025年版）</w:t>
            </w:r>
            <w:r>
              <w:rPr>
                <w:rFonts w:hint="default" w:ascii="Times New Roman" w:hAnsi="Times New Roman" w:cs="Times New Roman"/>
                <w:color w:val="auto"/>
                <w:szCs w:val="21"/>
                <w:highlight w:val="none"/>
              </w:rPr>
              <w:t>》中</w:t>
            </w:r>
            <w:r>
              <w:rPr>
                <w:rFonts w:hint="eastAsia" w:cs="Times New Roman"/>
                <w:color w:val="auto"/>
                <w:szCs w:val="21"/>
                <w:highlight w:val="none"/>
                <w:lang w:eastAsia="zh-CN"/>
              </w:rPr>
              <w:t>“</w:t>
            </w:r>
            <w:r>
              <w:rPr>
                <w:rFonts w:hint="default" w:ascii="Times New Roman" w:hAnsi="Times New Roman" w:cs="Times New Roman"/>
                <w:color w:val="auto"/>
                <w:szCs w:val="21"/>
                <w:highlight w:val="none"/>
              </w:rPr>
              <w:t>HW08废矿物油与含矿物油废物</w:t>
            </w:r>
            <w:r>
              <w:rPr>
                <w:rFonts w:hint="eastAsia" w:cs="Times New Roman"/>
                <w:color w:val="auto"/>
                <w:szCs w:val="21"/>
                <w:highlight w:val="none"/>
                <w:lang w:eastAsia="zh-CN"/>
              </w:rPr>
              <w:t>”</w:t>
            </w:r>
            <w:r>
              <w:rPr>
                <w:rFonts w:hint="default" w:ascii="Times New Roman" w:hAnsi="Times New Roman" w:cs="Times New Roman"/>
                <w:color w:val="auto"/>
                <w:szCs w:val="21"/>
                <w:highlight w:val="none"/>
              </w:rPr>
              <w:t>-</w:t>
            </w:r>
            <w:r>
              <w:rPr>
                <w:rFonts w:hint="eastAsia" w:cs="Times New Roman"/>
                <w:color w:val="auto"/>
                <w:szCs w:val="21"/>
                <w:highlight w:val="none"/>
                <w:lang w:eastAsia="zh-CN"/>
              </w:rPr>
              <w:t>“</w:t>
            </w:r>
            <w:r>
              <w:rPr>
                <w:rFonts w:hint="default" w:ascii="Times New Roman" w:hAnsi="Times New Roman" w:cs="Times New Roman"/>
                <w:color w:val="auto"/>
                <w:szCs w:val="21"/>
                <w:highlight w:val="none"/>
              </w:rPr>
              <w:t>非特定行业-900-249-08</w:t>
            </w:r>
            <w:r>
              <w:rPr>
                <w:rFonts w:hint="eastAsia" w:cs="Times New Roman"/>
                <w:color w:val="auto"/>
                <w:szCs w:val="21"/>
                <w:highlight w:val="none"/>
                <w:lang w:eastAsia="zh-CN"/>
              </w:rPr>
              <w:t>”</w:t>
            </w:r>
            <w:r>
              <w:rPr>
                <w:rFonts w:hint="default" w:ascii="Times New Roman" w:hAnsi="Times New Roman" w:cs="Times New Roman"/>
                <w:color w:val="auto"/>
                <w:szCs w:val="21"/>
                <w:highlight w:val="none"/>
              </w:rPr>
              <w:t>-</w:t>
            </w:r>
            <w:r>
              <w:rPr>
                <w:rFonts w:hint="eastAsia" w:cs="Times New Roman"/>
                <w:color w:val="auto"/>
                <w:szCs w:val="21"/>
                <w:highlight w:val="none"/>
                <w:lang w:eastAsia="zh-CN"/>
              </w:rPr>
              <w:t>“</w:t>
            </w:r>
            <w:r>
              <w:rPr>
                <w:rFonts w:hint="default" w:ascii="Times New Roman" w:hAnsi="Times New Roman" w:cs="Times New Roman"/>
                <w:color w:val="auto"/>
                <w:szCs w:val="21"/>
                <w:highlight w:val="none"/>
              </w:rPr>
              <w:t>其他生产、销售、使用过程中产生的废矿物油及含矿物油废物</w:t>
            </w:r>
            <w:r>
              <w:rPr>
                <w:rFonts w:hint="eastAsia" w:cs="Times New Roman"/>
                <w:color w:val="auto"/>
                <w:szCs w:val="21"/>
                <w:highlight w:val="none"/>
                <w:lang w:eastAsia="zh-CN"/>
              </w:rPr>
              <w:t>”</w:t>
            </w:r>
            <w:r>
              <w:rPr>
                <w:rFonts w:hint="default" w:ascii="Times New Roman" w:hAnsi="Times New Roman" w:eastAsia="宋体" w:cs="Times New Roman"/>
                <w:color w:val="auto"/>
                <w:highlight w:val="none"/>
              </w:rPr>
              <w:t>，收集后交由有危险废物处理资质的单位处理。</w:t>
            </w:r>
          </w:p>
          <w:p w14:paraId="36002F64">
            <w:pPr>
              <w:keepNext w:val="0"/>
              <w:keepLines w:val="0"/>
              <w:suppressLineNumbers w:val="0"/>
              <w:adjustRightInd w:val="0"/>
              <w:snapToGrid w:val="0"/>
              <w:spacing w:before="0" w:beforeAutospacing="0" w:after="0" w:afterAutospacing="0" w:line="360" w:lineRule="auto"/>
              <w:ind w:left="0" w:right="0" w:firstLine="422" w:firstLineChars="200"/>
              <w:rPr>
                <w:rFonts w:hint="default" w:ascii="Times New Roman" w:hAnsi="Times New Roman" w:cs="Times New Roman"/>
                <w:b/>
                <w:bCs/>
                <w:color w:val="auto"/>
                <w:szCs w:val="21"/>
                <w:highlight w:val="none"/>
                <w:lang w:val="en-US"/>
              </w:rPr>
            </w:pPr>
            <w:r>
              <w:rPr>
                <w:rFonts w:hint="default" w:ascii="Times New Roman" w:hAnsi="Times New Roman" w:cs="Times New Roman"/>
                <w:b/>
                <w:bCs/>
                <w:color w:val="auto"/>
                <w:szCs w:val="21"/>
                <w:highlight w:val="none"/>
              </w:rPr>
              <w:t>④</w:t>
            </w:r>
            <w:r>
              <w:rPr>
                <w:rFonts w:hint="eastAsia" w:eastAsia="宋体"/>
                <w:b/>
                <w:bCs/>
                <w:color w:val="auto"/>
                <w:highlight w:val="none"/>
                <w:lang w:val="en-US" w:eastAsia="zh-CN"/>
              </w:rPr>
              <w:t>废手套</w:t>
            </w:r>
            <w:r>
              <w:rPr>
                <w:rFonts w:hint="eastAsia"/>
                <w:b/>
                <w:bCs/>
                <w:color w:val="auto"/>
                <w:highlight w:val="none"/>
                <w:lang w:val="en-US" w:eastAsia="zh-CN"/>
              </w:rPr>
              <w:t>和抹布</w:t>
            </w:r>
          </w:p>
          <w:p w14:paraId="4DBF2E52">
            <w:pPr>
              <w:keepNext w:val="0"/>
              <w:keepLines w:val="0"/>
              <w:suppressLineNumbers w:val="0"/>
              <w:adjustRightInd w:val="0"/>
              <w:snapToGrid w:val="0"/>
              <w:spacing w:before="0" w:beforeAutospacing="0" w:after="0" w:afterAutospacing="0" w:line="360" w:lineRule="auto"/>
              <w:ind w:left="0" w:right="0"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w:t>
            </w:r>
            <w:r>
              <w:rPr>
                <w:rFonts w:hint="eastAsia" w:eastAsia="宋体"/>
                <w:color w:val="auto"/>
                <w:highlight w:val="none"/>
                <w:lang w:val="en-US" w:eastAsia="zh-CN"/>
              </w:rPr>
              <w:t>废手套</w:t>
            </w:r>
            <w:r>
              <w:rPr>
                <w:rFonts w:hint="eastAsia"/>
                <w:color w:val="auto"/>
                <w:highlight w:val="none"/>
                <w:lang w:val="en-US" w:eastAsia="zh-CN"/>
              </w:rPr>
              <w:t>和抹布</w:t>
            </w:r>
            <w:r>
              <w:rPr>
                <w:rFonts w:hint="default" w:ascii="Times New Roman" w:hAnsi="Times New Roman" w:cs="Times New Roman"/>
                <w:color w:val="auto"/>
                <w:szCs w:val="21"/>
                <w:highlight w:val="none"/>
              </w:rPr>
              <w:t>产生量约0.</w:t>
            </w:r>
            <w:r>
              <w:rPr>
                <w:rFonts w:hint="eastAsia" w:cs="Times New Roman"/>
                <w:color w:val="auto"/>
                <w:szCs w:val="21"/>
                <w:highlight w:val="none"/>
                <w:lang w:val="en-US" w:eastAsia="zh-CN"/>
              </w:rPr>
              <w:t>02</w:t>
            </w:r>
            <w:r>
              <w:rPr>
                <w:rFonts w:hint="default" w:ascii="Times New Roman" w:hAnsi="Times New Roman" w:cs="Times New Roman"/>
                <w:color w:val="auto"/>
                <w:szCs w:val="21"/>
                <w:highlight w:val="none"/>
              </w:rPr>
              <w:t>t/a，属于《国家危险废物名录（202</w:t>
            </w:r>
            <w:r>
              <w:rPr>
                <w:rFonts w:hint="eastAsia" w:cs="Times New Roman"/>
                <w:color w:val="auto"/>
                <w:szCs w:val="21"/>
                <w:highlight w:val="none"/>
                <w:lang w:val="en-US" w:eastAsia="zh-CN"/>
              </w:rPr>
              <w:t>5</w:t>
            </w:r>
            <w:r>
              <w:rPr>
                <w:rFonts w:hint="default" w:ascii="Times New Roman" w:hAnsi="Times New Roman" w:cs="Times New Roman"/>
                <w:color w:val="auto"/>
                <w:szCs w:val="21"/>
                <w:highlight w:val="none"/>
              </w:rPr>
              <w:t>年版）》中</w:t>
            </w:r>
            <w:r>
              <w:rPr>
                <w:rFonts w:hint="eastAsia" w:cs="Times New Roman"/>
                <w:color w:val="auto"/>
                <w:szCs w:val="21"/>
                <w:highlight w:val="none"/>
                <w:lang w:eastAsia="zh-CN"/>
              </w:rPr>
              <w:t>“</w:t>
            </w:r>
            <w:r>
              <w:rPr>
                <w:rFonts w:hint="default" w:ascii="Times New Roman" w:hAnsi="Times New Roman" w:cs="Times New Roman"/>
                <w:color w:val="auto"/>
                <w:szCs w:val="21"/>
                <w:highlight w:val="none"/>
              </w:rPr>
              <w:t>HW49其他废物</w:t>
            </w:r>
            <w:r>
              <w:rPr>
                <w:rFonts w:hint="eastAsia" w:cs="Times New Roman"/>
                <w:color w:val="auto"/>
                <w:szCs w:val="21"/>
                <w:highlight w:val="none"/>
                <w:lang w:eastAsia="zh-CN"/>
              </w:rPr>
              <w:t>”</w:t>
            </w:r>
            <w:r>
              <w:rPr>
                <w:rFonts w:hint="default" w:ascii="Times New Roman" w:hAnsi="Times New Roman" w:cs="Times New Roman"/>
                <w:color w:val="auto"/>
                <w:szCs w:val="21"/>
                <w:highlight w:val="none"/>
              </w:rPr>
              <w:t>-</w:t>
            </w:r>
            <w:r>
              <w:rPr>
                <w:rFonts w:hint="eastAsia" w:cs="Times New Roman"/>
                <w:color w:val="auto"/>
                <w:szCs w:val="21"/>
                <w:highlight w:val="none"/>
                <w:lang w:eastAsia="zh-CN"/>
              </w:rPr>
              <w:t>“</w:t>
            </w:r>
            <w:r>
              <w:rPr>
                <w:rFonts w:hint="default" w:ascii="Times New Roman" w:hAnsi="Times New Roman" w:cs="Times New Roman"/>
                <w:color w:val="auto"/>
                <w:szCs w:val="21"/>
                <w:highlight w:val="none"/>
              </w:rPr>
              <w:t>非特定行业-900-041-49</w:t>
            </w:r>
            <w:r>
              <w:rPr>
                <w:rFonts w:hint="eastAsia" w:cs="Times New Roman"/>
                <w:color w:val="auto"/>
                <w:szCs w:val="21"/>
                <w:highlight w:val="none"/>
                <w:lang w:eastAsia="zh-CN"/>
              </w:rPr>
              <w:t>”“</w:t>
            </w:r>
            <w:r>
              <w:rPr>
                <w:rFonts w:hint="default" w:ascii="Times New Roman" w:hAnsi="Times New Roman" w:cs="Times New Roman"/>
                <w:color w:val="auto"/>
                <w:szCs w:val="21"/>
                <w:highlight w:val="none"/>
              </w:rPr>
              <w:t>-含有或沾染毒性、感染性危险废物的废弃包装物、容器、过滤吸附介质</w:t>
            </w:r>
            <w:r>
              <w:rPr>
                <w:rFonts w:hint="eastAsia" w:cs="Times New Roman"/>
                <w:color w:val="auto"/>
                <w:szCs w:val="21"/>
                <w:highlight w:val="none"/>
                <w:lang w:eastAsia="zh-CN"/>
              </w:rPr>
              <w:t>”</w:t>
            </w:r>
            <w:r>
              <w:rPr>
                <w:rFonts w:hint="default" w:ascii="Times New Roman" w:hAnsi="Times New Roman" w:eastAsia="宋体" w:cs="Times New Roman"/>
                <w:color w:val="auto"/>
                <w:highlight w:val="none"/>
              </w:rPr>
              <w:t>，收集后交由有危险废物处理资质的单位处理。</w:t>
            </w:r>
          </w:p>
          <w:p w14:paraId="0882747B">
            <w:pPr>
              <w:keepNext w:val="0"/>
              <w:keepLines w:val="0"/>
              <w:suppressLineNumbers w:val="0"/>
              <w:adjustRightInd w:val="0"/>
              <w:snapToGrid w:val="0"/>
              <w:spacing w:before="0" w:beforeAutospacing="0" w:after="0" w:afterAutospacing="0" w:line="360" w:lineRule="auto"/>
              <w:ind w:left="0" w:right="0" w:firstLine="422" w:firstLineChars="200"/>
              <w:rPr>
                <w:rFonts w:hint="default" w:eastAsia="宋体"/>
                <w:b/>
                <w:bCs/>
                <w:color w:val="auto"/>
                <w:highlight w:val="none"/>
                <w:lang w:val="en-US" w:eastAsia="zh-CN"/>
              </w:rPr>
            </w:pPr>
            <w:r>
              <w:rPr>
                <w:rFonts w:hint="eastAsia" w:eastAsia="宋体"/>
                <w:b/>
                <w:bCs/>
                <w:color w:val="auto"/>
                <w:highlight w:val="none"/>
                <w:lang w:val="en-US" w:eastAsia="zh-CN"/>
              </w:rPr>
              <w:t>⑤废</w:t>
            </w:r>
            <w:r>
              <w:rPr>
                <w:rFonts w:hint="eastAsia"/>
                <w:b/>
                <w:bCs/>
                <w:color w:val="auto"/>
                <w:highlight w:val="none"/>
                <w:lang w:val="en-US" w:eastAsia="zh-CN"/>
              </w:rPr>
              <w:t>油墨桶</w:t>
            </w:r>
          </w:p>
          <w:p w14:paraId="028A9BD2">
            <w:pPr>
              <w:keepNext w:val="0"/>
              <w:keepLines w:val="0"/>
              <w:suppressLineNumbers w:val="0"/>
              <w:adjustRightInd w:val="0"/>
              <w:snapToGrid w:val="0"/>
              <w:spacing w:before="0" w:beforeAutospacing="0" w:after="0" w:afterAutospacing="0" w:line="360" w:lineRule="auto"/>
              <w:ind w:left="0" w:right="0" w:firstLine="420" w:firstLineChars="200"/>
              <w:rPr>
                <w:rFonts w:hint="eastAsia" w:cs="宋体"/>
                <w:color w:val="auto"/>
                <w:szCs w:val="21"/>
                <w:highlight w:val="none"/>
                <w:lang w:bidi="ar"/>
              </w:rPr>
            </w:pPr>
            <w:r>
              <w:rPr>
                <w:rFonts w:hint="default" w:ascii="Times New Roman" w:hAnsi="Times New Roman" w:cs="Times New Roman"/>
                <w:color w:val="auto"/>
                <w:szCs w:val="21"/>
                <w:highlight w:val="none"/>
              </w:rPr>
              <w:t>项目</w:t>
            </w:r>
            <w:r>
              <w:rPr>
                <w:rFonts w:hint="eastAsia" w:cs="Times New Roman"/>
                <w:color w:val="auto"/>
                <w:szCs w:val="21"/>
                <w:highlight w:val="none"/>
                <w:lang w:val="en-US" w:eastAsia="zh-CN"/>
              </w:rPr>
              <w:t>印刷</w:t>
            </w:r>
            <w:r>
              <w:rPr>
                <w:rFonts w:hint="default" w:ascii="Times New Roman" w:hAnsi="Times New Roman" w:cs="Times New Roman"/>
                <w:color w:val="auto"/>
                <w:szCs w:val="21"/>
                <w:highlight w:val="none"/>
              </w:rPr>
              <w:t>过程中会产生废</w:t>
            </w:r>
            <w:r>
              <w:rPr>
                <w:rFonts w:hint="eastAsia" w:cs="Times New Roman"/>
                <w:color w:val="auto"/>
                <w:szCs w:val="21"/>
                <w:highlight w:val="none"/>
                <w:lang w:val="en-US" w:eastAsia="zh-CN"/>
              </w:rPr>
              <w:t>油墨</w:t>
            </w:r>
            <w:r>
              <w:rPr>
                <w:rFonts w:hint="default" w:ascii="Times New Roman" w:hAnsi="Times New Roman" w:cs="Times New Roman"/>
                <w:color w:val="auto"/>
                <w:szCs w:val="21"/>
                <w:highlight w:val="none"/>
              </w:rPr>
              <w:t>桶，根据建设单位提供的资料，产生量约</w:t>
            </w:r>
            <w:r>
              <w:rPr>
                <w:rFonts w:hint="eastAsia" w:cs="Times New Roman"/>
                <w:color w:val="auto"/>
                <w:szCs w:val="21"/>
                <w:highlight w:val="none"/>
                <w:lang w:val="en-US" w:eastAsia="zh-CN"/>
              </w:rPr>
              <w:t>0.001</w:t>
            </w:r>
            <w:r>
              <w:rPr>
                <w:rFonts w:hint="default" w:ascii="Times New Roman" w:hAnsi="Times New Roman" w:cs="Times New Roman"/>
                <w:color w:val="auto"/>
                <w:szCs w:val="21"/>
                <w:highlight w:val="none"/>
              </w:rPr>
              <w:t>t/a，废油桶属于《国家危险废物名录</w:t>
            </w:r>
            <w:r>
              <w:rPr>
                <w:rFonts w:hint="eastAsia" w:cs="Times New Roman"/>
                <w:color w:val="auto"/>
                <w:szCs w:val="21"/>
                <w:highlight w:val="none"/>
                <w:lang w:eastAsia="zh-CN"/>
              </w:rPr>
              <w:t>（</w:t>
            </w:r>
            <w:r>
              <w:rPr>
                <w:rFonts w:hint="eastAsia" w:cs="Times New Roman"/>
                <w:color w:val="auto"/>
                <w:szCs w:val="21"/>
                <w:highlight w:val="none"/>
                <w:lang w:val="en-US" w:eastAsia="zh-CN"/>
              </w:rPr>
              <w:t>2025年版）</w:t>
            </w:r>
            <w:r>
              <w:rPr>
                <w:rFonts w:hint="default" w:ascii="Times New Roman" w:hAnsi="Times New Roman" w:cs="Times New Roman"/>
                <w:color w:val="auto"/>
                <w:szCs w:val="21"/>
                <w:highlight w:val="none"/>
              </w:rPr>
              <w:t>》中</w:t>
            </w:r>
            <w:r>
              <w:rPr>
                <w:rFonts w:hint="eastAsia" w:cs="Times New Roman"/>
                <w:color w:val="auto"/>
                <w:szCs w:val="21"/>
                <w:highlight w:val="none"/>
                <w:lang w:eastAsia="zh-CN"/>
              </w:rPr>
              <w:t>“</w:t>
            </w:r>
            <w:r>
              <w:rPr>
                <w:rFonts w:hint="default" w:ascii="Times New Roman" w:hAnsi="Times New Roman" w:cs="Times New Roman"/>
                <w:color w:val="auto"/>
                <w:szCs w:val="21"/>
                <w:highlight w:val="none"/>
              </w:rPr>
              <w:t>HW</w:t>
            </w:r>
            <w:r>
              <w:rPr>
                <w:rFonts w:hint="eastAsia" w:cs="Times New Roman"/>
                <w:color w:val="auto"/>
                <w:szCs w:val="21"/>
                <w:highlight w:val="none"/>
                <w:lang w:val="en-US" w:eastAsia="zh-CN"/>
              </w:rPr>
              <w:t>49其他废物</w:t>
            </w:r>
            <w:r>
              <w:rPr>
                <w:rFonts w:hint="eastAsia" w:cs="Times New Roman"/>
                <w:color w:val="auto"/>
                <w:szCs w:val="21"/>
                <w:highlight w:val="none"/>
                <w:lang w:eastAsia="zh-CN"/>
              </w:rPr>
              <w:t>”</w:t>
            </w:r>
            <w:r>
              <w:rPr>
                <w:rFonts w:hint="default" w:ascii="Times New Roman" w:hAnsi="Times New Roman" w:cs="Times New Roman"/>
                <w:color w:val="auto"/>
                <w:szCs w:val="21"/>
                <w:highlight w:val="none"/>
              </w:rPr>
              <w:t>-</w:t>
            </w:r>
            <w:r>
              <w:rPr>
                <w:rFonts w:hint="eastAsia" w:cs="Times New Roman"/>
                <w:color w:val="auto"/>
                <w:szCs w:val="21"/>
                <w:highlight w:val="none"/>
                <w:lang w:eastAsia="zh-CN"/>
              </w:rPr>
              <w:t>“</w:t>
            </w:r>
            <w:r>
              <w:rPr>
                <w:rFonts w:hint="default" w:ascii="Times New Roman" w:hAnsi="Times New Roman" w:cs="Times New Roman"/>
                <w:color w:val="auto"/>
                <w:szCs w:val="21"/>
                <w:highlight w:val="none"/>
              </w:rPr>
              <w:t>非特定行业-900-</w:t>
            </w:r>
            <w:r>
              <w:rPr>
                <w:rFonts w:hint="eastAsia" w:cs="Times New Roman"/>
                <w:color w:val="auto"/>
                <w:szCs w:val="21"/>
                <w:highlight w:val="none"/>
                <w:lang w:val="en-US" w:eastAsia="zh-CN"/>
              </w:rPr>
              <w:t>041</w:t>
            </w:r>
            <w:r>
              <w:rPr>
                <w:rFonts w:hint="default" w:ascii="Times New Roman" w:hAnsi="Times New Roman" w:cs="Times New Roman"/>
                <w:color w:val="auto"/>
                <w:szCs w:val="21"/>
                <w:highlight w:val="none"/>
              </w:rPr>
              <w:t>-</w:t>
            </w:r>
            <w:r>
              <w:rPr>
                <w:rFonts w:hint="eastAsia" w:cs="Times New Roman"/>
                <w:color w:val="auto"/>
                <w:szCs w:val="21"/>
                <w:highlight w:val="none"/>
                <w:lang w:val="en-US" w:eastAsia="zh-CN"/>
              </w:rPr>
              <w:t>49</w:t>
            </w:r>
            <w:r>
              <w:rPr>
                <w:rFonts w:hint="eastAsia" w:cs="Times New Roman"/>
                <w:color w:val="auto"/>
                <w:szCs w:val="21"/>
                <w:highlight w:val="none"/>
                <w:lang w:eastAsia="zh-CN"/>
              </w:rPr>
              <w:t>”</w:t>
            </w:r>
            <w:r>
              <w:rPr>
                <w:rFonts w:hint="default" w:ascii="Times New Roman" w:hAnsi="Times New Roman" w:cs="Times New Roman"/>
                <w:color w:val="auto"/>
                <w:szCs w:val="21"/>
                <w:highlight w:val="none"/>
              </w:rPr>
              <w:t>-</w:t>
            </w:r>
            <w:r>
              <w:rPr>
                <w:rFonts w:hint="eastAsia" w:cs="Times New Roman"/>
                <w:color w:val="auto"/>
                <w:szCs w:val="21"/>
                <w:highlight w:val="none"/>
                <w:lang w:eastAsia="zh-CN"/>
              </w:rPr>
              <w:t>“</w:t>
            </w:r>
            <w:r>
              <w:rPr>
                <w:rFonts w:hint="default" w:ascii="Times New Roman" w:hAnsi="Times New Roman" w:cs="Times New Roman"/>
                <w:color w:val="auto"/>
                <w:szCs w:val="21"/>
                <w:highlight w:val="none"/>
              </w:rPr>
              <w:t>含有或者沾染毒性、感染性危险废物的废弃的包装物、容器、过滤吸附介质</w:t>
            </w:r>
            <w:r>
              <w:rPr>
                <w:rFonts w:hint="eastAsia" w:cs="Times New Roman"/>
                <w:color w:val="auto"/>
                <w:szCs w:val="21"/>
                <w:highlight w:val="none"/>
                <w:lang w:eastAsia="zh-CN"/>
              </w:rPr>
              <w:t>”</w:t>
            </w:r>
            <w:r>
              <w:rPr>
                <w:rFonts w:hint="default" w:ascii="Times New Roman" w:hAnsi="Times New Roman" w:eastAsia="宋体" w:cs="Times New Roman"/>
                <w:color w:val="auto"/>
                <w:highlight w:val="none"/>
              </w:rPr>
              <w:t>，收集后交由有危险废物处理资质的单位处理。</w:t>
            </w:r>
          </w:p>
          <w:p w14:paraId="346620A8">
            <w:pPr>
              <w:pStyle w:val="18"/>
              <w:keepNext w:val="0"/>
              <w:keepLines w:val="0"/>
              <w:suppressLineNumbers w:val="0"/>
              <w:spacing w:before="0" w:beforeAutospacing="0" w:after="0" w:afterAutospacing="0" w:line="360" w:lineRule="auto"/>
              <w:ind w:left="0" w:firstLine="482"/>
              <w:textAlignment w:val="baseline"/>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⑥</w:t>
            </w:r>
            <w:r>
              <w:rPr>
                <w:rFonts w:hint="eastAsia" w:cs="Times New Roman"/>
                <w:b/>
                <w:bCs/>
                <w:color w:val="auto"/>
                <w:kern w:val="2"/>
                <w:sz w:val="21"/>
                <w:szCs w:val="21"/>
                <w:highlight w:val="none"/>
                <w:lang w:val="en-US" w:eastAsia="zh-CN" w:bidi="ar-SA"/>
              </w:rPr>
              <w:t>冷却废水</w:t>
            </w:r>
          </w:p>
          <w:p w14:paraId="45A50532">
            <w:pPr>
              <w:pStyle w:val="18"/>
              <w:keepNext w:val="0"/>
              <w:keepLines w:val="0"/>
              <w:suppressLineNumbers w:val="0"/>
              <w:spacing w:before="0" w:beforeAutospacing="0" w:after="0" w:afterAutospacing="0" w:line="360" w:lineRule="auto"/>
              <w:ind w:left="0" w:firstLine="482"/>
              <w:textAlignment w:val="baseline"/>
              <w:rPr>
                <w:rFonts w:hint="default"/>
                <w:color w:val="auto"/>
                <w:highlight w:val="none"/>
              </w:rPr>
            </w:pPr>
            <w:r>
              <w:rPr>
                <w:rFonts w:hint="default"/>
                <w:bCs/>
                <w:color w:val="auto"/>
                <w:spacing w:val="8"/>
                <w:kern w:val="2"/>
                <w:sz w:val="21"/>
                <w:szCs w:val="21"/>
                <w:highlight w:val="none"/>
              </w:rPr>
              <w:t>本项目</w:t>
            </w:r>
            <w:r>
              <w:rPr>
                <w:rFonts w:hint="eastAsia"/>
                <w:bCs/>
                <w:color w:val="auto"/>
                <w:spacing w:val="8"/>
                <w:kern w:val="2"/>
                <w:sz w:val="21"/>
                <w:szCs w:val="21"/>
                <w:highlight w:val="none"/>
                <w:lang w:val="en-US" w:eastAsia="zh-CN"/>
              </w:rPr>
              <w:t>吸塑机加工时需要进行冷却，采用间接冷却方式，间接冷却水每季度更换一次，冷却废水产生量为2t/a</w:t>
            </w:r>
            <w:r>
              <w:rPr>
                <w:rFonts w:hint="eastAsia"/>
                <w:bCs/>
                <w:color w:val="auto"/>
                <w:spacing w:val="8"/>
                <w:kern w:val="2"/>
                <w:sz w:val="21"/>
                <w:szCs w:val="21"/>
                <w:highlight w:val="none"/>
                <w:lang w:eastAsia="zh-CN"/>
              </w:rPr>
              <w:t>，</w:t>
            </w:r>
            <w:r>
              <w:rPr>
                <w:rFonts w:hint="default"/>
                <w:bCs/>
                <w:color w:val="auto"/>
                <w:spacing w:val="8"/>
                <w:kern w:val="2"/>
                <w:sz w:val="21"/>
                <w:szCs w:val="21"/>
                <w:highlight w:val="none"/>
              </w:rPr>
              <w:t>根据《国家危险废物名录（202</w:t>
            </w:r>
            <w:r>
              <w:rPr>
                <w:rFonts w:hint="eastAsia"/>
                <w:bCs/>
                <w:color w:val="auto"/>
                <w:spacing w:val="8"/>
                <w:kern w:val="2"/>
                <w:sz w:val="21"/>
                <w:szCs w:val="21"/>
                <w:highlight w:val="none"/>
                <w:lang w:val="en-US" w:eastAsia="zh-CN"/>
              </w:rPr>
              <w:t>5</w:t>
            </w:r>
            <w:r>
              <w:rPr>
                <w:rFonts w:hint="default"/>
                <w:bCs/>
                <w:color w:val="auto"/>
                <w:spacing w:val="8"/>
                <w:kern w:val="2"/>
                <w:sz w:val="21"/>
                <w:szCs w:val="21"/>
                <w:highlight w:val="none"/>
              </w:rPr>
              <w:t>年版）》</w:t>
            </w:r>
            <w:r>
              <w:rPr>
                <w:rFonts w:hint="eastAsia"/>
                <w:bCs/>
                <w:color w:val="auto"/>
                <w:spacing w:val="8"/>
                <w:kern w:val="2"/>
                <w:sz w:val="21"/>
                <w:szCs w:val="21"/>
                <w:highlight w:val="none"/>
                <w:lang w:val="en-US" w:eastAsia="zh-CN"/>
              </w:rPr>
              <w:t>属于危险废物，危废代码为</w:t>
            </w:r>
            <w:r>
              <w:rPr>
                <w:rFonts w:hint="eastAsia"/>
                <w:bCs/>
                <w:color w:val="auto"/>
                <w:spacing w:val="8"/>
                <w:kern w:val="2"/>
                <w:sz w:val="21"/>
                <w:szCs w:val="21"/>
                <w:highlight w:val="none"/>
                <w:lang w:eastAsia="zh-CN"/>
              </w:rPr>
              <w:t>“</w:t>
            </w:r>
            <w:r>
              <w:rPr>
                <w:rFonts w:hint="default"/>
                <w:bCs/>
                <w:color w:val="auto"/>
                <w:spacing w:val="8"/>
                <w:kern w:val="2"/>
                <w:sz w:val="21"/>
                <w:szCs w:val="21"/>
                <w:highlight w:val="none"/>
              </w:rPr>
              <w:t>HW</w:t>
            </w:r>
            <w:r>
              <w:rPr>
                <w:rFonts w:hint="eastAsia"/>
                <w:bCs/>
                <w:color w:val="auto"/>
                <w:spacing w:val="8"/>
                <w:kern w:val="2"/>
                <w:sz w:val="21"/>
                <w:szCs w:val="21"/>
                <w:highlight w:val="none"/>
                <w:lang w:val="en-US" w:eastAsia="zh-CN"/>
              </w:rPr>
              <w:t>09-</w:t>
            </w:r>
            <w:r>
              <w:rPr>
                <w:rFonts w:hint="default"/>
                <w:bCs/>
                <w:color w:val="auto"/>
                <w:spacing w:val="8"/>
                <w:kern w:val="2"/>
                <w:sz w:val="21"/>
                <w:szCs w:val="21"/>
                <w:highlight w:val="none"/>
              </w:rPr>
              <w:t>900-</w:t>
            </w:r>
            <w:r>
              <w:rPr>
                <w:rFonts w:hint="eastAsia"/>
                <w:bCs/>
                <w:color w:val="auto"/>
                <w:spacing w:val="8"/>
                <w:kern w:val="2"/>
                <w:sz w:val="21"/>
                <w:szCs w:val="21"/>
                <w:highlight w:val="none"/>
                <w:lang w:val="en-US" w:eastAsia="zh-CN"/>
              </w:rPr>
              <w:t>041</w:t>
            </w:r>
            <w:r>
              <w:rPr>
                <w:rFonts w:hint="default"/>
                <w:bCs/>
                <w:color w:val="auto"/>
                <w:spacing w:val="8"/>
                <w:kern w:val="2"/>
                <w:sz w:val="21"/>
                <w:szCs w:val="21"/>
                <w:highlight w:val="none"/>
              </w:rPr>
              <w:t>-</w:t>
            </w:r>
            <w:r>
              <w:rPr>
                <w:rFonts w:hint="eastAsia"/>
                <w:bCs/>
                <w:color w:val="auto"/>
                <w:spacing w:val="8"/>
                <w:kern w:val="2"/>
                <w:sz w:val="21"/>
                <w:szCs w:val="21"/>
                <w:highlight w:val="none"/>
                <w:lang w:val="en-US" w:eastAsia="zh-CN"/>
              </w:rPr>
              <w:t>49</w:t>
            </w:r>
            <w:r>
              <w:rPr>
                <w:rFonts w:hint="eastAsia"/>
                <w:bCs/>
                <w:color w:val="auto"/>
                <w:spacing w:val="8"/>
                <w:kern w:val="2"/>
                <w:sz w:val="21"/>
                <w:szCs w:val="21"/>
                <w:highlight w:val="none"/>
                <w:lang w:eastAsia="zh-CN"/>
              </w:rPr>
              <w:t>”</w:t>
            </w:r>
            <w:r>
              <w:rPr>
                <w:rFonts w:hint="default"/>
                <w:bCs/>
                <w:color w:val="auto"/>
                <w:spacing w:val="8"/>
                <w:kern w:val="2"/>
                <w:sz w:val="21"/>
                <w:szCs w:val="21"/>
                <w:highlight w:val="none"/>
              </w:rPr>
              <w:t>，定期收集后交由有危险废物处理资质的单位处理。</w:t>
            </w:r>
          </w:p>
          <w:p w14:paraId="229CDF5D">
            <w:pPr>
              <w:keepNext w:val="0"/>
              <w:keepLines w:val="0"/>
              <w:suppressLineNumbers w:val="0"/>
              <w:adjustRightInd w:val="0"/>
              <w:snapToGrid w:val="0"/>
              <w:spacing w:before="0" w:beforeAutospacing="0" w:after="0" w:afterAutospacing="0" w:line="360" w:lineRule="auto"/>
              <w:ind w:left="0" w:right="0" w:firstLine="422" w:firstLineChars="200"/>
              <w:rPr>
                <w:rFonts w:hint="default" w:eastAsia="宋体"/>
                <w:b/>
                <w:bCs/>
                <w:color w:val="auto"/>
                <w:highlight w:val="none"/>
                <w:lang w:val="en-US" w:eastAsia="zh-CN"/>
              </w:rPr>
            </w:pPr>
            <w:r>
              <w:rPr>
                <w:rFonts w:hint="eastAsia" w:eastAsia="宋体"/>
                <w:b/>
                <w:bCs/>
                <w:color w:val="auto"/>
                <w:highlight w:val="none"/>
                <w:lang w:val="en-US" w:eastAsia="zh-CN"/>
              </w:rPr>
              <w:t>⑦</w:t>
            </w:r>
            <w:r>
              <w:rPr>
                <w:rFonts w:hint="eastAsia"/>
                <w:b/>
                <w:bCs/>
                <w:color w:val="auto"/>
                <w:highlight w:val="none"/>
                <w:lang w:val="en-US" w:eastAsia="zh-CN"/>
              </w:rPr>
              <w:t>清洗废水</w:t>
            </w:r>
          </w:p>
          <w:p w14:paraId="49F9FE9F">
            <w:pPr>
              <w:keepNext w:val="0"/>
              <w:keepLines w:val="0"/>
              <w:suppressLineNumbers w:val="0"/>
              <w:adjustRightInd w:val="0"/>
              <w:snapToGrid w:val="0"/>
              <w:spacing w:before="0" w:beforeAutospacing="0" w:after="0" w:afterAutospacing="0" w:line="360" w:lineRule="auto"/>
              <w:ind w:left="0" w:right="0" w:firstLine="420" w:firstLineChars="200"/>
              <w:rPr>
                <w:rFonts w:hint="eastAsia" w:cs="宋体"/>
                <w:color w:val="auto"/>
                <w:szCs w:val="21"/>
                <w:highlight w:val="none"/>
                <w:lang w:val="en-US" w:eastAsia="zh-CN" w:bidi="ar"/>
              </w:rPr>
            </w:pPr>
            <w:r>
              <w:rPr>
                <w:rFonts w:hint="eastAsia" w:cs="宋体"/>
                <w:color w:val="auto"/>
                <w:szCs w:val="21"/>
                <w:highlight w:val="none"/>
                <w:lang w:bidi="ar"/>
              </w:rPr>
              <w:t>本项目印刷机的滚筒需采用普通自来水进行清洗，清洗废水产生量为16.2t/a</w:t>
            </w:r>
            <w:r>
              <w:rPr>
                <w:rFonts w:hint="eastAsia" w:cs="宋体"/>
                <w:color w:val="auto"/>
                <w:szCs w:val="21"/>
                <w:highlight w:val="none"/>
                <w:lang w:eastAsia="zh-CN" w:bidi="ar"/>
              </w:rPr>
              <w:t>，</w:t>
            </w:r>
            <w:r>
              <w:rPr>
                <w:rFonts w:hint="eastAsia" w:cs="宋体"/>
                <w:color w:val="auto"/>
                <w:szCs w:val="21"/>
                <w:highlight w:val="none"/>
                <w:lang w:val="en-US" w:eastAsia="zh-CN" w:bidi="ar"/>
              </w:rPr>
              <w:t>清洗废水属于</w:t>
            </w:r>
            <w:r>
              <w:rPr>
                <w:rFonts w:hint="default" w:ascii="Times New Roman" w:hAnsi="Times New Roman" w:cs="Times New Roman"/>
                <w:color w:val="auto"/>
                <w:szCs w:val="21"/>
                <w:highlight w:val="none"/>
              </w:rPr>
              <w:t>《国家危险废物名录</w:t>
            </w:r>
            <w:r>
              <w:rPr>
                <w:rFonts w:hint="eastAsia" w:cs="Times New Roman"/>
                <w:color w:val="auto"/>
                <w:szCs w:val="21"/>
                <w:highlight w:val="none"/>
                <w:lang w:eastAsia="zh-CN"/>
              </w:rPr>
              <w:t>（</w:t>
            </w:r>
            <w:r>
              <w:rPr>
                <w:rFonts w:hint="eastAsia" w:cs="Times New Roman"/>
                <w:color w:val="auto"/>
                <w:szCs w:val="21"/>
                <w:highlight w:val="none"/>
                <w:lang w:val="en-US" w:eastAsia="zh-CN"/>
              </w:rPr>
              <w:t>2025年版）</w:t>
            </w:r>
            <w:r>
              <w:rPr>
                <w:rFonts w:hint="default" w:ascii="Times New Roman" w:hAnsi="Times New Roman" w:cs="Times New Roman"/>
                <w:color w:val="auto"/>
                <w:szCs w:val="21"/>
                <w:highlight w:val="none"/>
              </w:rPr>
              <w:t>》中</w:t>
            </w:r>
            <w:r>
              <w:rPr>
                <w:rFonts w:hint="eastAsia" w:cs="Times New Roman"/>
                <w:color w:val="auto"/>
                <w:szCs w:val="21"/>
                <w:highlight w:val="none"/>
                <w:lang w:eastAsia="zh-CN"/>
              </w:rPr>
              <w:t>“</w:t>
            </w:r>
            <w:r>
              <w:rPr>
                <w:rFonts w:hint="default" w:ascii="Times New Roman" w:hAnsi="Times New Roman" w:cs="Times New Roman"/>
                <w:color w:val="auto"/>
                <w:szCs w:val="21"/>
                <w:highlight w:val="none"/>
              </w:rPr>
              <w:t>HW</w:t>
            </w:r>
            <w:r>
              <w:rPr>
                <w:rFonts w:hint="eastAsia" w:cs="Times New Roman"/>
                <w:color w:val="auto"/>
                <w:szCs w:val="21"/>
                <w:highlight w:val="none"/>
                <w:lang w:val="en-US" w:eastAsia="zh-CN"/>
              </w:rPr>
              <w:t>09油/水、烃/水混合物或者乳化液</w:t>
            </w:r>
            <w:r>
              <w:rPr>
                <w:rFonts w:hint="eastAsia" w:cs="Times New Roman"/>
                <w:color w:val="auto"/>
                <w:szCs w:val="21"/>
                <w:highlight w:val="none"/>
                <w:lang w:eastAsia="zh-CN"/>
              </w:rPr>
              <w:t>”</w:t>
            </w:r>
            <w:r>
              <w:rPr>
                <w:rFonts w:hint="default" w:ascii="Times New Roman" w:hAnsi="Times New Roman" w:cs="Times New Roman"/>
                <w:color w:val="auto"/>
                <w:szCs w:val="21"/>
                <w:highlight w:val="none"/>
              </w:rPr>
              <w:t>-</w:t>
            </w:r>
            <w:r>
              <w:rPr>
                <w:rFonts w:hint="eastAsia" w:cs="Times New Roman"/>
                <w:color w:val="auto"/>
                <w:szCs w:val="21"/>
                <w:highlight w:val="none"/>
                <w:lang w:eastAsia="zh-CN"/>
              </w:rPr>
              <w:t>“</w:t>
            </w:r>
            <w:r>
              <w:rPr>
                <w:rFonts w:hint="default" w:ascii="Times New Roman" w:hAnsi="Times New Roman" w:cs="Times New Roman"/>
                <w:color w:val="auto"/>
                <w:szCs w:val="21"/>
                <w:highlight w:val="none"/>
              </w:rPr>
              <w:t>非特定行业-900-</w:t>
            </w:r>
            <w:r>
              <w:rPr>
                <w:rFonts w:hint="eastAsia" w:cs="Times New Roman"/>
                <w:color w:val="auto"/>
                <w:szCs w:val="21"/>
                <w:highlight w:val="none"/>
                <w:lang w:val="en-US" w:eastAsia="zh-CN"/>
              </w:rPr>
              <w:t>041</w:t>
            </w:r>
            <w:r>
              <w:rPr>
                <w:rFonts w:hint="default" w:ascii="Times New Roman" w:hAnsi="Times New Roman" w:cs="Times New Roman"/>
                <w:color w:val="auto"/>
                <w:szCs w:val="21"/>
                <w:highlight w:val="none"/>
              </w:rPr>
              <w:t>-</w:t>
            </w:r>
            <w:r>
              <w:rPr>
                <w:rFonts w:hint="eastAsia" w:cs="Times New Roman"/>
                <w:color w:val="auto"/>
                <w:szCs w:val="21"/>
                <w:highlight w:val="none"/>
                <w:lang w:val="en-US" w:eastAsia="zh-CN"/>
              </w:rPr>
              <w:t>49</w:t>
            </w:r>
            <w:r>
              <w:rPr>
                <w:rFonts w:hint="eastAsia" w:cs="Times New Roman"/>
                <w:color w:val="auto"/>
                <w:szCs w:val="21"/>
                <w:highlight w:val="none"/>
                <w:lang w:eastAsia="zh-CN"/>
              </w:rPr>
              <w:t>”</w:t>
            </w:r>
            <w:r>
              <w:rPr>
                <w:rFonts w:hint="default" w:ascii="Times New Roman" w:hAnsi="Times New Roman" w:cs="Times New Roman"/>
                <w:color w:val="auto"/>
                <w:szCs w:val="21"/>
                <w:highlight w:val="none"/>
              </w:rPr>
              <w:t>-</w:t>
            </w:r>
            <w:r>
              <w:rPr>
                <w:rFonts w:hint="eastAsia" w:cs="Times New Roman"/>
                <w:color w:val="auto"/>
                <w:szCs w:val="21"/>
                <w:highlight w:val="none"/>
                <w:lang w:eastAsia="zh-CN"/>
              </w:rPr>
              <w:t>“</w:t>
            </w:r>
            <w:r>
              <w:rPr>
                <w:rFonts w:hint="default" w:ascii="Times New Roman" w:hAnsi="Times New Roman" w:cs="Times New Roman"/>
                <w:color w:val="auto"/>
                <w:szCs w:val="21"/>
                <w:highlight w:val="none"/>
              </w:rPr>
              <w:t>其他工艺过程中产生的废弃的油/水、烃/水混合物或者乳化液</w:t>
            </w:r>
            <w:r>
              <w:rPr>
                <w:rFonts w:hint="eastAsia" w:cs="Times New Roman"/>
                <w:color w:val="auto"/>
                <w:szCs w:val="21"/>
                <w:highlight w:val="none"/>
                <w:lang w:eastAsia="zh-CN"/>
              </w:rPr>
              <w:t>”</w:t>
            </w:r>
            <w:r>
              <w:rPr>
                <w:rFonts w:hint="default" w:ascii="Times New Roman" w:hAnsi="Times New Roman" w:eastAsia="宋体" w:cs="Times New Roman"/>
                <w:color w:val="auto"/>
                <w:highlight w:val="none"/>
              </w:rPr>
              <w:t>，收集后交由有危险废物处理资质的单位处理。</w:t>
            </w:r>
          </w:p>
          <w:p w14:paraId="388D0056">
            <w:pPr>
              <w:keepNext w:val="0"/>
              <w:keepLines w:val="0"/>
              <w:suppressLineNumbers w:val="0"/>
              <w:adjustRightInd w:val="0"/>
              <w:snapToGrid w:val="0"/>
              <w:spacing w:before="0" w:beforeAutospacing="0" w:after="0" w:afterAutospacing="0" w:line="360" w:lineRule="auto"/>
              <w:ind w:left="0" w:right="0" w:firstLine="422" w:firstLineChars="200"/>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项目危险废物产生情况详见下表：</w:t>
            </w:r>
          </w:p>
          <w:p w14:paraId="22D44439">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157" w:afterLines="50" w:afterAutospacing="0"/>
              <w:ind w:right="0"/>
              <w:jc w:val="center"/>
              <w:textAlignment w:val="auto"/>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项目危废产生情况表</w:t>
            </w:r>
          </w:p>
          <w:tbl>
            <w:tblPr>
              <w:tblStyle w:val="41"/>
              <w:tblW w:w="0" w:type="auto"/>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99"/>
              <w:gridCol w:w="610"/>
              <w:gridCol w:w="1294"/>
              <w:gridCol w:w="1119"/>
              <w:gridCol w:w="641"/>
              <w:gridCol w:w="688"/>
              <w:gridCol w:w="332"/>
              <w:gridCol w:w="555"/>
              <w:gridCol w:w="555"/>
              <w:gridCol w:w="743"/>
              <w:gridCol w:w="525"/>
              <w:gridCol w:w="879"/>
            </w:tblGrid>
            <w:tr w14:paraId="5451FDD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0" w:type="auto"/>
                  <w:tcBorders>
                    <w:tl2br w:val="nil"/>
                    <w:tr2bl w:val="nil"/>
                  </w:tcBorders>
                  <w:noWrap w:val="0"/>
                  <w:vAlign w:val="center"/>
                </w:tcPr>
                <w:p w14:paraId="25C4A96D">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序号</w:t>
                  </w:r>
                </w:p>
              </w:tc>
              <w:tc>
                <w:tcPr>
                  <w:tcW w:w="0" w:type="auto"/>
                  <w:tcBorders>
                    <w:tl2br w:val="nil"/>
                    <w:tr2bl w:val="nil"/>
                  </w:tcBorders>
                  <w:noWrap w:val="0"/>
                  <w:vAlign w:val="center"/>
                </w:tcPr>
                <w:p w14:paraId="6454EDB8">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危险废物名称</w:t>
                  </w:r>
                </w:p>
              </w:tc>
              <w:tc>
                <w:tcPr>
                  <w:tcW w:w="0" w:type="auto"/>
                  <w:tcBorders>
                    <w:tl2br w:val="nil"/>
                    <w:tr2bl w:val="nil"/>
                  </w:tcBorders>
                  <w:noWrap w:val="0"/>
                  <w:vAlign w:val="center"/>
                </w:tcPr>
                <w:p w14:paraId="0691EDC3">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危险废物类别</w:t>
                  </w:r>
                </w:p>
              </w:tc>
              <w:tc>
                <w:tcPr>
                  <w:tcW w:w="0" w:type="auto"/>
                  <w:tcBorders>
                    <w:tl2br w:val="nil"/>
                    <w:tr2bl w:val="nil"/>
                  </w:tcBorders>
                  <w:noWrap w:val="0"/>
                  <w:vAlign w:val="center"/>
                </w:tcPr>
                <w:p w14:paraId="11CD0409">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危险废物代码</w:t>
                  </w:r>
                </w:p>
              </w:tc>
              <w:tc>
                <w:tcPr>
                  <w:tcW w:w="0" w:type="auto"/>
                  <w:tcBorders>
                    <w:tl2br w:val="nil"/>
                    <w:tr2bl w:val="nil"/>
                  </w:tcBorders>
                  <w:noWrap w:val="0"/>
                  <w:vAlign w:val="center"/>
                </w:tcPr>
                <w:p w14:paraId="04AF6362">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产生量</w:t>
                  </w:r>
                </w:p>
                <w:p w14:paraId="051AA433">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（吨/年）</w:t>
                  </w:r>
                </w:p>
              </w:tc>
              <w:tc>
                <w:tcPr>
                  <w:tcW w:w="0" w:type="auto"/>
                  <w:tcBorders>
                    <w:tl2br w:val="nil"/>
                    <w:tr2bl w:val="nil"/>
                  </w:tcBorders>
                  <w:noWrap w:val="0"/>
                  <w:vAlign w:val="center"/>
                </w:tcPr>
                <w:p w14:paraId="0344001A">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产生工序及装置</w:t>
                  </w:r>
                </w:p>
              </w:tc>
              <w:tc>
                <w:tcPr>
                  <w:tcW w:w="0" w:type="auto"/>
                  <w:tcBorders>
                    <w:tl2br w:val="nil"/>
                    <w:tr2bl w:val="nil"/>
                  </w:tcBorders>
                  <w:noWrap w:val="0"/>
                  <w:vAlign w:val="center"/>
                </w:tcPr>
                <w:p w14:paraId="2E343238">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形态</w:t>
                  </w:r>
                </w:p>
              </w:tc>
              <w:tc>
                <w:tcPr>
                  <w:tcW w:w="0" w:type="auto"/>
                  <w:tcBorders>
                    <w:tl2br w:val="nil"/>
                    <w:tr2bl w:val="nil"/>
                  </w:tcBorders>
                  <w:noWrap w:val="0"/>
                  <w:vAlign w:val="center"/>
                </w:tcPr>
                <w:p w14:paraId="109AB238">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主要成分</w:t>
                  </w:r>
                </w:p>
              </w:tc>
              <w:tc>
                <w:tcPr>
                  <w:tcW w:w="0" w:type="auto"/>
                  <w:tcBorders>
                    <w:tl2br w:val="nil"/>
                    <w:tr2bl w:val="nil"/>
                  </w:tcBorders>
                  <w:noWrap w:val="0"/>
                  <w:vAlign w:val="center"/>
                </w:tcPr>
                <w:p w14:paraId="0E4A0BD7">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有害成分</w:t>
                  </w:r>
                </w:p>
              </w:tc>
              <w:tc>
                <w:tcPr>
                  <w:tcW w:w="743" w:type="dxa"/>
                  <w:tcBorders>
                    <w:tl2br w:val="nil"/>
                    <w:tr2bl w:val="nil"/>
                  </w:tcBorders>
                  <w:noWrap w:val="0"/>
                  <w:vAlign w:val="center"/>
                </w:tcPr>
                <w:p w14:paraId="221BD91C">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产废周期</w:t>
                  </w:r>
                </w:p>
              </w:tc>
              <w:tc>
                <w:tcPr>
                  <w:tcW w:w="525" w:type="dxa"/>
                  <w:tcBorders>
                    <w:tl2br w:val="nil"/>
                    <w:tr2bl w:val="nil"/>
                  </w:tcBorders>
                  <w:noWrap w:val="0"/>
                  <w:vAlign w:val="center"/>
                </w:tcPr>
                <w:p w14:paraId="27B6BAAC">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危险</w:t>
                  </w:r>
                </w:p>
                <w:p w14:paraId="2D6A8E4C">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特性</w:t>
                  </w:r>
                </w:p>
              </w:tc>
              <w:tc>
                <w:tcPr>
                  <w:tcW w:w="879" w:type="dxa"/>
                  <w:tcBorders>
                    <w:tl2br w:val="nil"/>
                    <w:tr2bl w:val="nil"/>
                  </w:tcBorders>
                  <w:noWrap w:val="0"/>
                  <w:vAlign w:val="center"/>
                </w:tcPr>
                <w:p w14:paraId="7EF5A337">
                  <w:pPr>
                    <w:keepNext w:val="0"/>
                    <w:keepLines w:val="0"/>
                    <w:widowControl/>
                    <w:suppressLineNumbers w:val="0"/>
                    <w:spacing w:before="0" w:beforeAutospacing="0" w:after="0" w:afterAutospacing="0"/>
                    <w:ind w:left="0" w:right="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污染防治措施</w:t>
                  </w:r>
                </w:p>
              </w:tc>
            </w:tr>
            <w:tr w14:paraId="64F1D51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0" w:type="auto"/>
                  <w:tcBorders>
                    <w:tl2br w:val="nil"/>
                    <w:tr2bl w:val="nil"/>
                  </w:tcBorders>
                  <w:noWrap w:val="0"/>
                  <w:vAlign w:val="center"/>
                </w:tcPr>
                <w:p w14:paraId="5FD6DA86">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p>
              </w:tc>
              <w:tc>
                <w:tcPr>
                  <w:tcW w:w="0" w:type="auto"/>
                  <w:tcBorders>
                    <w:tl2br w:val="nil"/>
                    <w:tr2bl w:val="nil"/>
                  </w:tcBorders>
                  <w:noWrap w:val="0"/>
                  <w:vAlign w:val="center"/>
                </w:tcPr>
                <w:p w14:paraId="17A53272">
                  <w:pPr>
                    <w:keepNext w:val="0"/>
                    <w:keepLines w:val="0"/>
                    <w:suppressLineNumbers w:val="0"/>
                    <w:tabs>
                      <w:tab w:val="left" w:pos="1081"/>
                    </w:tabs>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废活性炭</w:t>
                  </w:r>
                </w:p>
              </w:tc>
              <w:tc>
                <w:tcPr>
                  <w:tcW w:w="0" w:type="auto"/>
                  <w:tcBorders>
                    <w:tl2br w:val="nil"/>
                    <w:tr2bl w:val="nil"/>
                  </w:tcBorders>
                  <w:noWrap w:val="0"/>
                  <w:vAlign w:val="center"/>
                </w:tcPr>
                <w:p w14:paraId="26B02915">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HW49其他废物</w:t>
                  </w:r>
                </w:p>
              </w:tc>
              <w:tc>
                <w:tcPr>
                  <w:tcW w:w="0" w:type="auto"/>
                  <w:tcBorders>
                    <w:tl2br w:val="nil"/>
                    <w:tr2bl w:val="nil"/>
                  </w:tcBorders>
                  <w:noWrap w:val="0"/>
                  <w:vAlign w:val="center"/>
                </w:tcPr>
                <w:p w14:paraId="518686C7">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900-039-49</w:t>
                  </w:r>
                </w:p>
              </w:tc>
              <w:tc>
                <w:tcPr>
                  <w:tcW w:w="0" w:type="auto"/>
                  <w:tcBorders>
                    <w:tl2br w:val="nil"/>
                    <w:tr2bl w:val="nil"/>
                  </w:tcBorders>
                  <w:noWrap w:val="0"/>
                  <w:vAlign w:val="center"/>
                </w:tcPr>
                <w:p w14:paraId="0B69AED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4.31</w:t>
                  </w:r>
                </w:p>
              </w:tc>
              <w:tc>
                <w:tcPr>
                  <w:tcW w:w="0" w:type="auto"/>
                  <w:tcBorders>
                    <w:tl2br w:val="nil"/>
                    <w:tr2bl w:val="nil"/>
                  </w:tcBorders>
                  <w:noWrap w:val="0"/>
                  <w:vAlign w:val="center"/>
                </w:tcPr>
                <w:p w14:paraId="1A75BB37">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废气处理</w:t>
                  </w:r>
                </w:p>
              </w:tc>
              <w:tc>
                <w:tcPr>
                  <w:tcW w:w="0" w:type="auto"/>
                  <w:tcBorders>
                    <w:tl2br w:val="nil"/>
                    <w:tr2bl w:val="nil"/>
                  </w:tcBorders>
                  <w:noWrap w:val="0"/>
                  <w:vAlign w:val="center"/>
                </w:tcPr>
                <w:p w14:paraId="3B4F6532">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固态</w:t>
                  </w:r>
                </w:p>
              </w:tc>
              <w:tc>
                <w:tcPr>
                  <w:tcW w:w="0" w:type="auto"/>
                  <w:tcBorders>
                    <w:tl2br w:val="nil"/>
                    <w:tr2bl w:val="nil"/>
                  </w:tcBorders>
                  <w:noWrap w:val="0"/>
                  <w:vAlign w:val="center"/>
                </w:tcPr>
                <w:p w14:paraId="44E98EB5">
                  <w:pPr>
                    <w:keepNext w:val="0"/>
                    <w:keepLines w:val="0"/>
                    <w:suppressLineNumbers w:val="0"/>
                    <w:tabs>
                      <w:tab w:val="left" w:pos="1081"/>
                    </w:tabs>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有机废气</w:t>
                  </w:r>
                </w:p>
              </w:tc>
              <w:tc>
                <w:tcPr>
                  <w:tcW w:w="0" w:type="auto"/>
                  <w:tcBorders>
                    <w:tl2br w:val="nil"/>
                    <w:tr2bl w:val="nil"/>
                  </w:tcBorders>
                  <w:noWrap w:val="0"/>
                  <w:vAlign w:val="center"/>
                </w:tcPr>
                <w:p w14:paraId="56F702DA">
                  <w:pPr>
                    <w:keepNext w:val="0"/>
                    <w:keepLines w:val="0"/>
                    <w:suppressLineNumbers w:val="0"/>
                    <w:tabs>
                      <w:tab w:val="left" w:pos="1081"/>
                    </w:tabs>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有机废气</w:t>
                  </w:r>
                </w:p>
              </w:tc>
              <w:tc>
                <w:tcPr>
                  <w:tcW w:w="743" w:type="dxa"/>
                  <w:tcBorders>
                    <w:tl2br w:val="nil"/>
                    <w:tr2bl w:val="nil"/>
                  </w:tcBorders>
                  <w:noWrap w:val="0"/>
                  <w:vAlign w:val="center"/>
                </w:tcPr>
                <w:p w14:paraId="67F852C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3个月</w:t>
                  </w:r>
                </w:p>
              </w:tc>
              <w:tc>
                <w:tcPr>
                  <w:tcW w:w="525" w:type="dxa"/>
                  <w:tcBorders>
                    <w:tl2br w:val="nil"/>
                    <w:tr2bl w:val="nil"/>
                  </w:tcBorders>
                  <w:noWrap w:val="0"/>
                  <w:vAlign w:val="center"/>
                </w:tcPr>
                <w:p w14:paraId="121268F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T</w:t>
                  </w:r>
                </w:p>
              </w:tc>
              <w:tc>
                <w:tcPr>
                  <w:tcW w:w="879" w:type="dxa"/>
                  <w:vMerge w:val="restart"/>
                  <w:tcBorders>
                    <w:tl2br w:val="nil"/>
                    <w:tr2bl w:val="nil"/>
                  </w:tcBorders>
                  <w:noWrap w:val="0"/>
                  <w:vAlign w:val="center"/>
                </w:tcPr>
                <w:p w14:paraId="299151AD">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委托有危险废物处理资质的单位处置</w:t>
                  </w:r>
                </w:p>
              </w:tc>
            </w:tr>
            <w:tr w14:paraId="6CA6957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0" w:type="auto"/>
                  <w:tcBorders>
                    <w:tl2br w:val="nil"/>
                    <w:tr2bl w:val="nil"/>
                  </w:tcBorders>
                  <w:noWrap w:val="0"/>
                  <w:vAlign w:val="center"/>
                </w:tcPr>
                <w:p w14:paraId="32D4DEB3">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w:t>
                  </w:r>
                </w:p>
              </w:tc>
              <w:tc>
                <w:tcPr>
                  <w:tcW w:w="0" w:type="auto"/>
                  <w:tcBorders>
                    <w:tl2br w:val="nil"/>
                    <w:tr2bl w:val="nil"/>
                  </w:tcBorders>
                  <w:noWrap w:val="0"/>
                  <w:vAlign w:val="center"/>
                </w:tcPr>
                <w:p w14:paraId="2A670443">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废手套和抹布</w:t>
                  </w:r>
                </w:p>
              </w:tc>
              <w:tc>
                <w:tcPr>
                  <w:tcW w:w="0" w:type="auto"/>
                  <w:tcBorders>
                    <w:tl2br w:val="nil"/>
                    <w:tr2bl w:val="nil"/>
                  </w:tcBorders>
                  <w:noWrap w:val="0"/>
                  <w:vAlign w:val="center"/>
                </w:tcPr>
                <w:p w14:paraId="46B375B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HW49其他废物</w:t>
                  </w:r>
                </w:p>
              </w:tc>
              <w:tc>
                <w:tcPr>
                  <w:tcW w:w="0" w:type="auto"/>
                  <w:tcBorders>
                    <w:tl2br w:val="nil"/>
                    <w:tr2bl w:val="nil"/>
                  </w:tcBorders>
                  <w:noWrap w:val="0"/>
                  <w:vAlign w:val="center"/>
                </w:tcPr>
                <w:p w14:paraId="45E0C7E0">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900-041-49</w:t>
                  </w:r>
                </w:p>
              </w:tc>
              <w:tc>
                <w:tcPr>
                  <w:tcW w:w="0" w:type="auto"/>
                  <w:tcBorders>
                    <w:tl2br w:val="nil"/>
                    <w:tr2bl w:val="nil"/>
                  </w:tcBorders>
                  <w:noWrap w:val="0"/>
                  <w:vAlign w:val="center"/>
                </w:tcPr>
                <w:p w14:paraId="32BE6736">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rPr>
                    <w:t>0.</w:t>
                  </w:r>
                  <w:r>
                    <w:rPr>
                      <w:rFonts w:hint="eastAsia" w:cs="Times New Roman"/>
                      <w:color w:val="auto"/>
                      <w:sz w:val="21"/>
                      <w:szCs w:val="21"/>
                      <w:highlight w:val="none"/>
                      <w:lang w:val="en-US" w:eastAsia="zh-CN"/>
                    </w:rPr>
                    <w:t>02</w:t>
                  </w:r>
                </w:p>
              </w:tc>
              <w:tc>
                <w:tcPr>
                  <w:tcW w:w="0" w:type="auto"/>
                  <w:tcBorders>
                    <w:tl2br w:val="nil"/>
                    <w:tr2bl w:val="nil"/>
                  </w:tcBorders>
                  <w:noWrap w:val="0"/>
                  <w:vAlign w:val="center"/>
                </w:tcPr>
                <w:p w14:paraId="737E8DB5">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设备维修和保养</w:t>
                  </w:r>
                </w:p>
              </w:tc>
              <w:tc>
                <w:tcPr>
                  <w:tcW w:w="0" w:type="auto"/>
                  <w:tcBorders>
                    <w:tl2br w:val="nil"/>
                    <w:tr2bl w:val="nil"/>
                  </w:tcBorders>
                  <w:noWrap w:val="0"/>
                  <w:vAlign w:val="center"/>
                </w:tcPr>
                <w:p w14:paraId="4345E730">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固态</w:t>
                  </w:r>
                </w:p>
              </w:tc>
              <w:tc>
                <w:tcPr>
                  <w:tcW w:w="0" w:type="auto"/>
                  <w:tcBorders>
                    <w:tl2br w:val="nil"/>
                    <w:tr2bl w:val="nil"/>
                  </w:tcBorders>
                  <w:noWrap w:val="0"/>
                  <w:vAlign w:val="center"/>
                </w:tcPr>
                <w:p w14:paraId="4E12D668">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lang w:val="en-US"/>
                    </w:rPr>
                  </w:pPr>
                  <w:r>
                    <w:rPr>
                      <w:rFonts w:hint="eastAsia" w:cs="Times New Roman"/>
                      <w:color w:val="auto"/>
                      <w:sz w:val="21"/>
                      <w:szCs w:val="21"/>
                      <w:highlight w:val="none"/>
                      <w:lang w:val="en-US" w:eastAsia="zh-CN"/>
                    </w:rPr>
                    <w:t>矿物</w:t>
                  </w:r>
                  <w:r>
                    <w:rPr>
                      <w:rFonts w:hint="default" w:ascii="Times New Roman" w:hAnsi="Times New Roman" w:cs="Times New Roman"/>
                      <w:color w:val="auto"/>
                      <w:sz w:val="21"/>
                      <w:szCs w:val="21"/>
                      <w:highlight w:val="none"/>
                    </w:rPr>
                    <w:t>油</w:t>
                  </w:r>
                  <w:r>
                    <w:rPr>
                      <w:rFonts w:hint="eastAsia" w:cs="Times New Roman"/>
                      <w:color w:val="auto"/>
                      <w:sz w:val="21"/>
                      <w:szCs w:val="21"/>
                      <w:highlight w:val="none"/>
                      <w:lang w:eastAsia="zh-CN"/>
                    </w:rPr>
                    <w:t>、</w:t>
                  </w:r>
                  <w:r>
                    <w:rPr>
                      <w:rFonts w:hint="eastAsia" w:cs="Times New Roman"/>
                      <w:color w:val="auto"/>
                      <w:sz w:val="21"/>
                      <w:szCs w:val="21"/>
                      <w:highlight w:val="none"/>
                      <w:lang w:val="en-US" w:eastAsia="zh-CN"/>
                    </w:rPr>
                    <w:t>水性油墨</w:t>
                  </w:r>
                </w:p>
              </w:tc>
              <w:tc>
                <w:tcPr>
                  <w:tcW w:w="0" w:type="auto"/>
                  <w:tcBorders>
                    <w:tl2br w:val="nil"/>
                    <w:tr2bl w:val="nil"/>
                  </w:tcBorders>
                  <w:noWrap w:val="0"/>
                  <w:vAlign w:val="center"/>
                </w:tcPr>
                <w:p w14:paraId="0E0CC6B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矿物</w:t>
                  </w:r>
                  <w:r>
                    <w:rPr>
                      <w:rFonts w:hint="default" w:ascii="Times New Roman" w:hAnsi="Times New Roman" w:cs="Times New Roman"/>
                      <w:color w:val="auto"/>
                      <w:sz w:val="21"/>
                      <w:szCs w:val="21"/>
                      <w:highlight w:val="none"/>
                    </w:rPr>
                    <w:t>油</w:t>
                  </w:r>
                  <w:r>
                    <w:rPr>
                      <w:rFonts w:hint="eastAsia" w:cs="Times New Roman"/>
                      <w:color w:val="auto"/>
                      <w:sz w:val="21"/>
                      <w:szCs w:val="21"/>
                      <w:highlight w:val="none"/>
                      <w:lang w:eastAsia="zh-CN"/>
                    </w:rPr>
                    <w:t>、</w:t>
                  </w:r>
                  <w:r>
                    <w:rPr>
                      <w:rFonts w:hint="eastAsia" w:cs="Times New Roman"/>
                      <w:color w:val="auto"/>
                      <w:sz w:val="21"/>
                      <w:szCs w:val="21"/>
                      <w:highlight w:val="none"/>
                      <w:lang w:val="en-US" w:eastAsia="zh-CN"/>
                    </w:rPr>
                    <w:t>水性油墨</w:t>
                  </w:r>
                </w:p>
              </w:tc>
              <w:tc>
                <w:tcPr>
                  <w:tcW w:w="743" w:type="dxa"/>
                  <w:tcBorders>
                    <w:tl2br w:val="nil"/>
                    <w:tr2bl w:val="nil"/>
                  </w:tcBorders>
                  <w:noWrap w:val="0"/>
                  <w:vAlign w:val="center"/>
                </w:tcPr>
                <w:p w14:paraId="6333B11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6个月</w:t>
                  </w:r>
                </w:p>
              </w:tc>
              <w:tc>
                <w:tcPr>
                  <w:tcW w:w="525" w:type="dxa"/>
                  <w:tcBorders>
                    <w:tl2br w:val="nil"/>
                    <w:tr2bl w:val="nil"/>
                  </w:tcBorders>
                  <w:noWrap w:val="0"/>
                  <w:vAlign w:val="center"/>
                </w:tcPr>
                <w:p w14:paraId="42F37351">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T</w:t>
                  </w:r>
                </w:p>
              </w:tc>
              <w:tc>
                <w:tcPr>
                  <w:tcW w:w="879" w:type="dxa"/>
                  <w:vMerge w:val="continue"/>
                  <w:tcBorders>
                    <w:tl2br w:val="nil"/>
                    <w:tr2bl w:val="nil"/>
                  </w:tcBorders>
                  <w:noWrap w:val="0"/>
                  <w:vAlign w:val="center"/>
                </w:tcPr>
                <w:p w14:paraId="4974A63A">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14:paraId="40BE2A2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0" w:type="auto"/>
                  <w:tcBorders>
                    <w:tl2br w:val="nil"/>
                    <w:tr2bl w:val="nil"/>
                  </w:tcBorders>
                  <w:noWrap w:val="0"/>
                  <w:vAlign w:val="center"/>
                </w:tcPr>
                <w:p w14:paraId="123CC573">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w:t>
                  </w:r>
                </w:p>
              </w:tc>
              <w:tc>
                <w:tcPr>
                  <w:tcW w:w="0" w:type="auto"/>
                  <w:tcBorders>
                    <w:tl2br w:val="nil"/>
                    <w:tr2bl w:val="nil"/>
                  </w:tcBorders>
                  <w:noWrap w:val="0"/>
                  <w:vAlign w:val="center"/>
                </w:tcPr>
                <w:p w14:paraId="35F128B8">
                  <w:pPr>
                    <w:keepNext w:val="0"/>
                    <w:keepLines w:val="0"/>
                    <w:suppressLineNumbers w:val="0"/>
                    <w:tabs>
                      <w:tab w:val="left" w:pos="1081"/>
                    </w:tabs>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废</w:t>
                  </w:r>
                  <w:r>
                    <w:rPr>
                      <w:rFonts w:hint="eastAsia" w:ascii="Times New Roman" w:hAnsi="Times New Roman" w:cs="Times New Roman"/>
                      <w:color w:val="auto"/>
                      <w:sz w:val="21"/>
                      <w:szCs w:val="21"/>
                      <w:highlight w:val="none"/>
                      <w:lang w:val="en-US" w:eastAsia="zh-CN"/>
                    </w:rPr>
                    <w:t>机</w:t>
                  </w:r>
                  <w:r>
                    <w:rPr>
                      <w:rFonts w:hint="default" w:ascii="Times New Roman" w:hAnsi="Times New Roman" w:cs="Times New Roman"/>
                      <w:color w:val="auto"/>
                      <w:sz w:val="21"/>
                      <w:szCs w:val="21"/>
                      <w:highlight w:val="none"/>
                    </w:rPr>
                    <w:t>油</w:t>
                  </w:r>
                </w:p>
              </w:tc>
              <w:tc>
                <w:tcPr>
                  <w:tcW w:w="0" w:type="auto"/>
                  <w:tcBorders>
                    <w:tl2br w:val="nil"/>
                    <w:tr2bl w:val="nil"/>
                  </w:tcBorders>
                  <w:noWrap w:val="0"/>
                  <w:vAlign w:val="center"/>
                </w:tcPr>
                <w:p w14:paraId="6CA6FCD0">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HW08废矿物油与含矿物油废物</w:t>
                  </w:r>
                </w:p>
              </w:tc>
              <w:tc>
                <w:tcPr>
                  <w:tcW w:w="0" w:type="auto"/>
                  <w:tcBorders>
                    <w:tl2br w:val="nil"/>
                    <w:tr2bl w:val="nil"/>
                  </w:tcBorders>
                  <w:noWrap w:val="0"/>
                  <w:vAlign w:val="center"/>
                </w:tcPr>
                <w:p w14:paraId="4F663058">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900-2</w:t>
                  </w:r>
                  <w:r>
                    <w:rPr>
                      <w:rFonts w:hint="eastAsia" w:cs="Times New Roman"/>
                      <w:color w:val="auto"/>
                      <w:sz w:val="21"/>
                      <w:szCs w:val="21"/>
                      <w:highlight w:val="none"/>
                      <w:lang w:val="en-US" w:eastAsia="zh-CN"/>
                    </w:rPr>
                    <w:t>14</w:t>
                  </w:r>
                  <w:r>
                    <w:rPr>
                      <w:rFonts w:hint="default" w:ascii="Times New Roman" w:hAnsi="Times New Roman" w:cs="Times New Roman"/>
                      <w:color w:val="auto"/>
                      <w:sz w:val="21"/>
                      <w:szCs w:val="21"/>
                      <w:highlight w:val="none"/>
                    </w:rPr>
                    <w:t>-08</w:t>
                  </w:r>
                </w:p>
              </w:tc>
              <w:tc>
                <w:tcPr>
                  <w:tcW w:w="0" w:type="auto"/>
                  <w:tcBorders>
                    <w:tl2br w:val="nil"/>
                    <w:tr2bl w:val="nil"/>
                  </w:tcBorders>
                  <w:noWrap w:val="0"/>
                  <w:vAlign w:val="center"/>
                </w:tcPr>
                <w:p w14:paraId="6ED35D9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0.01</w:t>
                  </w:r>
                </w:p>
              </w:tc>
              <w:tc>
                <w:tcPr>
                  <w:tcW w:w="0" w:type="auto"/>
                  <w:tcBorders>
                    <w:tl2br w:val="nil"/>
                    <w:tr2bl w:val="nil"/>
                  </w:tcBorders>
                  <w:noWrap w:val="0"/>
                  <w:vAlign w:val="center"/>
                </w:tcPr>
                <w:p w14:paraId="7292AEB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rPr>
                    <w:t>设备</w:t>
                  </w:r>
                  <w:r>
                    <w:rPr>
                      <w:rFonts w:hint="eastAsia" w:cs="Times New Roman"/>
                      <w:color w:val="auto"/>
                      <w:sz w:val="21"/>
                      <w:szCs w:val="21"/>
                      <w:highlight w:val="none"/>
                      <w:lang w:val="en-US" w:eastAsia="zh-CN"/>
                    </w:rPr>
                    <w:t>保养与维护</w:t>
                  </w:r>
                </w:p>
              </w:tc>
              <w:tc>
                <w:tcPr>
                  <w:tcW w:w="0" w:type="auto"/>
                  <w:tcBorders>
                    <w:tl2br w:val="nil"/>
                    <w:tr2bl w:val="nil"/>
                  </w:tcBorders>
                  <w:noWrap w:val="0"/>
                  <w:vAlign w:val="center"/>
                </w:tcPr>
                <w:p w14:paraId="21411BFD">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液态</w:t>
                  </w:r>
                </w:p>
              </w:tc>
              <w:tc>
                <w:tcPr>
                  <w:tcW w:w="0" w:type="auto"/>
                  <w:tcBorders>
                    <w:tl2br w:val="nil"/>
                    <w:tr2bl w:val="nil"/>
                  </w:tcBorders>
                  <w:noWrap w:val="0"/>
                  <w:vAlign w:val="center"/>
                </w:tcPr>
                <w:p w14:paraId="1E03C84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cs="Times New Roman"/>
                      <w:color w:val="auto"/>
                      <w:sz w:val="21"/>
                      <w:szCs w:val="21"/>
                      <w:highlight w:val="none"/>
                      <w:lang w:val="en-US" w:eastAsia="zh-CN"/>
                    </w:rPr>
                    <w:t>矿物</w:t>
                  </w:r>
                  <w:r>
                    <w:rPr>
                      <w:rFonts w:hint="default" w:ascii="Times New Roman" w:hAnsi="Times New Roman" w:cs="Times New Roman"/>
                      <w:color w:val="auto"/>
                      <w:sz w:val="21"/>
                      <w:szCs w:val="21"/>
                      <w:highlight w:val="none"/>
                    </w:rPr>
                    <w:t>油</w:t>
                  </w:r>
                </w:p>
              </w:tc>
              <w:tc>
                <w:tcPr>
                  <w:tcW w:w="0" w:type="auto"/>
                  <w:tcBorders>
                    <w:tl2br w:val="nil"/>
                    <w:tr2bl w:val="nil"/>
                  </w:tcBorders>
                  <w:noWrap w:val="0"/>
                  <w:vAlign w:val="center"/>
                </w:tcPr>
                <w:p w14:paraId="5A9DD4BB">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cs="Times New Roman"/>
                      <w:color w:val="auto"/>
                      <w:sz w:val="21"/>
                      <w:szCs w:val="21"/>
                      <w:highlight w:val="none"/>
                      <w:lang w:val="en-US" w:eastAsia="zh-CN"/>
                    </w:rPr>
                    <w:t>矿物</w:t>
                  </w:r>
                  <w:r>
                    <w:rPr>
                      <w:rFonts w:hint="default" w:ascii="Times New Roman" w:hAnsi="Times New Roman" w:cs="Times New Roman"/>
                      <w:color w:val="auto"/>
                      <w:sz w:val="21"/>
                      <w:szCs w:val="21"/>
                      <w:highlight w:val="none"/>
                    </w:rPr>
                    <w:t>油</w:t>
                  </w:r>
                </w:p>
              </w:tc>
              <w:tc>
                <w:tcPr>
                  <w:tcW w:w="743" w:type="dxa"/>
                  <w:tcBorders>
                    <w:tl2br w:val="nil"/>
                    <w:tr2bl w:val="nil"/>
                  </w:tcBorders>
                  <w:noWrap w:val="0"/>
                  <w:vAlign w:val="center"/>
                </w:tcPr>
                <w:p w14:paraId="1596D307">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cs="Times New Roman"/>
                      <w:color w:val="auto"/>
                      <w:sz w:val="21"/>
                      <w:szCs w:val="21"/>
                      <w:highlight w:val="none"/>
                      <w:lang w:val="en-US" w:eastAsia="zh-CN"/>
                    </w:rPr>
                    <w:t>6个月</w:t>
                  </w:r>
                </w:p>
              </w:tc>
              <w:tc>
                <w:tcPr>
                  <w:tcW w:w="525" w:type="dxa"/>
                  <w:tcBorders>
                    <w:tl2br w:val="nil"/>
                    <w:tr2bl w:val="nil"/>
                  </w:tcBorders>
                  <w:noWrap w:val="0"/>
                  <w:vAlign w:val="center"/>
                </w:tcPr>
                <w:p w14:paraId="31F3664A">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T</w:t>
                  </w:r>
                </w:p>
              </w:tc>
              <w:tc>
                <w:tcPr>
                  <w:tcW w:w="879" w:type="dxa"/>
                  <w:vMerge w:val="continue"/>
                  <w:tcBorders>
                    <w:tl2br w:val="nil"/>
                    <w:tr2bl w:val="nil"/>
                  </w:tcBorders>
                  <w:noWrap w:val="0"/>
                  <w:vAlign w:val="center"/>
                </w:tcPr>
                <w:p w14:paraId="6E1D7D67">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14:paraId="37D501E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0" w:type="auto"/>
                  <w:tcBorders>
                    <w:tl2br w:val="nil"/>
                    <w:tr2bl w:val="nil"/>
                  </w:tcBorders>
                  <w:noWrap w:val="0"/>
                  <w:vAlign w:val="center"/>
                </w:tcPr>
                <w:p w14:paraId="24F8455F">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4</w:t>
                  </w:r>
                </w:p>
              </w:tc>
              <w:tc>
                <w:tcPr>
                  <w:tcW w:w="0" w:type="auto"/>
                  <w:tcBorders>
                    <w:tl2br w:val="nil"/>
                    <w:tr2bl w:val="nil"/>
                  </w:tcBorders>
                  <w:noWrap w:val="0"/>
                  <w:vAlign w:val="center"/>
                </w:tcPr>
                <w:p w14:paraId="60BCB495">
                  <w:pPr>
                    <w:keepNext w:val="0"/>
                    <w:keepLines w:val="0"/>
                    <w:suppressLineNumbers w:val="0"/>
                    <w:tabs>
                      <w:tab w:val="left" w:pos="1081"/>
                    </w:tabs>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废</w:t>
                  </w:r>
                  <w:r>
                    <w:rPr>
                      <w:rFonts w:hint="eastAsia" w:cs="Times New Roman"/>
                      <w:color w:val="auto"/>
                      <w:sz w:val="21"/>
                      <w:szCs w:val="21"/>
                      <w:highlight w:val="none"/>
                      <w:lang w:val="en-US" w:eastAsia="zh-CN"/>
                    </w:rPr>
                    <w:t>油桶</w:t>
                  </w:r>
                </w:p>
              </w:tc>
              <w:tc>
                <w:tcPr>
                  <w:tcW w:w="0" w:type="auto"/>
                  <w:tcBorders>
                    <w:tl2br w:val="nil"/>
                    <w:tr2bl w:val="nil"/>
                  </w:tcBorders>
                  <w:noWrap w:val="0"/>
                  <w:vAlign w:val="center"/>
                </w:tcPr>
                <w:p w14:paraId="1F9EBECA">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bCs/>
                      <w:color w:val="auto"/>
                      <w:sz w:val="21"/>
                      <w:szCs w:val="21"/>
                      <w:highlight w:val="none"/>
                    </w:rPr>
                    <w:t>HW</w:t>
                  </w:r>
                  <w:r>
                    <w:rPr>
                      <w:rFonts w:hint="eastAsia"/>
                      <w:bCs/>
                      <w:color w:val="auto"/>
                      <w:sz w:val="21"/>
                      <w:szCs w:val="21"/>
                      <w:highlight w:val="none"/>
                      <w:lang w:val="en-US" w:eastAsia="zh-CN"/>
                    </w:rPr>
                    <w:t>08废矿物油与含矿物油废物</w:t>
                  </w:r>
                </w:p>
              </w:tc>
              <w:tc>
                <w:tcPr>
                  <w:tcW w:w="0" w:type="auto"/>
                  <w:tcBorders>
                    <w:tl2br w:val="nil"/>
                    <w:tr2bl w:val="nil"/>
                  </w:tcBorders>
                  <w:noWrap w:val="0"/>
                  <w:vAlign w:val="center"/>
                </w:tcPr>
                <w:p w14:paraId="62321EE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900-249-08</w:t>
                  </w:r>
                </w:p>
              </w:tc>
              <w:tc>
                <w:tcPr>
                  <w:tcW w:w="0" w:type="auto"/>
                  <w:tcBorders>
                    <w:tl2br w:val="nil"/>
                    <w:tr2bl w:val="nil"/>
                  </w:tcBorders>
                  <w:noWrap w:val="0"/>
                  <w:vAlign w:val="center"/>
                </w:tcPr>
                <w:p w14:paraId="28916847">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0.</w:t>
                  </w:r>
                  <w:r>
                    <w:rPr>
                      <w:rFonts w:hint="eastAsia" w:ascii="Times New Roman" w:hAnsi="Times New Roman" w:cs="Times New Roman"/>
                      <w:color w:val="auto"/>
                      <w:sz w:val="21"/>
                      <w:szCs w:val="21"/>
                      <w:highlight w:val="none"/>
                      <w:lang w:val="en-US" w:eastAsia="zh-CN"/>
                    </w:rPr>
                    <w:t>0</w:t>
                  </w:r>
                  <w:r>
                    <w:rPr>
                      <w:rFonts w:hint="eastAsia" w:cs="Times New Roman"/>
                      <w:color w:val="auto"/>
                      <w:sz w:val="21"/>
                      <w:szCs w:val="21"/>
                      <w:highlight w:val="none"/>
                      <w:lang w:val="en-US" w:eastAsia="zh-CN"/>
                    </w:rPr>
                    <w:t>01</w:t>
                  </w:r>
                </w:p>
              </w:tc>
              <w:tc>
                <w:tcPr>
                  <w:tcW w:w="0" w:type="auto"/>
                  <w:tcBorders>
                    <w:tl2br w:val="nil"/>
                    <w:tr2bl w:val="nil"/>
                  </w:tcBorders>
                  <w:noWrap w:val="0"/>
                  <w:vAlign w:val="center"/>
                </w:tcPr>
                <w:p w14:paraId="6E9A08F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设备</w:t>
                  </w:r>
                  <w:r>
                    <w:rPr>
                      <w:rFonts w:hint="eastAsia" w:cs="Times New Roman"/>
                      <w:color w:val="auto"/>
                      <w:sz w:val="21"/>
                      <w:szCs w:val="21"/>
                      <w:highlight w:val="none"/>
                      <w:lang w:val="en-US" w:eastAsia="zh-CN"/>
                    </w:rPr>
                    <w:t>保养与维护</w:t>
                  </w:r>
                </w:p>
              </w:tc>
              <w:tc>
                <w:tcPr>
                  <w:tcW w:w="0" w:type="auto"/>
                  <w:tcBorders>
                    <w:tl2br w:val="nil"/>
                    <w:tr2bl w:val="nil"/>
                  </w:tcBorders>
                  <w:noWrap w:val="0"/>
                  <w:vAlign w:val="center"/>
                </w:tcPr>
                <w:p w14:paraId="0EB390F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固态</w:t>
                  </w:r>
                </w:p>
              </w:tc>
              <w:tc>
                <w:tcPr>
                  <w:tcW w:w="0" w:type="auto"/>
                  <w:tcBorders>
                    <w:tl2br w:val="nil"/>
                    <w:tr2bl w:val="nil"/>
                  </w:tcBorders>
                  <w:noWrap w:val="0"/>
                  <w:vAlign w:val="center"/>
                </w:tcPr>
                <w:p w14:paraId="2BE791AB">
                  <w:pPr>
                    <w:keepNext w:val="0"/>
                    <w:keepLines w:val="0"/>
                    <w:suppressLineNumbers w:val="0"/>
                    <w:tabs>
                      <w:tab w:val="left" w:pos="1081"/>
                    </w:tabs>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矿物</w:t>
                  </w:r>
                  <w:r>
                    <w:rPr>
                      <w:rFonts w:hint="default" w:ascii="Times New Roman" w:hAnsi="Times New Roman" w:cs="Times New Roman"/>
                      <w:color w:val="auto"/>
                      <w:sz w:val="21"/>
                      <w:szCs w:val="21"/>
                      <w:highlight w:val="none"/>
                    </w:rPr>
                    <w:t>油</w:t>
                  </w:r>
                </w:p>
              </w:tc>
              <w:tc>
                <w:tcPr>
                  <w:tcW w:w="0" w:type="auto"/>
                  <w:tcBorders>
                    <w:tl2br w:val="nil"/>
                    <w:tr2bl w:val="nil"/>
                  </w:tcBorders>
                  <w:noWrap w:val="0"/>
                  <w:vAlign w:val="center"/>
                </w:tcPr>
                <w:p w14:paraId="372CF833">
                  <w:pPr>
                    <w:keepNext w:val="0"/>
                    <w:keepLines w:val="0"/>
                    <w:suppressLineNumbers w:val="0"/>
                    <w:tabs>
                      <w:tab w:val="left" w:pos="1081"/>
                    </w:tabs>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矿物</w:t>
                  </w:r>
                  <w:r>
                    <w:rPr>
                      <w:rFonts w:hint="default" w:ascii="Times New Roman" w:hAnsi="Times New Roman" w:cs="Times New Roman"/>
                      <w:color w:val="auto"/>
                      <w:sz w:val="21"/>
                      <w:szCs w:val="21"/>
                      <w:highlight w:val="none"/>
                    </w:rPr>
                    <w:t>油</w:t>
                  </w:r>
                </w:p>
              </w:tc>
              <w:tc>
                <w:tcPr>
                  <w:tcW w:w="743" w:type="dxa"/>
                  <w:tcBorders>
                    <w:tl2br w:val="nil"/>
                    <w:tr2bl w:val="nil"/>
                  </w:tcBorders>
                  <w:noWrap w:val="0"/>
                  <w:vAlign w:val="center"/>
                </w:tcPr>
                <w:p w14:paraId="3DCE6848">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6个月</w:t>
                  </w:r>
                </w:p>
              </w:tc>
              <w:tc>
                <w:tcPr>
                  <w:tcW w:w="525" w:type="dxa"/>
                  <w:tcBorders>
                    <w:tl2br w:val="nil"/>
                    <w:tr2bl w:val="nil"/>
                  </w:tcBorders>
                  <w:noWrap w:val="0"/>
                  <w:vAlign w:val="center"/>
                </w:tcPr>
                <w:p w14:paraId="2F40220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T</w:t>
                  </w:r>
                </w:p>
              </w:tc>
              <w:tc>
                <w:tcPr>
                  <w:tcW w:w="879" w:type="dxa"/>
                  <w:vMerge w:val="continue"/>
                  <w:tcBorders>
                    <w:tl2br w:val="nil"/>
                    <w:tr2bl w:val="nil"/>
                  </w:tcBorders>
                  <w:noWrap w:val="0"/>
                  <w:vAlign w:val="center"/>
                </w:tcPr>
                <w:p w14:paraId="7C296DEC">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14:paraId="50AFB19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0" w:type="auto"/>
                  <w:tcBorders>
                    <w:tl2br w:val="nil"/>
                    <w:tr2bl w:val="nil"/>
                  </w:tcBorders>
                  <w:noWrap w:val="0"/>
                  <w:vAlign w:val="center"/>
                </w:tcPr>
                <w:p w14:paraId="777067A3">
                  <w:pPr>
                    <w:keepNext w:val="0"/>
                    <w:keepLines w:val="0"/>
                    <w:widowControl/>
                    <w:suppressLineNumbers w:val="0"/>
                    <w:spacing w:before="0" w:beforeAutospacing="0" w:after="0" w:afterAutospacing="0"/>
                    <w:ind w:left="0" w:leftChars="0" w:right="0" w:rightChars="0"/>
                    <w:jc w:val="center"/>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5</w:t>
                  </w:r>
                </w:p>
              </w:tc>
              <w:tc>
                <w:tcPr>
                  <w:tcW w:w="0" w:type="auto"/>
                  <w:tcBorders>
                    <w:tl2br w:val="nil"/>
                    <w:tr2bl w:val="nil"/>
                  </w:tcBorders>
                  <w:noWrap w:val="0"/>
                  <w:vAlign w:val="center"/>
                </w:tcPr>
                <w:p w14:paraId="7B1AB82C">
                  <w:pPr>
                    <w:keepNext w:val="0"/>
                    <w:keepLines w:val="0"/>
                    <w:suppressLineNumbers w:val="0"/>
                    <w:tabs>
                      <w:tab w:val="left" w:pos="1081"/>
                    </w:tabs>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废油墨桶</w:t>
                  </w:r>
                </w:p>
              </w:tc>
              <w:tc>
                <w:tcPr>
                  <w:tcW w:w="0" w:type="auto"/>
                  <w:tcBorders>
                    <w:tl2br w:val="nil"/>
                    <w:tr2bl w:val="nil"/>
                  </w:tcBorders>
                  <w:noWrap w:val="0"/>
                  <w:vAlign w:val="center"/>
                </w:tcPr>
                <w:p w14:paraId="673DE636">
                  <w:pPr>
                    <w:keepNext w:val="0"/>
                    <w:keepLines w:val="0"/>
                    <w:suppressLineNumbers w:val="0"/>
                    <w:spacing w:before="0" w:beforeAutospacing="0" w:after="0" w:afterAutospacing="0"/>
                    <w:ind w:left="0" w:leftChars="0" w:right="0" w:rightChars="0"/>
                    <w:jc w:val="center"/>
                    <w:rPr>
                      <w:rFonts w:hint="default"/>
                      <w:bCs/>
                      <w:color w:val="auto"/>
                      <w:sz w:val="21"/>
                      <w:szCs w:val="21"/>
                      <w:highlight w:val="none"/>
                    </w:rPr>
                  </w:pPr>
                  <w:r>
                    <w:rPr>
                      <w:rFonts w:hint="eastAsia" w:cs="宋体"/>
                      <w:color w:val="auto"/>
                      <w:szCs w:val="21"/>
                      <w:highlight w:val="none"/>
                      <w:lang w:bidi="ar"/>
                    </w:rPr>
                    <w:t>HW</w:t>
                  </w:r>
                  <w:r>
                    <w:rPr>
                      <w:rFonts w:hint="eastAsia" w:cs="宋体"/>
                      <w:color w:val="auto"/>
                      <w:szCs w:val="21"/>
                      <w:highlight w:val="none"/>
                      <w:lang w:val="en-US" w:eastAsia="zh-CN" w:bidi="ar"/>
                    </w:rPr>
                    <w:t>49</w:t>
                  </w:r>
                  <w:r>
                    <w:rPr>
                      <w:rFonts w:hint="eastAsia" w:cs="Times New Roman"/>
                      <w:color w:val="auto"/>
                      <w:szCs w:val="21"/>
                      <w:highlight w:val="none"/>
                      <w:lang w:val="en-US" w:eastAsia="zh-CN"/>
                    </w:rPr>
                    <w:t>其他废物</w:t>
                  </w:r>
                </w:p>
              </w:tc>
              <w:tc>
                <w:tcPr>
                  <w:tcW w:w="0" w:type="auto"/>
                  <w:tcBorders>
                    <w:tl2br w:val="nil"/>
                    <w:tr2bl w:val="nil"/>
                  </w:tcBorders>
                  <w:noWrap w:val="0"/>
                  <w:vAlign w:val="center"/>
                </w:tcPr>
                <w:p w14:paraId="120A4AB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Cs w:val="21"/>
                      <w:highlight w:val="none"/>
                    </w:rPr>
                    <w:t>900-</w:t>
                  </w:r>
                  <w:r>
                    <w:rPr>
                      <w:rFonts w:hint="eastAsia" w:cs="Times New Roman"/>
                      <w:color w:val="auto"/>
                      <w:szCs w:val="21"/>
                      <w:highlight w:val="none"/>
                      <w:lang w:val="en-US" w:eastAsia="zh-CN"/>
                    </w:rPr>
                    <w:t>041</w:t>
                  </w:r>
                  <w:r>
                    <w:rPr>
                      <w:rFonts w:hint="default" w:ascii="Times New Roman" w:hAnsi="Times New Roman" w:cs="Times New Roman"/>
                      <w:color w:val="auto"/>
                      <w:szCs w:val="21"/>
                      <w:highlight w:val="none"/>
                    </w:rPr>
                    <w:t>-</w:t>
                  </w:r>
                  <w:r>
                    <w:rPr>
                      <w:rFonts w:hint="eastAsia" w:cs="Times New Roman"/>
                      <w:color w:val="auto"/>
                      <w:szCs w:val="21"/>
                      <w:highlight w:val="none"/>
                      <w:lang w:val="en-US" w:eastAsia="zh-CN"/>
                    </w:rPr>
                    <w:t>49</w:t>
                  </w:r>
                </w:p>
              </w:tc>
              <w:tc>
                <w:tcPr>
                  <w:tcW w:w="0" w:type="auto"/>
                  <w:tcBorders>
                    <w:tl2br w:val="nil"/>
                    <w:tr2bl w:val="nil"/>
                  </w:tcBorders>
                  <w:noWrap w:val="0"/>
                  <w:vAlign w:val="center"/>
                </w:tcPr>
                <w:p w14:paraId="6F9EC13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0.001</w:t>
                  </w:r>
                </w:p>
              </w:tc>
              <w:tc>
                <w:tcPr>
                  <w:tcW w:w="0" w:type="auto"/>
                  <w:tcBorders>
                    <w:tl2br w:val="nil"/>
                    <w:tr2bl w:val="nil"/>
                  </w:tcBorders>
                  <w:noWrap w:val="0"/>
                  <w:vAlign w:val="center"/>
                </w:tcPr>
                <w:p w14:paraId="239E9FA0">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印刷</w:t>
                  </w:r>
                </w:p>
              </w:tc>
              <w:tc>
                <w:tcPr>
                  <w:tcW w:w="0" w:type="auto"/>
                  <w:tcBorders>
                    <w:tl2br w:val="nil"/>
                    <w:tr2bl w:val="nil"/>
                  </w:tcBorders>
                  <w:noWrap w:val="0"/>
                  <w:vAlign w:val="center"/>
                </w:tcPr>
                <w:p w14:paraId="32BB415B">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固态</w:t>
                  </w:r>
                </w:p>
              </w:tc>
              <w:tc>
                <w:tcPr>
                  <w:tcW w:w="0" w:type="auto"/>
                  <w:tcBorders>
                    <w:tl2br w:val="nil"/>
                    <w:tr2bl w:val="nil"/>
                  </w:tcBorders>
                  <w:noWrap w:val="0"/>
                  <w:vAlign w:val="center"/>
                </w:tcPr>
                <w:p w14:paraId="39CADF44">
                  <w:pPr>
                    <w:keepNext w:val="0"/>
                    <w:keepLines w:val="0"/>
                    <w:suppressLineNumbers w:val="0"/>
                    <w:tabs>
                      <w:tab w:val="left" w:pos="1081"/>
                    </w:tabs>
                    <w:spacing w:before="0" w:beforeAutospacing="0" w:after="0" w:afterAutospacing="0"/>
                    <w:ind w:left="0" w:leftChars="0" w:right="0" w:right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水性油墨</w:t>
                  </w:r>
                </w:p>
              </w:tc>
              <w:tc>
                <w:tcPr>
                  <w:tcW w:w="0" w:type="auto"/>
                  <w:tcBorders>
                    <w:tl2br w:val="nil"/>
                    <w:tr2bl w:val="nil"/>
                  </w:tcBorders>
                  <w:noWrap w:val="0"/>
                  <w:vAlign w:val="center"/>
                </w:tcPr>
                <w:p w14:paraId="65530CE5">
                  <w:pPr>
                    <w:keepNext w:val="0"/>
                    <w:keepLines w:val="0"/>
                    <w:suppressLineNumbers w:val="0"/>
                    <w:tabs>
                      <w:tab w:val="left" w:pos="1081"/>
                    </w:tabs>
                    <w:spacing w:before="0" w:beforeAutospacing="0" w:after="0" w:afterAutospacing="0"/>
                    <w:ind w:left="0" w:leftChars="0" w:right="0" w:rightChars="0"/>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水性油墨</w:t>
                  </w:r>
                </w:p>
              </w:tc>
              <w:tc>
                <w:tcPr>
                  <w:tcW w:w="743" w:type="dxa"/>
                  <w:tcBorders>
                    <w:tl2br w:val="nil"/>
                    <w:tr2bl w:val="nil"/>
                  </w:tcBorders>
                  <w:noWrap w:val="0"/>
                  <w:vAlign w:val="center"/>
                </w:tcPr>
                <w:p w14:paraId="31FED836">
                  <w:pPr>
                    <w:keepNext w:val="0"/>
                    <w:keepLines w:val="0"/>
                    <w:suppressLineNumbers w:val="0"/>
                    <w:spacing w:before="0" w:beforeAutospacing="0" w:after="0" w:afterAutospacing="0"/>
                    <w:ind w:left="0" w:leftChars="0" w:right="0" w:rightChars="0"/>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3个月</w:t>
                  </w:r>
                </w:p>
              </w:tc>
              <w:tc>
                <w:tcPr>
                  <w:tcW w:w="525" w:type="dxa"/>
                  <w:tcBorders>
                    <w:tl2br w:val="nil"/>
                    <w:tr2bl w:val="nil"/>
                  </w:tcBorders>
                  <w:noWrap w:val="0"/>
                  <w:vAlign w:val="center"/>
                </w:tcPr>
                <w:p w14:paraId="7F38864B">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T</w:t>
                  </w:r>
                </w:p>
              </w:tc>
              <w:tc>
                <w:tcPr>
                  <w:tcW w:w="879" w:type="dxa"/>
                  <w:vMerge w:val="continue"/>
                  <w:tcBorders>
                    <w:tl2br w:val="nil"/>
                    <w:tr2bl w:val="nil"/>
                  </w:tcBorders>
                  <w:noWrap w:val="0"/>
                  <w:vAlign w:val="center"/>
                </w:tcPr>
                <w:p w14:paraId="105C5D43">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14:paraId="1ED2C170">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0" w:type="auto"/>
                  <w:tcBorders>
                    <w:tl2br w:val="nil"/>
                    <w:tr2bl w:val="nil"/>
                  </w:tcBorders>
                  <w:noWrap w:val="0"/>
                  <w:vAlign w:val="center"/>
                </w:tcPr>
                <w:p w14:paraId="26122D13">
                  <w:pPr>
                    <w:keepNext w:val="0"/>
                    <w:keepLines w:val="0"/>
                    <w:widowControl/>
                    <w:suppressLineNumbers w:val="0"/>
                    <w:spacing w:before="0" w:beforeAutospacing="0" w:after="0" w:afterAutospacing="0"/>
                    <w:ind w:left="0" w:leftChars="0" w:right="0" w:rightChars="0"/>
                    <w:jc w:val="center"/>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6</w:t>
                  </w:r>
                </w:p>
              </w:tc>
              <w:tc>
                <w:tcPr>
                  <w:tcW w:w="0" w:type="auto"/>
                  <w:tcBorders>
                    <w:tl2br w:val="nil"/>
                    <w:tr2bl w:val="nil"/>
                  </w:tcBorders>
                  <w:noWrap w:val="0"/>
                  <w:vAlign w:val="center"/>
                </w:tcPr>
                <w:p w14:paraId="4A9FB4C4">
                  <w:pPr>
                    <w:keepNext w:val="0"/>
                    <w:keepLines w:val="0"/>
                    <w:suppressLineNumbers w:val="0"/>
                    <w:tabs>
                      <w:tab w:val="left" w:pos="1081"/>
                    </w:tabs>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冷却废水</w:t>
                  </w:r>
                </w:p>
              </w:tc>
              <w:tc>
                <w:tcPr>
                  <w:tcW w:w="1294" w:type="dxa"/>
                  <w:tcBorders>
                    <w:tl2br w:val="nil"/>
                    <w:tr2bl w:val="nil"/>
                  </w:tcBorders>
                  <w:noWrap w:val="0"/>
                  <w:vAlign w:val="center"/>
                </w:tcPr>
                <w:p w14:paraId="289474EB">
                  <w:pPr>
                    <w:keepNext w:val="0"/>
                    <w:keepLines w:val="0"/>
                    <w:suppressLineNumbers w:val="0"/>
                    <w:spacing w:before="0" w:beforeAutospacing="0" w:after="0" w:afterAutospacing="0"/>
                    <w:ind w:left="0" w:leftChars="0" w:right="0" w:rightChars="0"/>
                    <w:jc w:val="center"/>
                    <w:rPr>
                      <w:rFonts w:hint="default"/>
                      <w:bCs/>
                      <w:color w:val="auto"/>
                      <w:sz w:val="21"/>
                      <w:szCs w:val="21"/>
                      <w:highlight w:val="none"/>
                    </w:rPr>
                  </w:pPr>
                  <w:r>
                    <w:rPr>
                      <w:rFonts w:hint="default" w:ascii="Times New Roman" w:hAnsi="Times New Roman" w:cs="Times New Roman"/>
                      <w:color w:val="auto"/>
                      <w:szCs w:val="21"/>
                      <w:highlight w:val="none"/>
                    </w:rPr>
                    <w:t>HW</w:t>
                  </w:r>
                  <w:r>
                    <w:rPr>
                      <w:rFonts w:hint="eastAsia" w:cs="Times New Roman"/>
                      <w:color w:val="auto"/>
                      <w:szCs w:val="21"/>
                      <w:highlight w:val="none"/>
                      <w:lang w:val="en-US" w:eastAsia="zh-CN"/>
                    </w:rPr>
                    <w:t>09油/水、烃/水混合物或者乳化液</w:t>
                  </w:r>
                </w:p>
              </w:tc>
              <w:tc>
                <w:tcPr>
                  <w:tcW w:w="1119" w:type="dxa"/>
                  <w:tcBorders>
                    <w:tl2br w:val="nil"/>
                    <w:tr2bl w:val="nil"/>
                  </w:tcBorders>
                  <w:noWrap w:val="0"/>
                  <w:vAlign w:val="center"/>
                </w:tcPr>
                <w:p w14:paraId="3109E8D4">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Cs w:val="21"/>
                      <w:highlight w:val="none"/>
                    </w:rPr>
                    <w:t>900-</w:t>
                  </w:r>
                  <w:r>
                    <w:rPr>
                      <w:rFonts w:hint="eastAsia" w:cs="Times New Roman"/>
                      <w:color w:val="auto"/>
                      <w:szCs w:val="21"/>
                      <w:highlight w:val="none"/>
                      <w:lang w:val="en-US" w:eastAsia="zh-CN"/>
                    </w:rPr>
                    <w:t>041</w:t>
                  </w:r>
                  <w:r>
                    <w:rPr>
                      <w:rFonts w:hint="default" w:ascii="Times New Roman" w:hAnsi="Times New Roman" w:cs="Times New Roman"/>
                      <w:color w:val="auto"/>
                      <w:szCs w:val="21"/>
                      <w:highlight w:val="none"/>
                    </w:rPr>
                    <w:t>-</w:t>
                  </w:r>
                  <w:r>
                    <w:rPr>
                      <w:rFonts w:hint="eastAsia" w:cs="Times New Roman"/>
                      <w:color w:val="auto"/>
                      <w:szCs w:val="21"/>
                      <w:highlight w:val="none"/>
                      <w:lang w:val="en-US" w:eastAsia="zh-CN"/>
                    </w:rPr>
                    <w:t>49</w:t>
                  </w:r>
                </w:p>
              </w:tc>
              <w:tc>
                <w:tcPr>
                  <w:tcW w:w="0" w:type="auto"/>
                  <w:tcBorders>
                    <w:tl2br w:val="nil"/>
                    <w:tr2bl w:val="nil"/>
                  </w:tcBorders>
                  <w:noWrap w:val="0"/>
                  <w:vAlign w:val="center"/>
                </w:tcPr>
                <w:p w14:paraId="746AEE7D">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w:t>
                  </w:r>
                </w:p>
              </w:tc>
              <w:tc>
                <w:tcPr>
                  <w:tcW w:w="0" w:type="auto"/>
                  <w:tcBorders>
                    <w:tl2br w:val="nil"/>
                    <w:tr2bl w:val="nil"/>
                  </w:tcBorders>
                  <w:noWrap w:val="0"/>
                  <w:vAlign w:val="center"/>
                </w:tcPr>
                <w:p w14:paraId="6F074736">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吸塑冷却</w:t>
                  </w:r>
                </w:p>
              </w:tc>
              <w:tc>
                <w:tcPr>
                  <w:tcW w:w="332" w:type="dxa"/>
                  <w:tcBorders>
                    <w:tl2br w:val="nil"/>
                    <w:tr2bl w:val="nil"/>
                  </w:tcBorders>
                  <w:noWrap w:val="0"/>
                  <w:vAlign w:val="center"/>
                </w:tcPr>
                <w:p w14:paraId="509EB403">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eastAsia" w:cs="Times New Roman"/>
                      <w:color w:val="auto"/>
                      <w:sz w:val="21"/>
                      <w:szCs w:val="21"/>
                      <w:highlight w:val="none"/>
                      <w:lang w:val="en-US" w:eastAsia="zh-CN"/>
                    </w:rPr>
                    <w:t>液态</w:t>
                  </w:r>
                </w:p>
              </w:tc>
              <w:tc>
                <w:tcPr>
                  <w:tcW w:w="555" w:type="dxa"/>
                  <w:tcBorders>
                    <w:tl2br w:val="nil"/>
                    <w:tr2bl w:val="nil"/>
                  </w:tcBorders>
                  <w:noWrap w:val="0"/>
                  <w:vAlign w:val="center"/>
                </w:tcPr>
                <w:p w14:paraId="12403610">
                  <w:pPr>
                    <w:keepNext w:val="0"/>
                    <w:keepLines w:val="0"/>
                    <w:suppressLineNumbers w:val="0"/>
                    <w:tabs>
                      <w:tab w:val="left" w:pos="1081"/>
                    </w:tabs>
                    <w:spacing w:before="0" w:beforeAutospacing="0" w:after="0" w:afterAutospacing="0"/>
                    <w:ind w:left="0" w:leftChars="0" w:right="0" w:rightChars="0"/>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555" w:type="dxa"/>
                  <w:tcBorders>
                    <w:tl2br w:val="nil"/>
                    <w:tr2bl w:val="nil"/>
                  </w:tcBorders>
                  <w:noWrap w:val="0"/>
                  <w:vAlign w:val="center"/>
                </w:tcPr>
                <w:p w14:paraId="17555FDA">
                  <w:pPr>
                    <w:keepNext w:val="0"/>
                    <w:keepLines w:val="0"/>
                    <w:suppressLineNumbers w:val="0"/>
                    <w:tabs>
                      <w:tab w:val="left" w:pos="1081"/>
                    </w:tabs>
                    <w:spacing w:before="0" w:beforeAutospacing="0" w:after="0" w:afterAutospacing="0"/>
                    <w:ind w:left="0" w:leftChars="0" w:right="0" w:rightChars="0"/>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743" w:type="dxa"/>
                  <w:tcBorders>
                    <w:tl2br w:val="nil"/>
                    <w:tr2bl w:val="nil"/>
                  </w:tcBorders>
                  <w:noWrap w:val="0"/>
                  <w:vAlign w:val="center"/>
                </w:tcPr>
                <w:p w14:paraId="2B05225F">
                  <w:pPr>
                    <w:keepNext w:val="0"/>
                    <w:keepLines w:val="0"/>
                    <w:suppressLineNumbers w:val="0"/>
                    <w:spacing w:before="0" w:beforeAutospacing="0" w:after="0" w:afterAutospacing="0"/>
                    <w:ind w:left="0" w:leftChars="0" w:right="0" w:rightChars="0"/>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3个月</w:t>
                  </w:r>
                </w:p>
              </w:tc>
              <w:tc>
                <w:tcPr>
                  <w:tcW w:w="525" w:type="dxa"/>
                  <w:tcBorders>
                    <w:tl2br w:val="nil"/>
                    <w:tr2bl w:val="nil"/>
                  </w:tcBorders>
                  <w:noWrap w:val="0"/>
                  <w:vAlign w:val="center"/>
                </w:tcPr>
                <w:p w14:paraId="3F9054E6">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T</w:t>
                  </w:r>
                </w:p>
              </w:tc>
              <w:tc>
                <w:tcPr>
                  <w:tcW w:w="879" w:type="dxa"/>
                  <w:vMerge w:val="continue"/>
                  <w:tcBorders>
                    <w:tl2br w:val="nil"/>
                    <w:tr2bl w:val="nil"/>
                  </w:tcBorders>
                  <w:noWrap w:val="0"/>
                  <w:vAlign w:val="center"/>
                </w:tcPr>
                <w:p w14:paraId="57A6087D">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14:paraId="7B46D39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0" w:type="auto"/>
                  <w:tcBorders>
                    <w:tl2br w:val="nil"/>
                    <w:tr2bl w:val="nil"/>
                  </w:tcBorders>
                  <w:noWrap w:val="0"/>
                  <w:vAlign w:val="center"/>
                </w:tcPr>
                <w:p w14:paraId="1761BBCE">
                  <w:pPr>
                    <w:keepNext w:val="0"/>
                    <w:keepLines w:val="0"/>
                    <w:widowControl/>
                    <w:suppressLineNumbers w:val="0"/>
                    <w:spacing w:before="0" w:beforeAutospacing="0" w:after="0" w:afterAutospacing="0"/>
                    <w:ind w:left="0" w:leftChars="0" w:right="0" w:rightChars="0"/>
                    <w:jc w:val="center"/>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7</w:t>
                  </w:r>
                </w:p>
              </w:tc>
              <w:tc>
                <w:tcPr>
                  <w:tcW w:w="0" w:type="auto"/>
                  <w:tcBorders>
                    <w:tl2br w:val="nil"/>
                    <w:tr2bl w:val="nil"/>
                  </w:tcBorders>
                  <w:noWrap w:val="0"/>
                  <w:vAlign w:val="center"/>
                </w:tcPr>
                <w:p w14:paraId="2ACBDFF0">
                  <w:pPr>
                    <w:keepNext w:val="0"/>
                    <w:keepLines w:val="0"/>
                    <w:suppressLineNumbers w:val="0"/>
                    <w:tabs>
                      <w:tab w:val="left" w:pos="1081"/>
                    </w:tabs>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清洗废水</w:t>
                  </w:r>
                </w:p>
              </w:tc>
              <w:tc>
                <w:tcPr>
                  <w:tcW w:w="1294" w:type="dxa"/>
                  <w:tcBorders>
                    <w:tl2br w:val="nil"/>
                    <w:tr2bl w:val="nil"/>
                  </w:tcBorders>
                  <w:noWrap w:val="0"/>
                  <w:vAlign w:val="center"/>
                </w:tcPr>
                <w:p w14:paraId="191A0453">
                  <w:pPr>
                    <w:keepNext w:val="0"/>
                    <w:keepLines w:val="0"/>
                    <w:suppressLineNumbers w:val="0"/>
                    <w:spacing w:before="0" w:beforeAutospacing="0" w:after="0" w:afterAutospacing="0"/>
                    <w:ind w:left="0" w:leftChars="0" w:right="0" w:rightChars="0"/>
                    <w:jc w:val="center"/>
                    <w:rPr>
                      <w:rFonts w:hint="default"/>
                      <w:bCs/>
                      <w:color w:val="auto"/>
                      <w:sz w:val="21"/>
                      <w:szCs w:val="21"/>
                      <w:highlight w:val="none"/>
                    </w:rPr>
                  </w:pPr>
                  <w:r>
                    <w:rPr>
                      <w:rFonts w:hint="default" w:ascii="Times New Roman" w:hAnsi="Times New Roman" w:cs="Times New Roman"/>
                      <w:color w:val="auto"/>
                      <w:szCs w:val="21"/>
                      <w:highlight w:val="none"/>
                    </w:rPr>
                    <w:t>HW</w:t>
                  </w:r>
                  <w:r>
                    <w:rPr>
                      <w:rFonts w:hint="eastAsia" w:cs="Times New Roman"/>
                      <w:color w:val="auto"/>
                      <w:szCs w:val="21"/>
                      <w:highlight w:val="none"/>
                      <w:lang w:val="en-US" w:eastAsia="zh-CN"/>
                    </w:rPr>
                    <w:t>09油/水、烃/水混合物或者乳化液</w:t>
                  </w:r>
                </w:p>
              </w:tc>
              <w:tc>
                <w:tcPr>
                  <w:tcW w:w="1119" w:type="dxa"/>
                  <w:tcBorders>
                    <w:tl2br w:val="nil"/>
                    <w:tr2bl w:val="nil"/>
                  </w:tcBorders>
                  <w:noWrap w:val="0"/>
                  <w:vAlign w:val="center"/>
                </w:tcPr>
                <w:p w14:paraId="2D3993A8">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Cs w:val="21"/>
                      <w:highlight w:val="none"/>
                    </w:rPr>
                    <w:t>900-</w:t>
                  </w:r>
                  <w:r>
                    <w:rPr>
                      <w:rFonts w:hint="eastAsia" w:cs="Times New Roman"/>
                      <w:color w:val="auto"/>
                      <w:szCs w:val="21"/>
                      <w:highlight w:val="none"/>
                      <w:lang w:val="en-US" w:eastAsia="zh-CN"/>
                    </w:rPr>
                    <w:t>041</w:t>
                  </w:r>
                  <w:r>
                    <w:rPr>
                      <w:rFonts w:hint="default" w:ascii="Times New Roman" w:hAnsi="Times New Roman" w:cs="Times New Roman"/>
                      <w:color w:val="auto"/>
                      <w:szCs w:val="21"/>
                      <w:highlight w:val="none"/>
                    </w:rPr>
                    <w:t>-</w:t>
                  </w:r>
                  <w:r>
                    <w:rPr>
                      <w:rFonts w:hint="eastAsia" w:cs="Times New Roman"/>
                      <w:color w:val="auto"/>
                      <w:szCs w:val="21"/>
                      <w:highlight w:val="none"/>
                      <w:lang w:val="en-US" w:eastAsia="zh-CN"/>
                    </w:rPr>
                    <w:t>49</w:t>
                  </w:r>
                </w:p>
              </w:tc>
              <w:tc>
                <w:tcPr>
                  <w:tcW w:w="0" w:type="auto"/>
                  <w:tcBorders>
                    <w:tl2br w:val="nil"/>
                    <w:tr2bl w:val="nil"/>
                  </w:tcBorders>
                  <w:noWrap w:val="0"/>
                  <w:vAlign w:val="center"/>
                </w:tcPr>
                <w:p w14:paraId="137F89F2">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16.2</w:t>
                  </w:r>
                </w:p>
              </w:tc>
              <w:tc>
                <w:tcPr>
                  <w:tcW w:w="0" w:type="auto"/>
                  <w:tcBorders>
                    <w:tl2br w:val="nil"/>
                    <w:tr2bl w:val="nil"/>
                  </w:tcBorders>
                  <w:noWrap w:val="0"/>
                  <w:vAlign w:val="center"/>
                </w:tcPr>
                <w:p w14:paraId="1935B1C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印刷设备清洗</w:t>
                  </w:r>
                </w:p>
              </w:tc>
              <w:tc>
                <w:tcPr>
                  <w:tcW w:w="332" w:type="dxa"/>
                  <w:tcBorders>
                    <w:tl2br w:val="nil"/>
                    <w:tr2bl w:val="nil"/>
                  </w:tcBorders>
                  <w:noWrap w:val="0"/>
                  <w:vAlign w:val="center"/>
                </w:tcPr>
                <w:p w14:paraId="696AEE14">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eastAsia" w:cs="Times New Roman"/>
                      <w:color w:val="auto"/>
                      <w:sz w:val="21"/>
                      <w:szCs w:val="21"/>
                      <w:highlight w:val="none"/>
                      <w:lang w:val="en-US" w:eastAsia="zh-CN"/>
                    </w:rPr>
                    <w:t>液态</w:t>
                  </w:r>
                </w:p>
              </w:tc>
              <w:tc>
                <w:tcPr>
                  <w:tcW w:w="555" w:type="dxa"/>
                  <w:tcBorders>
                    <w:tl2br w:val="nil"/>
                    <w:tr2bl w:val="nil"/>
                  </w:tcBorders>
                  <w:noWrap w:val="0"/>
                  <w:vAlign w:val="center"/>
                </w:tcPr>
                <w:p w14:paraId="3EAF930E">
                  <w:pPr>
                    <w:keepNext w:val="0"/>
                    <w:keepLines w:val="0"/>
                    <w:suppressLineNumbers w:val="0"/>
                    <w:tabs>
                      <w:tab w:val="left" w:pos="1081"/>
                    </w:tabs>
                    <w:spacing w:before="0" w:beforeAutospacing="0" w:after="0" w:afterAutospacing="0"/>
                    <w:ind w:left="0" w:leftChars="0" w:right="0" w:rightChars="0"/>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水性油墨</w:t>
                  </w:r>
                </w:p>
              </w:tc>
              <w:tc>
                <w:tcPr>
                  <w:tcW w:w="555" w:type="dxa"/>
                  <w:tcBorders>
                    <w:tl2br w:val="nil"/>
                    <w:tr2bl w:val="nil"/>
                  </w:tcBorders>
                  <w:noWrap w:val="0"/>
                  <w:vAlign w:val="center"/>
                </w:tcPr>
                <w:p w14:paraId="00C7E7BA">
                  <w:pPr>
                    <w:keepNext w:val="0"/>
                    <w:keepLines w:val="0"/>
                    <w:suppressLineNumbers w:val="0"/>
                    <w:tabs>
                      <w:tab w:val="left" w:pos="1081"/>
                    </w:tabs>
                    <w:spacing w:before="0" w:beforeAutospacing="0" w:after="0" w:afterAutospacing="0"/>
                    <w:ind w:left="0" w:leftChars="0" w:right="0" w:rightChars="0"/>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水性油墨</w:t>
                  </w:r>
                </w:p>
              </w:tc>
              <w:tc>
                <w:tcPr>
                  <w:tcW w:w="743" w:type="dxa"/>
                  <w:tcBorders>
                    <w:tl2br w:val="nil"/>
                    <w:tr2bl w:val="nil"/>
                  </w:tcBorders>
                  <w:noWrap w:val="0"/>
                  <w:vAlign w:val="center"/>
                </w:tcPr>
                <w:p w14:paraId="45C3D3F2">
                  <w:pPr>
                    <w:keepNext w:val="0"/>
                    <w:keepLines w:val="0"/>
                    <w:suppressLineNumbers w:val="0"/>
                    <w:spacing w:before="0" w:beforeAutospacing="0" w:after="0" w:afterAutospacing="0"/>
                    <w:ind w:left="0" w:leftChars="0" w:right="0" w:rightChars="0"/>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3个月</w:t>
                  </w:r>
                </w:p>
              </w:tc>
              <w:tc>
                <w:tcPr>
                  <w:tcW w:w="525" w:type="dxa"/>
                  <w:tcBorders>
                    <w:tl2br w:val="nil"/>
                    <w:tr2bl w:val="nil"/>
                  </w:tcBorders>
                  <w:noWrap w:val="0"/>
                  <w:vAlign w:val="center"/>
                </w:tcPr>
                <w:p w14:paraId="49D5871B">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T</w:t>
                  </w:r>
                </w:p>
              </w:tc>
              <w:tc>
                <w:tcPr>
                  <w:tcW w:w="879" w:type="dxa"/>
                  <w:vMerge w:val="continue"/>
                  <w:tcBorders>
                    <w:tl2br w:val="nil"/>
                    <w:tr2bl w:val="nil"/>
                  </w:tcBorders>
                  <w:noWrap w:val="0"/>
                  <w:vAlign w:val="center"/>
                </w:tcPr>
                <w:p w14:paraId="698C9A15">
                  <w:pPr>
                    <w:keepNext w:val="0"/>
                    <w:keepLines w:val="0"/>
                    <w:widowControl/>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r>
            <w:tr w14:paraId="7D92752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0" w:type="auto"/>
                  <w:gridSpan w:val="12"/>
                  <w:tcBorders>
                    <w:tl2br w:val="nil"/>
                    <w:tr2bl w:val="nil"/>
                  </w:tcBorders>
                  <w:noWrap w:val="0"/>
                  <w:vAlign w:val="center"/>
                </w:tcPr>
                <w:p w14:paraId="6D596740">
                  <w:pPr>
                    <w:keepNext w:val="0"/>
                    <w:keepLines w:val="0"/>
                    <w:suppressLineNumbers w:val="0"/>
                    <w:spacing w:before="0" w:beforeAutospacing="0" w:after="0" w:afterAutospacing="0"/>
                    <w:ind w:left="0" w:right="0"/>
                    <w:jc w:val="both"/>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注：T：毒性；I：易燃性；In：感染性；R：反应性</w:t>
                  </w:r>
                </w:p>
              </w:tc>
            </w:tr>
          </w:tbl>
          <w:p w14:paraId="2A008947">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382" w:firstLineChars="200"/>
              <w:textAlignment w:val="auto"/>
              <w:rPr>
                <w:rFonts w:hint="default" w:ascii="Times New Roman" w:hAnsi="Times New Roman" w:eastAsia="宋体" w:cs="Times New Roman"/>
                <w:b/>
                <w:bCs/>
                <w:color w:val="auto"/>
                <w:spacing w:val="-10"/>
                <w:szCs w:val="21"/>
                <w:highlight w:val="none"/>
                <w:lang w:val="en-US" w:eastAsia="zh-CN"/>
              </w:rPr>
            </w:pPr>
            <w:r>
              <w:rPr>
                <w:rFonts w:hint="eastAsia" w:cs="Times New Roman"/>
                <w:b/>
                <w:bCs/>
                <w:color w:val="auto"/>
                <w:spacing w:val="-10"/>
                <w:szCs w:val="21"/>
                <w:highlight w:val="none"/>
                <w:lang w:val="en-US" w:eastAsia="zh-CN"/>
              </w:rPr>
              <w:t>4.2处置去向及环境管理要求</w:t>
            </w:r>
          </w:p>
          <w:p w14:paraId="48A61F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382" w:firstLineChars="200"/>
              <w:textAlignment w:val="auto"/>
              <w:rPr>
                <w:rFonts w:hint="default" w:ascii="Times New Roman" w:hAnsi="Times New Roman" w:cs="Times New Roman"/>
                <w:b/>
                <w:bCs/>
                <w:color w:val="auto"/>
                <w:spacing w:val="-10"/>
                <w:szCs w:val="21"/>
                <w:highlight w:val="none"/>
              </w:rPr>
            </w:pPr>
            <w:r>
              <w:rPr>
                <w:rFonts w:hint="default" w:ascii="Times New Roman" w:hAnsi="Times New Roman" w:cs="Times New Roman"/>
                <w:b/>
                <w:bCs/>
                <w:color w:val="auto"/>
                <w:spacing w:val="-10"/>
                <w:szCs w:val="21"/>
                <w:highlight w:val="none"/>
              </w:rPr>
              <w:t>4.2.1生活垃圾</w:t>
            </w:r>
          </w:p>
          <w:p w14:paraId="10EB397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380" w:firstLineChars="200"/>
              <w:textAlignment w:val="auto"/>
              <w:rPr>
                <w:rFonts w:hint="default" w:ascii="Times New Roman" w:hAnsi="Times New Roman" w:cs="Times New Roman"/>
                <w:b w:val="0"/>
                <w:bCs w:val="0"/>
                <w:color w:val="auto"/>
                <w:spacing w:val="-10"/>
                <w:szCs w:val="21"/>
                <w:highlight w:val="none"/>
              </w:rPr>
            </w:pPr>
            <w:r>
              <w:rPr>
                <w:rFonts w:hint="default" w:ascii="Times New Roman" w:hAnsi="Times New Roman" w:cs="Times New Roman"/>
                <w:b w:val="0"/>
                <w:bCs w:val="0"/>
                <w:color w:val="auto"/>
                <w:spacing w:val="-10"/>
                <w:szCs w:val="21"/>
                <w:highlight w:val="none"/>
              </w:rPr>
              <w:t>生活垃圾统一收集，交由环卫部门统一处理。</w:t>
            </w:r>
          </w:p>
          <w:p w14:paraId="2CE9C7B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382" w:firstLineChars="200"/>
              <w:textAlignment w:val="auto"/>
              <w:rPr>
                <w:rFonts w:hint="default" w:ascii="Times New Roman" w:hAnsi="Times New Roman" w:cs="Times New Roman"/>
                <w:b/>
                <w:bCs/>
                <w:color w:val="auto"/>
                <w:spacing w:val="-10"/>
                <w:szCs w:val="21"/>
                <w:highlight w:val="none"/>
              </w:rPr>
            </w:pPr>
            <w:r>
              <w:rPr>
                <w:rFonts w:hint="default" w:ascii="Times New Roman" w:hAnsi="Times New Roman" w:cs="Times New Roman"/>
                <w:b/>
                <w:bCs/>
                <w:color w:val="auto"/>
                <w:spacing w:val="-10"/>
                <w:szCs w:val="21"/>
                <w:highlight w:val="none"/>
              </w:rPr>
              <w:t>4.2.2一般固体废物</w:t>
            </w:r>
          </w:p>
          <w:p w14:paraId="1122A6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380" w:firstLineChars="200"/>
              <w:textAlignment w:val="auto"/>
              <w:rPr>
                <w:rFonts w:hint="default" w:ascii="Times New Roman" w:hAnsi="Times New Roman" w:cs="Times New Roman"/>
                <w:b w:val="0"/>
                <w:bCs w:val="0"/>
                <w:color w:val="auto"/>
                <w:spacing w:val="-10"/>
                <w:szCs w:val="21"/>
                <w:highlight w:val="none"/>
              </w:rPr>
            </w:pPr>
            <w:r>
              <w:rPr>
                <w:rFonts w:hint="eastAsia" w:ascii="宋体" w:hAnsi="宋体" w:eastAsia="宋体" w:cs="宋体"/>
                <w:b w:val="0"/>
                <w:bCs w:val="0"/>
                <w:color w:val="auto"/>
                <w:spacing w:val="-10"/>
                <w:szCs w:val="21"/>
                <w:highlight w:val="none"/>
              </w:rPr>
              <w:t>对于一般工业废物，根据《中华人民共和国固体废物污染环境防治法》</w:t>
            </w:r>
            <w:r>
              <w:rPr>
                <w:rFonts w:hint="eastAsia" w:ascii="宋体" w:hAnsi="宋体" w:eastAsia="宋体" w:cs="宋体"/>
                <w:b w:val="0"/>
                <w:bCs w:val="0"/>
                <w:color w:val="auto"/>
                <w:spacing w:val="-10"/>
                <w:szCs w:val="21"/>
                <w:highlight w:val="none"/>
                <w:lang w:eastAsia="zh-CN"/>
              </w:rPr>
              <w:t>（</w:t>
            </w:r>
            <w:r>
              <w:rPr>
                <w:rFonts w:hint="eastAsia" w:ascii="宋体" w:hAnsi="宋体" w:eastAsia="宋体" w:cs="宋体"/>
                <w:b w:val="0"/>
                <w:bCs w:val="0"/>
                <w:color w:val="auto"/>
                <w:spacing w:val="-10"/>
                <w:szCs w:val="21"/>
                <w:highlight w:val="none"/>
              </w:rPr>
              <w:t>2020年修改</w:t>
            </w:r>
            <w:r>
              <w:rPr>
                <w:rFonts w:hint="eastAsia" w:ascii="宋体" w:hAnsi="宋体" w:eastAsia="宋体" w:cs="宋体"/>
                <w:b w:val="0"/>
                <w:bCs w:val="0"/>
                <w:color w:val="auto"/>
                <w:spacing w:val="-10"/>
                <w:szCs w:val="21"/>
                <w:highlight w:val="none"/>
                <w:lang w:eastAsia="zh-CN"/>
              </w:rPr>
              <w:t>）</w:t>
            </w:r>
            <w:r>
              <w:rPr>
                <w:rFonts w:hint="eastAsia" w:ascii="宋体" w:hAnsi="宋体" w:eastAsia="宋体" w:cs="宋体"/>
                <w:b w:val="0"/>
                <w:bCs w:val="0"/>
                <w:color w:val="auto"/>
                <w:spacing w:val="-10"/>
                <w:szCs w:val="21"/>
                <w:highlight w:val="none"/>
              </w:rPr>
              <w:t>、《广东省固体废物污染环境防治条例》</w:t>
            </w:r>
            <w:r>
              <w:rPr>
                <w:rFonts w:hint="eastAsia" w:cs="Times New Roman"/>
                <w:b w:val="0"/>
                <w:bCs w:val="0"/>
                <w:color w:val="auto"/>
                <w:spacing w:val="-10"/>
                <w:szCs w:val="21"/>
                <w:highlight w:val="none"/>
                <w:lang w:eastAsia="zh-CN"/>
              </w:rPr>
              <w:t>（</w:t>
            </w:r>
            <w:r>
              <w:rPr>
                <w:rFonts w:hint="default" w:ascii="Times New Roman" w:hAnsi="Times New Roman" w:cs="Times New Roman"/>
                <w:b w:val="0"/>
                <w:bCs w:val="0"/>
                <w:color w:val="auto"/>
                <w:spacing w:val="-10"/>
                <w:szCs w:val="21"/>
                <w:highlight w:val="none"/>
              </w:rPr>
              <w:t>2022年修订</w:t>
            </w:r>
            <w:r>
              <w:rPr>
                <w:rFonts w:hint="eastAsia" w:cs="Times New Roman"/>
                <w:b w:val="0"/>
                <w:bCs w:val="0"/>
                <w:color w:val="auto"/>
                <w:spacing w:val="-10"/>
                <w:szCs w:val="21"/>
                <w:highlight w:val="none"/>
                <w:lang w:eastAsia="zh-CN"/>
              </w:rPr>
              <w:t>）</w:t>
            </w:r>
            <w:r>
              <w:rPr>
                <w:rFonts w:hint="default" w:ascii="Times New Roman" w:hAnsi="Times New Roman" w:cs="Times New Roman"/>
                <w:b w:val="0"/>
                <w:bCs w:val="0"/>
                <w:color w:val="auto"/>
                <w:spacing w:val="-10"/>
                <w:szCs w:val="21"/>
                <w:highlight w:val="none"/>
              </w:rPr>
              <w:t>，提出如下环保措施：</w:t>
            </w:r>
          </w:p>
          <w:p w14:paraId="54E2E5F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380" w:firstLineChars="200"/>
              <w:textAlignment w:val="auto"/>
              <w:rPr>
                <w:rFonts w:hint="default" w:ascii="Times New Roman" w:hAnsi="Times New Roman" w:cs="Times New Roman"/>
                <w:b w:val="0"/>
                <w:bCs w:val="0"/>
                <w:color w:val="auto"/>
                <w:spacing w:val="-10"/>
                <w:szCs w:val="21"/>
                <w:highlight w:val="none"/>
              </w:rPr>
            </w:pPr>
            <w:r>
              <w:rPr>
                <w:rFonts w:hint="default" w:ascii="Times New Roman" w:hAnsi="Times New Roman" w:cs="Times New Roman"/>
                <w:b w:val="0"/>
                <w:bCs w:val="0"/>
                <w:color w:val="auto"/>
                <w:spacing w:val="-10"/>
                <w:szCs w:val="21"/>
                <w:highlight w:val="none"/>
              </w:rPr>
              <w:t>1</w:t>
            </w:r>
            <w:r>
              <w:rPr>
                <w:rFonts w:hint="eastAsia" w:cs="Times New Roman"/>
                <w:b w:val="0"/>
                <w:bCs w:val="0"/>
                <w:color w:val="auto"/>
                <w:spacing w:val="-10"/>
                <w:szCs w:val="21"/>
                <w:highlight w:val="none"/>
                <w:lang w:eastAsia="zh-CN"/>
              </w:rPr>
              <w:t>）</w:t>
            </w:r>
            <w:r>
              <w:rPr>
                <w:rFonts w:hint="default" w:ascii="Times New Roman" w:hAnsi="Times New Roman" w:cs="Times New Roman"/>
                <w:b w:val="0"/>
                <w:bCs w:val="0"/>
                <w:color w:val="auto"/>
                <w:spacing w:val="-10"/>
                <w:szCs w:val="21"/>
                <w:highlight w:val="none"/>
              </w:rPr>
              <w:t>收集、贮存、运输、利用、处置固体废物的单位和其他生产经营者，应当加强对相关设施、设备和场所的管理和维护，保证其正常运行和使用。</w:t>
            </w:r>
          </w:p>
          <w:p w14:paraId="636DBFE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380" w:firstLineChars="200"/>
              <w:textAlignment w:val="auto"/>
              <w:rPr>
                <w:rFonts w:hint="default" w:ascii="Times New Roman" w:hAnsi="Times New Roman" w:cs="Times New Roman"/>
                <w:b w:val="0"/>
                <w:bCs w:val="0"/>
                <w:color w:val="auto"/>
                <w:spacing w:val="-10"/>
                <w:szCs w:val="21"/>
                <w:highlight w:val="none"/>
              </w:rPr>
            </w:pPr>
            <w:r>
              <w:rPr>
                <w:rFonts w:hint="default" w:ascii="Times New Roman" w:hAnsi="Times New Roman" w:cs="Times New Roman"/>
                <w:b w:val="0"/>
                <w:bCs w:val="0"/>
                <w:color w:val="auto"/>
                <w:spacing w:val="-10"/>
                <w:szCs w:val="21"/>
                <w:highlight w:val="none"/>
              </w:rPr>
              <w:t>2</w:t>
            </w:r>
            <w:r>
              <w:rPr>
                <w:rFonts w:hint="eastAsia" w:cs="Times New Roman"/>
                <w:b w:val="0"/>
                <w:bCs w:val="0"/>
                <w:color w:val="auto"/>
                <w:spacing w:val="-10"/>
                <w:szCs w:val="21"/>
                <w:highlight w:val="none"/>
                <w:lang w:eastAsia="zh-CN"/>
              </w:rPr>
              <w:t>）</w:t>
            </w:r>
            <w:r>
              <w:rPr>
                <w:rFonts w:hint="default" w:ascii="Times New Roman" w:hAnsi="Times New Roman" w:cs="Times New Roman"/>
                <w:b w:val="0"/>
                <w:bCs w:val="0"/>
                <w:color w:val="auto"/>
                <w:spacing w:val="-10"/>
                <w:szCs w:val="21"/>
                <w:highlight w:val="none"/>
              </w:rPr>
              <w:t>产生、收集、贮存、运输、利用、处置固体废物的单位和其他生产经营者，应当采取防扬散、防流失、防渗漏或者其他防止污染环境的措施，不得擅自倾倒、堆放、丢弃、遗撒固体废物。</w:t>
            </w:r>
          </w:p>
          <w:p w14:paraId="7227EE1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380" w:firstLineChars="200"/>
              <w:textAlignment w:val="auto"/>
              <w:rPr>
                <w:rFonts w:hint="default" w:ascii="Times New Roman" w:hAnsi="Times New Roman" w:cs="Times New Roman"/>
                <w:b w:val="0"/>
                <w:bCs w:val="0"/>
                <w:color w:val="auto"/>
                <w:spacing w:val="-10"/>
                <w:szCs w:val="21"/>
                <w:highlight w:val="none"/>
              </w:rPr>
            </w:pPr>
            <w:r>
              <w:rPr>
                <w:rFonts w:hint="default" w:ascii="Times New Roman" w:hAnsi="Times New Roman" w:cs="Times New Roman"/>
                <w:b w:val="0"/>
                <w:bCs w:val="0"/>
                <w:color w:val="auto"/>
                <w:spacing w:val="-10"/>
                <w:szCs w:val="21"/>
                <w:highlight w:val="none"/>
              </w:rPr>
              <w:t>3</w:t>
            </w:r>
            <w:r>
              <w:rPr>
                <w:rFonts w:hint="eastAsia" w:cs="Times New Roman"/>
                <w:b w:val="0"/>
                <w:bCs w:val="0"/>
                <w:color w:val="auto"/>
                <w:spacing w:val="-10"/>
                <w:szCs w:val="21"/>
                <w:highlight w:val="none"/>
                <w:lang w:eastAsia="zh-CN"/>
              </w:rPr>
              <w:t>）</w:t>
            </w:r>
            <w:r>
              <w:rPr>
                <w:rFonts w:hint="default" w:ascii="Times New Roman" w:hAnsi="Times New Roman" w:cs="Times New Roman"/>
                <w:b w:val="0"/>
                <w:bCs w:val="0"/>
                <w:color w:val="auto"/>
                <w:spacing w:val="-10"/>
                <w:szCs w:val="21"/>
                <w:highlight w:val="none"/>
              </w:rPr>
              <w:t>产生工业固体废物的单位应当建立健全工业固体废物产生、收集、贮存、运输、利用、处置全过程的污染环境防治责任制度</w:t>
            </w:r>
            <w:r>
              <w:rPr>
                <w:rFonts w:hint="eastAsia" w:cs="Times New Roman"/>
                <w:b w:val="0"/>
                <w:bCs w:val="0"/>
                <w:color w:val="auto"/>
                <w:spacing w:val="-10"/>
                <w:szCs w:val="21"/>
                <w:highlight w:val="none"/>
                <w:lang w:eastAsia="zh-CN"/>
              </w:rPr>
              <w:t>，</w:t>
            </w:r>
            <w:r>
              <w:rPr>
                <w:rFonts w:hint="eastAsia" w:ascii="宋体" w:hAnsi="宋体" w:eastAsia="宋体" w:cs="宋体"/>
                <w:b w:val="0"/>
                <w:bCs w:val="0"/>
                <w:color w:val="auto"/>
                <w:spacing w:val="-10"/>
                <w:szCs w:val="21"/>
                <w:highlight w:val="none"/>
              </w:rPr>
              <w:t>建</w:t>
            </w:r>
            <w:r>
              <w:rPr>
                <w:rFonts w:hint="default" w:ascii="Times New Roman" w:hAnsi="Times New Roman" w:cs="Times New Roman"/>
                <w:b w:val="0"/>
                <w:bCs w:val="0"/>
                <w:color w:val="auto"/>
                <w:spacing w:val="-10"/>
                <w:szCs w:val="21"/>
                <w:highlight w:val="none"/>
              </w:rPr>
              <w:t>立工业固体废物管理台账，如实记录产生工业固体废物的种类、数量、流向、贮存、利用、处置等信息，实现工业固体废物可追溯、可查询，并采取防治工业固体废物污染环境的措施。禁止向生活垃圾收集设施中投放工业固体废物。</w:t>
            </w:r>
          </w:p>
          <w:p w14:paraId="0DA5E3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380" w:firstLineChars="200"/>
              <w:textAlignment w:val="auto"/>
              <w:rPr>
                <w:rFonts w:hint="default" w:ascii="Times New Roman" w:hAnsi="Times New Roman" w:cs="Times New Roman"/>
                <w:b w:val="0"/>
                <w:bCs w:val="0"/>
                <w:color w:val="auto"/>
                <w:spacing w:val="-10"/>
                <w:szCs w:val="21"/>
                <w:highlight w:val="none"/>
              </w:rPr>
            </w:pPr>
            <w:r>
              <w:rPr>
                <w:rFonts w:hint="default" w:ascii="Times New Roman" w:hAnsi="Times New Roman" w:cs="Times New Roman"/>
                <w:b w:val="0"/>
                <w:bCs w:val="0"/>
                <w:color w:val="auto"/>
                <w:spacing w:val="-10"/>
                <w:szCs w:val="21"/>
                <w:highlight w:val="none"/>
              </w:rPr>
              <w:t>4</w:t>
            </w:r>
            <w:r>
              <w:rPr>
                <w:rFonts w:hint="eastAsia" w:cs="Times New Roman"/>
                <w:b w:val="0"/>
                <w:bCs w:val="0"/>
                <w:color w:val="auto"/>
                <w:spacing w:val="-10"/>
                <w:szCs w:val="21"/>
                <w:highlight w:val="none"/>
                <w:lang w:eastAsia="zh-CN"/>
              </w:rPr>
              <w:t>）</w:t>
            </w:r>
            <w:r>
              <w:rPr>
                <w:rFonts w:hint="default" w:ascii="Times New Roman" w:hAnsi="Times New Roman" w:cs="Times New Roman"/>
                <w:b w:val="0"/>
                <w:bCs w:val="0"/>
                <w:color w:val="auto"/>
                <w:spacing w:val="-10"/>
                <w:szCs w:val="21"/>
                <w:highlight w:val="none"/>
              </w:rPr>
              <w:t>产生工业固体废物的单位应当向所在地生态环境主管部门提供工业固体废物的种类、数量、流向、贮存、利用、处置等有关资料，以及减少工业固体废物产生、促进综合利用的具体措施，并执行排污许可管理制度的相关规定。</w:t>
            </w:r>
          </w:p>
          <w:p w14:paraId="169B5094">
            <w:pPr>
              <w:keepNext w:val="0"/>
              <w:keepLines w:val="0"/>
              <w:suppressLineNumbers w:val="0"/>
              <w:adjustRightInd w:val="0"/>
              <w:snapToGrid w:val="0"/>
              <w:spacing w:before="0" w:beforeAutospacing="0" w:after="0" w:afterAutospacing="0" w:line="360" w:lineRule="auto"/>
              <w:ind w:left="0" w:right="0" w:firstLine="422" w:firstLineChars="200"/>
              <w:rPr>
                <w:rFonts w:hint="default" w:ascii="Times New Roman" w:hAnsi="Times New Roman" w:cs="Times New Roman"/>
                <w:b/>
                <w:bCs/>
                <w:color w:val="auto"/>
                <w:kern w:val="0"/>
                <w:szCs w:val="21"/>
                <w:highlight w:val="none"/>
                <w:lang w:val="en-US" w:eastAsia="zh-CN"/>
              </w:rPr>
            </w:pPr>
            <w:r>
              <w:rPr>
                <w:rFonts w:hint="eastAsia" w:ascii="Times New Roman" w:hAnsi="Times New Roman" w:cs="Times New Roman"/>
                <w:b/>
                <w:bCs/>
                <w:color w:val="auto"/>
                <w:kern w:val="0"/>
                <w:szCs w:val="21"/>
                <w:highlight w:val="none"/>
                <w:lang w:val="en-US" w:eastAsia="zh-CN"/>
              </w:rPr>
              <w:t>4.2.3危险废物</w:t>
            </w:r>
          </w:p>
          <w:p w14:paraId="5F3132D1">
            <w:pPr>
              <w:keepNext w:val="0"/>
              <w:keepLines w:val="0"/>
              <w:suppressLineNumbers w:val="0"/>
              <w:adjustRightInd w:val="0"/>
              <w:snapToGrid w:val="0"/>
              <w:spacing w:before="0" w:beforeAutospacing="0" w:after="0" w:afterAutospacing="0" w:line="360" w:lineRule="auto"/>
              <w:ind w:left="0" w:right="0" w:firstLine="420" w:firstLineChars="200"/>
              <w:rPr>
                <w:rFonts w:hint="default" w:ascii="Times New Roman" w:hAnsi="Times New Roman" w:eastAsia="宋体" w:cs="Times New Roman"/>
                <w:color w:val="auto"/>
                <w:kern w:val="0"/>
                <w:szCs w:val="21"/>
                <w:highlight w:val="none"/>
                <w:lang w:val="en-US" w:eastAsia="zh-CN"/>
              </w:rPr>
            </w:pPr>
            <w:r>
              <w:rPr>
                <w:rFonts w:hint="eastAsia" w:cs="Times New Roman"/>
                <w:color w:val="auto"/>
                <w:kern w:val="0"/>
                <w:szCs w:val="21"/>
                <w:highlight w:val="none"/>
                <w:lang w:val="en-US" w:eastAsia="zh-CN"/>
              </w:rPr>
              <w:t>为保证固体废物暂存场内暂存的危险废物不对环境产生污染，一句《危险废物贮存污染控制标准》（GB18597-2023）、《危险废物收集、贮存、运输技术规范》（HJ2025-2012）及相关国家及地方法律法规，项目危险废物的暂存场所设置情况如下表所示。</w:t>
            </w:r>
          </w:p>
          <w:p w14:paraId="0D877D20">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157" w:afterLines="50" w:afterAutospacing="0"/>
              <w:ind w:right="0"/>
              <w:jc w:val="center"/>
              <w:textAlignment w:val="auto"/>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本项目危险废物贮存场所（设施）基本情况</w:t>
            </w:r>
          </w:p>
          <w:tbl>
            <w:tblPr>
              <w:tblStyle w:val="41"/>
              <w:tblW w:w="5000"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
              <w:gridCol w:w="889"/>
              <w:gridCol w:w="993"/>
              <w:gridCol w:w="1112"/>
              <w:gridCol w:w="1201"/>
              <w:gridCol w:w="632"/>
              <w:gridCol w:w="879"/>
              <w:gridCol w:w="744"/>
              <w:gridCol w:w="686"/>
              <w:gridCol w:w="610"/>
            </w:tblGrid>
            <w:tr w14:paraId="3DD46F2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00" w:type="pct"/>
                  <w:tcBorders>
                    <w:tl2br w:val="nil"/>
                    <w:tr2bl w:val="nil"/>
                  </w:tcBorders>
                  <w:noWrap w:val="0"/>
                  <w:vAlign w:val="center"/>
                </w:tcPr>
                <w:p w14:paraId="3EFF740D">
                  <w:pPr>
                    <w:pStyle w:val="123"/>
                    <w:keepNext w:val="0"/>
                    <w:keepLines w:val="0"/>
                    <w:suppressLineNumbers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序号</w:t>
                  </w:r>
                </w:p>
              </w:tc>
              <w:tc>
                <w:tcPr>
                  <w:tcW w:w="539" w:type="pct"/>
                  <w:tcBorders>
                    <w:tl2br w:val="nil"/>
                    <w:tr2bl w:val="nil"/>
                  </w:tcBorders>
                  <w:noWrap w:val="0"/>
                  <w:vAlign w:val="center"/>
                </w:tcPr>
                <w:p w14:paraId="0EB12028">
                  <w:pPr>
                    <w:pStyle w:val="123"/>
                    <w:keepNext w:val="0"/>
                    <w:keepLines w:val="0"/>
                    <w:suppressLineNumbers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贮存场所（设施）</w:t>
                  </w:r>
                </w:p>
                <w:p w14:paraId="299E65DD">
                  <w:pPr>
                    <w:pStyle w:val="123"/>
                    <w:keepNext w:val="0"/>
                    <w:keepLines w:val="0"/>
                    <w:suppressLineNumbers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名称</w:t>
                  </w:r>
                </w:p>
              </w:tc>
              <w:tc>
                <w:tcPr>
                  <w:tcW w:w="602" w:type="pct"/>
                  <w:tcBorders>
                    <w:tl2br w:val="nil"/>
                    <w:tr2bl w:val="nil"/>
                  </w:tcBorders>
                  <w:noWrap w:val="0"/>
                  <w:vAlign w:val="center"/>
                </w:tcPr>
                <w:p w14:paraId="5AE00052">
                  <w:pPr>
                    <w:pStyle w:val="123"/>
                    <w:keepNext w:val="0"/>
                    <w:keepLines w:val="0"/>
                    <w:suppressLineNumbers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危险废物名称</w:t>
                  </w:r>
                </w:p>
              </w:tc>
              <w:tc>
                <w:tcPr>
                  <w:tcW w:w="674" w:type="pct"/>
                  <w:tcBorders>
                    <w:tl2br w:val="nil"/>
                    <w:tr2bl w:val="nil"/>
                  </w:tcBorders>
                  <w:noWrap w:val="0"/>
                  <w:vAlign w:val="center"/>
                </w:tcPr>
                <w:p w14:paraId="69FBFC6A">
                  <w:pPr>
                    <w:pStyle w:val="123"/>
                    <w:keepNext w:val="0"/>
                    <w:keepLines w:val="0"/>
                    <w:suppressLineNumbers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危险废物类别</w:t>
                  </w:r>
                </w:p>
              </w:tc>
              <w:tc>
                <w:tcPr>
                  <w:tcW w:w="728" w:type="pct"/>
                  <w:tcBorders>
                    <w:tl2br w:val="nil"/>
                    <w:tr2bl w:val="nil"/>
                  </w:tcBorders>
                  <w:noWrap w:val="0"/>
                  <w:vAlign w:val="center"/>
                </w:tcPr>
                <w:p w14:paraId="484EE9E0">
                  <w:pPr>
                    <w:pStyle w:val="123"/>
                    <w:keepNext w:val="0"/>
                    <w:keepLines w:val="0"/>
                    <w:suppressLineNumbers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危险废物代码</w:t>
                  </w:r>
                </w:p>
              </w:tc>
              <w:tc>
                <w:tcPr>
                  <w:tcW w:w="383" w:type="pct"/>
                  <w:tcBorders>
                    <w:tl2br w:val="nil"/>
                    <w:tr2bl w:val="nil"/>
                  </w:tcBorders>
                  <w:noWrap w:val="0"/>
                  <w:vAlign w:val="center"/>
                </w:tcPr>
                <w:p w14:paraId="665FF502">
                  <w:pPr>
                    <w:pStyle w:val="123"/>
                    <w:keepNext w:val="0"/>
                    <w:keepLines w:val="0"/>
                    <w:suppressLineNumbers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位置</w:t>
                  </w:r>
                </w:p>
              </w:tc>
              <w:tc>
                <w:tcPr>
                  <w:tcW w:w="533" w:type="pct"/>
                  <w:tcBorders>
                    <w:tl2br w:val="nil"/>
                    <w:tr2bl w:val="nil"/>
                  </w:tcBorders>
                  <w:noWrap w:val="0"/>
                  <w:vAlign w:val="center"/>
                </w:tcPr>
                <w:p w14:paraId="45FD7503">
                  <w:pPr>
                    <w:pStyle w:val="123"/>
                    <w:keepNext w:val="0"/>
                    <w:keepLines w:val="0"/>
                    <w:suppressLineNumbers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占地面积</w:t>
                  </w:r>
                </w:p>
              </w:tc>
              <w:tc>
                <w:tcPr>
                  <w:tcW w:w="451" w:type="pct"/>
                  <w:tcBorders>
                    <w:tl2br w:val="nil"/>
                    <w:tr2bl w:val="nil"/>
                  </w:tcBorders>
                  <w:noWrap w:val="0"/>
                  <w:vAlign w:val="center"/>
                </w:tcPr>
                <w:p w14:paraId="46A0010C">
                  <w:pPr>
                    <w:pStyle w:val="123"/>
                    <w:keepNext w:val="0"/>
                    <w:keepLines w:val="0"/>
                    <w:suppressLineNumbers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贮存方式</w:t>
                  </w:r>
                </w:p>
              </w:tc>
              <w:tc>
                <w:tcPr>
                  <w:tcW w:w="416" w:type="pct"/>
                  <w:tcBorders>
                    <w:tl2br w:val="nil"/>
                    <w:tr2bl w:val="nil"/>
                  </w:tcBorders>
                  <w:noWrap w:val="0"/>
                  <w:vAlign w:val="center"/>
                </w:tcPr>
                <w:p w14:paraId="2FC07CFF">
                  <w:pPr>
                    <w:pStyle w:val="123"/>
                    <w:keepNext w:val="0"/>
                    <w:keepLines w:val="0"/>
                    <w:suppressLineNumbers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贮存能力</w:t>
                  </w:r>
                </w:p>
              </w:tc>
              <w:tc>
                <w:tcPr>
                  <w:tcW w:w="370" w:type="pct"/>
                  <w:tcBorders>
                    <w:tl2br w:val="nil"/>
                    <w:tr2bl w:val="nil"/>
                  </w:tcBorders>
                  <w:noWrap w:val="0"/>
                  <w:vAlign w:val="center"/>
                </w:tcPr>
                <w:p w14:paraId="68274A2C">
                  <w:pPr>
                    <w:pStyle w:val="123"/>
                    <w:keepNext w:val="0"/>
                    <w:keepLines w:val="0"/>
                    <w:suppressLineNumbers w:val="0"/>
                    <w:spacing w:before="0" w:beforeAutospacing="0" w:after="0" w:afterAutospacing="0"/>
                    <w:ind w:left="0" w:right="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贮存周期</w:t>
                  </w:r>
                </w:p>
              </w:tc>
            </w:tr>
            <w:tr w14:paraId="580F6D9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00" w:type="pct"/>
                  <w:tcBorders>
                    <w:tl2br w:val="nil"/>
                    <w:tr2bl w:val="nil"/>
                  </w:tcBorders>
                  <w:noWrap w:val="0"/>
                  <w:vAlign w:val="center"/>
                </w:tcPr>
                <w:p w14:paraId="5A37DF1A">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p>
              </w:tc>
              <w:tc>
                <w:tcPr>
                  <w:tcW w:w="539" w:type="pct"/>
                  <w:vMerge w:val="restart"/>
                  <w:tcBorders>
                    <w:tl2br w:val="nil"/>
                    <w:tr2bl w:val="nil"/>
                  </w:tcBorders>
                  <w:noWrap w:val="0"/>
                  <w:vAlign w:val="center"/>
                </w:tcPr>
                <w:p w14:paraId="77203482">
                  <w:pPr>
                    <w:pStyle w:val="123"/>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危险废物暂存间</w:t>
                  </w:r>
                </w:p>
              </w:tc>
              <w:tc>
                <w:tcPr>
                  <w:tcW w:w="993" w:type="dxa"/>
                  <w:tcBorders>
                    <w:tl2br w:val="nil"/>
                    <w:tr2bl w:val="nil"/>
                  </w:tcBorders>
                  <w:noWrap w:val="0"/>
                  <w:vAlign w:val="center"/>
                </w:tcPr>
                <w:p w14:paraId="72A3C898">
                  <w:pPr>
                    <w:keepNext w:val="0"/>
                    <w:keepLines w:val="0"/>
                    <w:suppressLineNumbers w:val="0"/>
                    <w:tabs>
                      <w:tab w:val="left" w:pos="1081"/>
                    </w:tabs>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废活性炭</w:t>
                  </w:r>
                </w:p>
              </w:tc>
              <w:tc>
                <w:tcPr>
                  <w:tcW w:w="1112" w:type="dxa"/>
                  <w:tcBorders>
                    <w:tl2br w:val="nil"/>
                    <w:tr2bl w:val="nil"/>
                  </w:tcBorders>
                  <w:noWrap w:val="0"/>
                  <w:vAlign w:val="center"/>
                </w:tcPr>
                <w:p w14:paraId="786BCDF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HW49其他废物</w:t>
                  </w:r>
                </w:p>
              </w:tc>
              <w:tc>
                <w:tcPr>
                  <w:tcW w:w="1201" w:type="dxa"/>
                  <w:tcBorders>
                    <w:tl2br w:val="nil"/>
                    <w:tr2bl w:val="nil"/>
                  </w:tcBorders>
                  <w:noWrap w:val="0"/>
                  <w:vAlign w:val="center"/>
                </w:tcPr>
                <w:p w14:paraId="55F7F9B9">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900-039-49</w:t>
                  </w:r>
                </w:p>
              </w:tc>
              <w:tc>
                <w:tcPr>
                  <w:tcW w:w="383" w:type="pct"/>
                  <w:vMerge w:val="restart"/>
                  <w:tcBorders>
                    <w:tl2br w:val="nil"/>
                    <w:tr2bl w:val="nil"/>
                  </w:tcBorders>
                  <w:noWrap w:val="0"/>
                  <w:vAlign w:val="center"/>
                </w:tcPr>
                <w:p w14:paraId="61488B15">
                  <w:pPr>
                    <w:pStyle w:val="123"/>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吸塑车间北侧</w:t>
                  </w:r>
                </w:p>
              </w:tc>
              <w:tc>
                <w:tcPr>
                  <w:tcW w:w="533" w:type="pct"/>
                  <w:vMerge w:val="restart"/>
                  <w:tcBorders>
                    <w:tl2br w:val="nil"/>
                    <w:tr2bl w:val="nil"/>
                  </w:tcBorders>
                  <w:noWrap w:val="0"/>
                  <w:vAlign w:val="center"/>
                </w:tcPr>
                <w:p w14:paraId="36A15A45">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25</w:t>
                  </w:r>
                  <w:r>
                    <w:rPr>
                      <w:rFonts w:hint="default" w:ascii="Times New Roman" w:hAnsi="Times New Roman" w:cs="Times New Roman"/>
                      <w:color w:val="auto"/>
                      <w:sz w:val="21"/>
                      <w:szCs w:val="21"/>
                      <w:highlight w:val="none"/>
                    </w:rPr>
                    <w:t>m</w:t>
                  </w:r>
                  <w:r>
                    <w:rPr>
                      <w:rFonts w:hint="default" w:ascii="Times New Roman" w:hAnsi="Times New Roman" w:cs="Times New Roman"/>
                      <w:color w:val="auto"/>
                      <w:sz w:val="21"/>
                      <w:szCs w:val="21"/>
                      <w:highlight w:val="none"/>
                      <w:vertAlign w:val="superscript"/>
                    </w:rPr>
                    <w:t>2</w:t>
                  </w:r>
                </w:p>
              </w:tc>
              <w:tc>
                <w:tcPr>
                  <w:tcW w:w="880" w:type="dxa"/>
                  <w:tcBorders>
                    <w:tl2br w:val="nil"/>
                    <w:tr2bl w:val="nil"/>
                  </w:tcBorders>
                  <w:noWrap w:val="0"/>
                  <w:vAlign w:val="center"/>
                </w:tcPr>
                <w:p w14:paraId="57E873DC">
                  <w:pPr>
                    <w:pStyle w:val="123"/>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袋装</w:t>
                  </w:r>
                </w:p>
              </w:tc>
              <w:tc>
                <w:tcPr>
                  <w:tcW w:w="416" w:type="pct"/>
                  <w:tcBorders>
                    <w:tl2br w:val="nil"/>
                    <w:tr2bl w:val="nil"/>
                  </w:tcBorders>
                  <w:noWrap w:val="0"/>
                  <w:vAlign w:val="center"/>
                </w:tcPr>
                <w:p w14:paraId="4D2D15BD">
                  <w:pPr>
                    <w:pStyle w:val="123"/>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2t</w:t>
                  </w:r>
                </w:p>
              </w:tc>
              <w:tc>
                <w:tcPr>
                  <w:tcW w:w="370" w:type="pct"/>
                  <w:tcBorders>
                    <w:tl2br w:val="nil"/>
                    <w:tr2bl w:val="nil"/>
                  </w:tcBorders>
                  <w:noWrap w:val="0"/>
                  <w:vAlign w:val="center"/>
                </w:tcPr>
                <w:p w14:paraId="0C47527B">
                  <w:pPr>
                    <w:pStyle w:val="123"/>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3个月</w:t>
                  </w:r>
                </w:p>
              </w:tc>
            </w:tr>
            <w:tr w14:paraId="56A363C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00" w:type="pct"/>
                  <w:tcBorders>
                    <w:tl2br w:val="nil"/>
                    <w:tr2bl w:val="nil"/>
                  </w:tcBorders>
                  <w:noWrap w:val="0"/>
                  <w:vAlign w:val="center"/>
                </w:tcPr>
                <w:p w14:paraId="60009D57">
                  <w:pPr>
                    <w:pStyle w:val="123"/>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w:t>
                  </w:r>
                </w:p>
              </w:tc>
              <w:tc>
                <w:tcPr>
                  <w:tcW w:w="539" w:type="pct"/>
                  <w:vMerge w:val="continue"/>
                  <w:tcBorders>
                    <w:tl2br w:val="nil"/>
                    <w:tr2bl w:val="nil"/>
                  </w:tcBorders>
                  <w:noWrap w:val="0"/>
                  <w:vAlign w:val="center"/>
                </w:tcPr>
                <w:p w14:paraId="133BAC11">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993" w:type="dxa"/>
                  <w:tcBorders>
                    <w:tl2br w:val="nil"/>
                    <w:tr2bl w:val="nil"/>
                  </w:tcBorders>
                  <w:noWrap w:val="0"/>
                  <w:vAlign w:val="center"/>
                </w:tcPr>
                <w:p w14:paraId="24D5CBB0">
                  <w:pPr>
                    <w:keepNext w:val="0"/>
                    <w:keepLines w:val="0"/>
                    <w:suppressLineNumbers w:val="0"/>
                    <w:tabs>
                      <w:tab w:val="left" w:pos="1081"/>
                    </w:tabs>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废手套和抹布</w:t>
                  </w:r>
                </w:p>
              </w:tc>
              <w:tc>
                <w:tcPr>
                  <w:tcW w:w="1112" w:type="dxa"/>
                  <w:tcBorders>
                    <w:tl2br w:val="nil"/>
                    <w:tr2bl w:val="nil"/>
                  </w:tcBorders>
                  <w:noWrap w:val="0"/>
                  <w:vAlign w:val="center"/>
                </w:tcPr>
                <w:p w14:paraId="3C97456C">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HW49其他废物</w:t>
                  </w:r>
                </w:p>
              </w:tc>
              <w:tc>
                <w:tcPr>
                  <w:tcW w:w="1201" w:type="dxa"/>
                  <w:tcBorders>
                    <w:tl2br w:val="nil"/>
                    <w:tr2bl w:val="nil"/>
                  </w:tcBorders>
                  <w:noWrap w:val="0"/>
                  <w:vAlign w:val="center"/>
                </w:tcPr>
                <w:p w14:paraId="5BFAFB55">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900-041-49</w:t>
                  </w:r>
                </w:p>
              </w:tc>
              <w:tc>
                <w:tcPr>
                  <w:tcW w:w="383" w:type="pct"/>
                  <w:vMerge w:val="continue"/>
                  <w:tcBorders>
                    <w:tl2br w:val="nil"/>
                    <w:tr2bl w:val="nil"/>
                  </w:tcBorders>
                  <w:noWrap w:val="0"/>
                  <w:vAlign w:val="center"/>
                </w:tcPr>
                <w:p w14:paraId="54200B14">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533" w:type="pct"/>
                  <w:vMerge w:val="continue"/>
                  <w:tcBorders>
                    <w:tl2br w:val="nil"/>
                    <w:tr2bl w:val="nil"/>
                  </w:tcBorders>
                  <w:noWrap w:val="0"/>
                  <w:vAlign w:val="center"/>
                </w:tcPr>
                <w:p w14:paraId="26B5113E">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880" w:type="dxa"/>
                  <w:tcBorders>
                    <w:tl2br w:val="nil"/>
                    <w:tr2bl w:val="nil"/>
                  </w:tcBorders>
                  <w:noWrap w:val="0"/>
                  <w:vAlign w:val="center"/>
                </w:tcPr>
                <w:p w14:paraId="5BE302E4">
                  <w:pPr>
                    <w:pStyle w:val="123"/>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袋装</w:t>
                  </w:r>
                </w:p>
              </w:tc>
              <w:tc>
                <w:tcPr>
                  <w:tcW w:w="416" w:type="pct"/>
                  <w:tcBorders>
                    <w:tl2br w:val="nil"/>
                    <w:tr2bl w:val="nil"/>
                  </w:tcBorders>
                  <w:noWrap w:val="0"/>
                  <w:vAlign w:val="center"/>
                </w:tcPr>
                <w:p w14:paraId="1D6D33D5">
                  <w:pPr>
                    <w:pStyle w:val="123"/>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0.5t</w:t>
                  </w:r>
                </w:p>
              </w:tc>
              <w:tc>
                <w:tcPr>
                  <w:tcW w:w="370" w:type="pct"/>
                  <w:tcBorders>
                    <w:tl2br w:val="nil"/>
                    <w:tr2bl w:val="nil"/>
                  </w:tcBorders>
                  <w:noWrap w:val="0"/>
                  <w:vAlign w:val="center"/>
                </w:tcPr>
                <w:p w14:paraId="1F61E2AD">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3个月</w:t>
                  </w:r>
                </w:p>
              </w:tc>
            </w:tr>
            <w:tr w14:paraId="0044722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00" w:type="pct"/>
                  <w:tcBorders>
                    <w:tl2br w:val="nil"/>
                    <w:tr2bl w:val="nil"/>
                  </w:tcBorders>
                  <w:noWrap w:val="0"/>
                  <w:vAlign w:val="center"/>
                </w:tcPr>
                <w:p w14:paraId="336C66C2">
                  <w:pPr>
                    <w:pStyle w:val="123"/>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w:t>
                  </w:r>
                </w:p>
              </w:tc>
              <w:tc>
                <w:tcPr>
                  <w:tcW w:w="539" w:type="pct"/>
                  <w:vMerge w:val="continue"/>
                  <w:tcBorders>
                    <w:tl2br w:val="nil"/>
                    <w:tr2bl w:val="nil"/>
                  </w:tcBorders>
                  <w:noWrap w:val="0"/>
                  <w:vAlign w:val="center"/>
                </w:tcPr>
                <w:p w14:paraId="032D33E5">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993" w:type="dxa"/>
                  <w:tcBorders>
                    <w:tl2br w:val="nil"/>
                    <w:tr2bl w:val="nil"/>
                  </w:tcBorders>
                  <w:noWrap w:val="0"/>
                  <w:vAlign w:val="center"/>
                </w:tcPr>
                <w:p w14:paraId="56DBA27B">
                  <w:pPr>
                    <w:keepNext w:val="0"/>
                    <w:keepLines w:val="0"/>
                    <w:suppressLineNumbers w:val="0"/>
                    <w:tabs>
                      <w:tab w:val="left" w:pos="1081"/>
                    </w:tabs>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废</w:t>
                  </w:r>
                  <w:r>
                    <w:rPr>
                      <w:rFonts w:hint="eastAsia" w:ascii="Times New Roman" w:hAnsi="Times New Roman" w:cs="Times New Roman"/>
                      <w:color w:val="auto"/>
                      <w:sz w:val="21"/>
                      <w:szCs w:val="21"/>
                      <w:highlight w:val="none"/>
                      <w:lang w:val="en-US" w:eastAsia="zh-CN"/>
                    </w:rPr>
                    <w:t>机</w:t>
                  </w:r>
                  <w:r>
                    <w:rPr>
                      <w:rFonts w:hint="default" w:ascii="Times New Roman" w:hAnsi="Times New Roman" w:cs="Times New Roman"/>
                      <w:color w:val="auto"/>
                      <w:sz w:val="21"/>
                      <w:szCs w:val="21"/>
                      <w:highlight w:val="none"/>
                    </w:rPr>
                    <w:t>油</w:t>
                  </w:r>
                </w:p>
              </w:tc>
              <w:tc>
                <w:tcPr>
                  <w:tcW w:w="1112" w:type="dxa"/>
                  <w:tcBorders>
                    <w:tl2br w:val="nil"/>
                    <w:tr2bl w:val="nil"/>
                  </w:tcBorders>
                  <w:noWrap w:val="0"/>
                  <w:vAlign w:val="center"/>
                </w:tcPr>
                <w:p w14:paraId="7150A9F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HW08废矿物油与含矿物油废物</w:t>
                  </w:r>
                </w:p>
              </w:tc>
              <w:tc>
                <w:tcPr>
                  <w:tcW w:w="1201" w:type="dxa"/>
                  <w:tcBorders>
                    <w:tl2br w:val="nil"/>
                    <w:tr2bl w:val="nil"/>
                  </w:tcBorders>
                  <w:noWrap w:val="0"/>
                  <w:vAlign w:val="center"/>
                </w:tcPr>
                <w:p w14:paraId="1644117C">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900-2</w:t>
                  </w:r>
                  <w:r>
                    <w:rPr>
                      <w:rFonts w:hint="eastAsia" w:cs="Times New Roman"/>
                      <w:color w:val="auto"/>
                      <w:sz w:val="21"/>
                      <w:szCs w:val="21"/>
                      <w:highlight w:val="none"/>
                      <w:lang w:val="en-US" w:eastAsia="zh-CN"/>
                    </w:rPr>
                    <w:t>14</w:t>
                  </w:r>
                  <w:r>
                    <w:rPr>
                      <w:rFonts w:hint="default" w:ascii="Times New Roman" w:hAnsi="Times New Roman" w:cs="Times New Roman"/>
                      <w:color w:val="auto"/>
                      <w:sz w:val="21"/>
                      <w:szCs w:val="21"/>
                      <w:highlight w:val="none"/>
                    </w:rPr>
                    <w:t>-08</w:t>
                  </w:r>
                </w:p>
              </w:tc>
              <w:tc>
                <w:tcPr>
                  <w:tcW w:w="383" w:type="pct"/>
                  <w:vMerge w:val="continue"/>
                  <w:tcBorders>
                    <w:tl2br w:val="nil"/>
                    <w:tr2bl w:val="nil"/>
                  </w:tcBorders>
                  <w:noWrap w:val="0"/>
                  <w:vAlign w:val="center"/>
                </w:tcPr>
                <w:p w14:paraId="430D05F6">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533" w:type="pct"/>
                  <w:vMerge w:val="continue"/>
                  <w:tcBorders>
                    <w:tl2br w:val="nil"/>
                    <w:tr2bl w:val="nil"/>
                  </w:tcBorders>
                  <w:noWrap w:val="0"/>
                  <w:vAlign w:val="center"/>
                </w:tcPr>
                <w:p w14:paraId="34848461">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880" w:type="dxa"/>
                  <w:tcBorders>
                    <w:tl2br w:val="nil"/>
                    <w:tr2bl w:val="nil"/>
                  </w:tcBorders>
                  <w:noWrap w:val="0"/>
                  <w:vAlign w:val="center"/>
                </w:tcPr>
                <w:p w14:paraId="4DB350CD">
                  <w:pPr>
                    <w:pStyle w:val="123"/>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密封桶</w:t>
                  </w:r>
                </w:p>
              </w:tc>
              <w:tc>
                <w:tcPr>
                  <w:tcW w:w="416" w:type="pct"/>
                  <w:tcBorders>
                    <w:tl2br w:val="nil"/>
                    <w:tr2bl w:val="nil"/>
                  </w:tcBorders>
                  <w:noWrap w:val="0"/>
                  <w:vAlign w:val="center"/>
                </w:tcPr>
                <w:p w14:paraId="58CEC91C">
                  <w:pPr>
                    <w:pStyle w:val="123"/>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0.1t</w:t>
                  </w:r>
                </w:p>
              </w:tc>
              <w:tc>
                <w:tcPr>
                  <w:tcW w:w="370" w:type="pct"/>
                  <w:tcBorders>
                    <w:tl2br w:val="nil"/>
                    <w:tr2bl w:val="nil"/>
                  </w:tcBorders>
                  <w:noWrap w:val="0"/>
                  <w:vAlign w:val="center"/>
                </w:tcPr>
                <w:p w14:paraId="755C48AC">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3个月</w:t>
                  </w:r>
                </w:p>
              </w:tc>
            </w:tr>
            <w:tr w14:paraId="19A74D2B">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00" w:type="pct"/>
                  <w:tcBorders>
                    <w:tl2br w:val="nil"/>
                    <w:tr2bl w:val="nil"/>
                  </w:tcBorders>
                  <w:noWrap w:val="0"/>
                  <w:vAlign w:val="center"/>
                </w:tcPr>
                <w:p w14:paraId="4D145ED1">
                  <w:pPr>
                    <w:pStyle w:val="123"/>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w:t>
                  </w:r>
                </w:p>
              </w:tc>
              <w:tc>
                <w:tcPr>
                  <w:tcW w:w="539" w:type="pct"/>
                  <w:vMerge w:val="continue"/>
                  <w:tcBorders>
                    <w:tl2br w:val="nil"/>
                    <w:tr2bl w:val="nil"/>
                  </w:tcBorders>
                  <w:noWrap w:val="0"/>
                  <w:vAlign w:val="center"/>
                </w:tcPr>
                <w:p w14:paraId="1306B748">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993" w:type="dxa"/>
                  <w:tcBorders>
                    <w:tl2br w:val="nil"/>
                    <w:tr2bl w:val="nil"/>
                  </w:tcBorders>
                  <w:noWrap w:val="0"/>
                  <w:vAlign w:val="center"/>
                </w:tcPr>
                <w:p w14:paraId="08B2EDEC">
                  <w:pPr>
                    <w:keepNext w:val="0"/>
                    <w:keepLines w:val="0"/>
                    <w:suppressLineNumbers w:val="0"/>
                    <w:tabs>
                      <w:tab w:val="left" w:pos="1081"/>
                    </w:tabs>
                    <w:spacing w:before="0" w:beforeAutospacing="0" w:after="0" w:afterAutospacing="0"/>
                    <w:ind w:left="0" w:leftChars="0" w:right="0" w:rightChars="0"/>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rPr>
                    <w:t>废</w:t>
                  </w:r>
                  <w:r>
                    <w:rPr>
                      <w:rFonts w:hint="eastAsia" w:cs="Times New Roman"/>
                      <w:color w:val="auto"/>
                      <w:sz w:val="21"/>
                      <w:szCs w:val="21"/>
                      <w:highlight w:val="none"/>
                      <w:lang w:val="en-US" w:eastAsia="zh-CN"/>
                    </w:rPr>
                    <w:t>油桶</w:t>
                  </w:r>
                </w:p>
              </w:tc>
              <w:tc>
                <w:tcPr>
                  <w:tcW w:w="1112" w:type="dxa"/>
                  <w:tcBorders>
                    <w:tl2br w:val="nil"/>
                    <w:tr2bl w:val="nil"/>
                  </w:tcBorders>
                  <w:noWrap w:val="0"/>
                  <w:vAlign w:val="center"/>
                </w:tcPr>
                <w:p w14:paraId="33EFE041">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bCs/>
                      <w:color w:val="auto"/>
                      <w:sz w:val="21"/>
                      <w:szCs w:val="21"/>
                      <w:highlight w:val="none"/>
                    </w:rPr>
                    <w:t>HW</w:t>
                  </w:r>
                  <w:r>
                    <w:rPr>
                      <w:rFonts w:hint="eastAsia"/>
                      <w:bCs/>
                      <w:color w:val="auto"/>
                      <w:sz w:val="21"/>
                      <w:szCs w:val="21"/>
                      <w:highlight w:val="none"/>
                      <w:lang w:val="en-US" w:eastAsia="zh-CN"/>
                    </w:rPr>
                    <w:t>08废矿物油与含矿物油废物</w:t>
                  </w:r>
                </w:p>
              </w:tc>
              <w:tc>
                <w:tcPr>
                  <w:tcW w:w="1201" w:type="dxa"/>
                  <w:tcBorders>
                    <w:tl2br w:val="nil"/>
                    <w:tr2bl w:val="nil"/>
                  </w:tcBorders>
                  <w:noWrap w:val="0"/>
                  <w:vAlign w:val="center"/>
                </w:tcPr>
                <w:p w14:paraId="618CD504">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900-249-08</w:t>
                  </w:r>
                </w:p>
              </w:tc>
              <w:tc>
                <w:tcPr>
                  <w:tcW w:w="383" w:type="pct"/>
                  <w:vMerge w:val="continue"/>
                  <w:tcBorders>
                    <w:tl2br w:val="nil"/>
                    <w:tr2bl w:val="nil"/>
                  </w:tcBorders>
                  <w:noWrap w:val="0"/>
                  <w:vAlign w:val="center"/>
                </w:tcPr>
                <w:p w14:paraId="21180BBA">
                  <w:pPr>
                    <w:pStyle w:val="123"/>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p>
              </w:tc>
              <w:tc>
                <w:tcPr>
                  <w:tcW w:w="533" w:type="pct"/>
                  <w:vMerge w:val="continue"/>
                  <w:tcBorders>
                    <w:tl2br w:val="nil"/>
                    <w:tr2bl w:val="nil"/>
                  </w:tcBorders>
                  <w:noWrap w:val="0"/>
                  <w:vAlign w:val="center"/>
                </w:tcPr>
                <w:p w14:paraId="57767D17">
                  <w:pPr>
                    <w:pStyle w:val="123"/>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p>
              </w:tc>
              <w:tc>
                <w:tcPr>
                  <w:tcW w:w="451" w:type="pct"/>
                  <w:tcBorders>
                    <w:tl2br w:val="nil"/>
                    <w:tr2bl w:val="nil"/>
                  </w:tcBorders>
                  <w:noWrap w:val="0"/>
                  <w:vAlign w:val="center"/>
                </w:tcPr>
                <w:p w14:paraId="4086E344">
                  <w:pPr>
                    <w:pStyle w:val="123"/>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密封</w:t>
                  </w:r>
                </w:p>
              </w:tc>
              <w:tc>
                <w:tcPr>
                  <w:tcW w:w="416" w:type="pct"/>
                  <w:tcBorders>
                    <w:tl2br w:val="nil"/>
                    <w:tr2bl w:val="nil"/>
                  </w:tcBorders>
                  <w:noWrap w:val="0"/>
                  <w:vAlign w:val="center"/>
                </w:tcPr>
                <w:p w14:paraId="237C63C1">
                  <w:pPr>
                    <w:pStyle w:val="123"/>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0.05t</w:t>
                  </w:r>
                </w:p>
              </w:tc>
              <w:tc>
                <w:tcPr>
                  <w:tcW w:w="370" w:type="pct"/>
                  <w:tcBorders>
                    <w:tl2br w:val="nil"/>
                    <w:tr2bl w:val="nil"/>
                  </w:tcBorders>
                  <w:noWrap w:val="0"/>
                  <w:vAlign w:val="center"/>
                </w:tcPr>
                <w:p w14:paraId="1A9B4D75">
                  <w:pPr>
                    <w:pStyle w:val="123"/>
                    <w:keepNext w:val="0"/>
                    <w:keepLines w:val="0"/>
                    <w:suppressLineNumbers w:val="0"/>
                    <w:spacing w:before="0" w:beforeAutospacing="0" w:after="0" w:afterAutospacing="0"/>
                    <w:ind w:left="0" w:leftChars="0" w:right="0" w:rightChars="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3个月</w:t>
                  </w:r>
                </w:p>
              </w:tc>
            </w:tr>
            <w:tr w14:paraId="29F3908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00" w:type="pct"/>
                  <w:tcBorders>
                    <w:tl2br w:val="nil"/>
                    <w:tr2bl w:val="nil"/>
                  </w:tcBorders>
                  <w:noWrap w:val="0"/>
                  <w:vAlign w:val="center"/>
                </w:tcPr>
                <w:p w14:paraId="16D7B7DC">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w:t>
                  </w:r>
                </w:p>
              </w:tc>
              <w:tc>
                <w:tcPr>
                  <w:tcW w:w="539" w:type="pct"/>
                  <w:vMerge w:val="continue"/>
                  <w:tcBorders>
                    <w:tl2br w:val="nil"/>
                    <w:tr2bl w:val="nil"/>
                  </w:tcBorders>
                  <w:noWrap w:val="0"/>
                  <w:vAlign w:val="center"/>
                </w:tcPr>
                <w:p w14:paraId="2BC8A85F">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1174" w:type="dxa"/>
                  <w:tcBorders>
                    <w:tl2br w:val="nil"/>
                    <w:tr2bl w:val="nil"/>
                  </w:tcBorders>
                  <w:noWrap w:val="0"/>
                  <w:vAlign w:val="center"/>
                </w:tcPr>
                <w:p w14:paraId="4BC94DD3">
                  <w:pPr>
                    <w:keepNext w:val="0"/>
                    <w:keepLines w:val="0"/>
                    <w:suppressLineNumbers w:val="0"/>
                    <w:tabs>
                      <w:tab w:val="left" w:pos="1081"/>
                    </w:tabs>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eastAsia" w:cs="Times New Roman"/>
                      <w:color w:val="auto"/>
                      <w:sz w:val="21"/>
                      <w:szCs w:val="21"/>
                      <w:highlight w:val="none"/>
                      <w:lang w:val="en-US" w:eastAsia="zh-CN"/>
                    </w:rPr>
                    <w:t>废油墨桶</w:t>
                  </w:r>
                </w:p>
              </w:tc>
              <w:tc>
                <w:tcPr>
                  <w:tcW w:w="1314" w:type="dxa"/>
                  <w:tcBorders>
                    <w:tl2br w:val="nil"/>
                    <w:tr2bl w:val="nil"/>
                  </w:tcBorders>
                  <w:noWrap w:val="0"/>
                  <w:vAlign w:val="center"/>
                </w:tcPr>
                <w:p w14:paraId="792CC472">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eastAsia" w:cs="宋体"/>
                      <w:color w:val="auto"/>
                      <w:szCs w:val="21"/>
                      <w:highlight w:val="none"/>
                      <w:lang w:bidi="ar"/>
                    </w:rPr>
                    <w:t>HW</w:t>
                  </w:r>
                  <w:r>
                    <w:rPr>
                      <w:rFonts w:hint="eastAsia" w:cs="宋体"/>
                      <w:color w:val="auto"/>
                      <w:szCs w:val="21"/>
                      <w:highlight w:val="none"/>
                      <w:lang w:val="en-US" w:eastAsia="zh-CN" w:bidi="ar"/>
                    </w:rPr>
                    <w:t>49</w:t>
                  </w:r>
                  <w:r>
                    <w:rPr>
                      <w:rFonts w:hint="eastAsia" w:cs="Times New Roman"/>
                      <w:color w:val="auto"/>
                      <w:szCs w:val="21"/>
                      <w:highlight w:val="none"/>
                      <w:lang w:val="en-US" w:eastAsia="zh-CN"/>
                    </w:rPr>
                    <w:t>其他废物</w:t>
                  </w:r>
                </w:p>
              </w:tc>
              <w:tc>
                <w:tcPr>
                  <w:tcW w:w="1420" w:type="dxa"/>
                  <w:tcBorders>
                    <w:tl2br w:val="nil"/>
                    <w:tr2bl w:val="nil"/>
                  </w:tcBorders>
                  <w:noWrap w:val="0"/>
                  <w:vAlign w:val="center"/>
                </w:tcPr>
                <w:p w14:paraId="3D8A90E5">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Cs w:val="21"/>
                      <w:highlight w:val="none"/>
                    </w:rPr>
                    <w:t>900-</w:t>
                  </w:r>
                  <w:r>
                    <w:rPr>
                      <w:rFonts w:hint="eastAsia" w:cs="Times New Roman"/>
                      <w:color w:val="auto"/>
                      <w:szCs w:val="21"/>
                      <w:highlight w:val="none"/>
                      <w:lang w:val="en-US" w:eastAsia="zh-CN"/>
                    </w:rPr>
                    <w:t>041</w:t>
                  </w:r>
                  <w:r>
                    <w:rPr>
                      <w:rFonts w:hint="default" w:ascii="Times New Roman" w:hAnsi="Times New Roman" w:cs="Times New Roman"/>
                      <w:color w:val="auto"/>
                      <w:szCs w:val="21"/>
                      <w:highlight w:val="none"/>
                    </w:rPr>
                    <w:t>-</w:t>
                  </w:r>
                  <w:r>
                    <w:rPr>
                      <w:rFonts w:hint="eastAsia" w:cs="Times New Roman"/>
                      <w:color w:val="auto"/>
                      <w:szCs w:val="21"/>
                      <w:highlight w:val="none"/>
                      <w:lang w:val="en-US" w:eastAsia="zh-CN"/>
                    </w:rPr>
                    <w:t>49</w:t>
                  </w:r>
                </w:p>
              </w:tc>
              <w:tc>
                <w:tcPr>
                  <w:tcW w:w="383" w:type="pct"/>
                  <w:vMerge w:val="continue"/>
                  <w:tcBorders>
                    <w:tl2br w:val="nil"/>
                    <w:tr2bl w:val="nil"/>
                  </w:tcBorders>
                  <w:noWrap w:val="0"/>
                  <w:vAlign w:val="center"/>
                </w:tcPr>
                <w:p w14:paraId="1A36B89E">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533" w:type="pct"/>
                  <w:vMerge w:val="continue"/>
                  <w:tcBorders>
                    <w:tl2br w:val="nil"/>
                    <w:tr2bl w:val="nil"/>
                  </w:tcBorders>
                  <w:noWrap w:val="0"/>
                  <w:vAlign w:val="center"/>
                </w:tcPr>
                <w:p w14:paraId="48AF31D2">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451" w:type="pct"/>
                  <w:tcBorders>
                    <w:tl2br w:val="nil"/>
                    <w:tr2bl w:val="nil"/>
                  </w:tcBorders>
                  <w:noWrap w:val="0"/>
                  <w:vAlign w:val="center"/>
                </w:tcPr>
                <w:p w14:paraId="59071B29">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密封</w:t>
                  </w:r>
                </w:p>
              </w:tc>
              <w:tc>
                <w:tcPr>
                  <w:tcW w:w="416" w:type="pct"/>
                  <w:tcBorders>
                    <w:tl2br w:val="nil"/>
                    <w:tr2bl w:val="nil"/>
                  </w:tcBorders>
                  <w:noWrap w:val="0"/>
                  <w:vAlign w:val="center"/>
                </w:tcPr>
                <w:p w14:paraId="4D011C25">
                  <w:pPr>
                    <w:pStyle w:val="123"/>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0.05t</w:t>
                  </w:r>
                </w:p>
              </w:tc>
              <w:tc>
                <w:tcPr>
                  <w:tcW w:w="370" w:type="pct"/>
                  <w:tcBorders>
                    <w:tl2br w:val="nil"/>
                    <w:tr2bl w:val="nil"/>
                  </w:tcBorders>
                  <w:noWrap w:val="0"/>
                  <w:vAlign w:val="center"/>
                </w:tcPr>
                <w:p w14:paraId="48EB19F1">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3个月</w:t>
                  </w:r>
                </w:p>
              </w:tc>
            </w:tr>
            <w:tr w14:paraId="2EE13D4F">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00" w:type="pct"/>
                  <w:tcBorders>
                    <w:tl2br w:val="nil"/>
                    <w:tr2bl w:val="nil"/>
                  </w:tcBorders>
                  <w:noWrap w:val="0"/>
                  <w:vAlign w:val="center"/>
                </w:tcPr>
                <w:p w14:paraId="43CB0FCC">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w:t>
                  </w:r>
                </w:p>
              </w:tc>
              <w:tc>
                <w:tcPr>
                  <w:tcW w:w="539" w:type="pct"/>
                  <w:vMerge w:val="continue"/>
                  <w:tcBorders>
                    <w:tl2br w:val="nil"/>
                    <w:tr2bl w:val="nil"/>
                  </w:tcBorders>
                  <w:noWrap w:val="0"/>
                  <w:vAlign w:val="center"/>
                </w:tcPr>
                <w:p w14:paraId="64E279BB">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1174" w:type="dxa"/>
                  <w:tcBorders>
                    <w:tl2br w:val="nil"/>
                    <w:tr2bl w:val="nil"/>
                  </w:tcBorders>
                  <w:noWrap w:val="0"/>
                  <w:vAlign w:val="center"/>
                </w:tcPr>
                <w:p w14:paraId="0B0707B4">
                  <w:pPr>
                    <w:keepNext w:val="0"/>
                    <w:keepLines w:val="0"/>
                    <w:suppressLineNumbers w:val="0"/>
                    <w:tabs>
                      <w:tab w:val="left" w:pos="1081"/>
                    </w:tabs>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eastAsia" w:cs="Times New Roman"/>
                      <w:color w:val="auto"/>
                      <w:sz w:val="21"/>
                      <w:szCs w:val="21"/>
                      <w:highlight w:val="none"/>
                      <w:lang w:val="en-US" w:eastAsia="zh-CN"/>
                    </w:rPr>
                    <w:t>冷却废水</w:t>
                  </w:r>
                </w:p>
              </w:tc>
              <w:tc>
                <w:tcPr>
                  <w:tcW w:w="1314" w:type="dxa"/>
                  <w:tcBorders>
                    <w:tl2br w:val="nil"/>
                    <w:tr2bl w:val="nil"/>
                  </w:tcBorders>
                  <w:noWrap w:val="0"/>
                  <w:vAlign w:val="center"/>
                </w:tcPr>
                <w:p w14:paraId="5B1D4874">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Cs w:val="21"/>
                      <w:highlight w:val="none"/>
                    </w:rPr>
                    <w:t>HW</w:t>
                  </w:r>
                  <w:r>
                    <w:rPr>
                      <w:rFonts w:hint="eastAsia" w:cs="Times New Roman"/>
                      <w:color w:val="auto"/>
                      <w:szCs w:val="21"/>
                      <w:highlight w:val="none"/>
                      <w:lang w:val="en-US" w:eastAsia="zh-CN"/>
                    </w:rPr>
                    <w:t>09油/水、烃/水混合物或者乳化液</w:t>
                  </w:r>
                </w:p>
              </w:tc>
              <w:tc>
                <w:tcPr>
                  <w:tcW w:w="1420" w:type="dxa"/>
                  <w:tcBorders>
                    <w:tl2br w:val="nil"/>
                    <w:tr2bl w:val="nil"/>
                  </w:tcBorders>
                  <w:noWrap w:val="0"/>
                  <w:vAlign w:val="center"/>
                </w:tcPr>
                <w:p w14:paraId="2DA94B76">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Cs w:val="21"/>
                      <w:highlight w:val="none"/>
                    </w:rPr>
                    <w:t>900-</w:t>
                  </w:r>
                  <w:r>
                    <w:rPr>
                      <w:rFonts w:hint="eastAsia" w:cs="Times New Roman"/>
                      <w:color w:val="auto"/>
                      <w:szCs w:val="21"/>
                      <w:highlight w:val="none"/>
                      <w:lang w:val="en-US" w:eastAsia="zh-CN"/>
                    </w:rPr>
                    <w:t>041</w:t>
                  </w:r>
                  <w:r>
                    <w:rPr>
                      <w:rFonts w:hint="default" w:ascii="Times New Roman" w:hAnsi="Times New Roman" w:cs="Times New Roman"/>
                      <w:color w:val="auto"/>
                      <w:szCs w:val="21"/>
                      <w:highlight w:val="none"/>
                    </w:rPr>
                    <w:t>-</w:t>
                  </w:r>
                  <w:r>
                    <w:rPr>
                      <w:rFonts w:hint="eastAsia" w:cs="Times New Roman"/>
                      <w:color w:val="auto"/>
                      <w:szCs w:val="21"/>
                      <w:highlight w:val="none"/>
                      <w:lang w:val="en-US" w:eastAsia="zh-CN"/>
                    </w:rPr>
                    <w:t>49</w:t>
                  </w:r>
                </w:p>
              </w:tc>
              <w:tc>
                <w:tcPr>
                  <w:tcW w:w="383" w:type="pct"/>
                  <w:vMerge w:val="continue"/>
                  <w:tcBorders>
                    <w:tl2br w:val="nil"/>
                    <w:tr2bl w:val="nil"/>
                  </w:tcBorders>
                  <w:noWrap w:val="0"/>
                  <w:vAlign w:val="center"/>
                </w:tcPr>
                <w:p w14:paraId="7EDC4BFE">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533" w:type="pct"/>
                  <w:vMerge w:val="continue"/>
                  <w:tcBorders>
                    <w:tl2br w:val="nil"/>
                    <w:tr2bl w:val="nil"/>
                  </w:tcBorders>
                  <w:noWrap w:val="0"/>
                  <w:vAlign w:val="center"/>
                </w:tcPr>
                <w:p w14:paraId="3A9257BC">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451" w:type="pct"/>
                  <w:tcBorders>
                    <w:tl2br w:val="nil"/>
                    <w:tr2bl w:val="nil"/>
                  </w:tcBorders>
                  <w:noWrap w:val="0"/>
                  <w:vAlign w:val="center"/>
                </w:tcPr>
                <w:p w14:paraId="3E1F3F92">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密封桶</w:t>
                  </w:r>
                </w:p>
              </w:tc>
              <w:tc>
                <w:tcPr>
                  <w:tcW w:w="416" w:type="pct"/>
                  <w:tcBorders>
                    <w:tl2br w:val="nil"/>
                    <w:tr2bl w:val="nil"/>
                  </w:tcBorders>
                  <w:noWrap w:val="0"/>
                  <w:vAlign w:val="center"/>
                </w:tcPr>
                <w:p w14:paraId="1CC3E354">
                  <w:pPr>
                    <w:pStyle w:val="123"/>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1t</w:t>
                  </w:r>
                </w:p>
              </w:tc>
              <w:tc>
                <w:tcPr>
                  <w:tcW w:w="370" w:type="pct"/>
                  <w:tcBorders>
                    <w:tl2br w:val="nil"/>
                    <w:tr2bl w:val="nil"/>
                  </w:tcBorders>
                  <w:noWrap w:val="0"/>
                  <w:vAlign w:val="center"/>
                </w:tcPr>
                <w:p w14:paraId="1ABE2F00">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3个月</w:t>
                  </w:r>
                </w:p>
              </w:tc>
            </w:tr>
            <w:tr w14:paraId="55BEE70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300" w:type="pct"/>
                  <w:tcBorders>
                    <w:tl2br w:val="nil"/>
                    <w:tr2bl w:val="nil"/>
                  </w:tcBorders>
                  <w:noWrap w:val="0"/>
                  <w:vAlign w:val="center"/>
                </w:tcPr>
                <w:p w14:paraId="1189B2D6">
                  <w:pPr>
                    <w:pStyle w:val="123"/>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7</w:t>
                  </w:r>
                </w:p>
              </w:tc>
              <w:tc>
                <w:tcPr>
                  <w:tcW w:w="539" w:type="pct"/>
                  <w:vMerge w:val="continue"/>
                  <w:tcBorders>
                    <w:tl2br w:val="nil"/>
                    <w:tr2bl w:val="nil"/>
                  </w:tcBorders>
                  <w:noWrap w:val="0"/>
                  <w:vAlign w:val="center"/>
                </w:tcPr>
                <w:p w14:paraId="15AE9ED2">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1174" w:type="dxa"/>
                  <w:tcBorders>
                    <w:tl2br w:val="nil"/>
                    <w:tr2bl w:val="nil"/>
                  </w:tcBorders>
                  <w:noWrap w:val="0"/>
                  <w:vAlign w:val="center"/>
                </w:tcPr>
                <w:p w14:paraId="2D98D2B2">
                  <w:pPr>
                    <w:keepNext w:val="0"/>
                    <w:keepLines w:val="0"/>
                    <w:suppressLineNumbers w:val="0"/>
                    <w:tabs>
                      <w:tab w:val="left" w:pos="1081"/>
                    </w:tabs>
                    <w:spacing w:before="0" w:beforeAutospacing="0" w:after="0" w:afterAutospacing="0"/>
                    <w:ind w:left="0" w:leftChars="0" w:right="0" w:right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清洗废水</w:t>
                  </w:r>
                </w:p>
              </w:tc>
              <w:tc>
                <w:tcPr>
                  <w:tcW w:w="1314" w:type="dxa"/>
                  <w:tcBorders>
                    <w:tl2br w:val="nil"/>
                    <w:tr2bl w:val="nil"/>
                  </w:tcBorders>
                  <w:noWrap w:val="0"/>
                  <w:vAlign w:val="center"/>
                </w:tcPr>
                <w:p w14:paraId="2871972E">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Cs w:val="21"/>
                      <w:highlight w:val="none"/>
                    </w:rPr>
                    <w:t>HW</w:t>
                  </w:r>
                  <w:r>
                    <w:rPr>
                      <w:rFonts w:hint="eastAsia" w:cs="Times New Roman"/>
                      <w:color w:val="auto"/>
                      <w:szCs w:val="21"/>
                      <w:highlight w:val="none"/>
                      <w:lang w:val="en-US" w:eastAsia="zh-CN"/>
                    </w:rPr>
                    <w:t>09油/水、烃/水混合物或者乳化液</w:t>
                  </w:r>
                </w:p>
              </w:tc>
              <w:tc>
                <w:tcPr>
                  <w:tcW w:w="1420" w:type="dxa"/>
                  <w:tcBorders>
                    <w:tl2br w:val="nil"/>
                    <w:tr2bl w:val="nil"/>
                  </w:tcBorders>
                  <w:noWrap w:val="0"/>
                  <w:vAlign w:val="center"/>
                </w:tcPr>
                <w:p w14:paraId="361BC040">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Cs w:val="21"/>
                      <w:highlight w:val="none"/>
                    </w:rPr>
                    <w:t>900-</w:t>
                  </w:r>
                  <w:r>
                    <w:rPr>
                      <w:rFonts w:hint="eastAsia" w:cs="Times New Roman"/>
                      <w:color w:val="auto"/>
                      <w:szCs w:val="21"/>
                      <w:highlight w:val="none"/>
                      <w:lang w:val="en-US" w:eastAsia="zh-CN"/>
                    </w:rPr>
                    <w:t>041</w:t>
                  </w:r>
                  <w:r>
                    <w:rPr>
                      <w:rFonts w:hint="default" w:ascii="Times New Roman" w:hAnsi="Times New Roman" w:cs="Times New Roman"/>
                      <w:color w:val="auto"/>
                      <w:szCs w:val="21"/>
                      <w:highlight w:val="none"/>
                    </w:rPr>
                    <w:t>-</w:t>
                  </w:r>
                  <w:r>
                    <w:rPr>
                      <w:rFonts w:hint="eastAsia" w:cs="Times New Roman"/>
                      <w:color w:val="auto"/>
                      <w:szCs w:val="21"/>
                      <w:highlight w:val="none"/>
                      <w:lang w:val="en-US" w:eastAsia="zh-CN"/>
                    </w:rPr>
                    <w:t>49</w:t>
                  </w:r>
                </w:p>
              </w:tc>
              <w:tc>
                <w:tcPr>
                  <w:tcW w:w="383" w:type="pct"/>
                  <w:vMerge w:val="continue"/>
                  <w:tcBorders>
                    <w:tl2br w:val="nil"/>
                    <w:tr2bl w:val="nil"/>
                  </w:tcBorders>
                  <w:noWrap w:val="0"/>
                  <w:vAlign w:val="center"/>
                </w:tcPr>
                <w:p w14:paraId="0859D2C7">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533" w:type="pct"/>
                  <w:vMerge w:val="continue"/>
                  <w:tcBorders>
                    <w:tl2br w:val="nil"/>
                    <w:tr2bl w:val="nil"/>
                  </w:tcBorders>
                  <w:noWrap w:val="0"/>
                  <w:vAlign w:val="center"/>
                </w:tcPr>
                <w:p w14:paraId="19ABF199">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p>
              </w:tc>
              <w:tc>
                <w:tcPr>
                  <w:tcW w:w="451" w:type="pct"/>
                  <w:tcBorders>
                    <w:tl2br w:val="nil"/>
                    <w:tr2bl w:val="nil"/>
                  </w:tcBorders>
                  <w:noWrap w:val="0"/>
                  <w:vAlign w:val="center"/>
                </w:tcPr>
                <w:p w14:paraId="3FC87E37">
                  <w:pPr>
                    <w:pStyle w:val="123"/>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密封桶</w:t>
                  </w:r>
                </w:p>
              </w:tc>
              <w:tc>
                <w:tcPr>
                  <w:tcW w:w="416" w:type="pct"/>
                  <w:tcBorders>
                    <w:tl2br w:val="nil"/>
                    <w:tr2bl w:val="nil"/>
                  </w:tcBorders>
                  <w:noWrap w:val="0"/>
                  <w:vAlign w:val="center"/>
                </w:tcPr>
                <w:p w14:paraId="166FFAA3">
                  <w:pPr>
                    <w:pStyle w:val="123"/>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5t</w:t>
                  </w:r>
                </w:p>
              </w:tc>
              <w:tc>
                <w:tcPr>
                  <w:tcW w:w="370" w:type="pct"/>
                  <w:tcBorders>
                    <w:tl2br w:val="nil"/>
                    <w:tr2bl w:val="nil"/>
                  </w:tcBorders>
                  <w:noWrap w:val="0"/>
                  <w:vAlign w:val="center"/>
                </w:tcPr>
                <w:p w14:paraId="7B2A03E8">
                  <w:pPr>
                    <w:pStyle w:val="123"/>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3个月</w:t>
                  </w:r>
                </w:p>
              </w:tc>
            </w:tr>
          </w:tbl>
          <w:p w14:paraId="5C491702">
            <w:pPr>
              <w:pStyle w:val="116"/>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20"/>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项目危险废物总产生量为</w:t>
            </w:r>
            <w:r>
              <w:rPr>
                <w:rFonts w:hint="eastAsia" w:cs="Times New Roman"/>
                <w:color w:val="auto"/>
                <w:sz w:val="21"/>
                <w:szCs w:val="21"/>
                <w:highlight w:val="none"/>
                <w:lang w:val="en-US" w:eastAsia="zh-CN"/>
              </w:rPr>
              <w:t>22.572</w:t>
            </w:r>
            <w:r>
              <w:rPr>
                <w:rFonts w:hint="default" w:ascii="Times New Roman" w:hAnsi="Times New Roman" w:cs="Times New Roman"/>
                <w:color w:val="auto"/>
                <w:sz w:val="21"/>
                <w:szCs w:val="21"/>
                <w:highlight w:val="none"/>
              </w:rPr>
              <w:t>t/a，危险废物按每三个月转移一次核算，每年转运4次，项目危险废物每3个月的产生量为</w:t>
            </w:r>
            <w:r>
              <w:rPr>
                <w:rFonts w:hint="eastAsia" w:cs="Times New Roman"/>
                <w:color w:val="auto"/>
                <w:sz w:val="21"/>
                <w:szCs w:val="21"/>
                <w:highlight w:val="none"/>
                <w:lang w:val="en-US" w:eastAsia="zh-CN"/>
              </w:rPr>
              <w:t>5.643</w:t>
            </w:r>
            <w:r>
              <w:rPr>
                <w:rFonts w:hint="default" w:ascii="Times New Roman" w:hAnsi="Times New Roman" w:cs="Times New Roman"/>
                <w:color w:val="auto"/>
                <w:sz w:val="21"/>
                <w:szCs w:val="21"/>
                <w:highlight w:val="none"/>
              </w:rPr>
              <w:t>t，项目设置一个</w:t>
            </w:r>
            <w:r>
              <w:rPr>
                <w:rFonts w:hint="eastAsia" w:cs="Times New Roman"/>
                <w:color w:val="auto"/>
                <w:sz w:val="21"/>
                <w:szCs w:val="21"/>
                <w:highlight w:val="none"/>
                <w:lang w:val="en-US" w:eastAsia="zh-CN"/>
              </w:rPr>
              <w:t>25</w:t>
            </w:r>
            <w:r>
              <w:rPr>
                <w:rFonts w:hint="default" w:ascii="Times New Roman" w:hAnsi="Times New Roman" w:cs="Times New Roman"/>
                <w:color w:val="auto"/>
                <w:sz w:val="21"/>
                <w:szCs w:val="21"/>
                <w:highlight w:val="none"/>
              </w:rPr>
              <w:t>m²的</w:t>
            </w:r>
            <w:r>
              <w:rPr>
                <w:rFonts w:hint="eastAsia" w:ascii="Times New Roman" w:hAnsi="Times New Roman" w:cs="Times New Roman"/>
                <w:color w:val="auto"/>
                <w:sz w:val="21"/>
                <w:szCs w:val="21"/>
                <w:highlight w:val="none"/>
                <w:lang w:val="en-US" w:eastAsia="zh-CN"/>
              </w:rPr>
              <w:t>危险废物暂存间</w:t>
            </w:r>
            <w:r>
              <w:rPr>
                <w:rFonts w:hint="default" w:ascii="Times New Roman" w:hAnsi="Times New Roman" w:cs="Times New Roman"/>
                <w:color w:val="auto"/>
                <w:sz w:val="21"/>
                <w:szCs w:val="21"/>
                <w:highlight w:val="none"/>
              </w:rPr>
              <w:t>可容纳约</w:t>
            </w:r>
            <w:r>
              <w:rPr>
                <w:rFonts w:hint="eastAsia" w:cs="Times New Roman"/>
                <w:color w:val="auto"/>
                <w:sz w:val="21"/>
                <w:szCs w:val="21"/>
                <w:highlight w:val="none"/>
                <w:lang w:val="en-US" w:eastAsia="zh-CN"/>
              </w:rPr>
              <w:t>8.7</w:t>
            </w:r>
            <w:r>
              <w:rPr>
                <w:rFonts w:hint="default" w:ascii="Times New Roman" w:hAnsi="Times New Roman" w:cs="Times New Roman"/>
                <w:color w:val="auto"/>
                <w:sz w:val="21"/>
                <w:szCs w:val="21"/>
                <w:highlight w:val="none"/>
              </w:rPr>
              <w:t>t的危险废物，因此在按照规定的转移频次下，项目危险废物暂存间可以满足存储的需求。</w:t>
            </w:r>
          </w:p>
          <w:p w14:paraId="5FB9FB4E">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危险废物暂存间应达到以下要求</w:t>
            </w:r>
            <w:r>
              <w:rPr>
                <w:rFonts w:hint="eastAsia" w:cs="Times New Roman"/>
                <w:color w:val="auto"/>
                <w:sz w:val="21"/>
                <w:szCs w:val="21"/>
                <w:highlight w:val="none"/>
                <w:lang w:eastAsia="zh-CN"/>
              </w:rPr>
              <w:t>：</w:t>
            </w:r>
          </w:p>
          <w:p w14:paraId="4F4236D0">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采取室内贮存方式，设置环境保护图形标志和警示标志。房屋上设坡屋顶防雨。为防止暴雨径流进入室内，固体废物贮存场周边设置导流渠，室内地坪高出室外地坪。</w:t>
            </w:r>
          </w:p>
          <w:p w14:paraId="6542E886">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固体废物袋装收集后，按类别放入相应的容器内，禁止一般废物与危险废物混放，不相容的危险废物分开存放并设有隔离间隔断。</w:t>
            </w:r>
          </w:p>
          <w:p w14:paraId="2A518C40">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收集固体废物的容器放置在隔架上，其底部与地面相距一定距离，以保持地面干燥，盛装在容器内的同类危险废物可以堆叠存放，每个堆间应留有搬运通道。</w:t>
            </w:r>
          </w:p>
          <w:p w14:paraId="6901C27A">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固体废物置场室内地面做耐腐蚀硬化处理，且表面无裂隙。</w:t>
            </w:r>
          </w:p>
          <w:p w14:paraId="38F37447">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固体废物置场内暂存的固体废物定期运至有关部门处置。</w:t>
            </w:r>
          </w:p>
          <w:p w14:paraId="0FFBA9B1">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室内做积水沟收集渗漏液，积水沟设排积水泵坑。</w:t>
            </w:r>
          </w:p>
          <w:p w14:paraId="2E293E59">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固体废物置场室内地面、裙脚和积水沟做防渗漏处理，所使用的材料要与危险废物相容。</w:t>
            </w:r>
          </w:p>
          <w:p w14:paraId="7B05AC32">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8</w:t>
            </w:r>
            <w:r>
              <w:rPr>
                <w:rFonts w:hint="eastAsia" w:cs="Times New Roman"/>
                <w:color w:val="auto"/>
                <w:sz w:val="21"/>
                <w:szCs w:val="21"/>
                <w:highlight w:val="none"/>
                <w:lang w:eastAsia="zh-CN"/>
              </w:rPr>
              <w:t>）</w:t>
            </w:r>
            <w:r>
              <w:rPr>
                <w:rFonts w:hint="default" w:ascii="Times New Roman" w:hAnsi="Times New Roman" w:cs="Times New Roman"/>
                <w:color w:val="auto"/>
                <w:sz w:val="21"/>
                <w:szCs w:val="21"/>
                <w:highlight w:val="none"/>
              </w:rPr>
              <w:t>建立档案制度，对暂存的废物种类、数量、特性、包装容器类别、存放库位、存入日期、运出日期等详细记录在案并长期保存。建立定期巡查、维护制度。</w:t>
            </w:r>
          </w:p>
          <w:p w14:paraId="4638EEB1">
            <w:pPr>
              <w:pStyle w:val="11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textAlignment w:val="auto"/>
              <w:rPr>
                <w:rFonts w:hint="default" w:ascii="Times New Roman" w:hAnsi="Times New Roman" w:cs="Times New Roman"/>
                <w:color w:val="auto"/>
                <w:sz w:val="21"/>
                <w:szCs w:val="21"/>
                <w:highlight w:val="none"/>
              </w:rPr>
            </w:pPr>
            <w:r>
              <w:rPr>
                <w:rFonts w:hint="eastAsia" w:cs="Times New Roman"/>
                <w:color w:val="auto"/>
                <w:sz w:val="21"/>
                <w:szCs w:val="21"/>
                <w:highlight w:val="none"/>
                <w:lang w:val="en-US" w:eastAsia="zh-CN"/>
              </w:rPr>
              <w:t>综上所述，</w:t>
            </w:r>
            <w:r>
              <w:rPr>
                <w:rFonts w:hint="default" w:ascii="Times New Roman" w:hAnsi="Times New Roman" w:cs="Times New Roman"/>
                <w:color w:val="auto"/>
                <w:sz w:val="21"/>
                <w:szCs w:val="21"/>
                <w:highlight w:val="none"/>
              </w:rPr>
              <w:t>本项目实施后对固体废物的处置应本着减量化、资源化、无害化的原则，进行妥善处理，预计可以避免对环境造成二次污染，不会对环境造成不利影响。</w:t>
            </w:r>
          </w:p>
          <w:p w14:paraId="25C0EA2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382" w:firstLineChars="200"/>
              <w:textAlignment w:val="auto"/>
              <w:rPr>
                <w:rFonts w:hint="default" w:ascii="Times New Roman" w:hAnsi="Times New Roman" w:cs="Times New Roman"/>
                <w:b/>
                <w:bCs/>
                <w:color w:val="auto"/>
                <w:spacing w:val="-10"/>
                <w:szCs w:val="21"/>
                <w:highlight w:val="none"/>
              </w:rPr>
            </w:pPr>
            <w:r>
              <w:rPr>
                <w:rFonts w:hint="eastAsia" w:cs="Times New Roman"/>
                <w:b/>
                <w:bCs/>
                <w:color w:val="auto"/>
                <w:spacing w:val="-10"/>
                <w:szCs w:val="21"/>
                <w:highlight w:val="none"/>
                <w:lang w:val="en-US" w:eastAsia="zh-CN"/>
              </w:rPr>
              <w:t>5、</w:t>
            </w:r>
            <w:r>
              <w:rPr>
                <w:rFonts w:hint="default" w:ascii="Times New Roman" w:hAnsi="Times New Roman" w:cs="Times New Roman"/>
                <w:b/>
                <w:bCs/>
                <w:color w:val="auto"/>
                <w:spacing w:val="-10"/>
                <w:szCs w:val="21"/>
                <w:highlight w:val="none"/>
              </w:rPr>
              <w:t>土壤及地下水</w:t>
            </w:r>
          </w:p>
          <w:p w14:paraId="0C0A39A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382" w:firstLineChars="200"/>
              <w:textAlignment w:val="auto"/>
              <w:rPr>
                <w:rFonts w:hint="default" w:ascii="Times New Roman" w:hAnsi="Times New Roman" w:cs="Times New Roman"/>
                <w:b/>
                <w:bCs/>
                <w:color w:val="auto"/>
                <w:spacing w:val="-10"/>
                <w:szCs w:val="21"/>
                <w:highlight w:val="none"/>
                <w:lang w:val="en-US" w:eastAsia="zh-CN"/>
              </w:rPr>
            </w:pPr>
            <w:r>
              <w:rPr>
                <w:rFonts w:hint="eastAsia" w:ascii="Times New Roman" w:hAnsi="Times New Roman" w:cs="Times New Roman"/>
                <w:b/>
                <w:bCs/>
                <w:color w:val="auto"/>
                <w:spacing w:val="-10"/>
                <w:szCs w:val="21"/>
                <w:highlight w:val="none"/>
                <w:lang w:val="en-US" w:eastAsia="zh-CN"/>
              </w:rPr>
              <w:t>5.1地下水</w:t>
            </w:r>
          </w:p>
          <w:p w14:paraId="16B5160A">
            <w:pPr>
              <w:pStyle w:val="18"/>
              <w:keepNext w:val="0"/>
              <w:keepLines w:val="0"/>
              <w:suppressLineNumbers w:val="0"/>
              <w:adjustRightInd w:val="0"/>
              <w:spacing w:before="0" w:beforeAutospacing="0" w:after="0" w:afterAutospacing="0" w:line="360" w:lineRule="auto"/>
              <w:ind w:left="0" w:right="0" w:firstLine="420" w:firstLineChars="20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本项目可能存在的对地下水和土壤的污染源有</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生产车间生产过程的跑冒滴漏、危险废物储存间液态物料泄漏、</w:t>
            </w:r>
            <w:r>
              <w:rPr>
                <w:rFonts w:hint="eastAsia" w:cs="Times New Roman"/>
                <w:color w:val="auto"/>
                <w:sz w:val="21"/>
                <w:szCs w:val="21"/>
                <w:highlight w:val="none"/>
                <w:lang w:val="en-US" w:eastAsia="zh-CN"/>
              </w:rPr>
              <w:t>清洗</w:t>
            </w:r>
            <w:r>
              <w:rPr>
                <w:rFonts w:hint="default" w:ascii="Times New Roman" w:hAnsi="Times New Roman" w:eastAsia="宋体" w:cs="Times New Roman"/>
                <w:color w:val="auto"/>
                <w:sz w:val="21"/>
                <w:szCs w:val="21"/>
                <w:highlight w:val="none"/>
              </w:rPr>
              <w:t>废水</w:t>
            </w:r>
            <w:r>
              <w:rPr>
                <w:rFonts w:hint="eastAsia" w:cs="Times New Roman"/>
                <w:color w:val="auto"/>
                <w:sz w:val="21"/>
                <w:szCs w:val="21"/>
                <w:highlight w:val="none"/>
                <w:lang w:val="en-US" w:eastAsia="zh-CN"/>
              </w:rPr>
              <w:t>和冷却废水</w:t>
            </w:r>
            <w:r>
              <w:rPr>
                <w:rFonts w:hint="default" w:ascii="Times New Roman" w:hAnsi="Times New Roman" w:eastAsia="宋体" w:cs="Times New Roman"/>
                <w:color w:val="auto"/>
                <w:sz w:val="21"/>
                <w:szCs w:val="21"/>
                <w:highlight w:val="none"/>
              </w:rPr>
              <w:t>泄漏等，污染物类型主要为有机污染物。</w:t>
            </w:r>
          </w:p>
          <w:p w14:paraId="0402600E">
            <w:pPr>
              <w:pStyle w:val="18"/>
              <w:keepNext w:val="0"/>
              <w:keepLines w:val="0"/>
              <w:suppressLineNumbers w:val="0"/>
              <w:adjustRightInd w:val="0"/>
              <w:spacing w:before="0" w:beforeAutospacing="0" w:after="0" w:afterAutospacing="0" w:line="360" w:lineRule="auto"/>
              <w:ind w:left="0" w:right="0" w:firstLine="420" w:firstLineChars="20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根据《环境影响评价技术导则地下水环境》中表7</w:t>
            </w:r>
            <w:r>
              <w:rPr>
                <w:rFonts w:hint="eastAsia" w:ascii="宋体" w:hAnsi="宋体" w:eastAsia="宋体" w:cs="宋体"/>
                <w:color w:val="auto"/>
                <w:sz w:val="21"/>
                <w:szCs w:val="21"/>
                <w:highlight w:val="none"/>
              </w:rPr>
              <w:t>“地下</w:t>
            </w:r>
            <w:r>
              <w:rPr>
                <w:rFonts w:hint="default" w:ascii="Times New Roman" w:hAnsi="Times New Roman" w:eastAsia="宋体" w:cs="Times New Roman"/>
                <w:color w:val="auto"/>
                <w:sz w:val="21"/>
                <w:szCs w:val="21"/>
                <w:highlight w:val="none"/>
              </w:rPr>
              <w:t>水污染防渗分区</w:t>
            </w:r>
            <w:r>
              <w:rPr>
                <w:rFonts w:hint="eastAsia" w:ascii="宋体" w:hAnsi="宋体" w:eastAsia="宋体" w:cs="宋体"/>
                <w:color w:val="auto"/>
                <w:sz w:val="21"/>
                <w:szCs w:val="21"/>
                <w:highlight w:val="none"/>
              </w:rPr>
              <w:t>参照表”，</w:t>
            </w:r>
            <w:r>
              <w:rPr>
                <w:rFonts w:hint="default" w:ascii="Times New Roman" w:hAnsi="Times New Roman" w:eastAsia="宋体" w:cs="Times New Roman"/>
                <w:color w:val="auto"/>
                <w:sz w:val="21"/>
                <w:szCs w:val="21"/>
                <w:highlight w:val="none"/>
              </w:rPr>
              <w:t>将厂区划分为重点防渗区、一般防渗区和简单防渗区，针对不同的区域提出相应的防渗要求。重点防渗区</w:t>
            </w:r>
            <w:r>
              <w:rPr>
                <w:rFonts w:hint="eastAsia" w:cs="Times New Roman"/>
                <w:color w:val="auto"/>
                <w:sz w:val="21"/>
                <w:szCs w:val="21"/>
                <w:highlight w:val="none"/>
                <w:lang w:val="en-US" w:eastAsia="zh-CN"/>
              </w:rPr>
              <w:t>包括</w:t>
            </w:r>
            <w:r>
              <w:rPr>
                <w:rFonts w:hint="default" w:ascii="Times New Roman" w:hAnsi="Times New Roman" w:eastAsia="宋体" w:cs="Times New Roman"/>
                <w:color w:val="auto"/>
                <w:sz w:val="21"/>
                <w:szCs w:val="21"/>
                <w:highlight w:val="none"/>
              </w:rPr>
              <w:t>原料仓库、危险废物暂存间；一般防渗区</w:t>
            </w:r>
            <w:r>
              <w:rPr>
                <w:rFonts w:hint="eastAsia" w:cs="Times New Roman"/>
                <w:color w:val="auto"/>
                <w:sz w:val="21"/>
                <w:szCs w:val="21"/>
                <w:highlight w:val="none"/>
                <w:lang w:val="en-US" w:eastAsia="zh-CN"/>
              </w:rPr>
              <w:t>包括</w:t>
            </w:r>
            <w:r>
              <w:rPr>
                <w:rFonts w:hint="default" w:ascii="Times New Roman" w:hAnsi="Times New Roman" w:eastAsia="宋体" w:cs="Times New Roman"/>
                <w:color w:val="auto"/>
                <w:sz w:val="21"/>
                <w:szCs w:val="21"/>
                <w:highlight w:val="none"/>
              </w:rPr>
              <w:t>一般固废暂存间、生产车间；简单防渗区</w:t>
            </w:r>
            <w:r>
              <w:rPr>
                <w:rFonts w:hint="eastAsia" w:cs="Times New Roman"/>
                <w:color w:val="auto"/>
                <w:sz w:val="21"/>
                <w:szCs w:val="21"/>
                <w:highlight w:val="none"/>
                <w:lang w:val="en-US" w:eastAsia="zh-CN"/>
              </w:rPr>
              <w:t>包括</w:t>
            </w:r>
            <w:r>
              <w:rPr>
                <w:rFonts w:hint="default" w:ascii="Times New Roman" w:hAnsi="Times New Roman" w:eastAsia="宋体" w:cs="Times New Roman"/>
                <w:color w:val="auto"/>
                <w:sz w:val="21"/>
                <w:szCs w:val="21"/>
                <w:highlight w:val="none"/>
              </w:rPr>
              <w:t>办公区。</w:t>
            </w:r>
          </w:p>
          <w:p w14:paraId="24428436">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157" w:afterLines="50" w:afterAutospacing="0"/>
              <w:ind w:right="0"/>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项目防渗分区识别表</w:t>
            </w:r>
          </w:p>
          <w:tbl>
            <w:tblPr>
              <w:tblStyle w:val="42"/>
              <w:tblW w:w="0" w:type="auto"/>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4"/>
              <w:gridCol w:w="1145"/>
              <w:gridCol w:w="1800"/>
              <w:gridCol w:w="4751"/>
            </w:tblGrid>
            <w:tr w14:paraId="39DEAE0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9" w:type="dxa"/>
                  <w:gridSpan w:val="2"/>
                  <w:tcBorders>
                    <w:tl2br w:val="nil"/>
                    <w:tr2bl w:val="nil"/>
                  </w:tcBorders>
                  <w:vAlign w:val="center"/>
                </w:tcPr>
                <w:p w14:paraId="0BFAC38C">
                  <w:pPr>
                    <w:pStyle w:val="123"/>
                    <w:keepNext w:val="0"/>
                    <w:keepLines w:val="0"/>
                    <w:suppressLineNumbers w:val="0"/>
                    <w:ind w:left="0" w:right="0"/>
                    <w:jc w:val="center"/>
                    <w:rPr>
                      <w:rFonts w:hint="eastAsia" w:ascii="Times New Roman" w:hAnsi="Times New Roman" w:eastAsia="宋体" w:cs="Times New Roman"/>
                      <w:b/>
                      <w:color w:val="auto"/>
                      <w:highlight w:val="none"/>
                      <w:lang w:val="en-US" w:eastAsia="zh-CN"/>
                    </w:rPr>
                  </w:pPr>
                  <w:r>
                    <w:rPr>
                      <w:rFonts w:hint="eastAsia" w:ascii="Times New Roman" w:hAnsi="Times New Roman" w:cs="Times New Roman"/>
                      <w:b/>
                      <w:color w:val="auto"/>
                      <w:highlight w:val="none"/>
                      <w:lang w:val="en-US" w:eastAsia="zh-CN"/>
                    </w:rPr>
                    <w:t>区域</w:t>
                  </w:r>
                </w:p>
              </w:tc>
              <w:tc>
                <w:tcPr>
                  <w:tcW w:w="1800" w:type="dxa"/>
                  <w:tcBorders>
                    <w:tl2br w:val="nil"/>
                    <w:tr2bl w:val="nil"/>
                  </w:tcBorders>
                  <w:vAlign w:val="center"/>
                </w:tcPr>
                <w:p w14:paraId="3C882E20">
                  <w:pPr>
                    <w:pStyle w:val="123"/>
                    <w:keepNext w:val="0"/>
                    <w:keepLines w:val="0"/>
                    <w:suppressLineNumbers w:val="0"/>
                    <w:ind w:left="0" w:right="0"/>
                    <w:jc w:val="center"/>
                    <w:rPr>
                      <w:rFonts w:hint="default" w:ascii="Times New Roman" w:hAnsi="Times New Roman" w:eastAsia="宋体" w:cs="Times New Roman"/>
                      <w:b/>
                      <w:color w:val="auto"/>
                      <w:highlight w:val="none"/>
                      <w:lang w:val="en-US" w:eastAsia="zh-CN"/>
                    </w:rPr>
                  </w:pPr>
                  <w:r>
                    <w:rPr>
                      <w:rFonts w:hint="eastAsia" w:ascii="Times New Roman" w:hAnsi="Times New Roman" w:cs="Times New Roman"/>
                      <w:b/>
                      <w:color w:val="auto"/>
                      <w:highlight w:val="none"/>
                      <w:lang w:val="en-US" w:eastAsia="zh-CN"/>
                    </w:rPr>
                    <w:t>潜在污染物</w:t>
                  </w:r>
                </w:p>
              </w:tc>
              <w:tc>
                <w:tcPr>
                  <w:tcW w:w="4751" w:type="dxa"/>
                  <w:tcBorders>
                    <w:tl2br w:val="nil"/>
                    <w:tr2bl w:val="nil"/>
                  </w:tcBorders>
                  <w:vAlign w:val="center"/>
                </w:tcPr>
                <w:p w14:paraId="1E322CF3">
                  <w:pPr>
                    <w:pStyle w:val="123"/>
                    <w:keepNext w:val="0"/>
                    <w:keepLines w:val="0"/>
                    <w:suppressLineNumbers w:val="0"/>
                    <w:ind w:left="0" w:right="0"/>
                    <w:jc w:val="center"/>
                    <w:rPr>
                      <w:rFonts w:hint="default" w:ascii="Times New Roman" w:hAnsi="Times New Roman" w:eastAsia="宋体" w:cs="Times New Roman"/>
                      <w:b/>
                      <w:color w:val="auto"/>
                      <w:highlight w:val="none"/>
                    </w:rPr>
                  </w:pPr>
                  <w:r>
                    <w:rPr>
                      <w:rFonts w:hint="default" w:ascii="Times New Roman" w:hAnsi="Times New Roman" w:eastAsia="宋体" w:cs="Times New Roman"/>
                      <w:b/>
                      <w:color w:val="auto"/>
                      <w:highlight w:val="none"/>
                    </w:rPr>
                    <w:t>防渗措施</w:t>
                  </w:r>
                </w:p>
              </w:tc>
            </w:tr>
            <w:tr w14:paraId="686F334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tcBorders>
                    <w:tl2br w:val="nil"/>
                    <w:tr2bl w:val="nil"/>
                  </w:tcBorders>
                  <w:vAlign w:val="center"/>
                </w:tcPr>
                <w:p w14:paraId="37B16946">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重点防渗区</w:t>
                  </w:r>
                </w:p>
              </w:tc>
              <w:tc>
                <w:tcPr>
                  <w:tcW w:w="1145" w:type="dxa"/>
                  <w:tcBorders>
                    <w:tl2br w:val="nil"/>
                    <w:tr2bl w:val="nil"/>
                  </w:tcBorders>
                  <w:vAlign w:val="center"/>
                </w:tcPr>
                <w:p w14:paraId="09995B4C">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原料仓</w:t>
                  </w:r>
                </w:p>
              </w:tc>
              <w:tc>
                <w:tcPr>
                  <w:tcW w:w="1800" w:type="dxa"/>
                  <w:tcBorders>
                    <w:tl2br w:val="nil"/>
                    <w:tr2bl w:val="nil"/>
                  </w:tcBorders>
                  <w:vAlign w:val="center"/>
                </w:tcPr>
                <w:p w14:paraId="0D43F95B">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水性油墨、机油等液态原料</w:t>
                  </w:r>
                </w:p>
              </w:tc>
              <w:tc>
                <w:tcPr>
                  <w:tcW w:w="4751" w:type="dxa"/>
                  <w:tcBorders>
                    <w:tl2br w:val="nil"/>
                    <w:tr2bl w:val="nil"/>
                  </w:tcBorders>
                  <w:vAlign w:val="center"/>
                </w:tcPr>
                <w:p w14:paraId="24B0DBFE">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rPr>
                  </w:pPr>
                  <w:r>
                    <w:rPr>
                      <w:rFonts w:hint="default" w:ascii="Times New Roman" w:hAnsi="Times New Roman" w:eastAsia="宋体" w:cs="Times New Roman"/>
                      <w:bCs/>
                      <w:color w:val="auto"/>
                      <w:kern w:val="0"/>
                      <w:highlight w:val="none"/>
                    </w:rPr>
                    <w:t>采用掺入水泥基渗透结晶型防水剂抗渗混凝土的方法进行处理，防渗层为至少1m厚黏土层（渗透系数不大于10</w:t>
                  </w:r>
                  <w:r>
                    <w:rPr>
                      <w:rFonts w:hint="default" w:ascii="Times New Roman" w:hAnsi="Times New Roman" w:eastAsia="宋体" w:cs="Times New Roman"/>
                      <w:bCs/>
                      <w:color w:val="auto"/>
                      <w:kern w:val="0"/>
                      <w:highlight w:val="none"/>
                      <w:vertAlign w:val="superscript"/>
                    </w:rPr>
                    <w:t>7</w:t>
                  </w:r>
                  <w:r>
                    <w:rPr>
                      <w:rFonts w:hint="default" w:ascii="Times New Roman" w:hAnsi="Times New Roman" w:eastAsia="宋体" w:cs="Times New Roman"/>
                      <w:bCs/>
                      <w:color w:val="auto"/>
                      <w:kern w:val="0"/>
                      <w:highlight w:val="none"/>
                    </w:rPr>
                    <w:t>cm/s），或至少2mm厚高密度聚乙烯膜等人工防渗材料（渗透系数不大于10</w:t>
                  </w:r>
                  <w:r>
                    <w:rPr>
                      <w:rFonts w:hint="default" w:ascii="Times New Roman" w:hAnsi="Times New Roman" w:eastAsia="宋体" w:cs="Times New Roman"/>
                      <w:bCs/>
                      <w:color w:val="auto"/>
                      <w:kern w:val="0"/>
                      <w:highlight w:val="none"/>
                      <w:vertAlign w:val="superscript"/>
                    </w:rPr>
                    <w:t>-</w:t>
                  </w:r>
                  <w:r>
                    <w:rPr>
                      <w:rFonts w:hint="eastAsia" w:cs="Times New Roman"/>
                      <w:bCs/>
                      <w:color w:val="auto"/>
                      <w:kern w:val="0"/>
                      <w:highlight w:val="none"/>
                      <w:vertAlign w:val="superscript"/>
                      <w:lang w:val="en-US" w:eastAsia="zh-CN"/>
                    </w:rPr>
                    <w:t>1</w:t>
                  </w:r>
                  <w:r>
                    <w:rPr>
                      <w:rFonts w:hint="default" w:ascii="Times New Roman" w:hAnsi="Times New Roman" w:eastAsia="宋体" w:cs="Times New Roman"/>
                      <w:bCs/>
                      <w:color w:val="auto"/>
                      <w:kern w:val="0"/>
                      <w:highlight w:val="none"/>
                      <w:vertAlign w:val="superscript"/>
                    </w:rPr>
                    <w:t>0</w:t>
                  </w:r>
                  <w:r>
                    <w:rPr>
                      <w:rFonts w:hint="default" w:ascii="Times New Roman" w:hAnsi="Times New Roman" w:eastAsia="宋体" w:cs="Times New Roman"/>
                      <w:bCs/>
                      <w:color w:val="auto"/>
                      <w:kern w:val="0"/>
                      <w:highlight w:val="none"/>
                    </w:rPr>
                    <w:t>cm/s），抗渗混凝土厚度不宜小于100mm，抗渗等级不低于P6，强度等级不低于C25，水灰比不宜大于0.5。危废暂存间地面和墙面1m处涂环氧树脂漆防腐</w:t>
                  </w:r>
                </w:p>
              </w:tc>
            </w:tr>
            <w:tr w14:paraId="5C28C0F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l2br w:val="nil"/>
                    <w:tr2bl w:val="nil"/>
                  </w:tcBorders>
                  <w:vAlign w:val="center"/>
                </w:tcPr>
                <w:p w14:paraId="1872BFE2">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rPr>
                  </w:pPr>
                </w:p>
              </w:tc>
              <w:tc>
                <w:tcPr>
                  <w:tcW w:w="1145" w:type="dxa"/>
                  <w:tcBorders>
                    <w:tl2br w:val="nil"/>
                    <w:tr2bl w:val="nil"/>
                  </w:tcBorders>
                  <w:vAlign w:val="center"/>
                </w:tcPr>
                <w:p w14:paraId="2E631548">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危废暂存间</w:t>
                  </w:r>
                </w:p>
              </w:tc>
              <w:tc>
                <w:tcPr>
                  <w:tcW w:w="1800" w:type="dxa"/>
                  <w:tcBorders>
                    <w:tl2br w:val="nil"/>
                    <w:tr2bl w:val="nil"/>
                  </w:tcBorders>
                  <w:vAlign w:val="center"/>
                </w:tcPr>
                <w:p w14:paraId="04D3A6D5">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废机油、清洗废水和冷却废水</w:t>
                  </w:r>
                </w:p>
              </w:tc>
              <w:tc>
                <w:tcPr>
                  <w:tcW w:w="4751" w:type="dxa"/>
                  <w:vMerge w:val="restart"/>
                  <w:tcBorders>
                    <w:tl2br w:val="nil"/>
                    <w:tr2bl w:val="nil"/>
                  </w:tcBorders>
                  <w:vAlign w:val="center"/>
                </w:tcPr>
                <w:p w14:paraId="20CBF885">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rPr>
                  </w:pPr>
                  <w:r>
                    <w:rPr>
                      <w:rFonts w:hint="default" w:ascii="Times New Roman" w:hAnsi="Times New Roman" w:eastAsia="宋体" w:cs="Times New Roman"/>
                      <w:bCs/>
                      <w:color w:val="auto"/>
                      <w:kern w:val="0"/>
                      <w:highlight w:val="none"/>
                    </w:rPr>
                    <w:t>根据《环境影响评价技术导则地下水环境》（HJ610-2016）：一般污染防渗区等效黏土防渗层Mb≥1.5m，K≤1</w:t>
                  </w:r>
                  <w:r>
                    <w:rPr>
                      <w:rFonts w:hint="default" w:ascii="Times New Roman" w:hAnsi="Times New Roman" w:cs="Times New Roman"/>
                      <w:bCs/>
                      <w:color w:val="auto"/>
                      <w:kern w:val="0"/>
                      <w:highlight w:val="none"/>
                      <w:lang w:val="en-US" w:eastAsia="zh-CN"/>
                    </w:rPr>
                    <w:t>×</w:t>
                  </w:r>
                  <w:r>
                    <w:rPr>
                      <w:rFonts w:hint="default" w:ascii="Times New Roman" w:hAnsi="Times New Roman" w:eastAsia="宋体" w:cs="Times New Roman"/>
                      <w:bCs/>
                      <w:color w:val="auto"/>
                      <w:kern w:val="0"/>
                      <w:highlight w:val="none"/>
                    </w:rPr>
                    <w:t>10</w:t>
                  </w:r>
                  <w:r>
                    <w:rPr>
                      <w:rFonts w:hint="eastAsia" w:cs="Times New Roman"/>
                      <w:bCs/>
                      <w:color w:val="auto"/>
                      <w:kern w:val="0"/>
                      <w:highlight w:val="none"/>
                      <w:vertAlign w:val="superscript"/>
                      <w:lang w:val="en-US" w:eastAsia="zh-CN"/>
                    </w:rPr>
                    <w:t>-7</w:t>
                  </w:r>
                  <w:r>
                    <w:rPr>
                      <w:rFonts w:hint="default" w:ascii="Times New Roman" w:hAnsi="Times New Roman" w:eastAsia="宋体" w:cs="Times New Roman"/>
                      <w:bCs/>
                      <w:color w:val="auto"/>
                      <w:kern w:val="0"/>
                      <w:highlight w:val="none"/>
                    </w:rPr>
                    <w:t>cm/s；或参照GB16889执行</w:t>
                  </w:r>
                </w:p>
              </w:tc>
            </w:tr>
            <w:tr w14:paraId="3D67C80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tcBorders>
                    <w:tl2br w:val="nil"/>
                    <w:tr2bl w:val="nil"/>
                  </w:tcBorders>
                  <w:vAlign w:val="center"/>
                </w:tcPr>
                <w:p w14:paraId="1AEEBE16">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一般防渗区</w:t>
                  </w:r>
                </w:p>
              </w:tc>
              <w:tc>
                <w:tcPr>
                  <w:tcW w:w="1145" w:type="dxa"/>
                  <w:tcBorders>
                    <w:tl2br w:val="nil"/>
                    <w:tr2bl w:val="nil"/>
                  </w:tcBorders>
                  <w:vAlign w:val="center"/>
                </w:tcPr>
                <w:p w14:paraId="04E7B688">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一般固体废物暂存间</w:t>
                  </w:r>
                </w:p>
              </w:tc>
              <w:tc>
                <w:tcPr>
                  <w:tcW w:w="1800" w:type="dxa"/>
                  <w:tcBorders>
                    <w:tl2br w:val="nil"/>
                    <w:tr2bl w:val="nil"/>
                  </w:tcBorders>
                  <w:vAlign w:val="center"/>
                </w:tcPr>
                <w:p w14:paraId="358F8934">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一般固体废物</w:t>
                  </w:r>
                </w:p>
              </w:tc>
              <w:tc>
                <w:tcPr>
                  <w:tcW w:w="4751" w:type="dxa"/>
                  <w:vMerge w:val="continue"/>
                  <w:tcBorders>
                    <w:tl2br w:val="nil"/>
                    <w:tr2bl w:val="nil"/>
                  </w:tcBorders>
                  <w:vAlign w:val="center"/>
                </w:tcPr>
                <w:p w14:paraId="40A4E645">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rPr>
                  </w:pPr>
                </w:p>
              </w:tc>
            </w:tr>
            <w:tr w14:paraId="7EC2FBD7">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l2br w:val="nil"/>
                    <w:tr2bl w:val="nil"/>
                  </w:tcBorders>
                  <w:vAlign w:val="center"/>
                </w:tcPr>
                <w:p w14:paraId="7F2CA7AE">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rPr>
                  </w:pPr>
                </w:p>
              </w:tc>
              <w:tc>
                <w:tcPr>
                  <w:tcW w:w="1145" w:type="dxa"/>
                  <w:tcBorders>
                    <w:tl2br w:val="nil"/>
                    <w:tr2bl w:val="nil"/>
                  </w:tcBorders>
                  <w:vAlign w:val="center"/>
                </w:tcPr>
                <w:p w14:paraId="127B2330">
                  <w:pPr>
                    <w:keepNext w:val="0"/>
                    <w:keepLines w:val="0"/>
                    <w:suppressLineNumbers w:val="0"/>
                    <w:tabs>
                      <w:tab w:val="left" w:pos="1081"/>
                    </w:tabs>
                    <w:spacing w:before="0" w:beforeAutospacing="0" w:after="0" w:afterAutospacing="0"/>
                    <w:ind w:left="0" w:right="0"/>
                    <w:jc w:val="center"/>
                    <w:rPr>
                      <w:rFonts w:hint="eastAsia"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生产车间</w:t>
                  </w:r>
                </w:p>
              </w:tc>
              <w:tc>
                <w:tcPr>
                  <w:tcW w:w="1800" w:type="dxa"/>
                  <w:tcBorders>
                    <w:tl2br w:val="nil"/>
                    <w:tr2bl w:val="nil"/>
                  </w:tcBorders>
                  <w:vAlign w:val="center"/>
                </w:tcPr>
                <w:p w14:paraId="726553A1">
                  <w:pPr>
                    <w:keepNext w:val="0"/>
                    <w:keepLines w:val="0"/>
                    <w:suppressLineNumbers w:val="0"/>
                    <w:tabs>
                      <w:tab w:val="left" w:pos="1081"/>
                    </w:tabs>
                    <w:spacing w:before="0" w:beforeAutospacing="0" w:after="0" w:afterAutospacing="0"/>
                    <w:ind w:left="0" w:right="0"/>
                    <w:jc w:val="center"/>
                    <w:rPr>
                      <w:rFonts w:hint="eastAsia"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物料</w:t>
                  </w:r>
                </w:p>
              </w:tc>
              <w:tc>
                <w:tcPr>
                  <w:tcW w:w="4751" w:type="dxa"/>
                  <w:vMerge w:val="continue"/>
                  <w:tcBorders>
                    <w:tl2br w:val="nil"/>
                    <w:tr2bl w:val="nil"/>
                  </w:tcBorders>
                  <w:vAlign w:val="center"/>
                </w:tcPr>
                <w:p w14:paraId="7F9E7240">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rPr>
                  </w:pPr>
                </w:p>
              </w:tc>
            </w:tr>
            <w:tr w14:paraId="7913EFE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l2br w:val="nil"/>
                    <w:tr2bl w:val="nil"/>
                  </w:tcBorders>
                  <w:vAlign w:val="center"/>
                </w:tcPr>
                <w:p w14:paraId="5752F8BE">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简单防渗区</w:t>
                  </w:r>
                </w:p>
              </w:tc>
              <w:tc>
                <w:tcPr>
                  <w:tcW w:w="1145" w:type="dxa"/>
                  <w:tcBorders>
                    <w:tl2br w:val="nil"/>
                    <w:tr2bl w:val="nil"/>
                  </w:tcBorders>
                  <w:vAlign w:val="center"/>
                </w:tcPr>
                <w:p w14:paraId="023F28E4">
                  <w:pPr>
                    <w:keepNext w:val="0"/>
                    <w:keepLines w:val="0"/>
                    <w:suppressLineNumbers w:val="0"/>
                    <w:tabs>
                      <w:tab w:val="left" w:pos="1081"/>
                    </w:tabs>
                    <w:spacing w:before="0" w:beforeAutospacing="0" w:after="0" w:afterAutospacing="0"/>
                    <w:ind w:left="0" w:right="0"/>
                    <w:jc w:val="center"/>
                    <w:rPr>
                      <w:rFonts w:hint="eastAsia"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办公区</w:t>
                  </w:r>
                </w:p>
              </w:tc>
              <w:tc>
                <w:tcPr>
                  <w:tcW w:w="1800" w:type="dxa"/>
                  <w:tcBorders>
                    <w:tl2br w:val="nil"/>
                    <w:tr2bl w:val="nil"/>
                  </w:tcBorders>
                  <w:vAlign w:val="center"/>
                </w:tcPr>
                <w:p w14:paraId="79F31372">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生活垃圾</w:t>
                  </w:r>
                </w:p>
              </w:tc>
              <w:tc>
                <w:tcPr>
                  <w:tcW w:w="4751" w:type="dxa"/>
                  <w:tcBorders>
                    <w:tl2br w:val="nil"/>
                    <w:tr2bl w:val="nil"/>
                  </w:tcBorders>
                  <w:vAlign w:val="center"/>
                </w:tcPr>
                <w:p w14:paraId="22DFE9DC">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一般地面硬化</w:t>
                  </w:r>
                </w:p>
              </w:tc>
            </w:tr>
          </w:tbl>
          <w:p w14:paraId="09CC1FF2">
            <w:pPr>
              <w:pStyle w:val="18"/>
              <w:keepNext w:val="0"/>
              <w:keepLines w:val="0"/>
              <w:pageBreakBefore w:val="0"/>
              <w:widowControl/>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运营期正常工况下，物料经包装桶运输储存，不会出现跑、冒、滴、漏现象。因此，正常工况下，项目不存在地下水污染途径，对地下水影响很小。</w:t>
            </w:r>
          </w:p>
          <w:p w14:paraId="29C370E2">
            <w:pPr>
              <w:pStyle w:val="18"/>
              <w:keepNext w:val="0"/>
              <w:keepLines w:val="0"/>
              <w:suppressLineNumbers w:val="0"/>
              <w:adjustRightInd w:val="0"/>
              <w:spacing w:before="0" w:beforeAutospacing="0" w:after="0" w:afterAutospacing="0" w:line="360" w:lineRule="auto"/>
              <w:ind w:left="0" w:right="0" w:firstLine="420" w:firstLineChars="20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非正常工况下可能存在的地下水污染途径为：贮存液态物料的容器发生泄漏外流，防渗层破损。固废储存时浸出液的污染物可能泄漏直接进入地下水，对地下水造成污染。</w:t>
            </w:r>
          </w:p>
          <w:p w14:paraId="32EC06E2">
            <w:pPr>
              <w:pStyle w:val="18"/>
              <w:keepNext w:val="0"/>
              <w:keepLines w:val="0"/>
              <w:suppressLineNumbers w:val="0"/>
              <w:adjustRightInd w:val="0"/>
              <w:spacing w:before="0" w:beforeAutospacing="0" w:after="0" w:afterAutospacing="0" w:line="360" w:lineRule="auto"/>
              <w:ind w:left="0" w:right="0" w:firstLine="420" w:firstLineChars="20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因此，本项目遵</w:t>
            </w:r>
            <w:r>
              <w:rPr>
                <w:rFonts w:hint="eastAsia" w:ascii="宋体" w:hAnsi="宋体" w:eastAsia="宋体" w:cs="宋体"/>
                <w:color w:val="auto"/>
                <w:sz w:val="21"/>
                <w:szCs w:val="21"/>
                <w:highlight w:val="none"/>
              </w:rPr>
              <w:t>循“源头</w:t>
            </w:r>
            <w:r>
              <w:rPr>
                <w:rFonts w:hint="default" w:ascii="Times New Roman" w:hAnsi="Times New Roman" w:eastAsia="宋体" w:cs="Times New Roman"/>
                <w:color w:val="auto"/>
                <w:sz w:val="21"/>
                <w:szCs w:val="21"/>
                <w:highlight w:val="none"/>
              </w:rPr>
              <w:t>控制，分区防治，污染监控、风险</w:t>
            </w:r>
            <w:r>
              <w:rPr>
                <w:rFonts w:hint="eastAsia" w:ascii="宋体" w:hAnsi="宋体" w:eastAsia="宋体" w:cs="宋体"/>
                <w:color w:val="auto"/>
                <w:sz w:val="21"/>
                <w:szCs w:val="21"/>
                <w:highlight w:val="none"/>
              </w:rPr>
              <w:t>应急”的</w:t>
            </w:r>
            <w:r>
              <w:rPr>
                <w:rFonts w:hint="default" w:ascii="Times New Roman" w:hAnsi="Times New Roman" w:eastAsia="宋体" w:cs="Times New Roman"/>
                <w:color w:val="auto"/>
                <w:sz w:val="21"/>
                <w:szCs w:val="21"/>
                <w:highlight w:val="none"/>
              </w:rPr>
              <w:t>原则，拟采取的地下水防护措施如下：</w:t>
            </w:r>
          </w:p>
          <w:p w14:paraId="60A23C57">
            <w:pPr>
              <w:pStyle w:val="18"/>
              <w:keepNext w:val="0"/>
              <w:keepLines w:val="0"/>
              <w:suppressLineNumbers w:val="0"/>
              <w:adjustRightInd w:val="0"/>
              <w:spacing w:before="0" w:beforeAutospacing="0" w:after="0" w:afterAutospacing="0" w:line="360" w:lineRule="auto"/>
              <w:ind w:left="0" w:right="0" w:firstLine="420" w:firstLineChars="200"/>
              <w:jc w:val="left"/>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1</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生产车间、仓库</w:t>
            </w:r>
          </w:p>
          <w:p w14:paraId="38276710">
            <w:pPr>
              <w:pStyle w:val="18"/>
              <w:keepNext w:val="0"/>
              <w:keepLines w:val="0"/>
              <w:suppressLineNumbers w:val="0"/>
              <w:adjustRightInd w:val="0"/>
              <w:spacing w:before="0" w:beforeAutospacing="0" w:after="0" w:afterAutospacing="0" w:line="360" w:lineRule="auto"/>
              <w:ind w:left="0" w:right="0" w:firstLine="420" w:firstLineChars="20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生产车间的地面已采取粘土铺底，再在上层铺设10</w:t>
            </w:r>
            <w:r>
              <w:rPr>
                <w:rFonts w:hint="default" w:ascii="Times New Roman" w:hAnsi="Times New Roman" w:eastAsia="宋体" w:cs="Times New Roman"/>
                <w:color w:val="auto"/>
                <w:sz w:val="21"/>
                <w:szCs w:val="21"/>
                <w:highlight w:val="none"/>
                <w:vertAlign w:val="superscript"/>
              </w:rPr>
              <w:t>-15</w:t>
            </w:r>
            <w:r>
              <w:rPr>
                <w:rFonts w:hint="default" w:ascii="Times New Roman" w:hAnsi="Times New Roman" w:eastAsia="宋体" w:cs="Times New Roman"/>
                <w:color w:val="auto"/>
                <w:sz w:val="21"/>
                <w:szCs w:val="21"/>
                <w:highlight w:val="none"/>
              </w:rPr>
              <w:t>cm的水泥进行硬化，不存在地下水污染途径。</w:t>
            </w:r>
          </w:p>
          <w:p w14:paraId="16EAA834">
            <w:pPr>
              <w:pStyle w:val="18"/>
              <w:keepNext w:val="0"/>
              <w:keepLines w:val="0"/>
              <w:suppressLineNumbers w:val="0"/>
              <w:adjustRightInd w:val="0"/>
              <w:spacing w:before="0" w:beforeAutospacing="0" w:after="0" w:afterAutospacing="0" w:line="360" w:lineRule="auto"/>
              <w:ind w:left="0" w:right="0" w:firstLine="420" w:firstLineChars="20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仓库内设置围堰，在四周设置导流槽，门口设置围挡，防止物料泄漏时大面积扩散；不同种类原材料独立包装，加强巡查，及时发现破裂的容器，并及时进行维护与修补，防止物料腐蚀地面基础层，造成地下水污染；仓库的地面已采取粘土铺底，再在上层铺设10</w:t>
            </w:r>
            <w:r>
              <w:rPr>
                <w:rFonts w:hint="default" w:ascii="Times New Roman" w:hAnsi="Times New Roman" w:eastAsia="宋体" w:cs="Times New Roman"/>
                <w:color w:val="auto"/>
                <w:sz w:val="21"/>
                <w:szCs w:val="21"/>
                <w:highlight w:val="none"/>
                <w:vertAlign w:val="superscript"/>
              </w:rPr>
              <w:t>-15</w:t>
            </w:r>
            <w:r>
              <w:rPr>
                <w:rFonts w:hint="default" w:ascii="Times New Roman" w:hAnsi="Times New Roman" w:eastAsia="宋体" w:cs="Times New Roman"/>
                <w:color w:val="auto"/>
                <w:sz w:val="21"/>
                <w:szCs w:val="21"/>
                <w:highlight w:val="none"/>
              </w:rPr>
              <w:t>cm的水泥进行硬化，不存在地下水污染途径。</w:t>
            </w:r>
          </w:p>
          <w:p w14:paraId="422D0519">
            <w:pPr>
              <w:pStyle w:val="18"/>
              <w:keepNext w:val="0"/>
              <w:keepLines w:val="0"/>
              <w:suppressLineNumbers w:val="0"/>
              <w:adjustRightInd w:val="0"/>
              <w:spacing w:before="0" w:beforeAutospacing="0" w:after="0" w:afterAutospacing="0" w:line="360" w:lineRule="auto"/>
              <w:ind w:left="0" w:right="0" w:firstLine="420" w:firstLineChars="200"/>
              <w:jc w:val="left"/>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2</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一般固废暂存间</w:t>
            </w:r>
          </w:p>
          <w:p w14:paraId="15A90B64">
            <w:pPr>
              <w:pStyle w:val="18"/>
              <w:keepNext w:val="0"/>
              <w:keepLines w:val="0"/>
              <w:suppressLineNumbers w:val="0"/>
              <w:adjustRightInd w:val="0"/>
              <w:spacing w:before="0" w:beforeAutospacing="0" w:after="0" w:afterAutospacing="0" w:line="360" w:lineRule="auto"/>
              <w:ind w:left="0" w:right="0" w:firstLine="420" w:firstLineChars="20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般固废暂存间必须做到防雨、防晒、防风的要求，设置防渗地坪。一般固废暂存间设置围堰，在四周设置导流槽，门口设置围挡，防止物料泄漏时大面积扩散。不同种类原材料独立包装，加强巡查，及时发现破裂的容器，并及时进行维护与修补，防止物料腐蚀地面基础层，造成地下水污染。</w:t>
            </w:r>
          </w:p>
          <w:p w14:paraId="25D4E888">
            <w:pPr>
              <w:pStyle w:val="18"/>
              <w:keepNext w:val="0"/>
              <w:keepLines w:val="0"/>
              <w:suppressLineNumbers w:val="0"/>
              <w:adjustRightInd w:val="0"/>
              <w:spacing w:before="0" w:beforeAutospacing="0" w:after="0" w:afterAutospacing="0" w:line="360" w:lineRule="auto"/>
              <w:ind w:left="0" w:right="0" w:firstLine="420" w:firstLineChars="200"/>
              <w:jc w:val="left"/>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3</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危险废物暂存间</w:t>
            </w:r>
          </w:p>
          <w:p w14:paraId="31743C35">
            <w:pPr>
              <w:pStyle w:val="18"/>
              <w:keepNext w:val="0"/>
              <w:keepLines w:val="0"/>
              <w:suppressLineNumbers w:val="0"/>
              <w:adjustRightInd w:val="0"/>
              <w:spacing w:before="0" w:beforeAutospacing="0" w:after="0" w:afterAutospacing="0" w:line="360" w:lineRule="auto"/>
              <w:ind w:left="0" w:right="0" w:firstLine="420" w:firstLineChars="20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危险废物暂存间必须按照《危险废物贮存污染控制标准》</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GB18597-2023</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，2023年1月20日发布相关要求进行设计并采取了相应的防渗措施，包括：</w:t>
            </w:r>
          </w:p>
          <w:p w14:paraId="0833B740">
            <w:pPr>
              <w:pStyle w:val="18"/>
              <w:keepNext w:val="0"/>
              <w:keepLines w:val="0"/>
              <w:suppressLineNumbers w:val="0"/>
              <w:adjustRightInd w:val="0"/>
              <w:spacing w:before="0" w:beforeAutospacing="0" w:after="0" w:afterAutospacing="0" w:line="360" w:lineRule="auto"/>
              <w:ind w:left="0" w:right="0" w:firstLine="420" w:firstLineChars="20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①危险废物暂存间基础设置防渗地坪</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该防渗地坪的具体技术要求</w:t>
            </w:r>
            <w:r>
              <w:rPr>
                <w:rFonts w:hint="eastAsia" w:ascii="宋体" w:hAnsi="宋体" w:eastAsia="宋体" w:cs="宋体"/>
                <w:color w:val="auto"/>
                <w:sz w:val="21"/>
                <w:szCs w:val="21"/>
                <w:highlight w:val="none"/>
              </w:rPr>
              <w:t>为“等</w:t>
            </w:r>
            <w:r>
              <w:rPr>
                <w:rFonts w:hint="default" w:ascii="Times New Roman" w:hAnsi="Times New Roman" w:eastAsia="宋体" w:cs="Times New Roman"/>
                <w:color w:val="auto"/>
                <w:sz w:val="21"/>
                <w:szCs w:val="21"/>
                <w:highlight w:val="none"/>
              </w:rPr>
              <w:t>效黏土防渗层Mb≥6.0m，渗透系数≤10</w:t>
            </w:r>
            <w:r>
              <w:rPr>
                <w:rFonts w:hint="default" w:ascii="Times New Roman" w:hAnsi="Times New Roman" w:eastAsia="宋体" w:cs="Times New Roman"/>
                <w:color w:val="auto"/>
                <w:sz w:val="21"/>
                <w:szCs w:val="21"/>
                <w:highlight w:val="none"/>
                <w:vertAlign w:val="superscript"/>
              </w:rPr>
              <w:t>-7</w:t>
            </w:r>
            <w:r>
              <w:rPr>
                <w:rFonts w:hint="default" w:ascii="Times New Roman" w:hAnsi="Times New Roman" w:eastAsia="宋体" w:cs="Times New Roman"/>
                <w:color w:val="auto"/>
                <w:sz w:val="21"/>
                <w:szCs w:val="21"/>
                <w:highlight w:val="none"/>
              </w:rPr>
              <w:t>cm/s</w:t>
            </w:r>
            <w:r>
              <w:rPr>
                <w:rFonts w:hint="eastAsia" w:ascii="宋体" w:hAnsi="宋体" w:eastAsia="宋体" w:cs="宋体"/>
                <w:color w:val="auto"/>
                <w:sz w:val="21"/>
                <w:szCs w:val="21"/>
                <w:highlight w:val="none"/>
              </w:rPr>
              <w:t>”</w:t>
            </w:r>
            <w:r>
              <w:rPr>
                <w:rFonts w:hint="default" w:ascii="Times New Roman" w:hAnsi="Times New Roman" w:eastAsia="宋体" w:cs="Times New Roman"/>
                <w:color w:val="auto"/>
                <w:sz w:val="21"/>
                <w:szCs w:val="21"/>
                <w:highlight w:val="none"/>
              </w:rPr>
              <w:t>。</w:t>
            </w:r>
          </w:p>
          <w:p w14:paraId="182111C2">
            <w:pPr>
              <w:pStyle w:val="18"/>
              <w:keepNext w:val="0"/>
              <w:keepLines w:val="0"/>
              <w:suppressLineNumbers w:val="0"/>
              <w:adjustRightInd w:val="0"/>
              <w:spacing w:before="0" w:beforeAutospacing="0" w:after="0" w:afterAutospacing="0" w:line="360" w:lineRule="auto"/>
              <w:ind w:left="0" w:right="0" w:firstLine="420" w:firstLineChars="20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②地面与裙脚用坚固、防渗的材料建造，设计堵截泄漏的裙脚</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衬里能够覆盖危险废物或其溶出物可能涉及到的范围。</w:t>
            </w:r>
          </w:p>
          <w:p w14:paraId="331E9CFA">
            <w:pPr>
              <w:pStyle w:val="18"/>
              <w:keepNext w:val="0"/>
              <w:keepLines w:val="0"/>
              <w:suppressLineNumbers w:val="0"/>
              <w:adjustRightInd w:val="0"/>
              <w:spacing w:before="0" w:beforeAutospacing="0" w:after="0" w:afterAutospacing="0" w:line="360" w:lineRule="auto"/>
              <w:ind w:left="0" w:right="0" w:firstLine="420" w:firstLineChars="20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③不兼容的危险废物分开存放，并设有隔离间隔断，加强危险废物的管理，防止其包装出现破损、泄漏等问题</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危险废物堆要防风、防雨、防晒等。</w:t>
            </w:r>
          </w:p>
          <w:p w14:paraId="7548DD9C">
            <w:pPr>
              <w:pStyle w:val="18"/>
              <w:keepNext w:val="0"/>
              <w:keepLines w:val="0"/>
              <w:suppressLineNumbers w:val="0"/>
              <w:adjustRightInd w:val="0"/>
              <w:spacing w:before="0" w:beforeAutospacing="0" w:after="0" w:afterAutospacing="0" w:line="360" w:lineRule="auto"/>
              <w:ind w:left="0" w:right="0" w:firstLine="420" w:firstLineChars="20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综上所述，项目在生产车间、仓库、一般固废暂存间和危险废物暂存间均采取措施后，不存在地下水污染途径。</w:t>
            </w:r>
          </w:p>
          <w:p w14:paraId="149055BB">
            <w:pPr>
              <w:pStyle w:val="18"/>
              <w:keepNext w:val="0"/>
              <w:keepLines w:val="0"/>
              <w:suppressLineNumbers w:val="0"/>
              <w:adjustRightInd w:val="0"/>
              <w:spacing w:before="0" w:beforeAutospacing="0" w:after="0" w:afterAutospacing="0" w:line="360" w:lineRule="auto"/>
              <w:ind w:left="0" w:right="0" w:firstLine="422" w:firstLineChars="200"/>
              <w:jc w:val="left"/>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5.2土壤</w:t>
            </w:r>
          </w:p>
          <w:p w14:paraId="408F452F">
            <w:pPr>
              <w:pStyle w:val="18"/>
              <w:keepNext w:val="0"/>
              <w:keepLines w:val="0"/>
              <w:suppressLineNumbers w:val="0"/>
              <w:adjustRightInd w:val="0"/>
              <w:spacing w:before="0" w:beforeAutospacing="0" w:after="0" w:afterAutospacing="0" w:line="360" w:lineRule="auto"/>
              <w:ind w:left="0" w:right="0" w:firstLine="420" w:firstLineChars="20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根据《环境影响评价技术导则土壤环境》</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HJ964-2018</w:t>
            </w:r>
            <w:r>
              <w:rPr>
                <w:rFonts w:hint="eastAsia"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，污染类项目土壤环境影响的途径有三种</w:t>
            </w:r>
            <w:r>
              <w:rPr>
                <w:rFonts w:hint="eastAsia" w:cs="Times New Roman"/>
                <w:color w:val="auto"/>
                <w:sz w:val="21"/>
                <w:szCs w:val="21"/>
                <w:highlight w:val="none"/>
                <w:lang w:eastAsia="zh-CN"/>
              </w:rPr>
              <w:t>：</w:t>
            </w:r>
            <w:r>
              <w:rPr>
                <w:rFonts w:hint="eastAsia" w:ascii="宋体" w:hAnsi="宋体" w:eastAsia="宋体" w:cs="宋体"/>
                <w:color w:val="auto"/>
                <w:sz w:val="21"/>
                <w:szCs w:val="21"/>
                <w:highlight w:val="none"/>
              </w:rPr>
              <w:t>“大气沉降”,“地表漫流”，“垂直入渗”</w:t>
            </w:r>
            <w:r>
              <w:rPr>
                <w:rFonts w:hint="default" w:ascii="Times New Roman" w:hAnsi="Times New Roman" w:eastAsia="宋体" w:cs="Times New Roman"/>
                <w:color w:val="auto"/>
                <w:sz w:val="21"/>
                <w:szCs w:val="21"/>
                <w:highlight w:val="none"/>
              </w:rPr>
              <w:t>。本项目的行业</w:t>
            </w:r>
            <w:r>
              <w:rPr>
                <w:rFonts w:hint="eastAsia" w:cs="Times New Roman"/>
                <w:color w:val="auto"/>
                <w:sz w:val="21"/>
                <w:szCs w:val="21"/>
                <w:highlight w:val="none"/>
                <w:lang w:val="en-US" w:eastAsia="zh-CN"/>
              </w:rPr>
              <w:t>为</w:t>
            </w:r>
            <w:r>
              <w:rPr>
                <w:rFonts w:hint="default" w:ascii="Times New Roman" w:hAnsi="Times New Roman" w:eastAsia="宋体" w:cs="Times New Roman"/>
                <w:color w:val="auto"/>
                <w:sz w:val="21"/>
                <w:szCs w:val="21"/>
                <w:highlight w:val="none"/>
              </w:rPr>
              <w:t>塑料制品业和纸制品业，根据《农用地土壤污染状况详查点位布设技术规定》的附表1，本项目不属</w:t>
            </w:r>
            <w:r>
              <w:rPr>
                <w:rFonts w:hint="eastAsia" w:ascii="宋体" w:hAnsi="宋体" w:eastAsia="宋体" w:cs="宋体"/>
                <w:color w:val="auto"/>
                <w:sz w:val="21"/>
                <w:szCs w:val="21"/>
                <w:highlight w:val="none"/>
              </w:rPr>
              <w:t>于“需考虑大气沉降影响的行业”</w:t>
            </w:r>
            <w:r>
              <w:rPr>
                <w:rFonts w:hint="default" w:ascii="Times New Roman" w:hAnsi="Times New Roman" w:eastAsia="宋体" w:cs="Times New Roman"/>
                <w:color w:val="auto"/>
                <w:sz w:val="21"/>
                <w:szCs w:val="21"/>
                <w:highlight w:val="none"/>
              </w:rPr>
              <w:t>，也不属</w:t>
            </w:r>
            <w:r>
              <w:rPr>
                <w:rFonts w:hint="eastAsia" w:ascii="宋体" w:hAnsi="宋体" w:eastAsia="宋体" w:cs="宋体"/>
                <w:color w:val="auto"/>
                <w:sz w:val="21"/>
                <w:szCs w:val="21"/>
                <w:highlight w:val="none"/>
              </w:rPr>
              <w:t>于“需考虑地表产流的行业”</w:t>
            </w:r>
            <w:r>
              <w:rPr>
                <w:rFonts w:hint="default" w:ascii="Times New Roman" w:hAnsi="Times New Roman" w:eastAsia="宋体" w:cs="Times New Roman"/>
                <w:color w:val="auto"/>
                <w:sz w:val="21"/>
                <w:szCs w:val="21"/>
                <w:highlight w:val="none"/>
              </w:rPr>
              <w:t>，因此本项目不涉及大气沉降和地表漫流这两个土壤污染途径。</w:t>
            </w:r>
          </w:p>
          <w:p w14:paraId="79862D0C">
            <w:pPr>
              <w:pStyle w:val="18"/>
              <w:keepNext w:val="0"/>
              <w:keepLines w:val="0"/>
              <w:suppressLineNumbers w:val="0"/>
              <w:adjustRightInd w:val="0"/>
              <w:spacing w:before="0" w:beforeAutospacing="0" w:after="0" w:afterAutospacing="0" w:line="360" w:lineRule="auto"/>
              <w:ind w:left="0" w:right="0" w:firstLine="420" w:firstLineChars="200"/>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项目在在各防渗区均采取措施后，无垂直入渗的途径，不存在土壤污染途径。综上所述，项目运营期不存在地下水、土壤污染途径，故不提出跟踪监测的相关要求。</w:t>
            </w:r>
          </w:p>
          <w:p w14:paraId="6D2A71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382" w:firstLineChars="200"/>
              <w:textAlignment w:val="auto"/>
              <w:rPr>
                <w:rFonts w:hint="default" w:ascii="Times New Roman" w:hAnsi="Times New Roman" w:cs="Times New Roman"/>
                <w:b/>
                <w:bCs/>
                <w:color w:val="auto"/>
                <w:spacing w:val="-10"/>
                <w:szCs w:val="21"/>
                <w:highlight w:val="none"/>
              </w:rPr>
            </w:pPr>
            <w:r>
              <w:rPr>
                <w:rFonts w:hint="eastAsia" w:cs="Times New Roman"/>
                <w:b/>
                <w:bCs/>
                <w:color w:val="auto"/>
                <w:spacing w:val="-10"/>
                <w:szCs w:val="21"/>
                <w:highlight w:val="none"/>
                <w:lang w:val="en-US" w:eastAsia="zh-CN"/>
              </w:rPr>
              <w:t>6、</w:t>
            </w:r>
            <w:r>
              <w:rPr>
                <w:rFonts w:hint="default" w:ascii="Times New Roman" w:hAnsi="Times New Roman" w:cs="Times New Roman"/>
                <w:b/>
                <w:bCs/>
                <w:color w:val="auto"/>
                <w:spacing w:val="-10"/>
                <w:szCs w:val="21"/>
                <w:highlight w:val="none"/>
              </w:rPr>
              <w:t>环境风险</w:t>
            </w:r>
          </w:p>
          <w:p w14:paraId="7B8CA0AA">
            <w:pPr>
              <w:keepNext w:val="0"/>
              <w:keepLines w:val="0"/>
              <w:suppressLineNumbers w:val="0"/>
              <w:adjustRightInd w:val="0"/>
              <w:snapToGrid w:val="0"/>
              <w:spacing w:before="0" w:beforeAutospacing="0" w:after="0" w:afterAutospacing="0" w:line="360" w:lineRule="auto"/>
              <w:ind w:left="0" w:right="0" w:firstLine="422" w:firstLineChars="200"/>
              <w:rPr>
                <w:rFonts w:hint="default" w:ascii="Times New Roman" w:hAnsi="Times New Roman" w:cs="Times New Roman"/>
                <w:b/>
                <w:bCs/>
                <w:color w:val="auto"/>
                <w:szCs w:val="21"/>
                <w:highlight w:val="none"/>
                <w:lang w:val="en-US"/>
              </w:rPr>
            </w:pPr>
            <w:r>
              <w:rPr>
                <w:rFonts w:hint="eastAsia" w:cs="Times New Roman"/>
                <w:b/>
                <w:bCs/>
                <w:color w:val="auto"/>
                <w:szCs w:val="21"/>
                <w:highlight w:val="none"/>
                <w:lang w:val="en-US" w:eastAsia="zh-CN"/>
              </w:rPr>
              <w:t>6.1主要危险位置及分布</w:t>
            </w:r>
          </w:p>
          <w:p w14:paraId="449D92B7">
            <w:pPr>
              <w:keepNext w:val="0"/>
              <w:keepLines w:val="0"/>
              <w:suppressLineNumbers w:val="0"/>
              <w:adjustRightInd w:val="0"/>
              <w:snapToGrid w:val="0"/>
              <w:spacing w:before="0" w:beforeAutospacing="0" w:after="0" w:afterAutospacing="0" w:line="360" w:lineRule="auto"/>
              <w:ind w:left="0" w:right="0" w:firstLine="420" w:firstLineChars="200"/>
              <w:rPr>
                <w:rFonts w:hint="eastAsia" w:ascii="Times New Roman" w:hAnsi="Times New Roman" w:eastAsia="宋体" w:cs="Times New Roman"/>
                <w:color w:val="auto"/>
                <w:kern w:val="0"/>
                <w:szCs w:val="21"/>
                <w:highlight w:val="none"/>
                <w:lang w:val="en-US" w:eastAsia="zh-CN"/>
              </w:rPr>
            </w:pPr>
            <w:r>
              <w:rPr>
                <w:rFonts w:hint="default" w:ascii="Times New Roman" w:hAnsi="Times New Roman" w:cs="Times New Roman"/>
                <w:color w:val="auto"/>
                <w:kern w:val="0"/>
                <w:szCs w:val="21"/>
                <w:highlight w:val="none"/>
              </w:rPr>
              <w:t>根据《建设项目环境风险评价技术导则》</w:t>
            </w:r>
            <w:r>
              <w:rPr>
                <w:rFonts w:hint="eastAsia" w:cs="Times New Roman"/>
                <w:color w:val="auto"/>
                <w:kern w:val="0"/>
                <w:szCs w:val="21"/>
                <w:highlight w:val="none"/>
                <w:lang w:eastAsia="zh-CN"/>
              </w:rPr>
              <w:t>（</w:t>
            </w:r>
            <w:r>
              <w:rPr>
                <w:rFonts w:hint="default" w:ascii="Times New Roman" w:hAnsi="Times New Roman" w:cs="Times New Roman"/>
                <w:color w:val="auto"/>
                <w:kern w:val="0"/>
                <w:szCs w:val="21"/>
                <w:highlight w:val="none"/>
              </w:rPr>
              <w:t>HJ169-2018</w:t>
            </w:r>
            <w:r>
              <w:rPr>
                <w:rFonts w:hint="eastAsia" w:cs="Times New Roman"/>
                <w:color w:val="auto"/>
                <w:kern w:val="0"/>
                <w:szCs w:val="21"/>
                <w:highlight w:val="none"/>
                <w:lang w:eastAsia="zh-CN"/>
              </w:rPr>
              <w:t>）</w:t>
            </w:r>
            <w:r>
              <w:rPr>
                <w:rFonts w:hint="default" w:ascii="Times New Roman" w:hAnsi="Times New Roman" w:cs="Times New Roman"/>
                <w:color w:val="auto"/>
                <w:kern w:val="0"/>
                <w:szCs w:val="21"/>
                <w:highlight w:val="none"/>
              </w:rPr>
              <w:t>附录B，本项目重点关注的危险物质为机油、废机油，主要分布:危险废物暂存间、仓库。据《建设项目环境风险评价技术导则》</w:t>
            </w:r>
            <w:r>
              <w:rPr>
                <w:rFonts w:hint="eastAsia" w:cs="Times New Roman"/>
                <w:color w:val="auto"/>
                <w:kern w:val="0"/>
                <w:szCs w:val="21"/>
                <w:highlight w:val="none"/>
                <w:lang w:eastAsia="zh-CN"/>
              </w:rPr>
              <w:t>（</w:t>
            </w:r>
            <w:r>
              <w:rPr>
                <w:rFonts w:hint="default" w:ascii="Times New Roman" w:hAnsi="Times New Roman" w:cs="Times New Roman"/>
                <w:color w:val="auto"/>
                <w:kern w:val="0"/>
                <w:szCs w:val="21"/>
                <w:highlight w:val="none"/>
              </w:rPr>
              <w:t>HJ169-2018</w:t>
            </w:r>
            <w:r>
              <w:rPr>
                <w:rFonts w:hint="eastAsia" w:cs="Times New Roman"/>
                <w:color w:val="auto"/>
                <w:kern w:val="0"/>
                <w:szCs w:val="21"/>
                <w:highlight w:val="none"/>
                <w:lang w:eastAsia="zh-CN"/>
              </w:rPr>
              <w:t>）</w:t>
            </w:r>
            <w:r>
              <w:rPr>
                <w:rFonts w:hint="default" w:ascii="Times New Roman" w:hAnsi="Times New Roman" w:cs="Times New Roman"/>
                <w:color w:val="auto"/>
                <w:kern w:val="0"/>
                <w:szCs w:val="21"/>
                <w:highlight w:val="none"/>
              </w:rPr>
              <w:t>中</w:t>
            </w:r>
            <w:r>
              <w:rPr>
                <w:rFonts w:hint="eastAsia" w:ascii="宋体" w:hAnsi="宋体" w:eastAsia="宋体" w:cs="宋体"/>
                <w:color w:val="auto"/>
                <w:kern w:val="0"/>
                <w:szCs w:val="21"/>
                <w:highlight w:val="none"/>
              </w:rPr>
              <w:t>“附</w:t>
            </w:r>
            <w:r>
              <w:rPr>
                <w:rFonts w:hint="default" w:ascii="Times New Roman" w:hAnsi="Times New Roman" w:cs="Times New Roman"/>
                <w:color w:val="auto"/>
                <w:kern w:val="0"/>
                <w:szCs w:val="21"/>
                <w:highlight w:val="none"/>
              </w:rPr>
              <w:t>录B重点关注的危险物质及临界</w:t>
            </w:r>
            <w:r>
              <w:rPr>
                <w:rFonts w:hint="eastAsia" w:ascii="宋体" w:hAnsi="宋体" w:eastAsia="宋体" w:cs="宋体"/>
                <w:color w:val="auto"/>
                <w:kern w:val="0"/>
                <w:szCs w:val="21"/>
                <w:highlight w:val="none"/>
              </w:rPr>
              <w:t>量”</w:t>
            </w:r>
            <w:r>
              <w:rPr>
                <w:rFonts w:hint="default" w:ascii="Times New Roman" w:hAnsi="Times New Roman" w:cs="Times New Roman"/>
                <w:color w:val="auto"/>
                <w:kern w:val="0"/>
                <w:szCs w:val="21"/>
                <w:highlight w:val="none"/>
              </w:rPr>
              <w:t>的油类物质</w:t>
            </w:r>
            <w:r>
              <w:rPr>
                <w:rFonts w:hint="eastAsia" w:cs="Times New Roman"/>
                <w:color w:val="auto"/>
                <w:kern w:val="0"/>
                <w:szCs w:val="21"/>
                <w:highlight w:val="none"/>
                <w:lang w:eastAsia="zh-CN"/>
              </w:rPr>
              <w:t>（</w:t>
            </w:r>
            <w:r>
              <w:rPr>
                <w:rFonts w:hint="default" w:ascii="Times New Roman" w:hAnsi="Times New Roman" w:cs="Times New Roman"/>
                <w:color w:val="auto"/>
                <w:kern w:val="0"/>
                <w:szCs w:val="21"/>
                <w:highlight w:val="none"/>
              </w:rPr>
              <w:t>矿物油类，如石油、汽油、柴油等</w:t>
            </w:r>
            <w:r>
              <w:rPr>
                <w:rFonts w:hint="eastAsia" w:cs="Times New Roman"/>
                <w:color w:val="auto"/>
                <w:kern w:val="0"/>
                <w:szCs w:val="21"/>
                <w:highlight w:val="none"/>
                <w:lang w:eastAsia="zh-CN"/>
              </w:rPr>
              <w:t>；</w:t>
            </w:r>
            <w:r>
              <w:rPr>
                <w:rFonts w:hint="default" w:ascii="Times New Roman" w:hAnsi="Times New Roman" w:cs="Times New Roman"/>
                <w:color w:val="auto"/>
                <w:kern w:val="0"/>
                <w:szCs w:val="21"/>
                <w:highlight w:val="none"/>
              </w:rPr>
              <w:t>生物柴油等</w:t>
            </w:r>
            <w:r>
              <w:rPr>
                <w:rFonts w:hint="eastAsia" w:cs="Times New Roman"/>
                <w:color w:val="auto"/>
                <w:kern w:val="0"/>
                <w:szCs w:val="21"/>
                <w:highlight w:val="none"/>
                <w:lang w:eastAsia="zh-CN"/>
              </w:rPr>
              <w:t>）</w:t>
            </w:r>
            <w:r>
              <w:rPr>
                <w:rFonts w:hint="default" w:ascii="Times New Roman" w:hAnsi="Times New Roman" w:cs="Times New Roman"/>
                <w:color w:val="auto"/>
                <w:kern w:val="0"/>
                <w:szCs w:val="21"/>
                <w:highlight w:val="none"/>
              </w:rPr>
              <w:t>临界量推荐值为2500t，计算得出本项目危险物质数量与临界量比值Q=0.000</w:t>
            </w:r>
            <w:r>
              <w:rPr>
                <w:rFonts w:hint="eastAsia" w:cs="Times New Roman"/>
                <w:color w:val="auto"/>
                <w:kern w:val="0"/>
                <w:szCs w:val="21"/>
                <w:highlight w:val="none"/>
                <w:lang w:val="en-US" w:eastAsia="zh-CN"/>
              </w:rPr>
              <w:t>008</w:t>
            </w:r>
            <w:r>
              <w:rPr>
                <w:rFonts w:hint="default" w:ascii="Times New Roman" w:hAnsi="Times New Roman" w:cs="Times New Roman"/>
                <w:color w:val="auto"/>
                <w:kern w:val="0"/>
                <w:szCs w:val="21"/>
                <w:highlight w:val="none"/>
              </w:rPr>
              <w:t>&lt;1，则本项目环境风险潜势为I，具体情况如下表</w:t>
            </w:r>
            <w:r>
              <w:rPr>
                <w:rFonts w:hint="eastAsia" w:cs="Times New Roman"/>
                <w:color w:val="auto"/>
                <w:kern w:val="0"/>
                <w:szCs w:val="21"/>
                <w:highlight w:val="none"/>
                <w:lang w:val="en-US" w:eastAsia="zh-CN"/>
              </w:rPr>
              <w:t>所示。</w:t>
            </w:r>
          </w:p>
          <w:p w14:paraId="55D55623">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157" w:afterLines="50" w:afterAutospacing="0"/>
              <w:ind w:right="0"/>
              <w:jc w:val="center"/>
              <w:textAlignment w:val="auto"/>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危险物质数量与临界量比值Q核算表</w:t>
            </w:r>
          </w:p>
          <w:tbl>
            <w:tblPr>
              <w:tblStyle w:val="41"/>
              <w:tblW w:w="0" w:type="auto"/>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1243"/>
              <w:gridCol w:w="1457"/>
              <w:gridCol w:w="2395"/>
              <w:gridCol w:w="1714"/>
              <w:gridCol w:w="1004"/>
            </w:tblGrid>
            <w:tr w14:paraId="521B84AC">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0" w:type="auto"/>
                  <w:tcBorders>
                    <w:tl2br w:val="nil"/>
                    <w:tr2bl w:val="nil"/>
                  </w:tcBorders>
                  <w:noWrap w:val="0"/>
                  <w:vAlign w:val="center"/>
                </w:tcPr>
                <w:p w14:paraId="70D340EA">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color w:val="auto"/>
                      <w:szCs w:val="21"/>
                      <w:highlight w:val="none"/>
                      <w:lang w:val="en-US" w:eastAsia="zh-CN"/>
                    </w:rPr>
                  </w:pPr>
                  <w:r>
                    <w:rPr>
                      <w:rFonts w:hint="eastAsia" w:cs="Times New Roman"/>
                      <w:b/>
                      <w:color w:val="auto"/>
                      <w:szCs w:val="21"/>
                      <w:highlight w:val="none"/>
                      <w:lang w:val="en-US" w:eastAsia="zh-CN"/>
                    </w:rPr>
                    <w:t>序号</w:t>
                  </w:r>
                </w:p>
              </w:tc>
              <w:tc>
                <w:tcPr>
                  <w:tcW w:w="1263" w:type="dxa"/>
                  <w:tcBorders>
                    <w:tl2br w:val="nil"/>
                    <w:tr2bl w:val="nil"/>
                  </w:tcBorders>
                  <w:noWrap w:val="0"/>
                  <w:vAlign w:val="center"/>
                </w:tcPr>
                <w:p w14:paraId="741E075B">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危化品名</w:t>
                  </w:r>
                </w:p>
              </w:tc>
              <w:tc>
                <w:tcPr>
                  <w:tcW w:w="1474" w:type="dxa"/>
                  <w:tcBorders>
                    <w:tl2br w:val="nil"/>
                    <w:tr2bl w:val="nil"/>
                  </w:tcBorders>
                  <w:noWrap w:val="0"/>
                  <w:vAlign w:val="center"/>
                </w:tcPr>
                <w:p w14:paraId="673E92D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临界量Qi（t）</w:t>
                  </w:r>
                </w:p>
              </w:tc>
              <w:tc>
                <w:tcPr>
                  <w:tcW w:w="2436" w:type="dxa"/>
                  <w:tcBorders>
                    <w:tl2br w:val="nil"/>
                    <w:tr2bl w:val="nil"/>
                  </w:tcBorders>
                  <w:noWrap w:val="0"/>
                  <w:vAlign w:val="center"/>
                </w:tcPr>
                <w:p w14:paraId="15498AD2">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kern w:val="0"/>
                      <w:szCs w:val="21"/>
                      <w:highlight w:val="none"/>
                    </w:rPr>
                    <w:t>突发事件案例以及遇水反应生成的物质</w:t>
                  </w:r>
                </w:p>
              </w:tc>
              <w:tc>
                <w:tcPr>
                  <w:tcW w:w="1737" w:type="dxa"/>
                  <w:tcBorders>
                    <w:tl2br w:val="nil"/>
                    <w:tr2bl w:val="nil"/>
                  </w:tcBorders>
                  <w:noWrap w:val="0"/>
                  <w:vAlign w:val="center"/>
                </w:tcPr>
                <w:p w14:paraId="0EFE05A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color w:val="auto"/>
                      <w:kern w:val="0"/>
                      <w:szCs w:val="21"/>
                      <w:highlight w:val="none"/>
                    </w:rPr>
                  </w:pPr>
                  <w:r>
                    <w:rPr>
                      <w:rFonts w:hint="default" w:ascii="Times New Roman" w:hAnsi="Times New Roman" w:cs="Times New Roman"/>
                      <w:b/>
                      <w:color w:val="auto"/>
                      <w:szCs w:val="21"/>
                      <w:highlight w:val="none"/>
                    </w:rPr>
                    <w:t>厂内最大存在量qi（t）</w:t>
                  </w:r>
                </w:p>
              </w:tc>
              <w:tc>
                <w:tcPr>
                  <w:tcW w:w="0" w:type="auto"/>
                  <w:tcBorders>
                    <w:tl2br w:val="nil"/>
                    <w:tr2bl w:val="nil"/>
                  </w:tcBorders>
                  <w:noWrap w:val="0"/>
                  <w:vAlign w:val="center"/>
                </w:tcPr>
                <w:p w14:paraId="7DBFB087">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kern w:val="0"/>
                      <w:szCs w:val="21"/>
                      <w:highlight w:val="none"/>
                    </w:rPr>
                    <w:t>q</w:t>
                  </w:r>
                  <w:r>
                    <w:rPr>
                      <w:rFonts w:hint="default" w:ascii="Times New Roman" w:hAnsi="Times New Roman" w:cs="Times New Roman"/>
                      <w:b/>
                      <w:color w:val="auto"/>
                      <w:kern w:val="0"/>
                      <w:szCs w:val="21"/>
                      <w:highlight w:val="none"/>
                      <w:vertAlign w:val="subscript"/>
                    </w:rPr>
                    <w:t>i</w:t>
                  </w:r>
                  <w:r>
                    <w:rPr>
                      <w:rFonts w:hint="default" w:ascii="Times New Roman" w:hAnsi="Times New Roman" w:cs="Times New Roman"/>
                      <w:b/>
                      <w:color w:val="auto"/>
                      <w:kern w:val="0"/>
                      <w:szCs w:val="21"/>
                      <w:highlight w:val="none"/>
                    </w:rPr>
                    <w:t>/Q</w:t>
                  </w:r>
                  <w:r>
                    <w:rPr>
                      <w:rFonts w:hint="default" w:ascii="Times New Roman" w:hAnsi="Times New Roman" w:cs="Times New Roman"/>
                      <w:b/>
                      <w:color w:val="auto"/>
                      <w:kern w:val="0"/>
                      <w:szCs w:val="21"/>
                      <w:highlight w:val="none"/>
                      <w:vertAlign w:val="subscript"/>
                    </w:rPr>
                    <w:t>i</w:t>
                  </w:r>
                </w:p>
              </w:tc>
            </w:tr>
            <w:tr w14:paraId="1D4403F1">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0" w:type="auto"/>
                  <w:tcBorders>
                    <w:tl2br w:val="nil"/>
                    <w:tr2bl w:val="nil"/>
                  </w:tcBorders>
                  <w:noWrap w:val="0"/>
                  <w:vAlign w:val="center"/>
                </w:tcPr>
                <w:p w14:paraId="73A52075">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1</w:t>
                  </w:r>
                </w:p>
              </w:tc>
              <w:tc>
                <w:tcPr>
                  <w:tcW w:w="1263" w:type="dxa"/>
                  <w:tcBorders>
                    <w:tl2br w:val="nil"/>
                    <w:tr2bl w:val="nil"/>
                  </w:tcBorders>
                  <w:noWrap w:val="0"/>
                  <w:vAlign w:val="center"/>
                </w:tcPr>
                <w:p w14:paraId="0F4A8E9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机</w:t>
                  </w:r>
                  <w:r>
                    <w:rPr>
                      <w:rFonts w:hint="default" w:ascii="Times New Roman" w:hAnsi="Times New Roman" w:cs="Times New Roman"/>
                      <w:color w:val="auto"/>
                      <w:szCs w:val="21"/>
                      <w:highlight w:val="none"/>
                    </w:rPr>
                    <w:t>油</w:t>
                  </w:r>
                </w:p>
              </w:tc>
              <w:tc>
                <w:tcPr>
                  <w:tcW w:w="1474" w:type="dxa"/>
                  <w:tcBorders>
                    <w:tl2br w:val="nil"/>
                    <w:tr2bl w:val="nil"/>
                  </w:tcBorders>
                  <w:noWrap w:val="0"/>
                  <w:vAlign w:val="center"/>
                </w:tcPr>
                <w:p w14:paraId="3BE48D23">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2500</w:t>
                  </w:r>
                </w:p>
              </w:tc>
              <w:tc>
                <w:tcPr>
                  <w:tcW w:w="2436" w:type="dxa"/>
                  <w:vMerge w:val="restart"/>
                  <w:tcBorders>
                    <w:tl2br w:val="nil"/>
                    <w:tr2bl w:val="nil"/>
                  </w:tcBorders>
                  <w:noWrap w:val="0"/>
                  <w:vAlign w:val="center"/>
                </w:tcPr>
                <w:p w14:paraId="2F9D6CBB">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auto"/>
                      <w:highlight w:val="none"/>
                    </w:rPr>
                  </w:pPr>
                  <w:r>
                    <w:rPr>
                      <w:rFonts w:hint="default" w:ascii="Times New Roman" w:hAnsi="Times New Roman" w:cs="Times New Roman"/>
                      <w:color w:val="auto"/>
                      <w:szCs w:val="21"/>
                      <w:highlight w:val="none"/>
                    </w:rPr>
                    <w:t>油类物质（矿物油类，如石油、汽油、柴油等；生物柴油等）</w:t>
                  </w:r>
                </w:p>
              </w:tc>
              <w:tc>
                <w:tcPr>
                  <w:tcW w:w="1737" w:type="dxa"/>
                  <w:tcBorders>
                    <w:tl2br w:val="nil"/>
                    <w:tr2bl w:val="nil"/>
                  </w:tcBorders>
                  <w:noWrap w:val="0"/>
                  <w:vAlign w:val="center"/>
                </w:tcPr>
                <w:p w14:paraId="58A89B4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highlight w:val="none"/>
                      <w:lang w:val="en-US" w:eastAsia="zh-CN"/>
                    </w:rPr>
                  </w:pPr>
                  <w:r>
                    <w:rPr>
                      <w:rFonts w:hint="eastAsia" w:cs="Times New Roman"/>
                      <w:color w:val="auto"/>
                      <w:highlight w:val="none"/>
                      <w:lang w:val="en-US" w:eastAsia="zh-CN"/>
                    </w:rPr>
                    <w:t>0.01</w:t>
                  </w:r>
                </w:p>
              </w:tc>
              <w:tc>
                <w:tcPr>
                  <w:tcW w:w="0" w:type="auto"/>
                  <w:tcBorders>
                    <w:tl2br w:val="nil"/>
                    <w:tr2bl w:val="nil"/>
                  </w:tcBorders>
                  <w:noWrap w:val="0"/>
                  <w:vAlign w:val="center"/>
                </w:tcPr>
                <w:p w14:paraId="18202C7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Cs w:val="21"/>
                      <w:highlight w:val="none"/>
                      <w:lang w:val="en-US" w:eastAsia="zh-CN"/>
                    </w:rPr>
                  </w:pPr>
                  <w:r>
                    <w:rPr>
                      <w:rFonts w:hint="eastAsia" w:cs="Times New Roman"/>
                      <w:color w:val="auto"/>
                      <w:highlight w:val="none"/>
                      <w:lang w:val="en-US" w:eastAsia="zh-CN"/>
                    </w:rPr>
                    <w:t>0.000004</w:t>
                  </w:r>
                </w:p>
              </w:tc>
            </w:tr>
            <w:tr w14:paraId="36510B64">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0" w:type="auto"/>
                  <w:tcBorders>
                    <w:tl2br w:val="nil"/>
                    <w:tr2bl w:val="nil"/>
                  </w:tcBorders>
                  <w:noWrap w:val="0"/>
                  <w:vAlign w:val="center"/>
                </w:tcPr>
                <w:p w14:paraId="42BDADBB">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2</w:t>
                  </w:r>
                </w:p>
              </w:tc>
              <w:tc>
                <w:tcPr>
                  <w:tcW w:w="1263" w:type="dxa"/>
                  <w:tcBorders>
                    <w:tl2br w:val="nil"/>
                    <w:tr2bl w:val="nil"/>
                  </w:tcBorders>
                  <w:noWrap w:val="0"/>
                  <w:vAlign w:val="center"/>
                </w:tcPr>
                <w:p w14:paraId="574AD57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废</w:t>
                  </w:r>
                  <w:r>
                    <w:rPr>
                      <w:rFonts w:hint="eastAsia" w:ascii="Times New Roman" w:hAnsi="Times New Roman" w:cs="Times New Roman"/>
                      <w:color w:val="auto"/>
                      <w:szCs w:val="21"/>
                      <w:highlight w:val="none"/>
                      <w:lang w:val="en-US" w:eastAsia="zh-CN"/>
                    </w:rPr>
                    <w:t>机</w:t>
                  </w:r>
                  <w:r>
                    <w:rPr>
                      <w:rFonts w:hint="default" w:ascii="Times New Roman" w:hAnsi="Times New Roman" w:cs="Times New Roman"/>
                      <w:color w:val="auto"/>
                      <w:szCs w:val="21"/>
                      <w:highlight w:val="none"/>
                    </w:rPr>
                    <w:t>油</w:t>
                  </w:r>
                </w:p>
              </w:tc>
              <w:tc>
                <w:tcPr>
                  <w:tcW w:w="1474" w:type="dxa"/>
                  <w:tcBorders>
                    <w:tl2br w:val="nil"/>
                    <w:tr2bl w:val="nil"/>
                  </w:tcBorders>
                  <w:noWrap w:val="0"/>
                  <w:vAlign w:val="center"/>
                </w:tcPr>
                <w:p w14:paraId="6B0B15A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2500</w:t>
                  </w:r>
                </w:p>
              </w:tc>
              <w:tc>
                <w:tcPr>
                  <w:tcW w:w="2436" w:type="dxa"/>
                  <w:vMerge w:val="continue"/>
                  <w:tcBorders>
                    <w:tl2br w:val="nil"/>
                    <w:tr2bl w:val="nil"/>
                  </w:tcBorders>
                  <w:noWrap w:val="0"/>
                  <w:vAlign w:val="center"/>
                </w:tcPr>
                <w:p w14:paraId="59EE5E41">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color w:val="auto"/>
                      <w:szCs w:val="21"/>
                      <w:highlight w:val="none"/>
                    </w:rPr>
                  </w:pPr>
                </w:p>
              </w:tc>
              <w:tc>
                <w:tcPr>
                  <w:tcW w:w="1737" w:type="dxa"/>
                  <w:tcBorders>
                    <w:tl2br w:val="nil"/>
                    <w:tr2bl w:val="nil"/>
                  </w:tcBorders>
                  <w:noWrap w:val="0"/>
                  <w:vAlign w:val="center"/>
                </w:tcPr>
                <w:p w14:paraId="2A4D0F57">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0.01</w:t>
                  </w:r>
                </w:p>
              </w:tc>
              <w:tc>
                <w:tcPr>
                  <w:tcW w:w="0" w:type="auto"/>
                  <w:tcBorders>
                    <w:tl2br w:val="nil"/>
                    <w:tr2bl w:val="nil"/>
                  </w:tcBorders>
                  <w:noWrap w:val="0"/>
                  <w:vAlign w:val="center"/>
                </w:tcPr>
                <w:p w14:paraId="7FF70369">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szCs w:val="21"/>
                      <w:highlight w:val="none"/>
                      <w:lang w:val="en-US" w:eastAsia="zh-CN"/>
                    </w:rPr>
                  </w:pPr>
                  <w:r>
                    <w:rPr>
                      <w:rFonts w:hint="eastAsia" w:cs="Times New Roman"/>
                      <w:color w:val="auto"/>
                      <w:highlight w:val="none"/>
                      <w:lang w:val="en-US" w:eastAsia="zh-CN"/>
                    </w:rPr>
                    <w:t>0.000004</w:t>
                  </w:r>
                </w:p>
              </w:tc>
            </w:tr>
            <w:tr w14:paraId="011B8F0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0" w:type="auto"/>
                  <w:gridSpan w:val="5"/>
                  <w:tcBorders>
                    <w:tl2br w:val="nil"/>
                    <w:tr2bl w:val="nil"/>
                  </w:tcBorders>
                  <w:noWrap w:val="0"/>
                  <w:vAlign w:val="center"/>
                </w:tcPr>
                <w:p w14:paraId="698DAEB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object>
                      <v:shape id="_x0000_i1026" o:spt="75" type="#_x0000_t75" style="height:34pt;width:46pt;" o:ole="t" filled="f" stroked="f" coordsize="21600,21600">
                        <v:path/>
                        <v:fill on="f" focussize="0,0"/>
                        <v:stroke on="f"/>
                        <v:imagedata r:id="rId27" o:title=""/>
                        <o:lock v:ext="edit" grouping="f" rotation="f" text="f" aspectratio="t"/>
                        <w10:wrap type="none"/>
                        <w10:anchorlock/>
                      </v:shape>
                      <o:OLEObject Type="Embed" ProgID="Equation.KSEE3" ShapeID="_x0000_i1026" DrawAspect="Content" ObjectID="_1468075726" r:id="rId26">
                        <o:LockedField>false</o:LockedField>
                      </o:OLEObject>
                    </w:object>
                  </w:r>
                </w:p>
              </w:tc>
              <w:tc>
                <w:tcPr>
                  <w:tcW w:w="0" w:type="auto"/>
                  <w:tcBorders>
                    <w:tl2br w:val="nil"/>
                    <w:tr2bl w:val="nil"/>
                  </w:tcBorders>
                  <w:noWrap w:val="0"/>
                  <w:vAlign w:val="center"/>
                </w:tcPr>
                <w:p w14:paraId="4B71F4E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highlight w:val="none"/>
                      <w:lang w:val="en-US" w:eastAsia="zh-CN"/>
                    </w:rPr>
                    <w:t>0.000008</w:t>
                  </w:r>
                </w:p>
              </w:tc>
            </w:tr>
          </w:tbl>
          <w:p w14:paraId="0BDD3DF8">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22" w:firstLineChars="200"/>
              <w:textAlignment w:val="auto"/>
              <w:rPr>
                <w:rFonts w:hint="default" w:ascii="Times New Roman" w:hAnsi="Times New Roman" w:cs="Times New Roman"/>
                <w:b/>
                <w:bCs/>
                <w:color w:val="auto"/>
                <w:szCs w:val="21"/>
                <w:highlight w:val="none"/>
                <w:lang w:val="en-US" w:eastAsia="zh-CN"/>
              </w:rPr>
            </w:pPr>
            <w:r>
              <w:rPr>
                <w:rFonts w:hint="eastAsia" w:cs="Times New Roman"/>
                <w:b/>
                <w:bCs/>
                <w:color w:val="auto"/>
                <w:szCs w:val="21"/>
                <w:highlight w:val="none"/>
                <w:lang w:val="en-US" w:eastAsia="zh-CN"/>
              </w:rPr>
              <w:t>6.2环境风险识别</w:t>
            </w:r>
          </w:p>
          <w:p w14:paraId="046FE8AD">
            <w:pPr>
              <w:keepNext w:val="0"/>
              <w:keepLines w:val="0"/>
              <w:suppressLineNumbers w:val="0"/>
              <w:adjustRightInd w:val="0"/>
              <w:snapToGrid w:val="0"/>
              <w:spacing w:before="0" w:beforeAutospacing="0" w:after="0" w:afterAutospacing="0" w:line="360" w:lineRule="auto"/>
              <w:ind w:left="0" w:right="0" w:firstLine="420" w:firstLineChars="200"/>
              <w:rPr>
                <w:rFonts w:hint="eastAsia" w:cs="Times New Roman"/>
                <w:b w:val="0"/>
                <w:bCs w:val="0"/>
                <w:color w:val="auto"/>
                <w:szCs w:val="21"/>
                <w:highlight w:val="none"/>
                <w:lang w:val="en-US" w:eastAsia="zh-CN"/>
              </w:rPr>
            </w:pPr>
            <w:r>
              <w:rPr>
                <w:rFonts w:hint="eastAsia" w:cs="Times New Roman"/>
                <w:b w:val="0"/>
                <w:bCs w:val="0"/>
                <w:color w:val="auto"/>
                <w:szCs w:val="21"/>
                <w:highlight w:val="none"/>
                <w:lang w:val="en-US" w:eastAsia="zh-CN"/>
              </w:rPr>
              <w:t>通过对本项目所涉及的物质、生产设施、环保设施进行风险识别，得出项目可能存在的风险源及可能发生的风险事故如下表所示。</w:t>
            </w:r>
          </w:p>
          <w:p w14:paraId="58B93DB8">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157" w:afterLines="50" w:afterAutospacing="0"/>
              <w:ind w:right="0"/>
              <w:jc w:val="center"/>
              <w:textAlignment w:val="auto"/>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项目防渗分区识别表</w:t>
            </w:r>
          </w:p>
          <w:tbl>
            <w:tblPr>
              <w:tblStyle w:val="42"/>
              <w:tblW w:w="0" w:type="auto"/>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4"/>
              <w:gridCol w:w="1145"/>
              <w:gridCol w:w="1800"/>
              <w:gridCol w:w="4751"/>
            </w:tblGrid>
            <w:tr w14:paraId="3E197BF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9" w:type="dxa"/>
                  <w:gridSpan w:val="2"/>
                  <w:tcBorders>
                    <w:tl2br w:val="nil"/>
                    <w:tr2bl w:val="nil"/>
                  </w:tcBorders>
                  <w:vAlign w:val="center"/>
                </w:tcPr>
                <w:p w14:paraId="6F4D4C5E">
                  <w:pPr>
                    <w:pStyle w:val="123"/>
                    <w:keepNext w:val="0"/>
                    <w:keepLines w:val="0"/>
                    <w:suppressLineNumbers w:val="0"/>
                    <w:ind w:left="0" w:right="0"/>
                    <w:jc w:val="center"/>
                    <w:rPr>
                      <w:rFonts w:hint="eastAsia" w:ascii="Times New Roman" w:hAnsi="Times New Roman" w:eastAsia="宋体" w:cs="Times New Roman"/>
                      <w:b/>
                      <w:color w:val="auto"/>
                      <w:highlight w:val="none"/>
                      <w:lang w:val="en-US" w:eastAsia="zh-CN"/>
                    </w:rPr>
                  </w:pPr>
                  <w:r>
                    <w:rPr>
                      <w:rFonts w:hint="eastAsia" w:ascii="Times New Roman" w:hAnsi="Times New Roman" w:cs="Times New Roman"/>
                      <w:b/>
                      <w:color w:val="auto"/>
                      <w:highlight w:val="none"/>
                      <w:lang w:val="en-US" w:eastAsia="zh-CN"/>
                    </w:rPr>
                    <w:t>区域</w:t>
                  </w:r>
                </w:p>
              </w:tc>
              <w:tc>
                <w:tcPr>
                  <w:tcW w:w="1800" w:type="dxa"/>
                  <w:tcBorders>
                    <w:tl2br w:val="nil"/>
                    <w:tr2bl w:val="nil"/>
                  </w:tcBorders>
                  <w:vAlign w:val="center"/>
                </w:tcPr>
                <w:p w14:paraId="55B93F39">
                  <w:pPr>
                    <w:pStyle w:val="123"/>
                    <w:keepNext w:val="0"/>
                    <w:keepLines w:val="0"/>
                    <w:suppressLineNumbers w:val="0"/>
                    <w:ind w:left="0" w:right="0"/>
                    <w:jc w:val="center"/>
                    <w:rPr>
                      <w:rFonts w:hint="default" w:ascii="Times New Roman" w:hAnsi="Times New Roman" w:eastAsia="宋体" w:cs="Times New Roman"/>
                      <w:b/>
                      <w:color w:val="auto"/>
                      <w:highlight w:val="none"/>
                      <w:lang w:val="en-US" w:eastAsia="zh-CN"/>
                    </w:rPr>
                  </w:pPr>
                  <w:r>
                    <w:rPr>
                      <w:rFonts w:hint="eastAsia" w:ascii="Times New Roman" w:hAnsi="Times New Roman" w:cs="Times New Roman"/>
                      <w:b/>
                      <w:color w:val="auto"/>
                      <w:highlight w:val="none"/>
                      <w:lang w:val="en-US" w:eastAsia="zh-CN"/>
                    </w:rPr>
                    <w:t>潜在污染物</w:t>
                  </w:r>
                </w:p>
              </w:tc>
              <w:tc>
                <w:tcPr>
                  <w:tcW w:w="4751" w:type="dxa"/>
                  <w:tcBorders>
                    <w:tl2br w:val="nil"/>
                    <w:tr2bl w:val="nil"/>
                  </w:tcBorders>
                  <w:vAlign w:val="center"/>
                </w:tcPr>
                <w:p w14:paraId="22D30ECA">
                  <w:pPr>
                    <w:pStyle w:val="123"/>
                    <w:keepNext w:val="0"/>
                    <w:keepLines w:val="0"/>
                    <w:suppressLineNumbers w:val="0"/>
                    <w:ind w:left="0" w:right="0"/>
                    <w:jc w:val="center"/>
                    <w:rPr>
                      <w:rFonts w:hint="default" w:ascii="Times New Roman" w:hAnsi="Times New Roman" w:eastAsia="宋体" w:cs="Times New Roman"/>
                      <w:b/>
                      <w:color w:val="auto"/>
                      <w:highlight w:val="none"/>
                    </w:rPr>
                  </w:pPr>
                  <w:r>
                    <w:rPr>
                      <w:rFonts w:hint="default" w:ascii="Times New Roman" w:hAnsi="Times New Roman" w:eastAsia="宋体" w:cs="Times New Roman"/>
                      <w:b/>
                      <w:color w:val="auto"/>
                      <w:highlight w:val="none"/>
                    </w:rPr>
                    <w:t>防渗措施</w:t>
                  </w:r>
                </w:p>
              </w:tc>
            </w:tr>
            <w:tr w14:paraId="2BC6AF58">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tcBorders>
                    <w:tl2br w:val="nil"/>
                    <w:tr2bl w:val="nil"/>
                  </w:tcBorders>
                  <w:vAlign w:val="center"/>
                </w:tcPr>
                <w:p w14:paraId="182B450B">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重点防渗区</w:t>
                  </w:r>
                </w:p>
              </w:tc>
              <w:tc>
                <w:tcPr>
                  <w:tcW w:w="1145" w:type="dxa"/>
                  <w:tcBorders>
                    <w:tl2br w:val="nil"/>
                    <w:tr2bl w:val="nil"/>
                  </w:tcBorders>
                  <w:vAlign w:val="center"/>
                </w:tcPr>
                <w:p w14:paraId="26BEE6A6">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原料仓</w:t>
                  </w:r>
                </w:p>
              </w:tc>
              <w:tc>
                <w:tcPr>
                  <w:tcW w:w="1800" w:type="dxa"/>
                  <w:tcBorders>
                    <w:tl2br w:val="nil"/>
                    <w:tr2bl w:val="nil"/>
                  </w:tcBorders>
                  <w:vAlign w:val="center"/>
                </w:tcPr>
                <w:p w14:paraId="2F187129">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水性油墨、机油等液态原料</w:t>
                  </w:r>
                </w:p>
              </w:tc>
              <w:tc>
                <w:tcPr>
                  <w:tcW w:w="4751" w:type="dxa"/>
                  <w:tcBorders>
                    <w:tl2br w:val="nil"/>
                    <w:tr2bl w:val="nil"/>
                  </w:tcBorders>
                  <w:vAlign w:val="center"/>
                </w:tcPr>
                <w:p w14:paraId="1A7C27FC">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rPr>
                  </w:pPr>
                  <w:r>
                    <w:rPr>
                      <w:rFonts w:hint="default" w:ascii="Times New Roman" w:hAnsi="Times New Roman" w:eastAsia="宋体" w:cs="Times New Roman"/>
                      <w:bCs/>
                      <w:color w:val="auto"/>
                      <w:kern w:val="0"/>
                      <w:highlight w:val="none"/>
                    </w:rPr>
                    <w:t>采用掺入水泥基渗透结晶型防水剂抗渗混凝土的方法进行处理，防渗层为至少1m厚黏土层（渗透系数不大于10</w:t>
                  </w:r>
                  <w:r>
                    <w:rPr>
                      <w:rFonts w:hint="default" w:ascii="Times New Roman" w:hAnsi="Times New Roman" w:eastAsia="宋体" w:cs="Times New Roman"/>
                      <w:bCs/>
                      <w:color w:val="auto"/>
                      <w:kern w:val="0"/>
                      <w:highlight w:val="none"/>
                      <w:vertAlign w:val="superscript"/>
                    </w:rPr>
                    <w:t>7</w:t>
                  </w:r>
                  <w:r>
                    <w:rPr>
                      <w:rFonts w:hint="default" w:ascii="Times New Roman" w:hAnsi="Times New Roman" w:eastAsia="宋体" w:cs="Times New Roman"/>
                      <w:bCs/>
                      <w:color w:val="auto"/>
                      <w:kern w:val="0"/>
                      <w:highlight w:val="none"/>
                    </w:rPr>
                    <w:t>cm/s），或至少2mm厚高密度聚乙烯膜等人工防渗材料（渗透系数不大于10</w:t>
                  </w:r>
                  <w:r>
                    <w:rPr>
                      <w:rFonts w:hint="default" w:ascii="Times New Roman" w:hAnsi="Times New Roman" w:eastAsia="宋体" w:cs="Times New Roman"/>
                      <w:bCs/>
                      <w:color w:val="auto"/>
                      <w:kern w:val="0"/>
                      <w:highlight w:val="none"/>
                      <w:vertAlign w:val="superscript"/>
                    </w:rPr>
                    <w:t>-</w:t>
                  </w:r>
                  <w:r>
                    <w:rPr>
                      <w:rFonts w:hint="eastAsia" w:cs="Times New Roman"/>
                      <w:bCs/>
                      <w:color w:val="auto"/>
                      <w:kern w:val="0"/>
                      <w:highlight w:val="none"/>
                      <w:vertAlign w:val="superscript"/>
                      <w:lang w:val="en-US" w:eastAsia="zh-CN"/>
                    </w:rPr>
                    <w:t>1</w:t>
                  </w:r>
                  <w:r>
                    <w:rPr>
                      <w:rFonts w:hint="default" w:ascii="Times New Roman" w:hAnsi="Times New Roman" w:eastAsia="宋体" w:cs="Times New Roman"/>
                      <w:bCs/>
                      <w:color w:val="auto"/>
                      <w:kern w:val="0"/>
                      <w:highlight w:val="none"/>
                      <w:vertAlign w:val="superscript"/>
                    </w:rPr>
                    <w:t>0</w:t>
                  </w:r>
                  <w:r>
                    <w:rPr>
                      <w:rFonts w:hint="default" w:ascii="Times New Roman" w:hAnsi="Times New Roman" w:eastAsia="宋体" w:cs="Times New Roman"/>
                      <w:bCs/>
                      <w:color w:val="auto"/>
                      <w:kern w:val="0"/>
                      <w:highlight w:val="none"/>
                    </w:rPr>
                    <w:t>cm/s），抗渗混凝土厚度不宜小于100mm，抗渗等级不低于P6，强度等级不低于C25，水灰比不宜大于0.5。危废暂存间地面和墙面1m处涂环氧树脂漆防腐</w:t>
                  </w:r>
                </w:p>
              </w:tc>
            </w:tr>
            <w:tr w14:paraId="3714F12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l2br w:val="nil"/>
                    <w:tr2bl w:val="nil"/>
                  </w:tcBorders>
                  <w:vAlign w:val="center"/>
                </w:tcPr>
                <w:p w14:paraId="50EFAE0B">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rPr>
                  </w:pPr>
                </w:p>
              </w:tc>
              <w:tc>
                <w:tcPr>
                  <w:tcW w:w="1145" w:type="dxa"/>
                  <w:tcBorders>
                    <w:tl2br w:val="nil"/>
                    <w:tr2bl w:val="nil"/>
                  </w:tcBorders>
                  <w:vAlign w:val="center"/>
                </w:tcPr>
                <w:p w14:paraId="633D1CBE">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危废暂存间</w:t>
                  </w:r>
                </w:p>
              </w:tc>
              <w:tc>
                <w:tcPr>
                  <w:tcW w:w="1800" w:type="dxa"/>
                  <w:tcBorders>
                    <w:tl2br w:val="nil"/>
                    <w:tr2bl w:val="nil"/>
                  </w:tcBorders>
                  <w:vAlign w:val="center"/>
                </w:tcPr>
                <w:p w14:paraId="468C2F6A">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废机油、清洗废水和冷却废水</w:t>
                  </w:r>
                </w:p>
              </w:tc>
              <w:tc>
                <w:tcPr>
                  <w:tcW w:w="4751" w:type="dxa"/>
                  <w:vMerge w:val="restart"/>
                  <w:tcBorders>
                    <w:tl2br w:val="nil"/>
                    <w:tr2bl w:val="nil"/>
                  </w:tcBorders>
                  <w:vAlign w:val="center"/>
                </w:tcPr>
                <w:p w14:paraId="7DAE42D1">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rPr>
                  </w:pPr>
                  <w:r>
                    <w:rPr>
                      <w:rFonts w:hint="default" w:ascii="Times New Roman" w:hAnsi="Times New Roman" w:eastAsia="宋体" w:cs="Times New Roman"/>
                      <w:bCs/>
                      <w:color w:val="auto"/>
                      <w:kern w:val="0"/>
                      <w:highlight w:val="none"/>
                    </w:rPr>
                    <w:t>根据《环境影响评价技术导则地下水环境》（HJ610-2016）：一般污染防渗区等效黏土防渗层Mb≥1.5m，K≤1</w:t>
                  </w:r>
                  <w:r>
                    <w:rPr>
                      <w:rFonts w:hint="default" w:ascii="Times New Roman" w:hAnsi="Times New Roman" w:cs="Times New Roman"/>
                      <w:bCs/>
                      <w:color w:val="auto"/>
                      <w:kern w:val="0"/>
                      <w:highlight w:val="none"/>
                      <w:lang w:val="en-US" w:eastAsia="zh-CN"/>
                    </w:rPr>
                    <w:t>×</w:t>
                  </w:r>
                  <w:r>
                    <w:rPr>
                      <w:rFonts w:hint="default" w:ascii="Times New Roman" w:hAnsi="Times New Roman" w:eastAsia="宋体" w:cs="Times New Roman"/>
                      <w:bCs/>
                      <w:color w:val="auto"/>
                      <w:kern w:val="0"/>
                      <w:highlight w:val="none"/>
                    </w:rPr>
                    <w:t>10</w:t>
                  </w:r>
                  <w:r>
                    <w:rPr>
                      <w:rFonts w:hint="eastAsia" w:cs="Times New Roman"/>
                      <w:bCs/>
                      <w:color w:val="auto"/>
                      <w:kern w:val="0"/>
                      <w:highlight w:val="none"/>
                      <w:vertAlign w:val="superscript"/>
                      <w:lang w:val="en-US" w:eastAsia="zh-CN"/>
                    </w:rPr>
                    <w:t>-7</w:t>
                  </w:r>
                  <w:r>
                    <w:rPr>
                      <w:rFonts w:hint="default" w:ascii="Times New Roman" w:hAnsi="Times New Roman" w:eastAsia="宋体" w:cs="Times New Roman"/>
                      <w:bCs/>
                      <w:color w:val="auto"/>
                      <w:kern w:val="0"/>
                      <w:highlight w:val="none"/>
                    </w:rPr>
                    <w:t>cm/s；或参照GB16889执行</w:t>
                  </w:r>
                </w:p>
              </w:tc>
            </w:tr>
            <w:tr w14:paraId="6A53131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tcBorders>
                    <w:tl2br w:val="nil"/>
                    <w:tr2bl w:val="nil"/>
                  </w:tcBorders>
                  <w:vAlign w:val="center"/>
                </w:tcPr>
                <w:p w14:paraId="0BEEAA5C">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一般防渗区</w:t>
                  </w:r>
                </w:p>
              </w:tc>
              <w:tc>
                <w:tcPr>
                  <w:tcW w:w="1145" w:type="dxa"/>
                  <w:tcBorders>
                    <w:tl2br w:val="nil"/>
                    <w:tr2bl w:val="nil"/>
                  </w:tcBorders>
                  <w:vAlign w:val="center"/>
                </w:tcPr>
                <w:p w14:paraId="469D18FC">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一般固体废物暂存间</w:t>
                  </w:r>
                </w:p>
              </w:tc>
              <w:tc>
                <w:tcPr>
                  <w:tcW w:w="1800" w:type="dxa"/>
                  <w:tcBorders>
                    <w:tl2br w:val="nil"/>
                    <w:tr2bl w:val="nil"/>
                  </w:tcBorders>
                  <w:vAlign w:val="center"/>
                </w:tcPr>
                <w:p w14:paraId="20F5DD3A">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一般固体废物</w:t>
                  </w:r>
                </w:p>
              </w:tc>
              <w:tc>
                <w:tcPr>
                  <w:tcW w:w="4751" w:type="dxa"/>
                  <w:vMerge w:val="continue"/>
                  <w:tcBorders>
                    <w:tl2br w:val="nil"/>
                    <w:tr2bl w:val="nil"/>
                  </w:tcBorders>
                  <w:vAlign w:val="center"/>
                </w:tcPr>
                <w:p w14:paraId="5674CB62">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rPr>
                  </w:pPr>
                </w:p>
              </w:tc>
            </w:tr>
            <w:tr w14:paraId="37F5C96A">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l2br w:val="nil"/>
                    <w:tr2bl w:val="nil"/>
                  </w:tcBorders>
                  <w:vAlign w:val="center"/>
                </w:tcPr>
                <w:p w14:paraId="688C351A">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rPr>
                  </w:pPr>
                </w:p>
              </w:tc>
              <w:tc>
                <w:tcPr>
                  <w:tcW w:w="1145" w:type="dxa"/>
                  <w:tcBorders>
                    <w:tl2br w:val="nil"/>
                    <w:tr2bl w:val="nil"/>
                  </w:tcBorders>
                  <w:vAlign w:val="center"/>
                </w:tcPr>
                <w:p w14:paraId="24F0C235">
                  <w:pPr>
                    <w:keepNext w:val="0"/>
                    <w:keepLines w:val="0"/>
                    <w:suppressLineNumbers w:val="0"/>
                    <w:tabs>
                      <w:tab w:val="left" w:pos="1081"/>
                    </w:tabs>
                    <w:spacing w:before="0" w:beforeAutospacing="0" w:after="0" w:afterAutospacing="0"/>
                    <w:ind w:left="0" w:right="0"/>
                    <w:jc w:val="center"/>
                    <w:rPr>
                      <w:rFonts w:hint="eastAsia"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生产车间</w:t>
                  </w:r>
                </w:p>
              </w:tc>
              <w:tc>
                <w:tcPr>
                  <w:tcW w:w="1800" w:type="dxa"/>
                  <w:tcBorders>
                    <w:tl2br w:val="nil"/>
                    <w:tr2bl w:val="nil"/>
                  </w:tcBorders>
                  <w:vAlign w:val="center"/>
                </w:tcPr>
                <w:p w14:paraId="7A9B0603">
                  <w:pPr>
                    <w:keepNext w:val="0"/>
                    <w:keepLines w:val="0"/>
                    <w:suppressLineNumbers w:val="0"/>
                    <w:tabs>
                      <w:tab w:val="left" w:pos="1081"/>
                    </w:tabs>
                    <w:spacing w:before="0" w:beforeAutospacing="0" w:after="0" w:afterAutospacing="0"/>
                    <w:ind w:left="0" w:right="0"/>
                    <w:jc w:val="center"/>
                    <w:rPr>
                      <w:rFonts w:hint="eastAsia"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物料</w:t>
                  </w:r>
                </w:p>
              </w:tc>
              <w:tc>
                <w:tcPr>
                  <w:tcW w:w="4751" w:type="dxa"/>
                  <w:vMerge w:val="continue"/>
                  <w:tcBorders>
                    <w:tl2br w:val="nil"/>
                    <w:tr2bl w:val="nil"/>
                  </w:tcBorders>
                  <w:vAlign w:val="center"/>
                </w:tcPr>
                <w:p w14:paraId="442BE905">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rPr>
                  </w:pPr>
                </w:p>
              </w:tc>
            </w:tr>
            <w:tr w14:paraId="5B271F2E">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l2br w:val="nil"/>
                    <w:tr2bl w:val="nil"/>
                  </w:tcBorders>
                  <w:vAlign w:val="center"/>
                </w:tcPr>
                <w:p w14:paraId="7232D22F">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简单防渗区</w:t>
                  </w:r>
                </w:p>
              </w:tc>
              <w:tc>
                <w:tcPr>
                  <w:tcW w:w="1145" w:type="dxa"/>
                  <w:tcBorders>
                    <w:tl2br w:val="nil"/>
                    <w:tr2bl w:val="nil"/>
                  </w:tcBorders>
                  <w:vAlign w:val="center"/>
                </w:tcPr>
                <w:p w14:paraId="191ECFE0">
                  <w:pPr>
                    <w:keepNext w:val="0"/>
                    <w:keepLines w:val="0"/>
                    <w:suppressLineNumbers w:val="0"/>
                    <w:tabs>
                      <w:tab w:val="left" w:pos="1081"/>
                    </w:tabs>
                    <w:spacing w:before="0" w:beforeAutospacing="0" w:after="0" w:afterAutospacing="0"/>
                    <w:ind w:left="0" w:right="0"/>
                    <w:jc w:val="center"/>
                    <w:rPr>
                      <w:rFonts w:hint="eastAsia"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办公区</w:t>
                  </w:r>
                </w:p>
              </w:tc>
              <w:tc>
                <w:tcPr>
                  <w:tcW w:w="1800" w:type="dxa"/>
                  <w:tcBorders>
                    <w:tl2br w:val="nil"/>
                    <w:tr2bl w:val="nil"/>
                  </w:tcBorders>
                  <w:vAlign w:val="center"/>
                </w:tcPr>
                <w:p w14:paraId="7D8A6675">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生活垃圾</w:t>
                  </w:r>
                </w:p>
              </w:tc>
              <w:tc>
                <w:tcPr>
                  <w:tcW w:w="4751" w:type="dxa"/>
                  <w:tcBorders>
                    <w:tl2br w:val="nil"/>
                    <w:tr2bl w:val="nil"/>
                  </w:tcBorders>
                  <w:vAlign w:val="center"/>
                </w:tcPr>
                <w:p w14:paraId="2F49A9D5">
                  <w:pPr>
                    <w:keepNext w:val="0"/>
                    <w:keepLines w:val="0"/>
                    <w:suppressLineNumbers w:val="0"/>
                    <w:tabs>
                      <w:tab w:val="left" w:pos="1081"/>
                    </w:tabs>
                    <w:spacing w:before="0" w:beforeAutospacing="0" w:after="0" w:afterAutospacing="0"/>
                    <w:ind w:left="0" w:right="0"/>
                    <w:jc w:val="center"/>
                    <w:rPr>
                      <w:rFonts w:hint="default" w:ascii="Times New Roman" w:hAnsi="Times New Roman" w:eastAsia="宋体" w:cs="Times New Roman"/>
                      <w:bCs/>
                      <w:color w:val="auto"/>
                      <w:kern w:val="0"/>
                      <w:highlight w:val="none"/>
                      <w:lang w:val="en-US" w:eastAsia="zh-CN"/>
                    </w:rPr>
                  </w:pPr>
                  <w:r>
                    <w:rPr>
                      <w:rFonts w:hint="eastAsia" w:cs="Times New Roman"/>
                      <w:bCs/>
                      <w:color w:val="auto"/>
                      <w:kern w:val="0"/>
                      <w:highlight w:val="none"/>
                      <w:lang w:val="en-US" w:eastAsia="zh-CN"/>
                    </w:rPr>
                    <w:t>一般地面硬化</w:t>
                  </w:r>
                </w:p>
              </w:tc>
            </w:tr>
          </w:tbl>
          <w:p w14:paraId="4BCEB0D7">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22" w:firstLineChars="200"/>
              <w:textAlignment w:val="auto"/>
              <w:rPr>
                <w:rFonts w:hint="eastAsia" w:ascii="Times New Roman" w:hAnsi="Times New Roman" w:cs="Times New Roman"/>
                <w:b/>
                <w:bCs/>
                <w:color w:val="auto"/>
                <w:kern w:val="0"/>
                <w:szCs w:val="21"/>
                <w:highlight w:val="none"/>
                <w:lang w:val="en-US" w:eastAsia="zh-CN"/>
              </w:rPr>
            </w:pPr>
            <w:r>
              <w:rPr>
                <w:rFonts w:hint="eastAsia" w:cs="Times New Roman"/>
                <w:b/>
                <w:bCs/>
                <w:color w:val="auto"/>
                <w:kern w:val="0"/>
                <w:szCs w:val="21"/>
                <w:highlight w:val="none"/>
                <w:lang w:val="en-US" w:eastAsia="zh-CN"/>
              </w:rPr>
              <w:t>6</w:t>
            </w:r>
            <w:r>
              <w:rPr>
                <w:rFonts w:hint="eastAsia" w:ascii="Times New Roman" w:hAnsi="Times New Roman" w:cs="Times New Roman"/>
                <w:b/>
                <w:bCs/>
                <w:color w:val="auto"/>
                <w:kern w:val="0"/>
                <w:szCs w:val="21"/>
                <w:highlight w:val="none"/>
                <w:lang w:val="en-US" w:eastAsia="zh-CN"/>
              </w:rPr>
              <w:t>.3环境影响途径及危害后果</w:t>
            </w:r>
          </w:p>
          <w:p w14:paraId="177BBEAC">
            <w:pPr>
              <w:keepNext w:val="0"/>
              <w:keepLines w:val="0"/>
              <w:suppressLineNumbers w:val="0"/>
              <w:spacing w:before="0" w:beforeAutospacing="0" w:after="0" w:afterAutospacing="0" w:line="360" w:lineRule="auto"/>
              <w:ind w:left="0" w:right="0" w:firstLine="420" w:firstLineChars="200"/>
              <w:rPr>
                <w:rFonts w:hint="eastAsia"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大气：遇到明火或高热引起的火灾。</w:t>
            </w:r>
          </w:p>
          <w:p w14:paraId="2F105832">
            <w:pPr>
              <w:keepNext w:val="0"/>
              <w:keepLines w:val="0"/>
              <w:suppressLineNumbers w:val="0"/>
              <w:spacing w:before="0" w:beforeAutospacing="0" w:after="0" w:afterAutospacing="0" w:line="360" w:lineRule="auto"/>
              <w:ind w:left="0" w:right="0" w:firstLine="420" w:firstLineChars="200"/>
              <w:rPr>
                <w:rFonts w:hint="eastAsia"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地表水：消防废水</w:t>
            </w:r>
          </w:p>
          <w:p w14:paraId="231E1FFA">
            <w:pPr>
              <w:keepNext w:val="0"/>
              <w:keepLines w:val="0"/>
              <w:suppressLineNumbers w:val="0"/>
              <w:spacing w:before="0" w:beforeAutospacing="0" w:after="0" w:afterAutospacing="0" w:line="360" w:lineRule="auto"/>
              <w:ind w:left="0" w:right="0" w:firstLine="422" w:firstLineChars="200"/>
              <w:rPr>
                <w:rFonts w:hint="eastAsia" w:ascii="Times New Roman" w:hAnsi="Times New Roman" w:cs="Times New Roman"/>
                <w:b/>
                <w:bCs/>
                <w:color w:val="auto"/>
                <w:kern w:val="0"/>
                <w:szCs w:val="21"/>
                <w:highlight w:val="none"/>
                <w:lang w:val="en-US" w:eastAsia="zh-CN"/>
              </w:rPr>
            </w:pPr>
            <w:r>
              <w:rPr>
                <w:rFonts w:hint="eastAsia" w:cs="Times New Roman"/>
                <w:b/>
                <w:bCs/>
                <w:color w:val="auto"/>
                <w:kern w:val="0"/>
                <w:szCs w:val="21"/>
                <w:highlight w:val="none"/>
                <w:lang w:val="en-US" w:eastAsia="zh-CN"/>
              </w:rPr>
              <w:t>6</w:t>
            </w:r>
            <w:r>
              <w:rPr>
                <w:rFonts w:hint="eastAsia" w:ascii="Times New Roman" w:hAnsi="Times New Roman" w:cs="Times New Roman"/>
                <w:b/>
                <w:bCs/>
                <w:color w:val="auto"/>
                <w:kern w:val="0"/>
                <w:szCs w:val="21"/>
                <w:highlight w:val="none"/>
                <w:lang w:val="en-US" w:eastAsia="zh-CN"/>
              </w:rPr>
              <w:t>.4风险源安全防范措施</w:t>
            </w:r>
          </w:p>
          <w:p w14:paraId="3F26A480">
            <w:pPr>
              <w:keepNext w:val="0"/>
              <w:keepLines w:val="0"/>
              <w:suppressLineNumbers w:val="0"/>
              <w:spacing w:before="0" w:beforeAutospacing="0" w:after="0" w:afterAutospacing="0" w:line="360" w:lineRule="auto"/>
              <w:ind w:left="0" w:right="0" w:firstLine="420" w:firstLineChars="200"/>
              <w:rPr>
                <w:rFonts w:hint="eastAsia" w:ascii="Times New Roman" w:hAnsi="Times New Roman" w:cs="Times New Roman"/>
                <w:color w:val="auto"/>
                <w:kern w:val="0"/>
                <w:szCs w:val="21"/>
                <w:highlight w:val="none"/>
                <w:lang w:val="en-US" w:eastAsia="zh-CN"/>
              </w:rPr>
            </w:pPr>
            <w:r>
              <w:rPr>
                <w:rFonts w:hint="eastAsia" w:cs="Times New Roman"/>
                <w:color w:val="auto"/>
                <w:kern w:val="0"/>
                <w:szCs w:val="21"/>
                <w:highlight w:val="none"/>
                <w:lang w:val="en-US" w:eastAsia="zh-CN"/>
              </w:rPr>
              <w:t>（</w:t>
            </w:r>
            <w:r>
              <w:rPr>
                <w:rFonts w:hint="eastAsia" w:ascii="Times New Roman" w:hAnsi="Times New Roman" w:cs="Times New Roman"/>
                <w:color w:val="auto"/>
                <w:kern w:val="0"/>
                <w:szCs w:val="21"/>
                <w:highlight w:val="none"/>
                <w:lang w:val="en-US" w:eastAsia="zh-CN"/>
              </w:rPr>
              <w:t>1</w:t>
            </w:r>
            <w:r>
              <w:rPr>
                <w:rFonts w:hint="eastAsia" w:cs="Times New Roman"/>
                <w:color w:val="auto"/>
                <w:kern w:val="0"/>
                <w:szCs w:val="21"/>
                <w:highlight w:val="none"/>
                <w:lang w:val="en-US" w:eastAsia="zh-CN"/>
              </w:rPr>
              <w:t>）</w:t>
            </w:r>
            <w:r>
              <w:rPr>
                <w:rFonts w:hint="eastAsia" w:ascii="Times New Roman" w:hAnsi="Times New Roman" w:cs="Times New Roman"/>
                <w:color w:val="auto"/>
                <w:kern w:val="0"/>
                <w:szCs w:val="21"/>
                <w:highlight w:val="none"/>
                <w:lang w:val="en-US" w:eastAsia="zh-CN"/>
              </w:rPr>
              <w:t>对危险物品的储存量、储存周期要根据生产进度安排，避免过量存储，收集的危险废物要及时委托资质单位处理，以便降低事故发生的概率</w:t>
            </w:r>
            <w:r>
              <w:rPr>
                <w:rFonts w:hint="eastAsia" w:cs="Times New Roman"/>
                <w:color w:val="auto"/>
                <w:kern w:val="0"/>
                <w:szCs w:val="21"/>
                <w:highlight w:val="none"/>
                <w:lang w:val="en-US" w:eastAsia="zh-CN"/>
              </w:rPr>
              <w:t>；（</w:t>
            </w:r>
            <w:r>
              <w:rPr>
                <w:rFonts w:hint="eastAsia" w:ascii="Times New Roman" w:hAnsi="Times New Roman" w:cs="Times New Roman"/>
                <w:color w:val="auto"/>
                <w:kern w:val="0"/>
                <w:szCs w:val="21"/>
                <w:highlight w:val="none"/>
                <w:lang w:val="en-US" w:eastAsia="zh-CN"/>
              </w:rPr>
              <w:t>2</w:t>
            </w:r>
            <w:r>
              <w:rPr>
                <w:rFonts w:hint="eastAsia" w:cs="Times New Roman"/>
                <w:color w:val="auto"/>
                <w:kern w:val="0"/>
                <w:szCs w:val="21"/>
                <w:highlight w:val="none"/>
                <w:lang w:val="en-US" w:eastAsia="zh-CN"/>
              </w:rPr>
              <w:t>）</w:t>
            </w:r>
            <w:r>
              <w:rPr>
                <w:rFonts w:hint="eastAsia" w:ascii="Times New Roman" w:hAnsi="Times New Roman" w:cs="Times New Roman"/>
                <w:color w:val="auto"/>
                <w:kern w:val="0"/>
                <w:szCs w:val="21"/>
                <w:highlight w:val="none"/>
                <w:lang w:val="en-US" w:eastAsia="zh-CN"/>
              </w:rPr>
              <w:t>储存区备有泡沫灭火器，大量泄漏采用泡沫覆盖，降低灾害围堰收集物料通过管道输送至消防废水池。</w:t>
            </w:r>
            <w:r>
              <w:rPr>
                <w:rFonts w:hint="eastAsia" w:cs="Times New Roman"/>
                <w:color w:val="auto"/>
                <w:kern w:val="0"/>
                <w:szCs w:val="21"/>
                <w:highlight w:val="none"/>
                <w:lang w:val="en-US" w:eastAsia="zh-CN"/>
              </w:rPr>
              <w:t>（3）</w:t>
            </w:r>
            <w:r>
              <w:rPr>
                <w:rFonts w:hint="eastAsia" w:ascii="Times New Roman" w:hAnsi="Times New Roman" w:cs="Times New Roman"/>
                <w:color w:val="auto"/>
                <w:kern w:val="0"/>
                <w:szCs w:val="21"/>
                <w:highlight w:val="none"/>
                <w:lang w:val="en-US" w:eastAsia="zh-CN"/>
              </w:rPr>
              <w:t>防止机械</w:t>
            </w:r>
            <w:r>
              <w:rPr>
                <w:rFonts w:hint="eastAsia" w:cs="Times New Roman"/>
                <w:color w:val="auto"/>
                <w:kern w:val="0"/>
                <w:szCs w:val="21"/>
                <w:highlight w:val="none"/>
                <w:lang w:val="en-US" w:eastAsia="zh-CN"/>
              </w:rPr>
              <w:t>（</w:t>
            </w:r>
            <w:r>
              <w:rPr>
                <w:rFonts w:hint="eastAsia" w:ascii="Times New Roman" w:hAnsi="Times New Roman" w:cs="Times New Roman"/>
                <w:color w:val="auto"/>
                <w:kern w:val="0"/>
                <w:szCs w:val="21"/>
                <w:highlight w:val="none"/>
                <w:lang w:val="en-US" w:eastAsia="zh-CN"/>
              </w:rPr>
              <w:t>撞击、摩擦</w:t>
            </w:r>
            <w:r>
              <w:rPr>
                <w:rFonts w:hint="eastAsia" w:cs="Times New Roman"/>
                <w:color w:val="auto"/>
                <w:kern w:val="0"/>
                <w:szCs w:val="21"/>
                <w:highlight w:val="none"/>
                <w:lang w:val="en-US" w:eastAsia="zh-CN"/>
              </w:rPr>
              <w:t>）</w:t>
            </w:r>
            <w:r>
              <w:rPr>
                <w:rFonts w:hint="eastAsia" w:ascii="Times New Roman" w:hAnsi="Times New Roman" w:cs="Times New Roman"/>
                <w:color w:val="auto"/>
                <w:kern w:val="0"/>
                <w:szCs w:val="21"/>
                <w:highlight w:val="none"/>
                <w:lang w:val="en-US" w:eastAsia="zh-CN"/>
              </w:rPr>
              <w:t>着火源，控制高温物体着火源、电气着火源;建立报警系统</w:t>
            </w:r>
            <w:r>
              <w:rPr>
                <w:rFonts w:hint="eastAsia" w:cs="Times New Roman"/>
                <w:color w:val="auto"/>
                <w:kern w:val="0"/>
                <w:szCs w:val="21"/>
                <w:highlight w:val="none"/>
                <w:lang w:val="en-US" w:eastAsia="zh-CN"/>
              </w:rPr>
              <w:t>；（4）</w:t>
            </w:r>
            <w:r>
              <w:rPr>
                <w:rFonts w:hint="eastAsia" w:ascii="Times New Roman" w:hAnsi="Times New Roman" w:cs="Times New Roman"/>
                <w:color w:val="auto"/>
                <w:kern w:val="0"/>
                <w:szCs w:val="21"/>
                <w:highlight w:val="none"/>
                <w:lang w:val="en-US" w:eastAsia="zh-CN"/>
              </w:rPr>
              <w:t>避免静电引起事故，设备良好接地;装罐输送中防静电限制流速，禁止高速输送。</w:t>
            </w:r>
          </w:p>
          <w:p w14:paraId="20636971">
            <w:pPr>
              <w:keepNext w:val="0"/>
              <w:keepLines w:val="0"/>
              <w:suppressLineNumbers w:val="0"/>
              <w:spacing w:before="0" w:beforeAutospacing="0" w:after="0" w:afterAutospacing="0" w:line="360" w:lineRule="auto"/>
              <w:ind w:left="0" w:right="0" w:firstLine="420" w:firstLineChars="200"/>
              <w:rPr>
                <w:rFonts w:hint="eastAsia" w:ascii="Times New Roman" w:hAnsi="Times New Roman" w:cs="Times New Roman"/>
                <w:color w:val="auto"/>
                <w:kern w:val="0"/>
                <w:szCs w:val="21"/>
                <w:highlight w:val="none"/>
                <w:lang w:val="en-US" w:eastAsia="zh-CN"/>
              </w:rPr>
            </w:pPr>
            <w:r>
              <w:rPr>
                <w:rFonts w:hint="eastAsia" w:cs="Times New Roman"/>
                <w:color w:val="auto"/>
                <w:kern w:val="0"/>
                <w:szCs w:val="21"/>
                <w:highlight w:val="none"/>
                <w:lang w:val="en-US" w:eastAsia="zh-CN"/>
              </w:rPr>
              <w:t>（2）</w:t>
            </w:r>
            <w:r>
              <w:rPr>
                <w:rFonts w:hint="eastAsia" w:ascii="Times New Roman" w:hAnsi="Times New Roman" w:cs="Times New Roman"/>
                <w:color w:val="auto"/>
                <w:kern w:val="0"/>
                <w:szCs w:val="21"/>
                <w:highlight w:val="none"/>
                <w:lang w:val="en-US" w:eastAsia="zh-CN"/>
              </w:rPr>
              <w:t>加强对员工的安全生产培训，生产过程中原辅材料的量取、加料等严格按要求操作，严禁机油等物料泄漏。机油单独存放于特定的场所</w:t>
            </w:r>
            <w:r>
              <w:rPr>
                <w:rFonts w:hint="eastAsia" w:cs="Times New Roman"/>
                <w:color w:val="auto"/>
                <w:kern w:val="0"/>
                <w:szCs w:val="21"/>
                <w:highlight w:val="none"/>
                <w:lang w:val="en-US" w:eastAsia="zh-CN"/>
              </w:rPr>
              <w:t>（</w:t>
            </w:r>
            <w:r>
              <w:rPr>
                <w:rFonts w:hint="eastAsia" w:ascii="Times New Roman" w:hAnsi="Times New Roman" w:cs="Times New Roman"/>
                <w:color w:val="auto"/>
                <w:kern w:val="0"/>
                <w:szCs w:val="21"/>
                <w:highlight w:val="none"/>
                <w:lang w:val="en-US" w:eastAsia="zh-CN"/>
              </w:rPr>
              <w:t>仓库</w:t>
            </w:r>
            <w:r>
              <w:rPr>
                <w:rFonts w:hint="eastAsia" w:cs="Times New Roman"/>
                <w:color w:val="auto"/>
                <w:kern w:val="0"/>
                <w:szCs w:val="21"/>
                <w:highlight w:val="none"/>
                <w:lang w:val="en-US" w:eastAsia="zh-CN"/>
              </w:rPr>
              <w:t>）</w:t>
            </w:r>
            <w:r>
              <w:rPr>
                <w:rFonts w:hint="eastAsia" w:ascii="Times New Roman" w:hAnsi="Times New Roman" w:cs="Times New Roman"/>
                <w:color w:val="auto"/>
                <w:kern w:val="0"/>
                <w:szCs w:val="21"/>
                <w:highlight w:val="none"/>
                <w:lang w:val="en-US" w:eastAsia="zh-CN"/>
              </w:rPr>
              <w:t>，并由专职人员看管，加强管理，泄漏时应该隔离泄漏污染区，限制出入。建议应急处理人员戴防尘面具</w:t>
            </w:r>
            <w:r>
              <w:rPr>
                <w:rFonts w:hint="eastAsia" w:cs="Times New Roman"/>
                <w:color w:val="auto"/>
                <w:kern w:val="0"/>
                <w:szCs w:val="21"/>
                <w:highlight w:val="none"/>
                <w:lang w:val="en-US" w:eastAsia="zh-CN"/>
              </w:rPr>
              <w:t>（</w:t>
            </w:r>
            <w:r>
              <w:rPr>
                <w:rFonts w:hint="eastAsia" w:ascii="Times New Roman" w:hAnsi="Times New Roman" w:cs="Times New Roman"/>
                <w:color w:val="auto"/>
                <w:kern w:val="0"/>
                <w:szCs w:val="21"/>
                <w:highlight w:val="none"/>
                <w:lang w:val="en-US" w:eastAsia="zh-CN"/>
              </w:rPr>
              <w:t>全面罩</w:t>
            </w:r>
            <w:r>
              <w:rPr>
                <w:rFonts w:hint="eastAsia" w:cs="Times New Roman"/>
                <w:color w:val="auto"/>
                <w:kern w:val="0"/>
                <w:szCs w:val="21"/>
                <w:highlight w:val="none"/>
                <w:lang w:val="en-US" w:eastAsia="zh-CN"/>
              </w:rPr>
              <w:t>）</w:t>
            </w:r>
            <w:r>
              <w:rPr>
                <w:rFonts w:hint="eastAsia" w:ascii="Times New Roman" w:hAnsi="Times New Roman" w:cs="Times New Roman"/>
                <w:color w:val="auto"/>
                <w:kern w:val="0"/>
                <w:szCs w:val="21"/>
                <w:highlight w:val="none"/>
                <w:lang w:val="en-US" w:eastAsia="zh-CN"/>
              </w:rPr>
              <w:t>，穿防毒服，不要直接接触泄漏物。车间应配备急救设备及药品，作业人员应学会自救互救。</w:t>
            </w:r>
          </w:p>
          <w:p w14:paraId="1B195303">
            <w:pPr>
              <w:keepNext w:val="0"/>
              <w:keepLines w:val="0"/>
              <w:suppressLineNumbers w:val="0"/>
              <w:spacing w:before="0" w:beforeAutospacing="0" w:after="0" w:afterAutospacing="0" w:line="360" w:lineRule="auto"/>
              <w:ind w:left="0" w:right="0" w:firstLine="420" w:firstLineChars="200"/>
              <w:rPr>
                <w:rFonts w:hint="eastAsia"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本项目设置危险废物临时仓库，用于收集、临时贮存生产过程中产生的危险废物，项目危险废物暂存区面积共</w:t>
            </w:r>
            <w:r>
              <w:rPr>
                <w:rFonts w:hint="eastAsia" w:cs="Times New Roman"/>
                <w:color w:val="auto"/>
                <w:kern w:val="0"/>
                <w:szCs w:val="21"/>
                <w:highlight w:val="none"/>
                <w:lang w:val="en-US" w:eastAsia="zh-CN"/>
              </w:rPr>
              <w:t>25</w:t>
            </w:r>
            <w:r>
              <w:rPr>
                <w:rFonts w:hint="eastAsia" w:ascii="Times New Roman" w:hAnsi="Times New Roman" w:cs="Times New Roman"/>
                <w:color w:val="auto"/>
                <w:kern w:val="0"/>
                <w:szCs w:val="21"/>
                <w:highlight w:val="none"/>
                <w:lang w:val="en-US" w:eastAsia="zh-CN"/>
              </w:rPr>
              <w:t>m</w:t>
            </w:r>
            <w:r>
              <w:rPr>
                <w:rFonts w:hint="eastAsia" w:ascii="Times New Roman" w:hAnsi="Times New Roman" w:cs="Times New Roman"/>
                <w:color w:val="auto"/>
                <w:kern w:val="0"/>
                <w:szCs w:val="21"/>
                <w:highlight w:val="none"/>
                <w:vertAlign w:val="superscript"/>
                <w:lang w:val="en-US" w:eastAsia="zh-CN"/>
              </w:rPr>
              <w:t>2</w:t>
            </w:r>
            <w:r>
              <w:rPr>
                <w:rFonts w:hint="eastAsia" w:ascii="Times New Roman" w:hAnsi="Times New Roman" w:cs="Times New Roman"/>
                <w:color w:val="auto"/>
                <w:kern w:val="0"/>
                <w:szCs w:val="21"/>
                <w:highlight w:val="none"/>
                <w:lang w:val="en-US" w:eastAsia="zh-CN"/>
              </w:rPr>
              <w:t>，危险废物贮存场设计中严格执行《危险废物贮存污染控制标准》</w:t>
            </w:r>
            <w:r>
              <w:rPr>
                <w:rFonts w:hint="eastAsia" w:cs="Times New Roman"/>
                <w:color w:val="auto"/>
                <w:kern w:val="0"/>
                <w:szCs w:val="21"/>
                <w:highlight w:val="none"/>
                <w:lang w:val="en-US" w:eastAsia="zh-CN"/>
              </w:rPr>
              <w:t>（</w:t>
            </w:r>
            <w:r>
              <w:rPr>
                <w:rFonts w:hint="eastAsia" w:ascii="Times New Roman" w:hAnsi="Times New Roman" w:cs="Times New Roman"/>
                <w:color w:val="auto"/>
                <w:kern w:val="0"/>
                <w:szCs w:val="21"/>
                <w:highlight w:val="none"/>
                <w:lang w:val="en-US" w:eastAsia="zh-CN"/>
              </w:rPr>
              <w:t>GB18597-2023</w:t>
            </w:r>
            <w:r>
              <w:rPr>
                <w:rFonts w:hint="eastAsia" w:cs="Times New Roman"/>
                <w:color w:val="auto"/>
                <w:kern w:val="0"/>
                <w:szCs w:val="21"/>
                <w:highlight w:val="none"/>
                <w:lang w:val="en-US" w:eastAsia="zh-CN"/>
              </w:rPr>
              <w:t>）</w:t>
            </w:r>
            <w:r>
              <w:rPr>
                <w:rFonts w:hint="eastAsia" w:ascii="Times New Roman" w:hAnsi="Times New Roman" w:cs="Times New Roman"/>
                <w:color w:val="auto"/>
                <w:kern w:val="0"/>
                <w:szCs w:val="21"/>
                <w:highlight w:val="none"/>
                <w:lang w:val="en-US" w:eastAsia="zh-CN"/>
              </w:rPr>
              <w:t>的规定。危险废物在临时仓库暂存后，定期委托有危险废物处理资质的单位处理。</w:t>
            </w:r>
          </w:p>
          <w:p w14:paraId="4C447A9A">
            <w:pPr>
              <w:keepNext w:val="0"/>
              <w:keepLines w:val="0"/>
              <w:suppressLineNumbers w:val="0"/>
              <w:spacing w:before="0" w:beforeAutospacing="0" w:after="0" w:afterAutospacing="0" w:line="360" w:lineRule="auto"/>
              <w:ind w:left="0" w:right="0" w:firstLine="422" w:firstLineChars="200"/>
              <w:rPr>
                <w:rFonts w:hint="eastAsia" w:ascii="Times New Roman" w:hAnsi="Times New Roman" w:cs="Times New Roman"/>
                <w:b/>
                <w:bCs/>
                <w:color w:val="auto"/>
                <w:kern w:val="0"/>
                <w:szCs w:val="21"/>
                <w:highlight w:val="none"/>
                <w:lang w:val="en-US" w:eastAsia="zh-CN"/>
              </w:rPr>
            </w:pPr>
            <w:r>
              <w:rPr>
                <w:rFonts w:hint="eastAsia" w:cs="Times New Roman"/>
                <w:b/>
                <w:bCs/>
                <w:color w:val="auto"/>
                <w:kern w:val="0"/>
                <w:szCs w:val="21"/>
                <w:highlight w:val="none"/>
                <w:lang w:val="en-US" w:eastAsia="zh-CN"/>
              </w:rPr>
              <w:t>6</w:t>
            </w:r>
            <w:r>
              <w:rPr>
                <w:rFonts w:hint="eastAsia" w:ascii="Times New Roman" w:hAnsi="Times New Roman" w:cs="Times New Roman"/>
                <w:b/>
                <w:bCs/>
                <w:color w:val="auto"/>
                <w:kern w:val="0"/>
                <w:szCs w:val="21"/>
                <w:highlight w:val="none"/>
                <w:lang w:val="en-US" w:eastAsia="zh-CN"/>
              </w:rPr>
              <w:t>.5火灾风险防范措施</w:t>
            </w:r>
          </w:p>
          <w:p w14:paraId="64BCB51E">
            <w:pPr>
              <w:keepNext w:val="0"/>
              <w:keepLines w:val="0"/>
              <w:suppressLineNumbers w:val="0"/>
              <w:spacing w:before="0" w:beforeAutospacing="0" w:after="0" w:afterAutospacing="0" w:line="360" w:lineRule="auto"/>
              <w:ind w:left="0" w:right="0" w:firstLine="420" w:firstLineChars="200"/>
              <w:rPr>
                <w:rFonts w:hint="eastAsia"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1</w:t>
            </w:r>
            <w:r>
              <w:rPr>
                <w:rFonts w:hint="eastAsia" w:cs="Times New Roman"/>
                <w:color w:val="auto"/>
                <w:kern w:val="0"/>
                <w:szCs w:val="21"/>
                <w:highlight w:val="none"/>
                <w:lang w:val="en-US" w:eastAsia="zh-CN"/>
              </w:rPr>
              <w:t>）</w:t>
            </w:r>
            <w:r>
              <w:rPr>
                <w:rFonts w:hint="eastAsia" w:ascii="Times New Roman" w:hAnsi="Times New Roman" w:cs="Times New Roman"/>
                <w:color w:val="auto"/>
                <w:kern w:val="0"/>
                <w:szCs w:val="21"/>
                <w:highlight w:val="none"/>
                <w:lang w:val="en-US" w:eastAsia="zh-CN"/>
              </w:rPr>
              <w:t>项目总平面布置根据功能分区布置，各构筑物均按火灾危险等级要求进行设计，生产车间及原料危险贮场等地面应根据需要做防腐防渗处理。</w:t>
            </w:r>
          </w:p>
          <w:p w14:paraId="18DE7329">
            <w:pPr>
              <w:keepNext w:val="0"/>
              <w:keepLines w:val="0"/>
              <w:suppressLineNumbers w:val="0"/>
              <w:spacing w:before="0" w:beforeAutospacing="0" w:after="0" w:afterAutospacing="0" w:line="360" w:lineRule="auto"/>
              <w:ind w:left="0" w:right="0" w:firstLine="420" w:firstLineChars="200"/>
              <w:rPr>
                <w:rFonts w:hint="eastAsia"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2</w:t>
            </w:r>
            <w:r>
              <w:rPr>
                <w:rFonts w:hint="eastAsia" w:cs="Times New Roman"/>
                <w:color w:val="auto"/>
                <w:kern w:val="0"/>
                <w:szCs w:val="21"/>
                <w:highlight w:val="none"/>
                <w:lang w:val="en-US" w:eastAsia="zh-CN"/>
              </w:rPr>
              <w:t>）</w:t>
            </w:r>
            <w:r>
              <w:rPr>
                <w:rFonts w:hint="eastAsia" w:ascii="Times New Roman" w:hAnsi="Times New Roman" w:cs="Times New Roman"/>
                <w:color w:val="auto"/>
                <w:kern w:val="0"/>
                <w:szCs w:val="21"/>
                <w:highlight w:val="none"/>
                <w:lang w:val="en-US" w:eastAsia="zh-CN"/>
              </w:rPr>
              <w:t>生产现场设置各种安全标志。</w:t>
            </w:r>
          </w:p>
          <w:p w14:paraId="7756CB51">
            <w:pPr>
              <w:keepNext w:val="0"/>
              <w:keepLines w:val="0"/>
              <w:suppressLineNumbers w:val="0"/>
              <w:spacing w:before="0" w:beforeAutospacing="0" w:after="0" w:afterAutospacing="0" w:line="360" w:lineRule="auto"/>
              <w:ind w:left="0" w:right="0" w:firstLine="420" w:firstLineChars="200"/>
              <w:rPr>
                <w:rFonts w:hint="eastAsia"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3</w:t>
            </w:r>
            <w:r>
              <w:rPr>
                <w:rFonts w:hint="eastAsia" w:cs="Times New Roman"/>
                <w:color w:val="auto"/>
                <w:kern w:val="0"/>
                <w:szCs w:val="21"/>
                <w:highlight w:val="none"/>
                <w:lang w:val="en-US" w:eastAsia="zh-CN"/>
              </w:rPr>
              <w:t>）</w:t>
            </w:r>
            <w:r>
              <w:rPr>
                <w:rFonts w:hint="eastAsia" w:ascii="Times New Roman" w:hAnsi="Times New Roman" w:cs="Times New Roman"/>
                <w:color w:val="auto"/>
                <w:kern w:val="0"/>
                <w:szCs w:val="21"/>
                <w:highlight w:val="none"/>
                <w:lang w:val="en-US" w:eastAsia="zh-CN"/>
              </w:rPr>
              <w:t>车间应禁止明火。</w:t>
            </w:r>
          </w:p>
          <w:p w14:paraId="45EEA7A3">
            <w:pPr>
              <w:keepNext w:val="0"/>
              <w:keepLines w:val="0"/>
              <w:suppressLineNumbers w:val="0"/>
              <w:spacing w:before="0" w:beforeAutospacing="0" w:after="0" w:afterAutospacing="0" w:line="360" w:lineRule="auto"/>
              <w:ind w:left="0" w:right="0" w:firstLine="420" w:firstLineChars="200"/>
              <w:rPr>
                <w:rFonts w:hint="eastAsia"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4</w:t>
            </w:r>
            <w:r>
              <w:rPr>
                <w:rFonts w:hint="eastAsia" w:cs="Times New Roman"/>
                <w:color w:val="auto"/>
                <w:kern w:val="0"/>
                <w:szCs w:val="21"/>
                <w:highlight w:val="none"/>
                <w:lang w:val="en-US" w:eastAsia="zh-CN"/>
              </w:rPr>
              <w:t>）</w:t>
            </w:r>
            <w:r>
              <w:rPr>
                <w:rFonts w:hint="eastAsia" w:ascii="Times New Roman" w:hAnsi="Times New Roman" w:cs="Times New Roman"/>
                <w:color w:val="auto"/>
                <w:kern w:val="0"/>
                <w:szCs w:val="21"/>
                <w:highlight w:val="none"/>
                <w:lang w:val="en-US" w:eastAsia="zh-CN"/>
              </w:rPr>
              <w:t>项目生产车间、危废仓库、原料仓库出入口均设有5cm围堰，且在雨水管网、污水管网的厂区出口处设置闸门，发生事故时及时关闭闸门，防止消防废水流出厂区，将其可能产生的环境影响优先控制在厂区之内，从传播途径控制污染物，减少火灾水污染物扩散范围;在事故发生位置四周用沙袋围成围堰拦截消防废水，并在厂内采取导流方式将消防废水统一收集，集中处理，消除安全隐患后交由有资质单位处理，从末端处理污染物，减少火灾水污染物排放。</w:t>
            </w:r>
          </w:p>
          <w:p w14:paraId="6C30D6FF">
            <w:pPr>
              <w:keepNext w:val="0"/>
              <w:keepLines w:val="0"/>
              <w:suppressLineNumbers w:val="0"/>
              <w:spacing w:before="0" w:beforeAutospacing="0" w:after="0" w:afterAutospacing="0" w:line="360" w:lineRule="auto"/>
              <w:ind w:left="0" w:right="0" w:firstLine="420" w:firstLineChars="200"/>
              <w:rPr>
                <w:rFonts w:hint="eastAsia"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5</w:t>
            </w:r>
            <w:r>
              <w:rPr>
                <w:rFonts w:hint="eastAsia" w:cs="Times New Roman"/>
                <w:color w:val="auto"/>
                <w:kern w:val="0"/>
                <w:szCs w:val="21"/>
                <w:highlight w:val="none"/>
                <w:lang w:val="en-US" w:eastAsia="zh-CN"/>
              </w:rPr>
              <w:t>）</w:t>
            </w:r>
            <w:r>
              <w:rPr>
                <w:rFonts w:hint="eastAsia" w:ascii="Times New Roman" w:hAnsi="Times New Roman" w:cs="Times New Roman"/>
                <w:color w:val="auto"/>
                <w:kern w:val="0"/>
                <w:szCs w:val="21"/>
                <w:highlight w:val="none"/>
                <w:lang w:val="en-US" w:eastAsia="zh-CN"/>
              </w:rPr>
              <w:t>做好人员培训工作，要求职工持证上岗，规范操作机械设备及流程。本项目总图布置符合《建筑防火通用规范》</w:t>
            </w:r>
            <w:r>
              <w:rPr>
                <w:rFonts w:hint="eastAsia" w:cs="Times New Roman"/>
                <w:color w:val="auto"/>
                <w:kern w:val="0"/>
                <w:szCs w:val="21"/>
                <w:highlight w:val="none"/>
                <w:lang w:val="en-US" w:eastAsia="zh-CN"/>
              </w:rPr>
              <w:t>（</w:t>
            </w:r>
            <w:r>
              <w:rPr>
                <w:rFonts w:hint="eastAsia" w:ascii="Times New Roman" w:hAnsi="Times New Roman" w:cs="Times New Roman"/>
                <w:color w:val="auto"/>
                <w:kern w:val="0"/>
                <w:szCs w:val="21"/>
                <w:highlight w:val="none"/>
                <w:lang w:val="en-US" w:eastAsia="zh-CN"/>
              </w:rPr>
              <w:t>GB55037-2022</w:t>
            </w:r>
            <w:r>
              <w:rPr>
                <w:rFonts w:hint="eastAsia" w:cs="Times New Roman"/>
                <w:color w:val="auto"/>
                <w:kern w:val="0"/>
                <w:szCs w:val="21"/>
                <w:highlight w:val="none"/>
                <w:lang w:val="en-US" w:eastAsia="zh-CN"/>
              </w:rPr>
              <w:t>）</w:t>
            </w:r>
            <w:r>
              <w:rPr>
                <w:rFonts w:hint="eastAsia" w:ascii="Times New Roman" w:hAnsi="Times New Roman" w:cs="Times New Roman"/>
                <w:color w:val="auto"/>
                <w:kern w:val="0"/>
                <w:szCs w:val="21"/>
                <w:highlight w:val="none"/>
                <w:lang w:val="en-US" w:eastAsia="zh-CN"/>
              </w:rPr>
              <w:t>的有关规定。根据现场勘查结果，本目生产车间切实做到通风、防晒、防火、防爆，并按照国家标准和国家有关规定进行维护、保养，保证符合安全运行要求。该项目设置了基本的消防及火灾报警系统。</w:t>
            </w:r>
          </w:p>
          <w:p w14:paraId="4DC82C46">
            <w:pPr>
              <w:keepNext w:val="0"/>
              <w:keepLines w:val="0"/>
              <w:suppressLineNumbers w:val="0"/>
              <w:spacing w:before="0" w:beforeAutospacing="0" w:after="0" w:afterAutospacing="0" w:line="360" w:lineRule="auto"/>
              <w:ind w:left="0" w:right="0" w:firstLine="422" w:firstLineChars="200"/>
              <w:rPr>
                <w:rFonts w:hint="eastAsia" w:ascii="Times New Roman" w:hAnsi="Times New Roman" w:cs="Times New Roman"/>
                <w:b/>
                <w:bCs/>
                <w:color w:val="auto"/>
                <w:kern w:val="0"/>
                <w:szCs w:val="21"/>
                <w:highlight w:val="none"/>
                <w:lang w:val="en-US" w:eastAsia="zh-CN"/>
              </w:rPr>
            </w:pPr>
            <w:r>
              <w:rPr>
                <w:rFonts w:hint="eastAsia" w:ascii="Times New Roman" w:hAnsi="Times New Roman" w:cs="Times New Roman"/>
                <w:b/>
                <w:bCs/>
                <w:color w:val="auto"/>
                <w:kern w:val="0"/>
                <w:szCs w:val="21"/>
                <w:highlight w:val="none"/>
                <w:lang w:val="en-US" w:eastAsia="zh-CN"/>
              </w:rPr>
              <w:t>6</w:t>
            </w:r>
            <w:r>
              <w:rPr>
                <w:rFonts w:hint="default" w:ascii="Times New Roman" w:hAnsi="Times New Roman" w:cs="Times New Roman"/>
                <w:b/>
                <w:bCs/>
                <w:color w:val="auto"/>
                <w:kern w:val="0"/>
                <w:szCs w:val="21"/>
                <w:highlight w:val="none"/>
                <w:lang w:val="en-US" w:eastAsia="zh-CN"/>
              </w:rPr>
              <w:t>.</w:t>
            </w:r>
            <w:r>
              <w:rPr>
                <w:rFonts w:hint="eastAsia" w:ascii="Times New Roman" w:hAnsi="Times New Roman" w:cs="Times New Roman"/>
                <w:b/>
                <w:bCs/>
                <w:color w:val="auto"/>
                <w:kern w:val="0"/>
                <w:szCs w:val="21"/>
                <w:highlight w:val="none"/>
                <w:lang w:val="en-US" w:eastAsia="zh-CN"/>
              </w:rPr>
              <w:t>6大气环境风险防范措施</w:t>
            </w:r>
          </w:p>
          <w:p w14:paraId="557F22EC">
            <w:pPr>
              <w:keepNext w:val="0"/>
              <w:keepLines w:val="0"/>
              <w:suppressLineNumbers w:val="0"/>
              <w:spacing w:before="0" w:beforeAutospacing="0" w:after="0" w:afterAutospacing="0" w:line="360" w:lineRule="auto"/>
              <w:ind w:left="0" w:right="0" w:firstLine="420" w:firstLineChars="200"/>
              <w:rPr>
                <w:rFonts w:hint="eastAsia" w:ascii="Times New Roman" w:hAnsi="Times New Roman" w:cs="Times New Roman"/>
                <w:color w:val="auto"/>
                <w:kern w:val="0"/>
                <w:szCs w:val="21"/>
                <w:highlight w:val="none"/>
                <w:lang w:val="en-US" w:eastAsia="zh-CN"/>
              </w:rPr>
            </w:pPr>
            <w:r>
              <w:rPr>
                <w:rFonts w:hint="eastAsia" w:cs="Times New Roman"/>
                <w:color w:val="auto"/>
                <w:kern w:val="0"/>
                <w:szCs w:val="21"/>
                <w:highlight w:val="none"/>
                <w:lang w:val="en-US" w:eastAsia="zh-CN"/>
              </w:rPr>
              <w:t>（</w:t>
            </w:r>
            <w:r>
              <w:rPr>
                <w:rFonts w:hint="eastAsia" w:ascii="Times New Roman" w:hAnsi="Times New Roman" w:cs="Times New Roman"/>
                <w:color w:val="auto"/>
                <w:kern w:val="0"/>
                <w:szCs w:val="21"/>
                <w:highlight w:val="none"/>
                <w:lang w:val="en-US" w:eastAsia="zh-CN"/>
              </w:rPr>
              <w:t>1</w:t>
            </w:r>
            <w:r>
              <w:rPr>
                <w:rFonts w:hint="eastAsia" w:cs="Times New Roman"/>
                <w:color w:val="auto"/>
                <w:kern w:val="0"/>
                <w:szCs w:val="21"/>
                <w:highlight w:val="none"/>
                <w:lang w:val="en-US" w:eastAsia="zh-CN"/>
              </w:rPr>
              <w:t>）</w:t>
            </w:r>
            <w:r>
              <w:rPr>
                <w:rFonts w:hint="eastAsia" w:ascii="Times New Roman" w:hAnsi="Times New Roman" w:cs="Times New Roman"/>
                <w:color w:val="auto"/>
                <w:kern w:val="0"/>
                <w:szCs w:val="21"/>
                <w:highlight w:val="none"/>
                <w:lang w:val="en-US" w:eastAsia="zh-CN"/>
              </w:rPr>
              <w:t>定期对废气处理设施进行检测和维修，以降低因设备故障造成的事故排放。若废气治理措施因故不能运行，则生产必须停止。</w:t>
            </w:r>
          </w:p>
          <w:p w14:paraId="4D7E5491">
            <w:pPr>
              <w:keepNext w:val="0"/>
              <w:keepLines w:val="0"/>
              <w:suppressLineNumbers w:val="0"/>
              <w:spacing w:before="0" w:beforeAutospacing="0" w:after="0" w:afterAutospacing="0" w:line="360" w:lineRule="auto"/>
              <w:ind w:left="0" w:right="0" w:firstLine="420" w:firstLineChars="200"/>
              <w:rPr>
                <w:rFonts w:hint="eastAsia" w:ascii="Times New Roman" w:hAnsi="Times New Roman" w:cs="Times New Roman"/>
                <w:color w:val="auto"/>
                <w:kern w:val="0"/>
                <w:szCs w:val="21"/>
                <w:highlight w:val="none"/>
                <w:lang w:val="en-US" w:eastAsia="zh-CN"/>
              </w:rPr>
            </w:pPr>
            <w:r>
              <w:rPr>
                <w:rFonts w:hint="eastAsia" w:cs="Times New Roman"/>
                <w:color w:val="auto"/>
                <w:kern w:val="0"/>
                <w:szCs w:val="21"/>
                <w:highlight w:val="none"/>
                <w:lang w:val="en-US" w:eastAsia="zh-CN"/>
              </w:rPr>
              <w:t>（2）</w:t>
            </w:r>
            <w:r>
              <w:rPr>
                <w:rFonts w:hint="eastAsia" w:ascii="Times New Roman" w:hAnsi="Times New Roman" w:cs="Times New Roman"/>
                <w:color w:val="auto"/>
                <w:kern w:val="0"/>
                <w:szCs w:val="21"/>
                <w:highlight w:val="none"/>
                <w:lang w:val="en-US" w:eastAsia="zh-CN"/>
              </w:rPr>
              <w:t>建立各废气处理设施操作规范及安全操作指引，并由应急指挥部定期组织培训及操作考核。如发现人为原因不开启废气治理设施，责任人应受行政和经济处罚，并承担事故排放责任，若废气治理措施因故不能运行，则生产必须停止。</w:t>
            </w:r>
          </w:p>
          <w:p w14:paraId="44F5D4A3">
            <w:pPr>
              <w:keepNext w:val="0"/>
              <w:keepLines w:val="0"/>
              <w:suppressLineNumbers w:val="0"/>
              <w:spacing w:before="0" w:beforeAutospacing="0" w:after="0" w:afterAutospacing="0" w:line="360" w:lineRule="auto"/>
              <w:ind w:left="0" w:right="0" w:firstLine="420" w:firstLineChars="200"/>
              <w:rPr>
                <w:rFonts w:hint="eastAsia" w:ascii="Times New Roman" w:hAnsi="Times New Roman" w:cs="Times New Roman"/>
                <w:color w:val="auto"/>
                <w:kern w:val="0"/>
                <w:szCs w:val="21"/>
                <w:highlight w:val="none"/>
                <w:lang w:val="en-US" w:eastAsia="zh-CN"/>
              </w:rPr>
            </w:pPr>
            <w:r>
              <w:rPr>
                <w:rFonts w:hint="eastAsia" w:cs="Times New Roman"/>
                <w:color w:val="auto"/>
                <w:kern w:val="0"/>
                <w:szCs w:val="21"/>
                <w:highlight w:val="none"/>
                <w:lang w:val="en-US" w:eastAsia="zh-CN"/>
              </w:rPr>
              <w:t>（3）</w:t>
            </w:r>
            <w:r>
              <w:rPr>
                <w:rFonts w:hint="eastAsia" w:ascii="Times New Roman" w:hAnsi="Times New Roman" w:cs="Times New Roman"/>
                <w:color w:val="auto"/>
                <w:kern w:val="0"/>
                <w:szCs w:val="21"/>
                <w:highlight w:val="none"/>
                <w:lang w:val="en-US" w:eastAsia="zh-CN"/>
              </w:rPr>
              <w:t>在发生泄漏事故时，应及时组织人群转移，以减少对人群的伤害。</w:t>
            </w:r>
          </w:p>
          <w:p w14:paraId="1F048CEA">
            <w:pPr>
              <w:keepNext w:val="0"/>
              <w:keepLines w:val="0"/>
              <w:suppressLineNumbers w:val="0"/>
              <w:spacing w:before="0" w:beforeAutospacing="0" w:after="0" w:afterAutospacing="0" w:line="360" w:lineRule="auto"/>
              <w:ind w:left="0" w:right="0" w:firstLine="420" w:firstLineChars="200"/>
              <w:rPr>
                <w:rFonts w:hint="eastAsia" w:ascii="Times New Roman" w:hAnsi="Times New Roman" w:cs="Times New Roman"/>
                <w:color w:val="auto"/>
                <w:kern w:val="0"/>
                <w:szCs w:val="21"/>
                <w:highlight w:val="none"/>
                <w:lang w:val="en-US" w:eastAsia="zh-CN"/>
              </w:rPr>
            </w:pPr>
            <w:r>
              <w:rPr>
                <w:rFonts w:hint="eastAsia" w:ascii="Times New Roman" w:hAnsi="Times New Roman" w:cs="Times New Roman"/>
                <w:color w:val="auto"/>
                <w:kern w:val="0"/>
                <w:szCs w:val="21"/>
                <w:highlight w:val="none"/>
                <w:lang w:val="en-US" w:eastAsia="zh-CN"/>
              </w:rPr>
              <w:t>综上所述，建设单位将严格采取实施上述提出的要求措施后，可有效防止项目产生的污染物进入环境，有效降低了对周围环境存在的风险影响。项目风险影响在可恢复范围内，项目运营期环境风险是可以接受的。</w:t>
            </w:r>
          </w:p>
          <w:p w14:paraId="5942BE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382" w:firstLineChars="200"/>
              <w:textAlignment w:val="auto"/>
              <w:rPr>
                <w:rFonts w:hint="default" w:ascii="Times New Roman" w:hAnsi="Times New Roman" w:cs="Times New Roman"/>
                <w:b/>
                <w:color w:val="auto"/>
                <w:szCs w:val="21"/>
                <w:highlight w:val="none"/>
              </w:rPr>
            </w:pPr>
            <w:r>
              <w:rPr>
                <w:rFonts w:hint="eastAsia" w:cs="Times New Roman"/>
                <w:b/>
                <w:bCs/>
                <w:color w:val="auto"/>
                <w:spacing w:val="-10"/>
                <w:szCs w:val="21"/>
                <w:highlight w:val="none"/>
                <w:lang w:val="en-US" w:eastAsia="zh-CN"/>
              </w:rPr>
              <w:t>7、</w:t>
            </w:r>
            <w:r>
              <w:rPr>
                <w:rFonts w:hint="default" w:ascii="Times New Roman" w:hAnsi="Times New Roman" w:cs="Times New Roman"/>
                <w:b/>
                <w:bCs/>
                <w:color w:val="auto"/>
                <w:spacing w:val="-10"/>
                <w:szCs w:val="21"/>
                <w:highlight w:val="none"/>
              </w:rPr>
              <w:t>环保投资估算</w:t>
            </w:r>
          </w:p>
          <w:p w14:paraId="0D6AFABC">
            <w:pPr>
              <w:keepNext w:val="0"/>
              <w:keepLines w:val="0"/>
              <w:pageBreakBefore w:val="0"/>
              <w:widowControl/>
              <w:numPr>
                <w:ilvl w:val="0"/>
                <w:numId w:val="4"/>
              </w:numPr>
              <w:suppressLineNumbers w:val="0"/>
              <w:kinsoku/>
              <w:wordWrap/>
              <w:overflowPunct/>
              <w:topLinePunct w:val="0"/>
              <w:autoSpaceDE/>
              <w:autoSpaceDN/>
              <w:bidi w:val="0"/>
              <w:adjustRightInd/>
              <w:snapToGrid/>
              <w:spacing w:before="0" w:beforeAutospacing="0" w:after="157" w:afterLines="50" w:afterAutospacing="0"/>
              <w:ind w:right="0"/>
              <w:jc w:val="center"/>
              <w:textAlignment w:val="auto"/>
              <w:rPr>
                <w:rFonts w:hint="default" w:ascii="Times New Roman" w:hAnsi="Times New Roman" w:eastAsia="宋体" w:cs="Times New Roman"/>
                <w:b/>
                <w:bCs/>
                <w:color w:val="auto"/>
                <w:szCs w:val="21"/>
                <w:highlight w:val="none"/>
                <w:lang w:val="en-US" w:eastAsia="zh-CN"/>
              </w:rPr>
            </w:pPr>
            <w:r>
              <w:rPr>
                <w:rFonts w:hint="default" w:ascii="Times New Roman" w:hAnsi="Times New Roman" w:eastAsia="宋体" w:cs="Times New Roman"/>
                <w:b/>
                <w:bCs/>
                <w:color w:val="auto"/>
                <w:szCs w:val="21"/>
                <w:highlight w:val="none"/>
                <w:lang w:val="en-US" w:eastAsia="zh-CN"/>
              </w:rPr>
              <w:t>环保投资估算</w:t>
            </w:r>
          </w:p>
          <w:tbl>
            <w:tblPr>
              <w:tblStyle w:val="41"/>
              <w:tblW w:w="0" w:type="auto"/>
              <w:tblInd w:w="0" w:type="dxa"/>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2"/>
              <w:gridCol w:w="4801"/>
              <w:gridCol w:w="1787"/>
            </w:tblGrid>
            <w:tr w14:paraId="23C8531D">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987" w:type="dxa"/>
                  <w:tcBorders>
                    <w:tl2br w:val="nil"/>
                    <w:tr2bl w:val="nil"/>
                  </w:tcBorders>
                  <w:noWrap w:val="0"/>
                  <w:vAlign w:val="center"/>
                </w:tcPr>
                <w:p w14:paraId="3D9491EB">
                  <w:pPr>
                    <w:keepNext w:val="0"/>
                    <w:keepLines w:val="0"/>
                    <w:suppressLineNumbers w:val="0"/>
                    <w:spacing w:before="0" w:beforeAutospacing="0" w:after="0" w:afterAutospacing="0"/>
                    <w:ind w:left="0" w:right="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类别</w:t>
                  </w:r>
                </w:p>
              </w:tc>
              <w:tc>
                <w:tcPr>
                  <w:tcW w:w="5655" w:type="dxa"/>
                  <w:tcBorders>
                    <w:tl2br w:val="nil"/>
                    <w:tr2bl w:val="nil"/>
                  </w:tcBorders>
                  <w:noWrap w:val="0"/>
                  <w:vAlign w:val="center"/>
                </w:tcPr>
                <w:p w14:paraId="120B6E04">
                  <w:pPr>
                    <w:keepNext w:val="0"/>
                    <w:keepLines w:val="0"/>
                    <w:suppressLineNumbers w:val="0"/>
                    <w:spacing w:before="0" w:beforeAutospacing="0" w:after="0" w:afterAutospacing="0"/>
                    <w:ind w:left="0" w:right="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环保投资内容</w:t>
                  </w:r>
                </w:p>
              </w:tc>
              <w:tc>
                <w:tcPr>
                  <w:tcW w:w="2101" w:type="dxa"/>
                  <w:tcBorders>
                    <w:tl2br w:val="nil"/>
                    <w:tr2bl w:val="nil"/>
                  </w:tcBorders>
                  <w:noWrap w:val="0"/>
                  <w:vAlign w:val="center"/>
                </w:tcPr>
                <w:p w14:paraId="607F9C4C">
                  <w:pPr>
                    <w:keepNext w:val="0"/>
                    <w:keepLines w:val="0"/>
                    <w:suppressLineNumbers w:val="0"/>
                    <w:spacing w:before="0" w:beforeAutospacing="0" w:after="0" w:afterAutospacing="0"/>
                    <w:ind w:left="0" w:right="0"/>
                    <w:jc w:val="center"/>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投资估算（万元）</w:t>
                  </w:r>
                </w:p>
              </w:tc>
            </w:tr>
            <w:tr w14:paraId="49B0F4D2">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987" w:type="dxa"/>
                  <w:tcBorders>
                    <w:tl2br w:val="nil"/>
                    <w:tr2bl w:val="nil"/>
                  </w:tcBorders>
                  <w:noWrap w:val="0"/>
                  <w:vAlign w:val="center"/>
                </w:tcPr>
                <w:p w14:paraId="2AAE2028">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废气处理</w:t>
                  </w:r>
                </w:p>
              </w:tc>
              <w:tc>
                <w:tcPr>
                  <w:tcW w:w="5655" w:type="dxa"/>
                  <w:tcBorders>
                    <w:tl2br w:val="nil"/>
                    <w:tr2bl w:val="nil"/>
                  </w:tcBorders>
                  <w:noWrap w:val="0"/>
                  <w:vAlign w:val="center"/>
                </w:tcPr>
                <w:p w14:paraId="76F55F59">
                  <w:pPr>
                    <w:keepNext w:val="0"/>
                    <w:keepLines w:val="0"/>
                    <w:suppressLineNumbers w:val="0"/>
                    <w:spacing w:before="0" w:beforeAutospacing="0" w:after="0" w:afterAutospacing="0"/>
                    <w:ind w:left="0" w:right="0"/>
                    <w:jc w:val="center"/>
                    <w:rPr>
                      <w:rFonts w:hint="default" w:ascii="Times New Roman" w:hAnsi="Times New Roman" w:cs="Times New Roman"/>
                      <w:color w:val="auto"/>
                      <w:highlight w:val="none"/>
                    </w:rPr>
                  </w:pPr>
                  <w:r>
                    <w:rPr>
                      <w:rFonts w:hint="eastAsia" w:cs="Times New Roman"/>
                      <w:color w:val="auto"/>
                      <w:highlight w:val="none"/>
                      <w:lang w:val="en-US" w:eastAsia="zh-CN"/>
                    </w:rPr>
                    <w:t>集气罩</w:t>
                  </w:r>
                  <w:r>
                    <w:rPr>
                      <w:rFonts w:hint="default" w:ascii="Times New Roman" w:hAnsi="Times New Roman" w:cs="Times New Roman"/>
                      <w:color w:val="auto"/>
                      <w:highlight w:val="none"/>
                    </w:rPr>
                    <w:t>收集+</w:t>
                  </w:r>
                  <w:r>
                    <w:rPr>
                      <w:rFonts w:hint="eastAsia" w:ascii="Times New Roman" w:hAnsi="Times New Roman" w:cs="Times New Roman"/>
                      <w:color w:val="auto"/>
                      <w:highlight w:val="none"/>
                      <w:lang w:eastAsia="zh-CN"/>
                    </w:rPr>
                    <w:t>“</w:t>
                  </w:r>
                  <w:r>
                    <w:rPr>
                      <w:rFonts w:hint="eastAsia" w:ascii="Times New Roman" w:hAnsi="Times New Roman" w:cs="Times New Roman"/>
                      <w:color w:val="auto"/>
                      <w:szCs w:val="21"/>
                      <w:highlight w:val="none"/>
                      <w:lang w:val="en-US" w:eastAsia="zh-CN"/>
                    </w:rPr>
                    <w:t>空气冷却器+</w:t>
                  </w:r>
                  <w:r>
                    <w:rPr>
                      <w:rFonts w:hint="eastAsia" w:cs="Times New Roman"/>
                      <w:color w:val="auto"/>
                      <w:szCs w:val="21"/>
                      <w:highlight w:val="none"/>
                      <w:lang w:eastAsia="zh-CN"/>
                    </w:rPr>
                    <w:t>两级活性</w:t>
                  </w:r>
                  <w:r>
                    <w:rPr>
                      <w:rFonts w:hint="default" w:ascii="Times New Roman" w:hAnsi="Times New Roman" w:cs="Times New Roman"/>
                      <w:color w:val="auto"/>
                      <w:szCs w:val="21"/>
                      <w:highlight w:val="none"/>
                    </w:rPr>
                    <w:t>炭吸附装置</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highlight w:val="none"/>
                    </w:rPr>
                    <w:t>+</w:t>
                  </w:r>
                  <w:r>
                    <w:rPr>
                      <w:rFonts w:hint="eastAsia" w:cs="Times New Roman"/>
                      <w:color w:val="auto"/>
                      <w:highlight w:val="none"/>
                      <w:lang w:val="en-US" w:eastAsia="zh-CN"/>
                    </w:rPr>
                    <w:t>200</w:t>
                  </w:r>
                  <w:r>
                    <w:rPr>
                      <w:rFonts w:hint="default" w:ascii="Times New Roman" w:hAnsi="Times New Roman" w:cs="Times New Roman"/>
                      <w:color w:val="auto"/>
                      <w:highlight w:val="none"/>
                    </w:rPr>
                    <w:t>00m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/h风机+</w:t>
                  </w:r>
                  <w:r>
                    <w:rPr>
                      <w:rFonts w:hint="eastAsia" w:cs="Times New Roman"/>
                      <w:color w:val="auto"/>
                      <w:highlight w:val="none"/>
                      <w:lang w:val="en-US" w:eastAsia="zh-CN"/>
                    </w:rPr>
                    <w:t>46</w:t>
                  </w:r>
                  <w:r>
                    <w:rPr>
                      <w:rFonts w:hint="default" w:ascii="Times New Roman" w:hAnsi="Times New Roman" w:cs="Times New Roman"/>
                      <w:color w:val="auto"/>
                      <w:highlight w:val="none"/>
                    </w:rPr>
                    <w:t>m排气筒（DA00</w:t>
                  </w:r>
                  <w:r>
                    <w:rPr>
                      <w:rFonts w:hint="eastAsia" w:cs="Times New Roman"/>
                      <w:color w:val="auto"/>
                      <w:highlight w:val="none"/>
                      <w:lang w:val="en-US" w:eastAsia="zh-CN"/>
                    </w:rPr>
                    <w:t>1</w:t>
                  </w:r>
                  <w:r>
                    <w:rPr>
                      <w:rFonts w:hint="default" w:ascii="Times New Roman" w:hAnsi="Times New Roman" w:cs="Times New Roman"/>
                      <w:color w:val="auto"/>
                      <w:highlight w:val="none"/>
                    </w:rPr>
                    <w:t>）</w:t>
                  </w:r>
                </w:p>
              </w:tc>
              <w:tc>
                <w:tcPr>
                  <w:tcW w:w="2101" w:type="dxa"/>
                  <w:tcBorders>
                    <w:tl2br w:val="nil"/>
                    <w:tr2bl w:val="nil"/>
                  </w:tcBorders>
                  <w:noWrap w:val="0"/>
                  <w:vAlign w:val="center"/>
                </w:tcPr>
                <w:p w14:paraId="7C4231F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12</w:t>
                  </w:r>
                </w:p>
              </w:tc>
            </w:tr>
            <w:tr w14:paraId="26C95ED5">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987" w:type="dxa"/>
                  <w:tcBorders>
                    <w:tl2br w:val="nil"/>
                    <w:tr2bl w:val="nil"/>
                  </w:tcBorders>
                  <w:noWrap w:val="0"/>
                  <w:vAlign w:val="center"/>
                </w:tcPr>
                <w:p w14:paraId="48A6842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噪声处理</w:t>
                  </w:r>
                </w:p>
              </w:tc>
              <w:tc>
                <w:tcPr>
                  <w:tcW w:w="5655" w:type="dxa"/>
                  <w:tcBorders>
                    <w:tl2br w:val="nil"/>
                    <w:tr2bl w:val="nil"/>
                  </w:tcBorders>
                  <w:noWrap w:val="0"/>
                  <w:vAlign w:val="center"/>
                </w:tcPr>
                <w:p w14:paraId="5913C36B">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隔音、减振</w:t>
                  </w:r>
                </w:p>
              </w:tc>
              <w:tc>
                <w:tcPr>
                  <w:tcW w:w="2101" w:type="dxa"/>
                  <w:tcBorders>
                    <w:tl2br w:val="nil"/>
                    <w:tr2bl w:val="nil"/>
                  </w:tcBorders>
                  <w:noWrap w:val="0"/>
                  <w:vAlign w:val="center"/>
                </w:tcPr>
                <w:p w14:paraId="6937353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w:t>
                  </w:r>
                </w:p>
              </w:tc>
            </w:tr>
            <w:tr w14:paraId="1E1F9959">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987" w:type="dxa"/>
                  <w:tcBorders>
                    <w:tl2br w:val="nil"/>
                    <w:tr2bl w:val="nil"/>
                  </w:tcBorders>
                  <w:noWrap w:val="0"/>
                  <w:vAlign w:val="center"/>
                </w:tcPr>
                <w:p w14:paraId="6B6E75D2">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合计</w:t>
                  </w:r>
                </w:p>
              </w:tc>
              <w:tc>
                <w:tcPr>
                  <w:tcW w:w="5655" w:type="dxa"/>
                  <w:tcBorders>
                    <w:tl2br w:val="nil"/>
                    <w:tr2bl w:val="nil"/>
                  </w:tcBorders>
                  <w:noWrap w:val="0"/>
                  <w:vAlign w:val="center"/>
                </w:tcPr>
                <w:p w14:paraId="51DA42CF">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2101" w:type="dxa"/>
                  <w:tcBorders>
                    <w:tl2br w:val="nil"/>
                    <w:tr2bl w:val="nil"/>
                  </w:tcBorders>
                  <w:noWrap w:val="0"/>
                  <w:vAlign w:val="center"/>
                </w:tcPr>
                <w:p w14:paraId="2A76522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20</w:t>
                  </w:r>
                </w:p>
              </w:tc>
            </w:tr>
          </w:tbl>
          <w:p w14:paraId="06445F64">
            <w:pPr>
              <w:keepNext w:val="0"/>
              <w:keepLines w:val="0"/>
              <w:widowControl/>
              <w:suppressLineNumbers w:val="0"/>
              <w:spacing w:before="0" w:beforeAutospacing="0" w:after="0" w:afterAutospacing="0" w:line="360" w:lineRule="auto"/>
              <w:ind w:left="0" w:right="0" w:firstLine="525" w:firstLineChars="250"/>
              <w:rPr>
                <w:color w:val="auto"/>
                <w:highlight w:val="none"/>
                <w:vertAlign w:val="baseline"/>
              </w:rPr>
            </w:pPr>
          </w:p>
        </w:tc>
      </w:tr>
    </w:tbl>
    <w:p w14:paraId="57209E5E">
      <w:pPr>
        <w:pStyle w:val="2"/>
        <w:rPr>
          <w:color w:val="auto"/>
          <w:highlight w:val="none"/>
        </w:rPr>
        <w:sectPr>
          <w:pgSz w:w="11907" w:h="16840"/>
          <w:pgMar w:top="1418" w:right="1418" w:bottom="1418" w:left="1418" w:header="851" w:footer="851" w:gutter="0"/>
          <w:pgBorders>
            <w:top w:val="none" w:sz="0" w:space="0"/>
            <w:left w:val="none" w:sz="0" w:space="0"/>
            <w:bottom w:val="none" w:sz="0" w:space="0"/>
            <w:right w:val="none" w:sz="0" w:space="0"/>
          </w:pgBorders>
          <w:cols w:space="720" w:num="1"/>
          <w:docGrid w:linePitch="312" w:charSpace="0"/>
        </w:sectPr>
      </w:pPr>
    </w:p>
    <w:p w14:paraId="462A3853">
      <w:pPr>
        <w:pStyle w:val="37"/>
        <w:jc w:val="center"/>
        <w:outlineLvl w:val="0"/>
        <w:rPr>
          <w:rFonts w:ascii="Times New Roman" w:hAnsi="Times New Roman" w:eastAsia="宋体"/>
          <w:snapToGrid w:val="0"/>
          <w:color w:val="auto"/>
          <w:sz w:val="30"/>
          <w:szCs w:val="30"/>
          <w:highlight w:val="none"/>
        </w:rPr>
      </w:pPr>
      <w:r>
        <w:rPr>
          <w:rFonts w:ascii="Times New Roman" w:hAnsi="Times New Roman" w:eastAsia="宋体"/>
          <w:snapToGrid w:val="0"/>
          <w:color w:val="auto"/>
          <w:sz w:val="30"/>
          <w:szCs w:val="30"/>
          <w:highlight w:val="none"/>
        </w:rPr>
        <w:t>五、</w:t>
      </w:r>
      <w:bookmarkStart w:id="2" w:name="_Hlk54167917"/>
      <w:r>
        <w:rPr>
          <w:rFonts w:ascii="Times New Roman" w:hAnsi="Times New Roman" w:eastAsia="宋体"/>
          <w:snapToGrid w:val="0"/>
          <w:color w:val="auto"/>
          <w:sz w:val="30"/>
          <w:szCs w:val="30"/>
          <w:highlight w:val="none"/>
        </w:rPr>
        <w:t>环境保护措施监督检查清单</w:t>
      </w:r>
      <w:bookmarkEnd w:id="2"/>
    </w:p>
    <w:tbl>
      <w:tblPr>
        <w:tblStyle w:val="41"/>
        <w:tblW w:w="910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71"/>
        <w:gridCol w:w="1634"/>
        <w:gridCol w:w="1290"/>
        <w:gridCol w:w="1455"/>
        <w:gridCol w:w="3253"/>
      </w:tblGrid>
      <w:tr w14:paraId="2170C4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71" w:type="dxa"/>
            <w:tcBorders>
              <w:tl2br w:val="single" w:color="auto" w:sz="4" w:space="0"/>
            </w:tcBorders>
            <w:noWrap w:val="0"/>
            <w:vAlign w:val="top"/>
          </w:tcPr>
          <w:p w14:paraId="2FA50BB5">
            <w:pPr>
              <w:keepNext w:val="0"/>
              <w:keepLines w:val="0"/>
              <w:suppressLineNumbers w:val="0"/>
              <w:adjustRightInd w:val="0"/>
              <w:snapToGrid w:val="0"/>
              <w:spacing w:before="0" w:beforeAutospacing="0" w:after="0" w:afterAutospacing="0"/>
              <w:ind w:left="0" w:right="0" w:firstLine="632" w:firstLineChars="300"/>
              <w:rPr>
                <w:rFonts w:ascii="Times New Roman" w:hAnsi="Times New Roman" w:eastAsia="宋体" w:cs="Times New Roman"/>
                <w:b/>
                <w:bCs/>
                <w:color w:val="auto"/>
                <w:szCs w:val="21"/>
                <w:highlight w:val="none"/>
              </w:rPr>
            </w:pPr>
            <w:r>
              <w:rPr>
                <w:rFonts w:hint="eastAsia" w:ascii="Times New Roman" w:hAnsi="Times New Roman" w:eastAsia="宋体" w:cs="Times New Roman"/>
                <w:b/>
                <w:bCs/>
                <w:color w:val="auto"/>
                <w:szCs w:val="21"/>
                <w:highlight w:val="none"/>
              </w:rPr>
              <w:t>内容</w:t>
            </w:r>
          </w:p>
          <w:p w14:paraId="71A0B661">
            <w:pPr>
              <w:keepNext w:val="0"/>
              <w:keepLines w:val="0"/>
              <w:suppressLineNumbers w:val="0"/>
              <w:adjustRightInd w:val="0"/>
              <w:snapToGrid w:val="0"/>
              <w:spacing w:before="0" w:beforeAutospacing="0" w:after="0" w:afterAutospacing="0"/>
              <w:ind w:left="0" w:right="0"/>
              <w:rPr>
                <w:rFonts w:ascii="Times New Roman" w:hAnsi="Times New Roman" w:eastAsia="宋体" w:cs="Times New Roman"/>
                <w:b/>
                <w:bCs/>
                <w:color w:val="auto"/>
                <w:szCs w:val="21"/>
                <w:highlight w:val="none"/>
              </w:rPr>
            </w:pPr>
            <w:r>
              <w:rPr>
                <w:rFonts w:hint="eastAsia" w:ascii="Times New Roman" w:hAnsi="Times New Roman" w:eastAsia="宋体" w:cs="Times New Roman"/>
                <w:b/>
                <w:bCs/>
                <w:color w:val="auto"/>
                <w:szCs w:val="21"/>
                <w:highlight w:val="none"/>
              </w:rPr>
              <w:t>要素</w:t>
            </w:r>
          </w:p>
        </w:tc>
        <w:tc>
          <w:tcPr>
            <w:tcW w:w="1634" w:type="dxa"/>
            <w:noWrap w:val="0"/>
            <w:vAlign w:val="center"/>
          </w:tcPr>
          <w:p w14:paraId="28C9047C">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b/>
                <w:bCs/>
                <w:color w:val="auto"/>
                <w:szCs w:val="21"/>
                <w:highlight w:val="none"/>
              </w:rPr>
            </w:pPr>
            <w:r>
              <w:rPr>
                <w:rFonts w:hint="eastAsia" w:ascii="Times New Roman" w:hAnsi="Times New Roman" w:eastAsia="宋体" w:cs="Times New Roman"/>
                <w:b/>
                <w:bCs/>
                <w:color w:val="auto"/>
                <w:szCs w:val="21"/>
                <w:highlight w:val="none"/>
              </w:rPr>
              <w:t>排放口</w:t>
            </w:r>
            <w:r>
              <w:rPr>
                <w:rFonts w:hint="eastAsia" w:cs="Times New Roman"/>
                <w:b/>
                <w:bCs/>
                <w:color w:val="auto"/>
                <w:szCs w:val="21"/>
                <w:highlight w:val="none"/>
                <w:lang w:eastAsia="zh-CN"/>
              </w:rPr>
              <w:t>（</w:t>
            </w:r>
            <w:r>
              <w:rPr>
                <w:rFonts w:hint="eastAsia" w:ascii="Times New Roman" w:hAnsi="Times New Roman" w:eastAsia="宋体" w:cs="Times New Roman"/>
                <w:b/>
                <w:bCs/>
                <w:color w:val="auto"/>
                <w:szCs w:val="21"/>
                <w:highlight w:val="none"/>
              </w:rPr>
              <w:t>编号、</w:t>
            </w:r>
          </w:p>
          <w:p w14:paraId="230E6BEC">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b/>
                <w:bCs/>
                <w:color w:val="auto"/>
                <w:szCs w:val="21"/>
                <w:highlight w:val="none"/>
              </w:rPr>
            </w:pPr>
            <w:r>
              <w:rPr>
                <w:rFonts w:hint="eastAsia" w:ascii="Times New Roman" w:hAnsi="Times New Roman" w:eastAsia="宋体" w:cs="Times New Roman"/>
                <w:b/>
                <w:bCs/>
                <w:color w:val="auto"/>
                <w:szCs w:val="21"/>
                <w:highlight w:val="none"/>
              </w:rPr>
              <w:t>名称</w:t>
            </w:r>
            <w:r>
              <w:rPr>
                <w:rFonts w:hint="eastAsia" w:cs="Times New Roman"/>
                <w:b/>
                <w:bCs/>
                <w:color w:val="auto"/>
                <w:szCs w:val="21"/>
                <w:highlight w:val="none"/>
                <w:lang w:eastAsia="zh-CN"/>
              </w:rPr>
              <w:t>）</w:t>
            </w:r>
            <w:r>
              <w:rPr>
                <w:rFonts w:hint="eastAsia" w:ascii="Times New Roman" w:hAnsi="Times New Roman" w:eastAsia="宋体" w:cs="Times New Roman"/>
                <w:b/>
                <w:bCs/>
                <w:color w:val="auto"/>
                <w:szCs w:val="21"/>
                <w:highlight w:val="none"/>
              </w:rPr>
              <w:t>/污染源</w:t>
            </w:r>
          </w:p>
        </w:tc>
        <w:tc>
          <w:tcPr>
            <w:tcW w:w="1290" w:type="dxa"/>
            <w:noWrap w:val="0"/>
            <w:vAlign w:val="center"/>
          </w:tcPr>
          <w:p w14:paraId="35BF39DE">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b/>
                <w:bCs/>
                <w:color w:val="auto"/>
                <w:szCs w:val="21"/>
                <w:highlight w:val="none"/>
              </w:rPr>
            </w:pPr>
            <w:r>
              <w:rPr>
                <w:rFonts w:hint="eastAsia" w:ascii="Times New Roman" w:hAnsi="Times New Roman" w:eastAsia="宋体" w:cs="Times New Roman"/>
                <w:b/>
                <w:bCs/>
                <w:color w:val="auto"/>
                <w:szCs w:val="21"/>
                <w:highlight w:val="none"/>
              </w:rPr>
              <w:t>污染物项目</w:t>
            </w:r>
          </w:p>
        </w:tc>
        <w:tc>
          <w:tcPr>
            <w:tcW w:w="1455" w:type="dxa"/>
            <w:noWrap w:val="0"/>
            <w:vAlign w:val="center"/>
          </w:tcPr>
          <w:p w14:paraId="5A13C90A">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b/>
                <w:bCs/>
                <w:color w:val="auto"/>
                <w:szCs w:val="21"/>
                <w:highlight w:val="none"/>
              </w:rPr>
            </w:pPr>
            <w:r>
              <w:rPr>
                <w:rFonts w:hint="eastAsia" w:ascii="Times New Roman" w:hAnsi="Times New Roman" w:eastAsia="宋体" w:cs="Times New Roman"/>
                <w:b/>
                <w:bCs/>
                <w:color w:val="auto"/>
                <w:szCs w:val="21"/>
                <w:highlight w:val="none"/>
              </w:rPr>
              <w:t>环境保护措施</w:t>
            </w:r>
          </w:p>
        </w:tc>
        <w:tc>
          <w:tcPr>
            <w:tcW w:w="3253" w:type="dxa"/>
            <w:noWrap w:val="0"/>
            <w:vAlign w:val="center"/>
          </w:tcPr>
          <w:p w14:paraId="6AC5887B">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b/>
                <w:bCs/>
                <w:color w:val="auto"/>
                <w:szCs w:val="21"/>
                <w:highlight w:val="none"/>
              </w:rPr>
            </w:pPr>
            <w:r>
              <w:rPr>
                <w:rFonts w:hint="eastAsia" w:ascii="Times New Roman" w:hAnsi="Times New Roman" w:eastAsia="宋体" w:cs="Times New Roman"/>
                <w:b/>
                <w:bCs/>
                <w:color w:val="auto"/>
                <w:szCs w:val="21"/>
                <w:highlight w:val="none"/>
              </w:rPr>
              <w:t>执行标准</w:t>
            </w:r>
          </w:p>
        </w:tc>
      </w:tr>
      <w:tr w14:paraId="5E5244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1471" w:type="dxa"/>
            <w:vMerge w:val="restart"/>
            <w:noWrap w:val="0"/>
            <w:vAlign w:val="center"/>
          </w:tcPr>
          <w:p w14:paraId="54F81C5D">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大气环境</w:t>
            </w:r>
          </w:p>
        </w:tc>
        <w:tc>
          <w:tcPr>
            <w:tcW w:w="1634" w:type="dxa"/>
            <w:vMerge w:val="restart"/>
            <w:noWrap w:val="0"/>
            <w:vAlign w:val="center"/>
          </w:tcPr>
          <w:p w14:paraId="0513444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rPr>
              <w:t>DA001</w:t>
            </w:r>
            <w:r>
              <w:rPr>
                <w:rFonts w:hint="eastAsia" w:cs="Times New Roman"/>
                <w:color w:val="auto"/>
                <w:szCs w:val="21"/>
                <w:highlight w:val="none"/>
                <w:lang w:val="en-US" w:eastAsia="zh-CN"/>
              </w:rPr>
              <w:t>有机废气排放口</w:t>
            </w:r>
          </w:p>
        </w:tc>
        <w:tc>
          <w:tcPr>
            <w:tcW w:w="1290" w:type="dxa"/>
            <w:noWrap w:val="0"/>
            <w:vAlign w:val="center"/>
          </w:tcPr>
          <w:p w14:paraId="7CA98B14">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非甲烷总烃</w:t>
            </w:r>
          </w:p>
        </w:tc>
        <w:tc>
          <w:tcPr>
            <w:tcW w:w="1455" w:type="dxa"/>
            <w:vMerge w:val="restart"/>
            <w:noWrap w:val="0"/>
            <w:vAlign w:val="center"/>
          </w:tcPr>
          <w:p w14:paraId="2E19E048">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经收集后引至“</w:t>
            </w:r>
            <w:r>
              <w:rPr>
                <w:rFonts w:hint="eastAsia" w:cs="Times New Roman"/>
                <w:color w:val="auto"/>
                <w:szCs w:val="21"/>
                <w:highlight w:val="none"/>
                <w:lang w:val="en-US" w:eastAsia="zh-CN"/>
              </w:rPr>
              <w:t>空气冷却器</w:t>
            </w:r>
            <w:r>
              <w:rPr>
                <w:rFonts w:ascii="Times New Roman" w:hAnsi="Times New Roman" w:eastAsia="宋体" w:cs="Times New Roman"/>
                <w:color w:val="auto"/>
                <w:szCs w:val="21"/>
                <w:highlight w:val="none"/>
              </w:rPr>
              <w:t>+二级活性炭吸附</w:t>
            </w:r>
            <w:r>
              <w:rPr>
                <w:rFonts w:hint="eastAsia" w:ascii="Times New Roman" w:hAnsi="Times New Roman" w:eastAsia="宋体" w:cs="Times New Roman"/>
                <w:color w:val="auto"/>
                <w:szCs w:val="21"/>
                <w:highlight w:val="none"/>
              </w:rPr>
              <w:t>”装置处理后经</w:t>
            </w:r>
            <w:r>
              <w:rPr>
                <w:rFonts w:hint="eastAsia" w:cs="Times New Roman"/>
                <w:color w:val="auto"/>
                <w:szCs w:val="21"/>
                <w:highlight w:val="none"/>
                <w:lang w:val="en-US" w:eastAsia="zh-CN"/>
              </w:rPr>
              <w:t>46</w:t>
            </w:r>
            <w:r>
              <w:rPr>
                <w:rFonts w:hint="eastAsia" w:ascii="Times New Roman" w:hAnsi="Times New Roman" w:eastAsia="宋体" w:cs="Times New Roman"/>
                <w:color w:val="auto"/>
                <w:szCs w:val="21"/>
                <w:highlight w:val="none"/>
              </w:rPr>
              <w:t>m排气筒排放</w:t>
            </w:r>
          </w:p>
        </w:tc>
        <w:tc>
          <w:tcPr>
            <w:tcW w:w="3253" w:type="dxa"/>
            <w:noWrap w:val="0"/>
            <w:vAlign w:val="center"/>
          </w:tcPr>
          <w:p w14:paraId="42C73AC5">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 w:val="20"/>
                <w:szCs w:val="20"/>
                <w:highlight w:val="none"/>
              </w:rPr>
            </w:pPr>
            <w:r>
              <w:rPr>
                <w:rFonts w:hint="default" w:ascii="Times New Roman" w:hAnsi="Times New Roman" w:eastAsia="宋体" w:cs="Times New Roman"/>
                <w:bCs/>
                <w:color w:val="auto"/>
                <w:szCs w:val="21"/>
                <w:highlight w:val="none"/>
                <w:lang w:val="en-US" w:eastAsia="zh-CN"/>
              </w:rPr>
              <w:t>《固定污染源挥发性有机物综合排放标准》（DB44/2367-2022）表1挥发性有机物排放限值</w:t>
            </w:r>
            <w:r>
              <w:rPr>
                <w:rFonts w:hint="eastAsia" w:ascii="Times New Roman" w:hAnsi="Times New Roman" w:eastAsia="宋体" w:cs="Times New Roman"/>
                <w:bCs/>
                <w:color w:val="auto"/>
                <w:szCs w:val="21"/>
                <w:highlight w:val="none"/>
                <w:lang w:val="en-US" w:eastAsia="zh-CN"/>
              </w:rPr>
              <w:t>、</w:t>
            </w:r>
            <w:r>
              <w:rPr>
                <w:rFonts w:hint="default" w:ascii="Times New Roman" w:hAnsi="Times New Roman" w:eastAsia="宋体" w:cs="Times New Roman"/>
                <w:bCs/>
                <w:color w:val="auto"/>
                <w:szCs w:val="21"/>
                <w:highlight w:val="none"/>
                <w:lang w:val="en-US" w:eastAsia="zh-CN"/>
              </w:rPr>
              <w:t>《合成树脂工业污染物排放标准》（GB31572-2015，含2024年修改单）中表5大气污染物特别排放限值</w:t>
            </w:r>
            <w:r>
              <w:rPr>
                <w:rFonts w:hint="eastAsia" w:ascii="Times New Roman" w:hAnsi="Times New Roman" w:eastAsia="宋体" w:cs="Times New Roman"/>
                <w:bCs/>
                <w:color w:val="auto"/>
                <w:szCs w:val="21"/>
                <w:highlight w:val="none"/>
                <w:lang w:val="en-US" w:eastAsia="zh-CN"/>
              </w:rPr>
              <w:t>与《印刷工业大气污染物排放标准》（GB41616-2022）表1大气污染物排放限值三</w:t>
            </w:r>
            <w:r>
              <w:rPr>
                <w:rFonts w:hint="default" w:ascii="Times New Roman" w:hAnsi="Times New Roman" w:eastAsia="宋体" w:cs="Times New Roman"/>
                <w:bCs/>
                <w:color w:val="auto"/>
                <w:szCs w:val="21"/>
                <w:highlight w:val="none"/>
                <w:lang w:val="en-US" w:eastAsia="zh-CN"/>
              </w:rPr>
              <w:t>者较严值</w:t>
            </w:r>
          </w:p>
        </w:tc>
      </w:tr>
      <w:tr w14:paraId="0F9F4B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1" w:type="dxa"/>
            <w:vMerge w:val="continue"/>
            <w:noWrap w:val="0"/>
            <w:vAlign w:val="center"/>
          </w:tcPr>
          <w:p w14:paraId="37D1D23D">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1634" w:type="dxa"/>
            <w:vMerge w:val="continue"/>
            <w:noWrap w:val="0"/>
            <w:vAlign w:val="center"/>
          </w:tcPr>
          <w:p w14:paraId="40B3E40F">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1290" w:type="dxa"/>
            <w:noWrap w:val="0"/>
            <w:vAlign w:val="center"/>
          </w:tcPr>
          <w:p w14:paraId="04BEF252">
            <w:pPr>
              <w:keepNext w:val="0"/>
              <w:keepLines w:val="0"/>
              <w:suppressLineNumbers w:val="0"/>
              <w:adjustRightInd w:val="0"/>
              <w:snapToGrid w:val="0"/>
              <w:spacing w:before="0" w:beforeAutospacing="0" w:after="0" w:afterAutospacing="0"/>
              <w:ind w:left="0" w:leftChars="0" w:right="0" w:rightChars="0"/>
              <w:jc w:val="center"/>
              <w:rPr>
                <w:rFonts w:ascii="Times New Roman" w:hAnsi="Times New Roman" w:eastAsia="宋体" w:cs="Times New Roman"/>
                <w:color w:val="auto"/>
                <w:szCs w:val="21"/>
                <w:highlight w:val="none"/>
              </w:rPr>
            </w:pPr>
            <w:r>
              <w:rPr>
                <w:rFonts w:hint="eastAsia" w:cs="Times New Roman"/>
                <w:color w:val="auto"/>
                <w:sz w:val="21"/>
                <w:szCs w:val="21"/>
                <w:highlight w:val="none"/>
                <w:lang w:val="en-US" w:eastAsia="zh-CN"/>
              </w:rPr>
              <w:t>TVOC</w:t>
            </w:r>
          </w:p>
        </w:tc>
        <w:tc>
          <w:tcPr>
            <w:tcW w:w="1455" w:type="dxa"/>
            <w:vMerge w:val="continue"/>
            <w:noWrap w:val="0"/>
            <w:vAlign w:val="center"/>
          </w:tcPr>
          <w:p w14:paraId="006F69B9">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3253" w:type="dxa"/>
            <w:noWrap w:val="0"/>
            <w:vAlign w:val="center"/>
          </w:tcPr>
          <w:p w14:paraId="72643D88">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lang w:val="zh-CN"/>
              </w:rPr>
            </w:pPr>
            <w:r>
              <w:rPr>
                <w:rFonts w:hint="default" w:ascii="Times New Roman" w:hAnsi="Times New Roman" w:eastAsia="宋体" w:cs="Times New Roman"/>
                <w:bCs/>
                <w:color w:val="auto"/>
                <w:szCs w:val="21"/>
                <w:highlight w:val="none"/>
                <w:lang w:val="en-US" w:eastAsia="zh-CN"/>
              </w:rPr>
              <w:t>广东省《固定污染源挥发性有机物综合排放标准》（DB44/2367-2022）表1挥发性有机物排放限值</w:t>
            </w:r>
          </w:p>
        </w:tc>
      </w:tr>
      <w:tr w14:paraId="2AAF8F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1" w:type="dxa"/>
            <w:vMerge w:val="continue"/>
            <w:noWrap w:val="0"/>
            <w:vAlign w:val="center"/>
          </w:tcPr>
          <w:p w14:paraId="19BC0B7E">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1634" w:type="dxa"/>
            <w:vMerge w:val="continue"/>
            <w:noWrap w:val="0"/>
            <w:vAlign w:val="center"/>
          </w:tcPr>
          <w:p w14:paraId="0F5B239D">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1290" w:type="dxa"/>
            <w:noWrap w:val="0"/>
            <w:vAlign w:val="center"/>
          </w:tcPr>
          <w:p w14:paraId="189AC9F2">
            <w:pPr>
              <w:keepNext w:val="0"/>
              <w:keepLines w:val="0"/>
              <w:suppressLineNumbers w:val="0"/>
              <w:adjustRightInd w:val="0"/>
              <w:snapToGrid w:val="0"/>
              <w:spacing w:before="0" w:beforeAutospacing="0" w:after="0" w:afterAutospacing="0"/>
              <w:ind w:left="0" w:leftChars="0" w:right="0" w:right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总VOCs</w:t>
            </w:r>
          </w:p>
        </w:tc>
        <w:tc>
          <w:tcPr>
            <w:tcW w:w="1455" w:type="dxa"/>
            <w:vMerge w:val="continue"/>
            <w:noWrap w:val="0"/>
            <w:vAlign w:val="center"/>
          </w:tcPr>
          <w:p w14:paraId="6DEA1DCC">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3253" w:type="dxa"/>
            <w:noWrap w:val="0"/>
            <w:vAlign w:val="center"/>
          </w:tcPr>
          <w:p w14:paraId="73C2819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color w:val="auto"/>
                <w:szCs w:val="21"/>
                <w:highlight w:val="none"/>
                <w:lang w:val="en-US" w:eastAsia="zh-CN"/>
              </w:rPr>
            </w:pPr>
            <w:r>
              <w:rPr>
                <w:rFonts w:hint="default" w:ascii="Times New Roman" w:hAnsi="Times New Roman" w:eastAsia="宋体" w:cs="Times New Roman"/>
                <w:bCs/>
                <w:color w:val="auto"/>
                <w:szCs w:val="21"/>
                <w:highlight w:val="none"/>
                <w:lang w:val="en-US" w:eastAsia="zh-CN"/>
              </w:rPr>
              <w:t>《印刷行业挥发性有机化合物排放标准》（DB44/815-2010）表2</w:t>
            </w:r>
            <w:r>
              <w:rPr>
                <w:rFonts w:hint="eastAsia" w:ascii="Times New Roman" w:hAnsi="Times New Roman" w:eastAsia="宋体" w:cs="Times New Roman"/>
                <w:bCs/>
                <w:color w:val="auto"/>
                <w:szCs w:val="21"/>
                <w:highlight w:val="none"/>
                <w:lang w:val="en-US" w:eastAsia="zh-CN"/>
              </w:rPr>
              <w:t>“</w:t>
            </w:r>
            <w:r>
              <w:rPr>
                <w:rFonts w:hint="default" w:ascii="Times New Roman" w:hAnsi="Times New Roman" w:eastAsia="宋体" w:cs="Times New Roman"/>
                <w:bCs/>
                <w:color w:val="auto"/>
                <w:szCs w:val="21"/>
                <w:highlight w:val="none"/>
                <w:lang w:val="en-US" w:eastAsia="zh-CN"/>
              </w:rPr>
              <w:t>平版印刷（不含以金属、陶瓷、玻璃为承印物的平版印刷）、柔性版印刷</w:t>
            </w:r>
            <w:r>
              <w:rPr>
                <w:rFonts w:hint="eastAsia" w:ascii="Times New Roman" w:hAnsi="Times New Roman" w:eastAsia="宋体" w:cs="Times New Roman"/>
                <w:bCs/>
                <w:color w:val="auto"/>
                <w:szCs w:val="21"/>
                <w:highlight w:val="none"/>
                <w:lang w:val="en-US" w:eastAsia="zh-CN"/>
              </w:rPr>
              <w:t>”</w:t>
            </w:r>
            <w:r>
              <w:rPr>
                <w:rFonts w:hint="default" w:ascii="Times New Roman" w:hAnsi="Times New Roman" w:eastAsia="宋体" w:cs="Times New Roman"/>
                <w:bCs/>
                <w:color w:val="auto"/>
                <w:szCs w:val="21"/>
                <w:highlight w:val="none"/>
                <w:lang w:val="en-US" w:eastAsia="zh-CN"/>
              </w:rPr>
              <w:t>Ⅱ时段排放限值</w:t>
            </w:r>
          </w:p>
        </w:tc>
      </w:tr>
      <w:tr w14:paraId="7E7A44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1" w:type="dxa"/>
            <w:vMerge w:val="continue"/>
            <w:noWrap w:val="0"/>
            <w:vAlign w:val="center"/>
          </w:tcPr>
          <w:p w14:paraId="361CFCF3">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1634" w:type="dxa"/>
            <w:vMerge w:val="continue"/>
            <w:noWrap w:val="0"/>
            <w:vAlign w:val="center"/>
          </w:tcPr>
          <w:p w14:paraId="55538865">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1290" w:type="dxa"/>
            <w:noWrap w:val="0"/>
            <w:vAlign w:val="center"/>
          </w:tcPr>
          <w:p w14:paraId="744E68E5">
            <w:pPr>
              <w:keepNext w:val="0"/>
              <w:keepLines w:val="0"/>
              <w:suppressLineNumbers w:val="0"/>
              <w:adjustRightInd w:val="0"/>
              <w:snapToGrid w:val="0"/>
              <w:spacing w:before="0" w:beforeAutospacing="0" w:after="0" w:afterAutospacing="0"/>
              <w:ind w:left="0" w:leftChars="0" w:right="0" w:rightChars="0"/>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 w:val="21"/>
                <w:szCs w:val="21"/>
                <w:highlight w:val="none"/>
              </w:rPr>
              <w:t>臭气浓度</w:t>
            </w:r>
          </w:p>
        </w:tc>
        <w:tc>
          <w:tcPr>
            <w:tcW w:w="1455" w:type="dxa"/>
            <w:vMerge w:val="continue"/>
            <w:noWrap w:val="0"/>
            <w:vAlign w:val="center"/>
          </w:tcPr>
          <w:p w14:paraId="2AAFCB52">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3253" w:type="dxa"/>
            <w:noWrap w:val="0"/>
            <w:vAlign w:val="center"/>
          </w:tcPr>
          <w:p w14:paraId="66E842B9">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hint="default" w:ascii="Times New Roman" w:hAnsi="Times New Roman" w:eastAsia="宋体" w:cs="Times New Roman"/>
                <w:bCs/>
                <w:color w:val="auto"/>
                <w:szCs w:val="21"/>
                <w:highlight w:val="none"/>
                <w:lang w:val="en-US" w:eastAsia="zh-CN"/>
              </w:rPr>
              <w:t>《恶臭污染物排放标准》（GB14554-93）中表2恶臭污染物排放标准值</w:t>
            </w:r>
          </w:p>
        </w:tc>
      </w:tr>
      <w:tr w14:paraId="650A66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1" w:type="dxa"/>
            <w:vMerge w:val="continue"/>
            <w:noWrap w:val="0"/>
            <w:vAlign w:val="center"/>
          </w:tcPr>
          <w:p w14:paraId="31C4FC7A">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1634" w:type="dxa"/>
            <w:vMerge w:val="continue"/>
            <w:noWrap w:val="0"/>
            <w:vAlign w:val="center"/>
          </w:tcPr>
          <w:p w14:paraId="3745933F">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1290" w:type="dxa"/>
            <w:noWrap w:val="0"/>
            <w:vAlign w:val="center"/>
          </w:tcPr>
          <w:p w14:paraId="2E2B5AEE">
            <w:pPr>
              <w:keepNext w:val="0"/>
              <w:keepLines w:val="0"/>
              <w:suppressLineNumbers w:val="0"/>
              <w:adjustRightInd w:val="0"/>
              <w:snapToGrid w:val="0"/>
              <w:spacing w:before="0" w:beforeAutospacing="0" w:after="0" w:afterAutospacing="0"/>
              <w:ind w:left="0" w:leftChars="0" w:right="0" w:rightChars="0"/>
              <w:jc w:val="center"/>
              <w:rPr>
                <w:rFonts w:ascii="Times New Roman" w:hAnsi="Times New Roman" w:eastAsia="宋体" w:cs="Times New Roman"/>
                <w:color w:val="auto"/>
                <w:szCs w:val="21"/>
                <w:highlight w:val="none"/>
              </w:rPr>
            </w:pPr>
            <w:r>
              <w:rPr>
                <w:rFonts w:hint="eastAsia" w:cs="Times New Roman"/>
                <w:color w:val="auto"/>
                <w:sz w:val="21"/>
                <w:szCs w:val="21"/>
                <w:highlight w:val="none"/>
                <w:lang w:val="en-US" w:eastAsia="zh-CN"/>
              </w:rPr>
              <w:t>氯化氢</w:t>
            </w:r>
          </w:p>
        </w:tc>
        <w:tc>
          <w:tcPr>
            <w:tcW w:w="1455" w:type="dxa"/>
            <w:vMerge w:val="continue"/>
            <w:noWrap w:val="0"/>
            <w:vAlign w:val="center"/>
          </w:tcPr>
          <w:p w14:paraId="443E6C28">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3253" w:type="dxa"/>
            <w:vMerge w:val="restart"/>
            <w:noWrap w:val="0"/>
            <w:vAlign w:val="center"/>
          </w:tcPr>
          <w:p w14:paraId="5A74921F">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lang w:val="zh-CN"/>
              </w:rPr>
            </w:pPr>
            <w:r>
              <w:rPr>
                <w:rFonts w:hint="default" w:ascii="Times New Roman" w:hAnsi="Times New Roman" w:eastAsia="宋体" w:cs="Times New Roman"/>
                <w:bCs/>
                <w:color w:val="auto"/>
                <w:szCs w:val="21"/>
                <w:highlight w:val="none"/>
                <w:lang w:val="en-US" w:eastAsia="zh-CN"/>
              </w:rPr>
              <w:t>广东省地方标准《大气污染物排放限值》（DB44/27-2001）表2第二时段二级标准限值</w:t>
            </w:r>
          </w:p>
        </w:tc>
      </w:tr>
      <w:tr w14:paraId="5CAA8B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1" w:type="dxa"/>
            <w:vMerge w:val="continue"/>
            <w:noWrap w:val="0"/>
            <w:vAlign w:val="center"/>
          </w:tcPr>
          <w:p w14:paraId="2DF3B5AD">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1634" w:type="dxa"/>
            <w:vMerge w:val="continue"/>
            <w:noWrap w:val="0"/>
            <w:vAlign w:val="center"/>
          </w:tcPr>
          <w:p w14:paraId="6DC366E2">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1290" w:type="dxa"/>
            <w:noWrap w:val="0"/>
            <w:vAlign w:val="center"/>
          </w:tcPr>
          <w:p w14:paraId="7B5BFC7E">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szCs w:val="21"/>
                <w:highlight w:val="none"/>
              </w:rPr>
            </w:pPr>
            <w:r>
              <w:rPr>
                <w:rFonts w:hint="eastAsia" w:cs="Times New Roman"/>
                <w:color w:val="auto"/>
                <w:sz w:val="21"/>
                <w:szCs w:val="21"/>
                <w:highlight w:val="none"/>
                <w:lang w:val="en-US" w:eastAsia="zh-CN"/>
              </w:rPr>
              <w:t>氯乙烯</w:t>
            </w:r>
          </w:p>
        </w:tc>
        <w:tc>
          <w:tcPr>
            <w:tcW w:w="1455" w:type="dxa"/>
            <w:vMerge w:val="continue"/>
            <w:noWrap w:val="0"/>
            <w:vAlign w:val="center"/>
          </w:tcPr>
          <w:p w14:paraId="6277D451">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3253" w:type="dxa"/>
            <w:vMerge w:val="continue"/>
            <w:noWrap w:val="0"/>
            <w:vAlign w:val="center"/>
          </w:tcPr>
          <w:p w14:paraId="6CF716AF">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lang w:val="zh-CN"/>
              </w:rPr>
            </w:pPr>
          </w:p>
        </w:tc>
      </w:tr>
      <w:tr w14:paraId="3C70CC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471" w:type="dxa"/>
            <w:vMerge w:val="continue"/>
            <w:noWrap w:val="0"/>
            <w:vAlign w:val="center"/>
          </w:tcPr>
          <w:p w14:paraId="75286229">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1634" w:type="dxa"/>
            <w:vMerge w:val="continue"/>
            <w:noWrap w:val="0"/>
            <w:vAlign w:val="center"/>
          </w:tcPr>
          <w:p w14:paraId="1CEB740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p>
        </w:tc>
        <w:tc>
          <w:tcPr>
            <w:tcW w:w="1290" w:type="dxa"/>
            <w:noWrap w:val="0"/>
            <w:vAlign w:val="center"/>
          </w:tcPr>
          <w:p w14:paraId="4418C7FB">
            <w:pPr>
              <w:keepNext w:val="0"/>
              <w:keepLines w:val="0"/>
              <w:suppressLineNumbers w:val="0"/>
              <w:adjustRightInd w:val="0"/>
              <w:snapToGrid w:val="0"/>
              <w:spacing w:before="0" w:beforeAutospacing="0" w:after="0" w:afterAutospacing="0"/>
              <w:ind w:left="0" w:leftChars="0" w:right="0" w:rightChars="0"/>
              <w:jc w:val="center"/>
              <w:rPr>
                <w:rFonts w:ascii="Times New Roman" w:hAnsi="Times New Roman" w:eastAsia="宋体" w:cs="Times New Roman"/>
                <w:color w:val="auto"/>
                <w:szCs w:val="21"/>
                <w:highlight w:val="none"/>
              </w:rPr>
            </w:pPr>
            <w:r>
              <w:rPr>
                <w:rFonts w:hint="eastAsia" w:cs="Times New Roman"/>
                <w:color w:val="auto"/>
                <w:sz w:val="21"/>
                <w:szCs w:val="21"/>
                <w:highlight w:val="none"/>
                <w:lang w:val="en-US" w:eastAsia="zh-CN"/>
              </w:rPr>
              <w:t>苯乙烯</w:t>
            </w:r>
          </w:p>
        </w:tc>
        <w:tc>
          <w:tcPr>
            <w:tcW w:w="1455" w:type="dxa"/>
            <w:vMerge w:val="continue"/>
            <w:noWrap w:val="0"/>
            <w:vAlign w:val="center"/>
          </w:tcPr>
          <w:p w14:paraId="1CF18756">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3253" w:type="dxa"/>
            <w:vMerge w:val="restart"/>
            <w:noWrap w:val="0"/>
            <w:vAlign w:val="center"/>
          </w:tcPr>
          <w:p w14:paraId="3E44089D">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2"/>
                <w:highlight w:val="none"/>
              </w:rPr>
            </w:pPr>
            <w:r>
              <w:rPr>
                <w:rFonts w:hint="default" w:ascii="Times New Roman" w:hAnsi="Times New Roman" w:eastAsia="宋体" w:cs="Times New Roman"/>
                <w:bCs/>
                <w:color w:val="auto"/>
                <w:szCs w:val="21"/>
                <w:highlight w:val="none"/>
                <w:lang w:val="en-US" w:eastAsia="zh-CN"/>
              </w:rPr>
              <w:t>《合成树脂工业污染物排放标准》（GB31572-2015，含2024年修改单）中表5大气污染物特别排放限值</w:t>
            </w:r>
          </w:p>
        </w:tc>
      </w:tr>
      <w:tr w14:paraId="61A017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1" w:type="dxa"/>
            <w:vMerge w:val="continue"/>
            <w:noWrap w:val="0"/>
            <w:vAlign w:val="center"/>
          </w:tcPr>
          <w:p w14:paraId="0323AB8F">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1634" w:type="dxa"/>
            <w:vMerge w:val="continue"/>
            <w:noWrap w:val="0"/>
            <w:vAlign w:val="center"/>
          </w:tcPr>
          <w:p w14:paraId="7730F51B">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1290" w:type="dxa"/>
            <w:noWrap w:val="0"/>
            <w:vAlign w:val="center"/>
          </w:tcPr>
          <w:p w14:paraId="49BB317A">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szCs w:val="21"/>
                <w:highlight w:val="none"/>
              </w:rPr>
            </w:pPr>
            <w:r>
              <w:rPr>
                <w:rFonts w:hint="eastAsia" w:cs="Times New Roman"/>
                <w:color w:val="auto"/>
                <w:sz w:val="21"/>
                <w:szCs w:val="21"/>
                <w:highlight w:val="none"/>
                <w:lang w:val="en-US" w:eastAsia="zh-CN"/>
              </w:rPr>
              <w:t>丙烯腈</w:t>
            </w:r>
          </w:p>
        </w:tc>
        <w:tc>
          <w:tcPr>
            <w:tcW w:w="1455" w:type="dxa"/>
            <w:vMerge w:val="continue"/>
            <w:noWrap w:val="0"/>
            <w:vAlign w:val="center"/>
          </w:tcPr>
          <w:p w14:paraId="4CC978C9">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3253" w:type="dxa"/>
            <w:vMerge w:val="continue"/>
            <w:noWrap w:val="0"/>
            <w:vAlign w:val="center"/>
          </w:tcPr>
          <w:p w14:paraId="641E3D3A">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2"/>
                <w:highlight w:val="none"/>
              </w:rPr>
            </w:pPr>
          </w:p>
        </w:tc>
      </w:tr>
      <w:tr w14:paraId="74AEDB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 w:hRule="atLeast"/>
          <w:jc w:val="center"/>
        </w:trPr>
        <w:tc>
          <w:tcPr>
            <w:tcW w:w="1471" w:type="dxa"/>
            <w:vMerge w:val="continue"/>
            <w:noWrap w:val="0"/>
            <w:vAlign w:val="center"/>
          </w:tcPr>
          <w:p w14:paraId="31665A58">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1634" w:type="dxa"/>
            <w:vMerge w:val="continue"/>
            <w:noWrap w:val="0"/>
            <w:vAlign w:val="center"/>
          </w:tcPr>
          <w:p w14:paraId="082C7826">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1290" w:type="dxa"/>
            <w:noWrap w:val="0"/>
            <w:vAlign w:val="center"/>
          </w:tcPr>
          <w:p w14:paraId="206477E9">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szCs w:val="21"/>
                <w:highlight w:val="none"/>
              </w:rPr>
            </w:pPr>
            <w:r>
              <w:rPr>
                <w:rFonts w:hint="eastAsia" w:cs="Times New Roman"/>
                <w:color w:val="auto"/>
                <w:sz w:val="21"/>
                <w:szCs w:val="21"/>
                <w:highlight w:val="none"/>
                <w:lang w:val="en-US" w:eastAsia="zh-CN"/>
              </w:rPr>
              <w:t>1,3-丁二烯</w:t>
            </w:r>
          </w:p>
        </w:tc>
        <w:tc>
          <w:tcPr>
            <w:tcW w:w="1455" w:type="dxa"/>
            <w:vMerge w:val="continue"/>
            <w:noWrap w:val="0"/>
            <w:vAlign w:val="center"/>
          </w:tcPr>
          <w:p w14:paraId="0BCCA299">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3253" w:type="dxa"/>
            <w:vMerge w:val="continue"/>
            <w:noWrap w:val="0"/>
            <w:vAlign w:val="center"/>
          </w:tcPr>
          <w:p w14:paraId="385D43CE">
            <w:pPr>
              <w:keepNext w:val="0"/>
              <w:keepLines w:val="0"/>
              <w:suppressLineNumbers w:val="0"/>
              <w:adjustRightInd w:val="0"/>
              <w:snapToGrid w:val="0"/>
              <w:spacing w:before="0" w:beforeAutospacing="0" w:after="0" w:afterAutospacing="0"/>
              <w:ind w:left="0" w:right="0"/>
              <w:jc w:val="center"/>
              <w:rPr>
                <w:rStyle w:val="49"/>
                <w:rFonts w:ascii="Times New Roman" w:hAnsi="Times New Roman" w:eastAsia="宋体" w:cs="Times New Roman"/>
                <w:color w:val="auto"/>
                <w:szCs w:val="21"/>
                <w:highlight w:val="none"/>
              </w:rPr>
            </w:pPr>
          </w:p>
        </w:tc>
      </w:tr>
      <w:tr w14:paraId="6AF887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 w:hRule="atLeast"/>
          <w:jc w:val="center"/>
        </w:trPr>
        <w:tc>
          <w:tcPr>
            <w:tcW w:w="1471" w:type="dxa"/>
            <w:vMerge w:val="continue"/>
            <w:noWrap w:val="0"/>
            <w:vAlign w:val="center"/>
          </w:tcPr>
          <w:p w14:paraId="1569E786">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1634" w:type="dxa"/>
            <w:vMerge w:val="continue"/>
            <w:noWrap w:val="0"/>
            <w:vAlign w:val="center"/>
          </w:tcPr>
          <w:p w14:paraId="5D1624F9">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1290" w:type="dxa"/>
            <w:noWrap w:val="0"/>
            <w:vAlign w:val="center"/>
          </w:tcPr>
          <w:p w14:paraId="278E9020">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szCs w:val="21"/>
                <w:highlight w:val="none"/>
              </w:rPr>
            </w:pPr>
            <w:r>
              <w:rPr>
                <w:rFonts w:hint="eastAsia" w:cs="Times New Roman"/>
                <w:color w:val="auto"/>
                <w:sz w:val="21"/>
                <w:szCs w:val="21"/>
                <w:highlight w:val="none"/>
                <w:lang w:val="en-US" w:eastAsia="zh-CN"/>
              </w:rPr>
              <w:t>甲苯</w:t>
            </w:r>
          </w:p>
        </w:tc>
        <w:tc>
          <w:tcPr>
            <w:tcW w:w="1455" w:type="dxa"/>
            <w:vMerge w:val="continue"/>
            <w:noWrap w:val="0"/>
            <w:vAlign w:val="center"/>
          </w:tcPr>
          <w:p w14:paraId="28D39EF6">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3253" w:type="dxa"/>
            <w:vMerge w:val="continue"/>
            <w:noWrap w:val="0"/>
            <w:vAlign w:val="center"/>
          </w:tcPr>
          <w:p w14:paraId="3580D10E">
            <w:pPr>
              <w:keepNext w:val="0"/>
              <w:keepLines w:val="0"/>
              <w:suppressLineNumbers w:val="0"/>
              <w:adjustRightInd w:val="0"/>
              <w:snapToGrid w:val="0"/>
              <w:spacing w:before="0" w:beforeAutospacing="0" w:after="0" w:afterAutospacing="0"/>
              <w:ind w:left="0" w:right="0"/>
              <w:jc w:val="center"/>
              <w:rPr>
                <w:rStyle w:val="49"/>
                <w:rFonts w:ascii="Times New Roman" w:hAnsi="Times New Roman" w:eastAsia="宋体" w:cs="Times New Roman"/>
                <w:color w:val="auto"/>
                <w:szCs w:val="21"/>
                <w:highlight w:val="none"/>
              </w:rPr>
            </w:pPr>
          </w:p>
        </w:tc>
      </w:tr>
      <w:tr w14:paraId="6F5DBF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 w:hRule="atLeast"/>
          <w:jc w:val="center"/>
        </w:trPr>
        <w:tc>
          <w:tcPr>
            <w:tcW w:w="1471" w:type="dxa"/>
            <w:vMerge w:val="continue"/>
            <w:noWrap w:val="0"/>
            <w:vAlign w:val="center"/>
          </w:tcPr>
          <w:p w14:paraId="4C5B5A58">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1634" w:type="dxa"/>
            <w:vMerge w:val="continue"/>
            <w:noWrap w:val="0"/>
            <w:vAlign w:val="center"/>
          </w:tcPr>
          <w:p w14:paraId="3A799645">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1290" w:type="dxa"/>
            <w:noWrap w:val="0"/>
            <w:vAlign w:val="center"/>
          </w:tcPr>
          <w:p w14:paraId="16839D08">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szCs w:val="21"/>
                <w:highlight w:val="none"/>
              </w:rPr>
            </w:pPr>
            <w:r>
              <w:rPr>
                <w:rFonts w:hint="eastAsia" w:cs="Times New Roman"/>
                <w:color w:val="auto"/>
                <w:sz w:val="21"/>
                <w:szCs w:val="21"/>
                <w:highlight w:val="none"/>
                <w:lang w:val="en-US" w:eastAsia="zh-CN"/>
              </w:rPr>
              <w:t>乙苯</w:t>
            </w:r>
          </w:p>
        </w:tc>
        <w:tc>
          <w:tcPr>
            <w:tcW w:w="1455" w:type="dxa"/>
            <w:vMerge w:val="continue"/>
            <w:noWrap w:val="0"/>
            <w:vAlign w:val="center"/>
          </w:tcPr>
          <w:p w14:paraId="5EDECC83">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3253" w:type="dxa"/>
            <w:vMerge w:val="continue"/>
            <w:noWrap w:val="0"/>
            <w:vAlign w:val="center"/>
          </w:tcPr>
          <w:p w14:paraId="1F2A874F">
            <w:pPr>
              <w:keepNext w:val="0"/>
              <w:keepLines w:val="0"/>
              <w:suppressLineNumbers w:val="0"/>
              <w:adjustRightInd w:val="0"/>
              <w:snapToGrid w:val="0"/>
              <w:spacing w:before="0" w:beforeAutospacing="0" w:after="0" w:afterAutospacing="0"/>
              <w:ind w:left="0" w:right="0"/>
              <w:jc w:val="center"/>
              <w:rPr>
                <w:rStyle w:val="49"/>
                <w:rFonts w:ascii="Times New Roman" w:hAnsi="Times New Roman" w:eastAsia="宋体" w:cs="Times New Roman"/>
                <w:color w:val="auto"/>
                <w:szCs w:val="21"/>
                <w:highlight w:val="none"/>
              </w:rPr>
            </w:pPr>
          </w:p>
        </w:tc>
      </w:tr>
      <w:tr w14:paraId="3E3BFD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71" w:type="dxa"/>
            <w:vMerge w:val="continue"/>
            <w:noWrap w:val="0"/>
            <w:vAlign w:val="center"/>
          </w:tcPr>
          <w:p w14:paraId="20007788">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p>
        </w:tc>
        <w:tc>
          <w:tcPr>
            <w:tcW w:w="1634" w:type="dxa"/>
            <w:vMerge w:val="restart"/>
            <w:noWrap w:val="0"/>
            <w:vAlign w:val="center"/>
          </w:tcPr>
          <w:p w14:paraId="4EB0256B">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r>
              <w:rPr>
                <w:rFonts w:hint="eastAsia" w:cs="Times New Roman"/>
                <w:color w:val="auto"/>
                <w:szCs w:val="21"/>
                <w:highlight w:val="none"/>
                <w:lang w:val="en-US" w:eastAsia="zh-CN"/>
              </w:rPr>
              <w:t>厂界</w:t>
            </w:r>
            <w:r>
              <w:rPr>
                <w:rFonts w:hint="eastAsia" w:ascii="Times New Roman" w:hAnsi="Times New Roman" w:eastAsia="宋体" w:cs="Times New Roman"/>
                <w:color w:val="auto"/>
                <w:szCs w:val="21"/>
                <w:highlight w:val="none"/>
              </w:rPr>
              <w:t>无组织</w:t>
            </w:r>
          </w:p>
        </w:tc>
        <w:tc>
          <w:tcPr>
            <w:tcW w:w="1290" w:type="dxa"/>
            <w:noWrap w:val="0"/>
            <w:vAlign w:val="center"/>
          </w:tcPr>
          <w:p w14:paraId="61794A60">
            <w:pPr>
              <w:keepNext w:val="0"/>
              <w:keepLines w:val="0"/>
              <w:suppressLineNumbers w:val="0"/>
              <w:adjustRightInd w:val="0"/>
              <w:snapToGrid w:val="0"/>
              <w:spacing w:before="0" w:beforeAutospacing="0" w:after="0" w:afterAutospacing="0"/>
              <w:ind w:left="0" w:leftChars="0" w:right="0" w:rightChars="0"/>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sz w:val="21"/>
                <w:szCs w:val="21"/>
                <w:highlight w:val="none"/>
              </w:rPr>
              <w:t>非甲烷总烃</w:t>
            </w:r>
          </w:p>
        </w:tc>
        <w:tc>
          <w:tcPr>
            <w:tcW w:w="1455" w:type="dxa"/>
            <w:vMerge w:val="restart"/>
            <w:noWrap w:val="0"/>
            <w:vAlign w:val="center"/>
          </w:tcPr>
          <w:p w14:paraId="5893285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加强车间通风</w:t>
            </w:r>
          </w:p>
        </w:tc>
        <w:tc>
          <w:tcPr>
            <w:tcW w:w="3253" w:type="dxa"/>
            <w:noWrap w:val="0"/>
            <w:vAlign w:val="center"/>
          </w:tcPr>
          <w:p w14:paraId="62DCD8DA">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hint="eastAsia" w:ascii="Times New Roman" w:hAnsi="Times New Roman" w:eastAsia="宋体"/>
                <w:color w:val="auto"/>
                <w:sz w:val="21"/>
                <w:szCs w:val="21"/>
                <w:highlight w:val="none"/>
              </w:rPr>
              <w:t>广东省地方标准《大气污染物排放限值》（DB44/27-2001）表2第二时段无组织排放监控浓度限值与《合成树脂工业污染物排放标准》（GB31572-2015，含2024年修改单）表9企业边界大气污染物浓度限值两者较严值</w:t>
            </w:r>
          </w:p>
        </w:tc>
      </w:tr>
      <w:tr w14:paraId="490038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2" w:hRule="atLeast"/>
          <w:jc w:val="center"/>
        </w:trPr>
        <w:tc>
          <w:tcPr>
            <w:tcW w:w="1471" w:type="dxa"/>
            <w:vMerge w:val="continue"/>
            <w:noWrap w:val="0"/>
            <w:vAlign w:val="center"/>
          </w:tcPr>
          <w:p w14:paraId="15C08792">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p>
        </w:tc>
        <w:tc>
          <w:tcPr>
            <w:tcW w:w="1634" w:type="dxa"/>
            <w:vMerge w:val="continue"/>
            <w:noWrap w:val="0"/>
            <w:vAlign w:val="center"/>
          </w:tcPr>
          <w:p w14:paraId="68D7CC4E">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1290" w:type="dxa"/>
            <w:noWrap w:val="0"/>
            <w:vAlign w:val="center"/>
          </w:tcPr>
          <w:p w14:paraId="1F314B75">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auto"/>
                <w:szCs w:val="21"/>
                <w:highlight w:val="none"/>
              </w:rPr>
            </w:pPr>
            <w:r>
              <w:rPr>
                <w:rFonts w:hint="eastAsia" w:ascii="Times New Roman" w:hAnsi="Times New Roman" w:eastAsia="宋体"/>
                <w:color w:val="auto"/>
                <w:kern w:val="0"/>
                <w:sz w:val="21"/>
                <w:szCs w:val="21"/>
                <w:highlight w:val="none"/>
                <w:lang w:val="en-US" w:eastAsia="zh-CN"/>
              </w:rPr>
              <w:t>总VOCs</w:t>
            </w:r>
          </w:p>
        </w:tc>
        <w:tc>
          <w:tcPr>
            <w:tcW w:w="1455" w:type="dxa"/>
            <w:vMerge w:val="continue"/>
            <w:noWrap w:val="0"/>
            <w:vAlign w:val="center"/>
          </w:tcPr>
          <w:p w14:paraId="0969AFB2">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p>
        </w:tc>
        <w:tc>
          <w:tcPr>
            <w:tcW w:w="3253" w:type="dxa"/>
            <w:noWrap w:val="0"/>
            <w:vAlign w:val="center"/>
          </w:tcPr>
          <w:p w14:paraId="6AB90A66">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hint="eastAsia" w:ascii="Times New Roman" w:hAnsi="Times New Roman" w:eastAsia="宋体" w:cs="Times New Roman"/>
                <w:bCs/>
                <w:color w:val="auto"/>
                <w:sz w:val="21"/>
                <w:szCs w:val="21"/>
                <w:highlight w:val="none"/>
                <w:lang w:val="en-US" w:eastAsia="zh-CN"/>
              </w:rPr>
              <w:t>《家具制造行业挥发性有机化合物排放标准》（DB44/814-2010）表2无组织排放监控点浓度限值与《印刷行业挥发性有机化合物排放标准》（DB44/815-2010）表3无组织排放监控点浓度限值两者较严值</w:t>
            </w:r>
          </w:p>
        </w:tc>
      </w:tr>
      <w:tr w14:paraId="0A6284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2" w:hRule="atLeast"/>
          <w:jc w:val="center"/>
        </w:trPr>
        <w:tc>
          <w:tcPr>
            <w:tcW w:w="1471" w:type="dxa"/>
            <w:vMerge w:val="continue"/>
            <w:noWrap w:val="0"/>
            <w:vAlign w:val="center"/>
          </w:tcPr>
          <w:p w14:paraId="1B1B4625">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p>
        </w:tc>
        <w:tc>
          <w:tcPr>
            <w:tcW w:w="1634" w:type="dxa"/>
            <w:vMerge w:val="continue"/>
            <w:noWrap w:val="0"/>
            <w:vAlign w:val="center"/>
          </w:tcPr>
          <w:p w14:paraId="70211ECE">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1290" w:type="dxa"/>
            <w:noWrap w:val="0"/>
            <w:vAlign w:val="center"/>
          </w:tcPr>
          <w:p w14:paraId="5806C51C">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auto"/>
                <w:szCs w:val="21"/>
                <w:highlight w:val="none"/>
              </w:rPr>
            </w:pPr>
            <w:r>
              <w:rPr>
                <w:rFonts w:hint="eastAsia" w:ascii="Times New Roman" w:hAnsi="Times New Roman" w:eastAsia="宋体"/>
                <w:color w:val="auto"/>
                <w:kern w:val="0"/>
                <w:sz w:val="21"/>
                <w:szCs w:val="21"/>
                <w:highlight w:val="none"/>
                <w:lang w:val="en-US" w:eastAsia="zh-CN"/>
              </w:rPr>
              <w:t>甲苯</w:t>
            </w:r>
          </w:p>
        </w:tc>
        <w:tc>
          <w:tcPr>
            <w:tcW w:w="1455" w:type="dxa"/>
            <w:vMerge w:val="continue"/>
            <w:noWrap w:val="0"/>
            <w:vAlign w:val="center"/>
          </w:tcPr>
          <w:p w14:paraId="72D9CBCC">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p>
        </w:tc>
        <w:tc>
          <w:tcPr>
            <w:tcW w:w="3253" w:type="dxa"/>
            <w:noWrap w:val="0"/>
            <w:vAlign w:val="center"/>
          </w:tcPr>
          <w:p w14:paraId="20DF7D19">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hint="eastAsia" w:ascii="Times New Roman" w:hAnsi="Times New Roman" w:eastAsia="宋体"/>
                <w:color w:val="auto"/>
                <w:sz w:val="21"/>
                <w:szCs w:val="21"/>
                <w:highlight w:val="none"/>
              </w:rPr>
              <w:t>《合成树脂工业污染物排放标准》（GB31572-2015，含2024年修改单）表9企业边界大气污染物浓度限值</w:t>
            </w:r>
          </w:p>
        </w:tc>
      </w:tr>
      <w:tr w14:paraId="340EBD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2" w:hRule="atLeast"/>
          <w:jc w:val="center"/>
        </w:trPr>
        <w:tc>
          <w:tcPr>
            <w:tcW w:w="1471" w:type="dxa"/>
            <w:vMerge w:val="continue"/>
            <w:noWrap w:val="0"/>
            <w:vAlign w:val="center"/>
          </w:tcPr>
          <w:p w14:paraId="6624566C">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p>
        </w:tc>
        <w:tc>
          <w:tcPr>
            <w:tcW w:w="1634" w:type="dxa"/>
            <w:vMerge w:val="continue"/>
            <w:noWrap w:val="0"/>
            <w:vAlign w:val="center"/>
          </w:tcPr>
          <w:p w14:paraId="44B251A7">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1290" w:type="dxa"/>
            <w:noWrap w:val="0"/>
            <w:vAlign w:val="center"/>
          </w:tcPr>
          <w:p w14:paraId="57560F11">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auto"/>
                <w:szCs w:val="21"/>
                <w:highlight w:val="none"/>
              </w:rPr>
            </w:pPr>
            <w:r>
              <w:rPr>
                <w:rFonts w:hint="eastAsia" w:ascii="Times New Roman" w:hAnsi="Times New Roman" w:eastAsia="宋体"/>
                <w:color w:val="auto"/>
                <w:kern w:val="0"/>
                <w:sz w:val="21"/>
                <w:szCs w:val="21"/>
                <w:highlight w:val="none"/>
                <w:lang w:val="en-US" w:eastAsia="zh-CN"/>
              </w:rPr>
              <w:t>氯化氢</w:t>
            </w:r>
          </w:p>
        </w:tc>
        <w:tc>
          <w:tcPr>
            <w:tcW w:w="1455" w:type="dxa"/>
            <w:vMerge w:val="continue"/>
            <w:noWrap w:val="0"/>
            <w:vAlign w:val="center"/>
          </w:tcPr>
          <w:p w14:paraId="126846D6">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p>
        </w:tc>
        <w:tc>
          <w:tcPr>
            <w:tcW w:w="3253" w:type="dxa"/>
            <w:vMerge w:val="restart"/>
            <w:noWrap w:val="0"/>
            <w:vAlign w:val="center"/>
          </w:tcPr>
          <w:p w14:paraId="5F4770E5">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hint="eastAsia" w:ascii="Times New Roman" w:hAnsi="Times New Roman" w:eastAsia="宋体"/>
                <w:color w:val="auto"/>
                <w:sz w:val="21"/>
                <w:szCs w:val="21"/>
                <w:highlight w:val="none"/>
              </w:rPr>
              <w:t>广东省地方标准《大气污染物排放限值》（DB44/27-2001）表2第二时段无组织排放监控浓度限值</w:t>
            </w:r>
          </w:p>
        </w:tc>
      </w:tr>
      <w:tr w14:paraId="22C1D4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2" w:hRule="atLeast"/>
          <w:jc w:val="center"/>
        </w:trPr>
        <w:tc>
          <w:tcPr>
            <w:tcW w:w="1471" w:type="dxa"/>
            <w:vMerge w:val="continue"/>
            <w:noWrap w:val="0"/>
            <w:vAlign w:val="center"/>
          </w:tcPr>
          <w:p w14:paraId="11C0E544">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p>
        </w:tc>
        <w:tc>
          <w:tcPr>
            <w:tcW w:w="1634" w:type="dxa"/>
            <w:vMerge w:val="continue"/>
            <w:noWrap w:val="0"/>
            <w:vAlign w:val="center"/>
          </w:tcPr>
          <w:p w14:paraId="68D2DFE3">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1290" w:type="dxa"/>
            <w:noWrap w:val="0"/>
            <w:vAlign w:val="center"/>
          </w:tcPr>
          <w:p w14:paraId="3A15AF90">
            <w:pPr>
              <w:keepNext w:val="0"/>
              <w:keepLines w:val="0"/>
              <w:widowControl/>
              <w:suppressLineNumbers w:val="0"/>
              <w:spacing w:before="0" w:beforeAutospacing="0" w:after="0" w:afterAutospacing="0"/>
              <w:ind w:left="0" w:leftChars="0" w:right="0" w:rightChars="0"/>
              <w:jc w:val="center"/>
              <w:rPr>
                <w:rFonts w:hint="eastAsia" w:ascii="Times New Roman" w:hAnsi="Times New Roman" w:eastAsia="宋体" w:cs="Times New Roman"/>
                <w:color w:val="auto"/>
                <w:szCs w:val="21"/>
                <w:highlight w:val="none"/>
              </w:rPr>
            </w:pPr>
            <w:r>
              <w:rPr>
                <w:rFonts w:hint="eastAsia" w:ascii="Times New Roman" w:hAnsi="Times New Roman" w:eastAsia="宋体"/>
                <w:color w:val="auto"/>
                <w:kern w:val="0"/>
                <w:sz w:val="21"/>
                <w:szCs w:val="21"/>
                <w:highlight w:val="none"/>
                <w:lang w:val="en-US" w:eastAsia="zh-CN"/>
              </w:rPr>
              <w:t>氯乙烯</w:t>
            </w:r>
          </w:p>
        </w:tc>
        <w:tc>
          <w:tcPr>
            <w:tcW w:w="1455" w:type="dxa"/>
            <w:vMerge w:val="continue"/>
            <w:noWrap w:val="0"/>
            <w:vAlign w:val="center"/>
          </w:tcPr>
          <w:p w14:paraId="4809F997">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p>
        </w:tc>
        <w:tc>
          <w:tcPr>
            <w:tcW w:w="3253" w:type="dxa"/>
            <w:vMerge w:val="continue"/>
            <w:noWrap w:val="0"/>
            <w:vAlign w:val="center"/>
          </w:tcPr>
          <w:p w14:paraId="54094679">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p>
        </w:tc>
      </w:tr>
      <w:tr w14:paraId="29721A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32" w:hRule="atLeast"/>
          <w:jc w:val="center"/>
        </w:trPr>
        <w:tc>
          <w:tcPr>
            <w:tcW w:w="1471" w:type="dxa"/>
            <w:vMerge w:val="continue"/>
            <w:noWrap w:val="0"/>
            <w:vAlign w:val="center"/>
          </w:tcPr>
          <w:p w14:paraId="1DCF6CDF">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p>
        </w:tc>
        <w:tc>
          <w:tcPr>
            <w:tcW w:w="1634" w:type="dxa"/>
            <w:vMerge w:val="continue"/>
            <w:noWrap w:val="0"/>
            <w:vAlign w:val="center"/>
          </w:tcPr>
          <w:p w14:paraId="138C5B04">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p>
        </w:tc>
        <w:tc>
          <w:tcPr>
            <w:tcW w:w="1290" w:type="dxa"/>
            <w:noWrap w:val="0"/>
            <w:vAlign w:val="center"/>
          </w:tcPr>
          <w:p w14:paraId="2CB93A90">
            <w:pPr>
              <w:keepNext w:val="0"/>
              <w:keepLines w:val="0"/>
              <w:widowControl/>
              <w:suppressLineNumbers w:val="0"/>
              <w:spacing w:before="0" w:beforeAutospacing="0" w:after="0" w:afterAutospacing="0"/>
              <w:ind w:left="0" w:leftChars="0" w:right="0" w:rightChars="0"/>
              <w:jc w:val="center"/>
              <w:rPr>
                <w:rFonts w:ascii="Times New Roman" w:hAnsi="Times New Roman" w:eastAsia="宋体" w:cs="Times New Roman"/>
                <w:color w:val="auto"/>
                <w:szCs w:val="21"/>
                <w:highlight w:val="none"/>
              </w:rPr>
            </w:pPr>
            <w:r>
              <w:rPr>
                <w:rFonts w:hint="eastAsia" w:ascii="Times New Roman" w:hAnsi="Times New Roman" w:eastAsia="宋体"/>
                <w:color w:val="auto"/>
                <w:kern w:val="0"/>
                <w:sz w:val="21"/>
                <w:szCs w:val="21"/>
                <w:highlight w:val="none"/>
                <w:lang w:val="en-US" w:eastAsia="zh-CN"/>
              </w:rPr>
              <w:t>臭气浓度</w:t>
            </w:r>
          </w:p>
        </w:tc>
        <w:tc>
          <w:tcPr>
            <w:tcW w:w="1455" w:type="dxa"/>
            <w:vMerge w:val="continue"/>
            <w:noWrap w:val="0"/>
            <w:vAlign w:val="center"/>
          </w:tcPr>
          <w:p w14:paraId="06A93FAB">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p>
        </w:tc>
        <w:tc>
          <w:tcPr>
            <w:tcW w:w="3253" w:type="dxa"/>
            <w:noWrap w:val="0"/>
            <w:vAlign w:val="center"/>
          </w:tcPr>
          <w:p w14:paraId="348B8C8B">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hint="eastAsia" w:ascii="Times New Roman" w:hAnsi="Times New Roman" w:eastAsia="宋体"/>
                <w:color w:val="auto"/>
                <w:sz w:val="21"/>
                <w:szCs w:val="21"/>
                <w:highlight w:val="none"/>
              </w:rPr>
              <w:t>《恶臭污染物排放标准》（GB14554-93）表1恶臭污染物厂界二级新改扩建标准</w:t>
            </w:r>
          </w:p>
        </w:tc>
      </w:tr>
      <w:tr w14:paraId="45F136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22" w:hRule="atLeast"/>
          <w:jc w:val="center"/>
        </w:trPr>
        <w:tc>
          <w:tcPr>
            <w:tcW w:w="1471" w:type="dxa"/>
            <w:vMerge w:val="continue"/>
            <w:noWrap w:val="0"/>
            <w:vAlign w:val="center"/>
          </w:tcPr>
          <w:p w14:paraId="0E16D213">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p>
        </w:tc>
        <w:tc>
          <w:tcPr>
            <w:tcW w:w="1634" w:type="dxa"/>
            <w:noWrap w:val="0"/>
            <w:vAlign w:val="center"/>
          </w:tcPr>
          <w:p w14:paraId="18C97DDA">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厂区内</w:t>
            </w:r>
          </w:p>
        </w:tc>
        <w:tc>
          <w:tcPr>
            <w:tcW w:w="1290" w:type="dxa"/>
            <w:noWrap w:val="0"/>
            <w:vAlign w:val="center"/>
          </w:tcPr>
          <w:p w14:paraId="190EAC76">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r>
              <w:rPr>
                <w:rFonts w:ascii="Times New Roman" w:hAnsi="Times New Roman" w:eastAsia="宋体" w:cs="Times New Roman"/>
                <w:color w:val="auto"/>
                <w:kern w:val="0"/>
                <w:szCs w:val="21"/>
                <w:highlight w:val="none"/>
              </w:rPr>
              <w:t>非甲烷总烃</w:t>
            </w:r>
          </w:p>
        </w:tc>
        <w:tc>
          <w:tcPr>
            <w:tcW w:w="1455" w:type="dxa"/>
            <w:noWrap w:val="0"/>
            <w:vAlign w:val="center"/>
          </w:tcPr>
          <w:p w14:paraId="78F195AC">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w:t>
            </w:r>
          </w:p>
        </w:tc>
        <w:tc>
          <w:tcPr>
            <w:tcW w:w="3253" w:type="dxa"/>
            <w:noWrap w:val="0"/>
            <w:vAlign w:val="center"/>
          </w:tcPr>
          <w:p w14:paraId="6AF258B2">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hint="eastAsia" w:ascii="Times New Roman" w:hAnsi="Times New Roman" w:eastAsia="宋体"/>
                <w:color w:val="auto"/>
                <w:sz w:val="21"/>
                <w:szCs w:val="21"/>
                <w:highlight w:val="none"/>
              </w:rPr>
              <w:t>广东省《固定污染源挥发性有机物综合排放标准》（DB44/2367-2022）表3厂区内VOCs无组织排放限值与《印刷工业大气污染物排放标准》(GB41616-2022)表A.1厂区内VOCs无组织排放限值两者较严值</w:t>
            </w:r>
          </w:p>
        </w:tc>
      </w:tr>
      <w:tr w14:paraId="7400C9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40" w:hRule="atLeast"/>
          <w:jc w:val="center"/>
        </w:trPr>
        <w:tc>
          <w:tcPr>
            <w:tcW w:w="1471" w:type="dxa"/>
            <w:noWrap w:val="0"/>
            <w:vAlign w:val="center"/>
          </w:tcPr>
          <w:p w14:paraId="3CE9769F">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地表水环境</w:t>
            </w:r>
          </w:p>
        </w:tc>
        <w:tc>
          <w:tcPr>
            <w:tcW w:w="1634" w:type="dxa"/>
            <w:noWrap w:val="0"/>
            <w:vAlign w:val="center"/>
          </w:tcPr>
          <w:p w14:paraId="30000263">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rPr>
            </w:pPr>
            <w:r>
              <w:rPr>
                <w:rFonts w:ascii="Times New Roman" w:hAnsi="Times New Roman" w:eastAsia="宋体" w:cs="Times New Roman"/>
                <w:color w:val="auto"/>
                <w:kern w:val="0"/>
                <w:szCs w:val="21"/>
                <w:highlight w:val="none"/>
              </w:rPr>
              <w:t>生活污水排放口</w:t>
            </w:r>
            <w:r>
              <w:rPr>
                <w:rFonts w:hint="eastAsia" w:ascii="Times New Roman" w:hAnsi="Times New Roman" w:eastAsia="宋体" w:cs="Times New Roman"/>
                <w:color w:val="auto"/>
                <w:highlight w:val="none"/>
              </w:rPr>
              <w:t>（DW001）</w:t>
            </w:r>
          </w:p>
        </w:tc>
        <w:tc>
          <w:tcPr>
            <w:tcW w:w="1290" w:type="dxa"/>
            <w:noWrap w:val="0"/>
            <w:vAlign w:val="center"/>
          </w:tcPr>
          <w:p w14:paraId="584F76D4">
            <w:pPr>
              <w:pStyle w:val="106"/>
              <w:keepNext w:val="0"/>
              <w:keepLines w:val="0"/>
              <w:suppressLineNumbers w:val="0"/>
              <w:spacing w:before="0" w:beforeAutospacing="0" w:after="0" w:afterAutospacing="0"/>
              <w:ind w:left="0" w:right="0"/>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COD</w:t>
            </w:r>
            <w:r>
              <w:rPr>
                <w:rFonts w:ascii="Times New Roman" w:hAnsi="Times New Roman" w:eastAsia="宋体" w:cs="Times New Roman"/>
                <w:color w:val="auto"/>
                <w:sz w:val="21"/>
                <w:szCs w:val="21"/>
                <w:highlight w:val="none"/>
                <w:vertAlign w:val="subscript"/>
              </w:rPr>
              <w:t>cr</w:t>
            </w:r>
          </w:p>
          <w:p w14:paraId="69DCD5C3">
            <w:pPr>
              <w:pStyle w:val="106"/>
              <w:keepNext w:val="0"/>
              <w:keepLines w:val="0"/>
              <w:suppressLineNumbers w:val="0"/>
              <w:spacing w:before="0" w:beforeAutospacing="0" w:after="0" w:afterAutospacing="0"/>
              <w:ind w:left="0" w:right="0"/>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BOD</w:t>
            </w:r>
            <w:r>
              <w:rPr>
                <w:rFonts w:ascii="Times New Roman" w:hAnsi="Times New Roman" w:eastAsia="宋体" w:cs="Times New Roman"/>
                <w:color w:val="auto"/>
                <w:sz w:val="21"/>
                <w:szCs w:val="21"/>
                <w:highlight w:val="none"/>
                <w:vertAlign w:val="subscript"/>
              </w:rPr>
              <w:t>5</w:t>
            </w:r>
          </w:p>
          <w:p w14:paraId="2DBC2868">
            <w:pPr>
              <w:keepNext w:val="0"/>
              <w:keepLines w:val="0"/>
              <w:suppressLineNumbers w:val="0"/>
              <w:spacing w:before="0" w:beforeAutospacing="0" w:after="0" w:afterAutospacing="0"/>
              <w:ind w:left="0" w:right="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SS</w:t>
            </w:r>
          </w:p>
          <w:p w14:paraId="006D1809">
            <w:pPr>
              <w:keepNext w:val="0"/>
              <w:keepLines w:val="0"/>
              <w:suppressLineNumbers w:val="0"/>
              <w:spacing w:before="0" w:beforeAutospacing="0" w:after="0" w:afterAutospacing="0"/>
              <w:ind w:left="0" w:right="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NH</w:t>
            </w:r>
            <w:r>
              <w:rPr>
                <w:rFonts w:ascii="Times New Roman" w:hAnsi="Times New Roman" w:eastAsia="宋体" w:cs="Times New Roman"/>
                <w:color w:val="auto"/>
                <w:szCs w:val="21"/>
                <w:highlight w:val="none"/>
                <w:vertAlign w:val="subscript"/>
              </w:rPr>
              <w:t>3</w:t>
            </w:r>
            <w:r>
              <w:rPr>
                <w:rFonts w:ascii="Times New Roman" w:hAnsi="Times New Roman" w:eastAsia="宋体" w:cs="Times New Roman"/>
                <w:color w:val="auto"/>
                <w:szCs w:val="21"/>
                <w:highlight w:val="none"/>
              </w:rPr>
              <w:t>-N</w:t>
            </w:r>
          </w:p>
          <w:p w14:paraId="43D9128C">
            <w:pPr>
              <w:keepNext w:val="0"/>
              <w:keepLines w:val="0"/>
              <w:suppressLineNumbers w:val="0"/>
              <w:spacing w:before="0" w:beforeAutospacing="0" w:after="0" w:afterAutospacing="0"/>
              <w:ind w:left="0" w:right="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LAS</w:t>
            </w:r>
          </w:p>
          <w:p w14:paraId="13B6C60A">
            <w:pPr>
              <w:keepNext w:val="0"/>
              <w:keepLines w:val="0"/>
              <w:suppressLineNumbers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Cs w:val="21"/>
                <w:highlight w:val="none"/>
              </w:rPr>
              <w:t>TP</w:t>
            </w:r>
          </w:p>
        </w:tc>
        <w:tc>
          <w:tcPr>
            <w:tcW w:w="1455" w:type="dxa"/>
            <w:noWrap w:val="0"/>
            <w:vAlign w:val="center"/>
          </w:tcPr>
          <w:p w14:paraId="7BBB9F82">
            <w:pPr>
              <w:keepNext w:val="0"/>
              <w:keepLines w:val="0"/>
              <w:suppressLineNumbers w:val="0"/>
              <w:spacing w:before="0" w:beforeAutospacing="0" w:after="0" w:afterAutospacing="0"/>
              <w:ind w:left="0" w:right="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生活污水三级化粪池预处理</w:t>
            </w:r>
          </w:p>
        </w:tc>
        <w:tc>
          <w:tcPr>
            <w:tcW w:w="3253" w:type="dxa"/>
            <w:noWrap w:val="0"/>
            <w:vAlign w:val="center"/>
          </w:tcPr>
          <w:p w14:paraId="1BFA9594">
            <w:pPr>
              <w:pStyle w:val="16"/>
              <w:keepNext w:val="0"/>
              <w:keepLines w:val="0"/>
              <w:suppressLineNumbers w:val="0"/>
              <w:spacing w:before="0" w:beforeAutospacing="0" w:after="0" w:afterAutospacing="0"/>
              <w:ind w:left="0" w:right="0"/>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广东省《水污染物排放限值》（DB44/26-2001）第二时段三级标准</w:t>
            </w:r>
          </w:p>
        </w:tc>
      </w:tr>
      <w:tr w14:paraId="2BE82A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9" w:hRule="atLeast"/>
          <w:jc w:val="center"/>
        </w:trPr>
        <w:tc>
          <w:tcPr>
            <w:tcW w:w="1471" w:type="dxa"/>
            <w:noWrap w:val="0"/>
            <w:vAlign w:val="center"/>
          </w:tcPr>
          <w:p w14:paraId="36DD94E0">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声环境</w:t>
            </w:r>
          </w:p>
        </w:tc>
        <w:tc>
          <w:tcPr>
            <w:tcW w:w="1634" w:type="dxa"/>
            <w:noWrap w:val="0"/>
            <w:vAlign w:val="center"/>
          </w:tcPr>
          <w:p w14:paraId="5C699BB0">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生产设备、</w:t>
            </w:r>
            <w:r>
              <w:rPr>
                <w:rFonts w:hint="eastAsia" w:ascii="Times New Roman" w:hAnsi="Times New Roman" w:eastAsia="宋体" w:cs="Times New Roman"/>
                <w:color w:val="auto"/>
                <w:szCs w:val="21"/>
                <w:highlight w:val="none"/>
              </w:rPr>
              <w:t>辅助设备</w:t>
            </w:r>
            <w:r>
              <w:rPr>
                <w:rFonts w:ascii="Times New Roman" w:hAnsi="Times New Roman" w:eastAsia="宋体" w:cs="Times New Roman"/>
                <w:color w:val="auto"/>
                <w:szCs w:val="21"/>
                <w:highlight w:val="none"/>
              </w:rPr>
              <w:t>等</w:t>
            </w:r>
          </w:p>
        </w:tc>
        <w:tc>
          <w:tcPr>
            <w:tcW w:w="1290" w:type="dxa"/>
            <w:noWrap w:val="0"/>
            <w:vAlign w:val="center"/>
          </w:tcPr>
          <w:p w14:paraId="67C61FD8">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等效A声级</w:t>
            </w:r>
          </w:p>
        </w:tc>
        <w:tc>
          <w:tcPr>
            <w:tcW w:w="1455" w:type="dxa"/>
            <w:noWrap w:val="0"/>
            <w:vAlign w:val="center"/>
          </w:tcPr>
          <w:p w14:paraId="04285AF2">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选用低噪声设备、减振、车间隔声、合理布局等</w:t>
            </w:r>
          </w:p>
        </w:tc>
        <w:tc>
          <w:tcPr>
            <w:tcW w:w="3253" w:type="dxa"/>
            <w:noWrap w:val="0"/>
            <w:vAlign w:val="center"/>
          </w:tcPr>
          <w:p w14:paraId="6AB2548E">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《工业企业厂界环境噪声排放标准》（GB12348-2008）</w:t>
            </w:r>
            <w:r>
              <w:rPr>
                <w:rFonts w:hint="eastAsia" w:cs="Times New Roman"/>
                <w:color w:val="auto"/>
                <w:szCs w:val="21"/>
                <w:highlight w:val="none"/>
                <w:lang w:val="en-US" w:eastAsia="zh-CN"/>
              </w:rPr>
              <w:t>3</w:t>
            </w:r>
            <w:r>
              <w:rPr>
                <w:rFonts w:ascii="Times New Roman" w:hAnsi="Times New Roman" w:eastAsia="宋体" w:cs="Times New Roman"/>
                <w:color w:val="auto"/>
                <w:szCs w:val="21"/>
                <w:highlight w:val="none"/>
              </w:rPr>
              <w:t>类</w:t>
            </w:r>
            <w:r>
              <w:rPr>
                <w:rFonts w:hint="eastAsia" w:ascii="Times New Roman" w:hAnsi="Times New Roman" w:eastAsia="宋体" w:cs="Times New Roman"/>
                <w:color w:val="auto"/>
                <w:szCs w:val="21"/>
                <w:highlight w:val="none"/>
              </w:rPr>
              <w:t>标准</w:t>
            </w:r>
          </w:p>
        </w:tc>
      </w:tr>
      <w:tr w14:paraId="523B84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71" w:type="dxa"/>
            <w:noWrap w:val="0"/>
            <w:vAlign w:val="center"/>
          </w:tcPr>
          <w:p w14:paraId="3BFA2EA9">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电磁辐射</w:t>
            </w:r>
          </w:p>
        </w:tc>
        <w:tc>
          <w:tcPr>
            <w:tcW w:w="1634" w:type="dxa"/>
            <w:noWrap w:val="0"/>
            <w:vAlign w:val="center"/>
          </w:tcPr>
          <w:p w14:paraId="44356849">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w:t>
            </w:r>
          </w:p>
        </w:tc>
        <w:tc>
          <w:tcPr>
            <w:tcW w:w="1290" w:type="dxa"/>
            <w:noWrap w:val="0"/>
            <w:vAlign w:val="center"/>
          </w:tcPr>
          <w:p w14:paraId="57C7CDBA">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w:t>
            </w:r>
          </w:p>
        </w:tc>
        <w:tc>
          <w:tcPr>
            <w:tcW w:w="1455" w:type="dxa"/>
            <w:noWrap w:val="0"/>
            <w:vAlign w:val="center"/>
          </w:tcPr>
          <w:p w14:paraId="2198EB7F">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w:t>
            </w:r>
          </w:p>
        </w:tc>
        <w:tc>
          <w:tcPr>
            <w:tcW w:w="3253" w:type="dxa"/>
            <w:noWrap w:val="0"/>
            <w:vAlign w:val="center"/>
          </w:tcPr>
          <w:p w14:paraId="133909C8">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w:t>
            </w:r>
          </w:p>
        </w:tc>
      </w:tr>
      <w:tr w14:paraId="362BD8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71" w:type="dxa"/>
            <w:noWrap w:val="0"/>
            <w:vAlign w:val="center"/>
          </w:tcPr>
          <w:p w14:paraId="3B5FF5EF">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固体废物</w:t>
            </w:r>
          </w:p>
        </w:tc>
        <w:tc>
          <w:tcPr>
            <w:tcW w:w="7632" w:type="dxa"/>
            <w:gridSpan w:val="4"/>
            <w:noWrap w:val="0"/>
            <w:vAlign w:val="center"/>
          </w:tcPr>
          <w:p w14:paraId="5F14159B">
            <w:pPr>
              <w:keepNext w:val="0"/>
              <w:keepLines w:val="0"/>
              <w:widowControl/>
              <w:suppressLineNumbers w:val="0"/>
              <w:snapToGrid w:val="0"/>
              <w:spacing w:before="0" w:beforeAutospacing="0" w:after="0" w:afterAutospacing="0"/>
              <w:ind w:left="0" w:right="0" w:firstLine="420" w:firstLineChars="200"/>
              <w:jc w:val="left"/>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设置危废暂存仓，项目产生的危险废物须严格执行国家和省危险废物管理的有关规定，交给资质单位处理处置，危险废物在项目内暂存应符合《危险废物贮存污染控制标准》(GB18597-</w:t>
            </w:r>
            <w:r>
              <w:rPr>
                <w:rFonts w:hint="default" w:ascii="Times New Roman" w:hAnsi="Times New Roman" w:eastAsia="宋体" w:cs="Times New Roman"/>
                <w:color w:val="auto"/>
                <w:szCs w:val="21"/>
                <w:highlight w:val="none"/>
                <w:lang w:val="en-US" w:eastAsia="zh-CN"/>
              </w:rPr>
              <w:t>2023</w:t>
            </w:r>
            <w:r>
              <w:rPr>
                <w:rFonts w:hint="default" w:ascii="Times New Roman" w:hAnsi="Times New Roman" w:eastAsia="宋体" w:cs="Times New Roman"/>
                <w:color w:val="auto"/>
                <w:szCs w:val="21"/>
                <w:highlight w:val="none"/>
              </w:rPr>
              <w:t>)要求。</w:t>
            </w:r>
          </w:p>
          <w:p w14:paraId="57BCA4F8">
            <w:pPr>
              <w:keepNext w:val="0"/>
              <w:keepLines w:val="0"/>
              <w:suppressLineNumbers w:val="0"/>
              <w:adjustRightInd w:val="0"/>
              <w:snapToGrid w:val="0"/>
              <w:spacing w:before="0" w:beforeAutospacing="0" w:after="0" w:afterAutospacing="0"/>
              <w:ind w:left="0" w:right="0" w:firstLine="420" w:firstLineChars="200"/>
              <w:jc w:val="left"/>
              <w:rPr>
                <w:rFonts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设置一般固废暂存仓，一般固废综合利用或委托专业公司处理处置。一般工业固体废物在厂内采用库房和包装工具贮存，贮存过程应采取防渗漏、防雨淋、防扬尘或者其他防止污染环境的措施，必须符合国家环境保护要求，对固体废物妥善安全存放。</w:t>
            </w:r>
          </w:p>
        </w:tc>
      </w:tr>
      <w:tr w14:paraId="1B9071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71" w:type="dxa"/>
            <w:noWrap w:val="0"/>
            <w:vAlign w:val="center"/>
          </w:tcPr>
          <w:p w14:paraId="00FE6ACC">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土壤及地下水污染防治措施</w:t>
            </w:r>
          </w:p>
        </w:tc>
        <w:tc>
          <w:tcPr>
            <w:tcW w:w="7632" w:type="dxa"/>
            <w:gridSpan w:val="4"/>
            <w:noWrap w:val="0"/>
            <w:vAlign w:val="center"/>
          </w:tcPr>
          <w:p w14:paraId="57C8E767">
            <w:pPr>
              <w:keepNext w:val="0"/>
              <w:keepLines w:val="0"/>
              <w:widowControl/>
              <w:suppressLineNumbers w:val="0"/>
              <w:wordWrap w:val="0"/>
              <w:spacing w:before="0" w:beforeAutospacing="0" w:after="0" w:afterAutospacing="0"/>
              <w:ind w:left="0" w:right="0"/>
              <w:jc w:val="left"/>
              <w:rPr>
                <w:rFonts w:ascii="Times New Roman" w:hAnsi="Times New Roman" w:eastAsia="宋体" w:cs="Times New Roman"/>
                <w:color w:val="auto"/>
                <w:kern w:val="0"/>
                <w:szCs w:val="21"/>
                <w:highlight w:val="none"/>
              </w:rPr>
            </w:pPr>
            <w:r>
              <w:rPr>
                <w:rFonts w:ascii="Times New Roman" w:hAnsi="Times New Roman" w:eastAsia="宋体" w:cs="Times New Roman"/>
                <w:color w:val="auto"/>
                <w:szCs w:val="21"/>
                <w:highlight w:val="none"/>
              </w:rPr>
              <w:t>采取分区防控的措施，设置重点防渗区、一般防渗区、简单防渗区，对不同区域按照不同防渗要求处理。</w:t>
            </w:r>
          </w:p>
        </w:tc>
      </w:tr>
      <w:tr w14:paraId="6AAD34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71" w:type="dxa"/>
            <w:noWrap w:val="0"/>
            <w:vAlign w:val="center"/>
          </w:tcPr>
          <w:p w14:paraId="50699F50">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生态保护措施</w:t>
            </w:r>
          </w:p>
        </w:tc>
        <w:tc>
          <w:tcPr>
            <w:tcW w:w="7632" w:type="dxa"/>
            <w:gridSpan w:val="4"/>
            <w:noWrap w:val="0"/>
            <w:vAlign w:val="center"/>
          </w:tcPr>
          <w:p w14:paraId="157CFF51">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不涉及</w:t>
            </w:r>
          </w:p>
        </w:tc>
      </w:tr>
      <w:tr w14:paraId="3BB2DE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80" w:hRule="atLeast"/>
          <w:jc w:val="center"/>
        </w:trPr>
        <w:tc>
          <w:tcPr>
            <w:tcW w:w="1471" w:type="dxa"/>
            <w:noWrap w:val="0"/>
            <w:vAlign w:val="center"/>
          </w:tcPr>
          <w:p w14:paraId="2A896280">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环境风险</w:t>
            </w:r>
          </w:p>
          <w:p w14:paraId="64063547">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防范措施</w:t>
            </w:r>
          </w:p>
        </w:tc>
        <w:tc>
          <w:tcPr>
            <w:tcW w:w="7632" w:type="dxa"/>
            <w:gridSpan w:val="4"/>
            <w:noWrap w:val="0"/>
            <w:vAlign w:val="center"/>
          </w:tcPr>
          <w:p w14:paraId="3956A97A">
            <w:pPr>
              <w:keepNext w:val="0"/>
              <w:keepLines w:val="0"/>
              <w:suppressLineNumbers w:val="0"/>
              <w:adjustRightInd w:val="0"/>
              <w:snapToGrid w:val="0"/>
              <w:spacing w:before="0" w:beforeAutospacing="0" w:after="0" w:afterAutospacing="0"/>
              <w:ind w:left="0" w:right="0"/>
              <w:rPr>
                <w:rFonts w:ascii="Times New Roman" w:hAnsi="Times New Roman" w:eastAsia="宋体" w:cs="Times New Roman"/>
                <w:color w:val="auto"/>
                <w:highlight w:val="none"/>
              </w:rPr>
            </w:pPr>
            <w:r>
              <w:rPr>
                <w:rFonts w:ascii="Times New Roman" w:hAnsi="Times New Roman" w:eastAsia="宋体" w:cs="Times New Roman"/>
                <w:color w:val="auto"/>
                <w:highlight w:val="none"/>
              </w:rPr>
              <w:t>（1）项目废气处理设施破损防范措施：</w:t>
            </w:r>
          </w:p>
          <w:p w14:paraId="1C996B8F">
            <w:pPr>
              <w:keepNext w:val="0"/>
              <w:keepLines w:val="0"/>
              <w:suppressLineNumbers w:val="0"/>
              <w:adjustRightInd w:val="0"/>
              <w:snapToGrid w:val="0"/>
              <w:spacing w:before="0" w:beforeAutospacing="0" w:after="0" w:afterAutospacing="0"/>
              <w:ind w:left="0" w:right="0"/>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①</w:t>
            </w:r>
            <w:r>
              <w:rPr>
                <w:rFonts w:ascii="Times New Roman" w:hAnsi="Times New Roman" w:eastAsia="宋体" w:cs="Times New Roman"/>
                <w:color w:val="auto"/>
                <w:highlight w:val="none"/>
              </w:rPr>
              <w:t>项目废气处理设施采用正规设计厂家生产的设备，并严格按正规要求安装。</w:t>
            </w:r>
          </w:p>
          <w:p w14:paraId="7CDE8ED5">
            <w:pPr>
              <w:keepNext w:val="0"/>
              <w:keepLines w:val="0"/>
              <w:suppressLineNumbers w:val="0"/>
              <w:adjustRightInd w:val="0"/>
              <w:snapToGrid w:val="0"/>
              <w:spacing w:before="0" w:beforeAutospacing="0" w:after="0" w:afterAutospacing="0"/>
              <w:ind w:left="0" w:right="0"/>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②</w:t>
            </w:r>
            <w:r>
              <w:rPr>
                <w:rFonts w:ascii="Times New Roman" w:hAnsi="Times New Roman" w:eastAsia="宋体" w:cs="Times New Roman"/>
                <w:color w:val="auto"/>
                <w:highlight w:val="none"/>
              </w:rPr>
              <w:t>项目安排专人定期检查维修保养废气处理设施。</w:t>
            </w:r>
          </w:p>
          <w:p w14:paraId="793C9764">
            <w:pPr>
              <w:keepNext w:val="0"/>
              <w:keepLines w:val="0"/>
              <w:suppressLineNumbers w:val="0"/>
              <w:adjustRightInd w:val="0"/>
              <w:snapToGrid w:val="0"/>
              <w:spacing w:before="0" w:beforeAutospacing="0" w:after="0" w:afterAutospacing="0"/>
              <w:ind w:left="0" w:right="0"/>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③</w:t>
            </w:r>
            <w:r>
              <w:rPr>
                <w:rFonts w:ascii="Times New Roman" w:hAnsi="Times New Roman" w:eastAsia="宋体" w:cs="Times New Roman"/>
                <w:color w:val="auto"/>
                <w:highlight w:val="none"/>
              </w:rPr>
              <w:t>当发现废气处理设施有破损时，应当立即停止生产。</w:t>
            </w:r>
          </w:p>
          <w:p w14:paraId="603E32DD">
            <w:pPr>
              <w:keepNext w:val="0"/>
              <w:keepLines w:val="0"/>
              <w:suppressLineNumbers w:val="0"/>
              <w:adjustRightInd w:val="0"/>
              <w:snapToGrid w:val="0"/>
              <w:spacing w:before="0" w:beforeAutospacing="0" w:after="0" w:afterAutospacing="0"/>
              <w:ind w:left="0" w:right="0"/>
              <w:rPr>
                <w:rFonts w:ascii="Times New Roman" w:hAnsi="Times New Roman" w:eastAsia="宋体" w:cs="Times New Roman"/>
                <w:color w:val="auto"/>
                <w:highlight w:val="none"/>
              </w:rPr>
            </w:pPr>
            <w:r>
              <w:rPr>
                <w:rFonts w:ascii="Times New Roman" w:hAnsi="Times New Roman" w:eastAsia="宋体" w:cs="Times New Roman"/>
                <w:color w:val="auto"/>
                <w:highlight w:val="none"/>
              </w:rPr>
              <w:t>（2）项目危险废物仓防范措施：</w:t>
            </w:r>
          </w:p>
          <w:p w14:paraId="26424DE7">
            <w:pPr>
              <w:keepNext w:val="0"/>
              <w:keepLines w:val="0"/>
              <w:suppressLineNumbers w:val="0"/>
              <w:adjustRightInd w:val="0"/>
              <w:snapToGrid w:val="0"/>
              <w:spacing w:before="0" w:beforeAutospacing="0" w:after="0" w:afterAutospacing="0"/>
              <w:ind w:left="0" w:right="0"/>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①采取室内贮存方式，设置环境保护图形标志和警示标志。房屋上设坡屋顶防雨。为防止暴雨径流进入室内，固体废物处置场周边设置导流渠，室内地坪高出室外地坪。</w:t>
            </w:r>
          </w:p>
          <w:p w14:paraId="021EAEB3">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②固体废物置场室内地面做耐腐蚀硬化处理，且表面无裂隙。</w:t>
            </w:r>
          </w:p>
          <w:p w14:paraId="0FAB054F">
            <w:pPr>
              <w:keepNext w:val="0"/>
              <w:keepLines w:val="0"/>
              <w:suppressLineNumbers w:val="0"/>
              <w:adjustRightInd w:val="0"/>
              <w:snapToGrid w:val="0"/>
              <w:spacing w:before="0" w:beforeAutospacing="0" w:after="0" w:afterAutospacing="0"/>
              <w:ind w:left="0" w:right="0"/>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③</w:t>
            </w:r>
            <w:r>
              <w:rPr>
                <w:rFonts w:ascii="Times New Roman" w:hAnsi="Times New Roman" w:eastAsia="宋体" w:cs="Times New Roman"/>
                <w:color w:val="auto"/>
                <w:highlight w:val="none"/>
              </w:rPr>
              <w:t>固体废物置场内暂存的固体废物定期运至有关部门处置。</w:t>
            </w:r>
          </w:p>
          <w:p w14:paraId="70FA04EA">
            <w:pPr>
              <w:keepNext w:val="0"/>
              <w:keepLines w:val="0"/>
              <w:suppressLineNumbers w:val="0"/>
              <w:adjustRightInd w:val="0"/>
              <w:snapToGrid w:val="0"/>
              <w:spacing w:before="0" w:beforeAutospacing="0" w:after="0" w:afterAutospacing="0"/>
              <w:ind w:left="0" w:right="0"/>
              <w:jc w:val="left"/>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④</w:t>
            </w:r>
            <w:r>
              <w:rPr>
                <w:rFonts w:ascii="Times New Roman" w:hAnsi="Times New Roman" w:eastAsia="宋体" w:cs="Times New Roman"/>
                <w:color w:val="auto"/>
                <w:highlight w:val="none"/>
              </w:rPr>
              <w:t>室内做积水沟收集渗漏液，积水沟设排积水泵坑。</w:t>
            </w:r>
          </w:p>
          <w:p w14:paraId="605D61A1">
            <w:pPr>
              <w:keepNext w:val="0"/>
              <w:keepLines w:val="0"/>
              <w:suppressLineNumbers w:val="0"/>
              <w:adjustRightInd w:val="0"/>
              <w:snapToGrid w:val="0"/>
              <w:spacing w:before="0" w:beforeAutospacing="0" w:after="0" w:afterAutospacing="0"/>
              <w:ind w:left="0" w:right="0"/>
              <w:jc w:val="left"/>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⑤</w:t>
            </w:r>
            <w:r>
              <w:rPr>
                <w:rFonts w:ascii="Times New Roman" w:hAnsi="Times New Roman" w:eastAsia="宋体" w:cs="Times New Roman"/>
                <w:color w:val="auto"/>
                <w:highlight w:val="none"/>
              </w:rPr>
              <w:t>固体废物置场室内地面、裙脚和积水沟做防渗漏处理，所使用的材料要与危险废物相容。</w:t>
            </w:r>
          </w:p>
          <w:p w14:paraId="407E975A">
            <w:pPr>
              <w:keepNext w:val="0"/>
              <w:keepLines w:val="0"/>
              <w:suppressLineNumbers w:val="0"/>
              <w:adjustRightInd w:val="0"/>
              <w:snapToGrid w:val="0"/>
              <w:spacing w:before="0" w:beforeAutospacing="0" w:after="0" w:afterAutospacing="0"/>
              <w:ind w:left="0" w:right="0"/>
              <w:rPr>
                <w:rFonts w:ascii="Times New Roman" w:hAnsi="Times New Roman" w:eastAsia="宋体" w:cs="Times New Roman"/>
                <w:color w:val="auto"/>
                <w:highlight w:val="none"/>
              </w:rPr>
            </w:pPr>
            <w:r>
              <w:rPr>
                <w:rFonts w:ascii="Times New Roman" w:hAnsi="Times New Roman" w:eastAsia="宋体" w:cs="Times New Roman"/>
                <w:color w:val="auto"/>
                <w:highlight w:val="none"/>
              </w:rPr>
              <w:t>（3）项目火灾防范措施：</w:t>
            </w:r>
          </w:p>
          <w:p w14:paraId="20661BFC">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①在车间内设置“严禁烟火”的警示牌，尤其是在易燃品堆放的位置；</w:t>
            </w:r>
          </w:p>
          <w:p w14:paraId="6B1ED3DF">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②灭火器应布置在明显便于取用的地方，并定期维护检查，确保能正常使用；</w:t>
            </w:r>
          </w:p>
          <w:p w14:paraId="6D5C2811">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③制定和落实防火安全责任制及消防安全规章制度，除加强对员工的消防知识进行培训，对消防安全责任人及员工也定期进行消防知识培训，消防安全管理人员持证上岗；</w:t>
            </w:r>
          </w:p>
          <w:p w14:paraId="154047E9">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④自动消防系统应定期维护保养，保证消防设施正常运作；</w:t>
            </w:r>
          </w:p>
          <w:p w14:paraId="664664D7">
            <w:pPr>
              <w:keepNext w:val="0"/>
              <w:keepLines w:val="0"/>
              <w:suppressLineNumbers w:val="0"/>
              <w:adjustRightInd w:val="0"/>
              <w:snapToGrid w:val="0"/>
              <w:spacing w:before="0" w:beforeAutospacing="0" w:after="0" w:afterAutospacing="0"/>
              <w:ind w:left="0" w:right="0"/>
              <w:rPr>
                <w:rFonts w:hint="eastAsia" w:ascii="Times New Roman" w:hAnsi="Times New Roman" w:eastAsia="宋体" w:cs="Times New Roman"/>
                <w:color w:val="auto"/>
                <w:highlight w:val="none"/>
              </w:rPr>
            </w:pPr>
            <w:r>
              <w:rPr>
                <w:rFonts w:hint="eastAsia" w:ascii="Times New Roman" w:hAnsi="Times New Roman" w:eastAsia="宋体" w:cs="Times New Roman"/>
                <w:color w:val="auto"/>
                <w:highlight w:val="none"/>
              </w:rPr>
              <w:t>⑤对电路定期予以检查，用电负荷与电路的设计要匹配；</w:t>
            </w:r>
          </w:p>
          <w:p w14:paraId="15B38632">
            <w:pPr>
              <w:keepNext w:val="0"/>
              <w:keepLines w:val="0"/>
              <w:suppressLineNumbers w:val="0"/>
              <w:adjustRightInd w:val="0"/>
              <w:snapToGrid w:val="0"/>
              <w:spacing w:before="0" w:beforeAutospacing="0" w:after="0" w:afterAutospacing="0"/>
              <w:ind w:left="0" w:right="0"/>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⑥制定灭火和应急疏散预案，同时设置安全疏散通道。</w:t>
            </w:r>
          </w:p>
        </w:tc>
      </w:tr>
      <w:tr w14:paraId="1DB1E0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71" w:type="dxa"/>
            <w:noWrap w:val="0"/>
            <w:vAlign w:val="center"/>
          </w:tcPr>
          <w:p w14:paraId="5FF33F72">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其他环境</w:t>
            </w:r>
          </w:p>
          <w:p w14:paraId="64491866">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ascii="Times New Roman" w:hAnsi="Times New Roman" w:eastAsia="宋体" w:cs="Times New Roman"/>
                <w:color w:val="auto"/>
                <w:szCs w:val="21"/>
                <w:highlight w:val="none"/>
              </w:rPr>
              <w:t>管理要求</w:t>
            </w:r>
          </w:p>
        </w:tc>
        <w:tc>
          <w:tcPr>
            <w:tcW w:w="7632" w:type="dxa"/>
            <w:gridSpan w:val="4"/>
            <w:noWrap w:val="0"/>
            <w:vAlign w:val="center"/>
          </w:tcPr>
          <w:p w14:paraId="47A2B32F">
            <w:pPr>
              <w:keepNext w:val="0"/>
              <w:keepLines w:val="0"/>
              <w:suppressLineNumbers w:val="0"/>
              <w:adjustRightInd w:val="0"/>
              <w:snapToGrid w:val="0"/>
              <w:spacing w:before="0" w:beforeAutospacing="0" w:after="0" w:afterAutospacing="0"/>
              <w:ind w:left="0" w:right="0"/>
              <w:jc w:val="center"/>
              <w:rPr>
                <w:rFonts w:ascii="Times New Roman" w:hAnsi="Times New Roman" w:eastAsia="宋体" w:cs="Times New Roman"/>
                <w:color w:val="auto"/>
                <w:szCs w:val="21"/>
                <w:highlight w:val="none"/>
              </w:rPr>
            </w:pPr>
            <w:r>
              <w:rPr>
                <w:rFonts w:hint="eastAsia" w:ascii="Times New Roman" w:hAnsi="Times New Roman" w:eastAsia="宋体" w:cs="Times New Roman"/>
                <w:color w:val="auto"/>
                <w:highlight w:val="none"/>
                <w:lang w:val="en-US" w:eastAsia="zh-CN"/>
              </w:rPr>
              <w:t>无</w:t>
            </w:r>
          </w:p>
        </w:tc>
      </w:tr>
    </w:tbl>
    <w:p w14:paraId="4D065F48">
      <w:pPr>
        <w:pStyle w:val="37"/>
        <w:jc w:val="center"/>
        <w:outlineLvl w:val="0"/>
        <w:rPr>
          <w:rFonts w:ascii="Times New Roman" w:hAnsi="Times New Roman" w:eastAsia="宋体"/>
          <w:snapToGrid w:val="0"/>
          <w:color w:val="auto"/>
          <w:sz w:val="30"/>
          <w:szCs w:val="30"/>
          <w:highlight w:val="none"/>
        </w:rPr>
      </w:pPr>
      <w:r>
        <w:rPr>
          <w:rFonts w:ascii="Times New Roman" w:hAnsi="Times New Roman" w:eastAsia="宋体"/>
          <w:snapToGrid w:val="0"/>
          <w:color w:val="auto"/>
          <w:highlight w:val="none"/>
        </w:rPr>
        <w:br w:type="page"/>
      </w:r>
      <w:r>
        <w:rPr>
          <w:rFonts w:ascii="Times New Roman" w:hAnsi="Times New Roman" w:eastAsia="宋体"/>
          <w:snapToGrid w:val="0"/>
          <w:color w:val="auto"/>
          <w:sz w:val="30"/>
          <w:szCs w:val="30"/>
          <w:highlight w:val="none"/>
        </w:rPr>
        <w:t>六、结论</w:t>
      </w:r>
    </w:p>
    <w:tbl>
      <w:tblPr>
        <w:tblStyle w:val="41"/>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572FFC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noWrap w:val="0"/>
            <w:vAlign w:val="top"/>
          </w:tcPr>
          <w:p w14:paraId="558FCB5B">
            <w:pPr>
              <w:keepNext w:val="0"/>
              <w:keepLines w:val="0"/>
              <w:suppressLineNumbers w:val="0"/>
              <w:spacing w:before="0" w:beforeAutospacing="0" w:after="0" w:afterAutospacing="0" w:line="360" w:lineRule="auto"/>
              <w:ind w:left="0" w:right="0" w:firstLine="480" w:firstLineChars="200"/>
              <w:jc w:val="both"/>
              <w:rPr>
                <w:rFonts w:ascii="Times New Roman" w:hAnsi="Times New Roman" w:eastAsia="宋体" w:cs="Times New Roman"/>
                <w:bCs/>
                <w:color w:val="auto"/>
                <w:sz w:val="24"/>
                <w:highlight w:val="none"/>
              </w:rPr>
            </w:pPr>
            <w:r>
              <w:rPr>
                <w:rFonts w:hint="eastAsia" w:ascii="Times New Roman" w:hAnsi="Times New Roman" w:eastAsia="宋体" w:cs="Times New Roman"/>
                <w:color w:val="auto"/>
                <w:kern w:val="0"/>
                <w:sz w:val="24"/>
                <w:highlight w:val="none"/>
              </w:rPr>
              <w:t>项目</w:t>
            </w:r>
            <w:r>
              <w:rPr>
                <w:rFonts w:ascii="Times New Roman" w:hAnsi="Times New Roman" w:eastAsia="宋体" w:cs="Times New Roman"/>
                <w:color w:val="auto"/>
                <w:sz w:val="24"/>
                <w:highlight w:val="none"/>
              </w:rPr>
              <w:t>建设符</w:t>
            </w:r>
            <w:r>
              <w:rPr>
                <w:rFonts w:hint="eastAsia" w:ascii="宋体" w:hAnsi="宋体" w:eastAsia="宋体" w:cs="宋体"/>
                <w:color w:val="auto"/>
                <w:sz w:val="24"/>
                <w:highlight w:val="none"/>
              </w:rPr>
              <w:t>合“三线一单”</w:t>
            </w:r>
            <w:r>
              <w:rPr>
                <w:rFonts w:ascii="Times New Roman" w:hAnsi="Times New Roman" w:eastAsia="宋体" w:cs="Times New Roman"/>
                <w:color w:val="auto"/>
                <w:sz w:val="24"/>
                <w:highlight w:val="none"/>
              </w:rPr>
              <w:t>管理及相关环保规划要求，项</w:t>
            </w:r>
            <w:r>
              <w:rPr>
                <w:rFonts w:ascii="Times New Roman" w:hAnsi="Times New Roman" w:eastAsia="宋体" w:cs="Times New Roman"/>
                <w:bCs/>
                <w:color w:val="auto"/>
                <w:sz w:val="24"/>
                <w:highlight w:val="none"/>
              </w:rPr>
              <w:t>目按建设项</w:t>
            </w:r>
            <w:r>
              <w:rPr>
                <w:rFonts w:hint="eastAsia" w:ascii="宋体" w:hAnsi="宋体" w:eastAsia="宋体" w:cs="宋体"/>
                <w:bCs/>
                <w:color w:val="auto"/>
                <w:sz w:val="24"/>
                <w:highlight w:val="none"/>
              </w:rPr>
              <w:t>目“三同时”</w:t>
            </w:r>
            <w:r>
              <w:rPr>
                <w:rFonts w:ascii="Times New Roman" w:hAnsi="Times New Roman" w:eastAsia="宋体" w:cs="Times New Roman"/>
                <w:bCs/>
                <w:color w:val="auto"/>
                <w:sz w:val="24"/>
                <w:highlight w:val="none"/>
              </w:rPr>
              <w:t>制度要求，逐一落实本报告提出的污染治理项目，并在施工过程中加强环保设施管理，保证各项污染物达标排放，则项目对周围环境影响不明显。</w:t>
            </w:r>
          </w:p>
          <w:p w14:paraId="0CE2EF4C">
            <w:pPr>
              <w:pStyle w:val="16"/>
              <w:keepNext w:val="0"/>
              <w:keepLines w:val="0"/>
              <w:suppressLineNumbers w:val="0"/>
              <w:spacing w:before="0" w:beforeAutospacing="0" w:after="0" w:afterAutospacing="0"/>
              <w:ind w:left="0" w:right="0" w:firstLine="480" w:firstLineChars="200"/>
              <w:jc w:val="both"/>
              <w:rPr>
                <w:rFonts w:ascii="Times New Roman" w:hAnsi="Times New Roman" w:eastAsia="宋体" w:cs="Times New Roman"/>
                <w:color w:val="auto"/>
                <w:highlight w:val="none"/>
              </w:rPr>
            </w:pPr>
            <w:r>
              <w:rPr>
                <w:rFonts w:ascii="Times New Roman" w:hAnsi="Times New Roman" w:eastAsia="宋体" w:cs="Times New Roman"/>
                <w:color w:val="auto"/>
                <w:highlight w:val="none"/>
              </w:rPr>
              <w:t>因此，</w:t>
            </w:r>
            <w:r>
              <w:rPr>
                <w:rFonts w:ascii="Times New Roman" w:hAnsi="Times New Roman" w:eastAsia="宋体" w:cs="Times New Roman"/>
                <w:bCs/>
                <w:color w:val="auto"/>
                <w:highlight w:val="none"/>
              </w:rPr>
              <w:t>从</w:t>
            </w:r>
            <w:r>
              <w:rPr>
                <w:rFonts w:ascii="Times New Roman" w:hAnsi="Times New Roman" w:eastAsia="宋体" w:cs="Times New Roman"/>
                <w:b/>
                <w:bCs w:val="0"/>
                <w:color w:val="auto"/>
                <w:highlight w:val="none"/>
              </w:rPr>
              <w:t>环境保护角度</w:t>
            </w:r>
            <w:r>
              <w:rPr>
                <w:rFonts w:hint="eastAsia" w:ascii="Times New Roman" w:hAnsi="Times New Roman" w:eastAsia="宋体" w:cs="Times New Roman"/>
                <w:b/>
                <w:bCs w:val="0"/>
                <w:color w:val="auto"/>
                <w:highlight w:val="none"/>
              </w:rPr>
              <w:t>，建设</w:t>
            </w:r>
            <w:r>
              <w:rPr>
                <w:rFonts w:ascii="Times New Roman" w:hAnsi="Times New Roman" w:eastAsia="宋体" w:cs="Times New Roman"/>
                <w:b/>
                <w:bCs w:val="0"/>
                <w:color w:val="auto"/>
                <w:highlight w:val="none"/>
              </w:rPr>
              <w:t>项目</w:t>
            </w:r>
            <w:r>
              <w:rPr>
                <w:rFonts w:hint="eastAsia" w:ascii="Times New Roman" w:hAnsi="Times New Roman" w:eastAsia="宋体" w:cs="Times New Roman"/>
                <w:b/>
                <w:bCs w:val="0"/>
                <w:color w:val="auto"/>
                <w:highlight w:val="none"/>
              </w:rPr>
              <w:t>环境影响</w:t>
            </w:r>
            <w:r>
              <w:rPr>
                <w:rFonts w:ascii="Times New Roman" w:hAnsi="Times New Roman" w:eastAsia="宋体" w:cs="Times New Roman"/>
                <w:b/>
                <w:bCs w:val="0"/>
                <w:color w:val="auto"/>
                <w:highlight w:val="none"/>
              </w:rPr>
              <w:t>可行</w:t>
            </w:r>
            <w:r>
              <w:rPr>
                <w:rFonts w:ascii="Times New Roman" w:hAnsi="Times New Roman" w:eastAsia="宋体" w:cs="Times New Roman"/>
                <w:color w:val="auto"/>
                <w:highlight w:val="none"/>
              </w:rPr>
              <w:t>。</w:t>
            </w:r>
          </w:p>
        </w:tc>
      </w:tr>
    </w:tbl>
    <w:p w14:paraId="46A5791C">
      <w:pPr>
        <w:rPr>
          <w:rFonts w:ascii="Times New Roman" w:hAnsi="Times New Roman" w:eastAsia="宋体"/>
          <w:color w:val="auto"/>
          <w:highlight w:val="none"/>
        </w:rPr>
        <w:sectPr>
          <w:pgSz w:w="11906" w:h="16838"/>
          <w:pgMar w:top="1417" w:right="1417" w:bottom="1417" w:left="1417" w:header="851" w:footer="851" w:gutter="0"/>
          <w:pgBorders>
            <w:top w:val="none" w:sz="0" w:space="0"/>
            <w:left w:val="none" w:sz="0" w:space="0"/>
            <w:bottom w:val="none" w:sz="0" w:space="0"/>
            <w:right w:val="none" w:sz="0" w:space="0"/>
          </w:pgBorders>
          <w:cols w:space="720" w:num="1"/>
          <w:docGrid w:linePitch="312" w:charSpace="0"/>
        </w:sectPr>
      </w:pPr>
    </w:p>
    <w:p w14:paraId="366BF42A">
      <w:pPr>
        <w:pStyle w:val="37"/>
        <w:adjustRightInd w:val="0"/>
        <w:snapToGrid w:val="0"/>
        <w:spacing w:before="0" w:beforeAutospacing="0" w:after="0" w:afterAutospacing="0"/>
        <w:outlineLvl w:val="0"/>
        <w:rPr>
          <w:rFonts w:ascii="Times New Roman" w:hAnsi="Times New Roman" w:eastAsia="宋体"/>
          <w:snapToGrid w:val="0"/>
          <w:color w:val="auto"/>
          <w:sz w:val="32"/>
          <w:szCs w:val="32"/>
          <w:highlight w:val="none"/>
        </w:rPr>
      </w:pPr>
      <w:r>
        <w:rPr>
          <w:rFonts w:ascii="Times New Roman" w:hAnsi="Times New Roman" w:eastAsia="宋体"/>
          <w:snapToGrid w:val="0"/>
          <w:color w:val="auto"/>
          <w:sz w:val="32"/>
          <w:szCs w:val="32"/>
          <w:highlight w:val="none"/>
        </w:rPr>
        <w:t>附表</w:t>
      </w:r>
    </w:p>
    <w:p w14:paraId="5C690F25">
      <w:pPr>
        <w:pStyle w:val="37"/>
        <w:adjustRightInd w:val="0"/>
        <w:snapToGrid w:val="0"/>
        <w:spacing w:before="0" w:beforeAutospacing="0" w:after="0" w:afterAutospacing="0"/>
        <w:jc w:val="center"/>
        <w:outlineLvl w:val="0"/>
        <w:rPr>
          <w:rFonts w:ascii="Times New Roman" w:hAnsi="Times New Roman" w:eastAsia="宋体"/>
          <w:snapToGrid w:val="0"/>
          <w:color w:val="auto"/>
          <w:sz w:val="38"/>
          <w:szCs w:val="38"/>
          <w:highlight w:val="none"/>
        </w:rPr>
      </w:pPr>
      <w:r>
        <w:rPr>
          <w:rFonts w:ascii="Times New Roman" w:hAnsi="Times New Roman" w:eastAsia="宋体"/>
          <w:snapToGrid w:val="0"/>
          <w:color w:val="auto"/>
          <w:sz w:val="38"/>
          <w:szCs w:val="38"/>
          <w:highlight w:val="none"/>
        </w:rPr>
        <w:t>建设项目污染物排放量汇总表</w:t>
      </w:r>
    </w:p>
    <w:tbl>
      <w:tblPr>
        <w:tblStyle w:val="41"/>
        <w:tblW w:w="0" w:type="auto"/>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79"/>
        <w:gridCol w:w="2115"/>
        <w:gridCol w:w="1612"/>
        <w:gridCol w:w="1276"/>
        <w:gridCol w:w="1701"/>
        <w:gridCol w:w="1559"/>
        <w:gridCol w:w="1761"/>
        <w:gridCol w:w="1628"/>
        <w:gridCol w:w="1157"/>
      </w:tblGrid>
      <w:tr w14:paraId="14D4BC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63" w:hRule="atLeast"/>
        </w:trPr>
        <w:tc>
          <w:tcPr>
            <w:tcW w:w="979" w:type="dxa"/>
            <w:tcBorders>
              <w:tl2br w:val="single" w:color="auto" w:sz="4" w:space="0"/>
            </w:tcBorders>
            <w:noWrap w:val="0"/>
            <w:tcMar>
              <w:left w:w="28" w:type="dxa"/>
              <w:right w:w="28" w:type="dxa"/>
            </w:tcMar>
            <w:vAlign w:val="center"/>
          </w:tcPr>
          <w:p w14:paraId="5DB21FD1">
            <w:pPr>
              <w:pStyle w:val="85"/>
              <w:keepNext w:val="0"/>
              <w:keepLines w:val="0"/>
              <w:suppressLineNumbers w:val="0"/>
              <w:spacing w:before="0" w:beforeLines="0" w:beforeAutospacing="0" w:after="0" w:afterLines="0" w:afterAutospacing="0" w:line="240" w:lineRule="auto"/>
              <w:ind w:left="0" w:right="0"/>
              <w:jc w:val="right"/>
              <w:rPr>
                <w:rFonts w:ascii="Times New Roman" w:hAnsi="Times New Roman" w:eastAsia="宋体" w:cs="Times New Roman"/>
                <w:snapToGrid w:val="0"/>
                <w:color w:val="auto"/>
                <w:spacing w:val="-6"/>
                <w:kern w:val="21"/>
                <w:szCs w:val="21"/>
                <w:highlight w:val="none"/>
              </w:rPr>
            </w:pPr>
            <w:r>
              <w:rPr>
                <w:rFonts w:ascii="Times New Roman" w:hAnsi="Times New Roman" w:eastAsia="宋体" w:cs="Times New Roman"/>
                <w:snapToGrid w:val="0"/>
                <w:color w:val="auto"/>
                <w:spacing w:val="-6"/>
                <w:kern w:val="21"/>
                <w:szCs w:val="21"/>
                <w:highlight w:val="none"/>
              </w:rPr>
              <w:t>项目</w:t>
            </w:r>
          </w:p>
          <w:p w14:paraId="043160A6">
            <w:pPr>
              <w:pStyle w:val="85"/>
              <w:keepNext w:val="0"/>
              <w:keepLines w:val="0"/>
              <w:suppressLineNumbers w:val="0"/>
              <w:spacing w:before="0" w:beforeLines="0" w:beforeAutospacing="0" w:after="0" w:afterLines="0" w:afterAutospacing="0" w:line="240" w:lineRule="auto"/>
              <w:ind w:left="0" w:right="0"/>
              <w:jc w:val="left"/>
              <w:rPr>
                <w:rFonts w:ascii="Times New Roman" w:hAnsi="Times New Roman" w:eastAsia="宋体" w:cs="Times New Roman"/>
                <w:snapToGrid w:val="0"/>
                <w:color w:val="auto"/>
                <w:spacing w:val="-6"/>
                <w:kern w:val="21"/>
                <w:szCs w:val="21"/>
                <w:highlight w:val="none"/>
              </w:rPr>
            </w:pPr>
            <w:r>
              <w:rPr>
                <w:rFonts w:ascii="Times New Roman" w:hAnsi="Times New Roman" w:eastAsia="宋体" w:cs="Times New Roman"/>
                <w:snapToGrid w:val="0"/>
                <w:color w:val="auto"/>
                <w:spacing w:val="-6"/>
                <w:kern w:val="21"/>
                <w:szCs w:val="21"/>
                <w:highlight w:val="none"/>
              </w:rPr>
              <w:t>分类</w:t>
            </w:r>
          </w:p>
        </w:tc>
        <w:tc>
          <w:tcPr>
            <w:tcW w:w="2115" w:type="dxa"/>
            <w:noWrap w:val="0"/>
            <w:tcMar>
              <w:left w:w="28" w:type="dxa"/>
              <w:right w:w="28" w:type="dxa"/>
            </w:tcMar>
            <w:vAlign w:val="center"/>
          </w:tcPr>
          <w:p w14:paraId="7E0D6EA8">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spacing w:val="-6"/>
                <w:kern w:val="21"/>
                <w:szCs w:val="21"/>
                <w:highlight w:val="none"/>
              </w:rPr>
            </w:pPr>
            <w:r>
              <w:rPr>
                <w:rFonts w:ascii="Times New Roman" w:hAnsi="Times New Roman" w:eastAsia="宋体" w:cs="Times New Roman"/>
                <w:snapToGrid w:val="0"/>
                <w:color w:val="auto"/>
                <w:spacing w:val="-6"/>
                <w:kern w:val="21"/>
                <w:szCs w:val="21"/>
                <w:highlight w:val="none"/>
              </w:rPr>
              <w:t>污染物名称</w:t>
            </w:r>
          </w:p>
        </w:tc>
        <w:tc>
          <w:tcPr>
            <w:tcW w:w="1612" w:type="dxa"/>
            <w:noWrap w:val="0"/>
            <w:tcMar>
              <w:left w:w="28" w:type="dxa"/>
              <w:right w:w="28" w:type="dxa"/>
            </w:tcMar>
            <w:vAlign w:val="center"/>
          </w:tcPr>
          <w:p w14:paraId="103FF5E9">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spacing w:val="-6"/>
                <w:kern w:val="21"/>
                <w:szCs w:val="21"/>
                <w:highlight w:val="none"/>
              </w:rPr>
            </w:pPr>
            <w:r>
              <w:rPr>
                <w:rFonts w:ascii="Times New Roman" w:hAnsi="Times New Roman" w:eastAsia="宋体" w:cs="Times New Roman"/>
                <w:snapToGrid w:val="0"/>
                <w:color w:val="auto"/>
                <w:spacing w:val="-6"/>
                <w:kern w:val="21"/>
                <w:szCs w:val="21"/>
                <w:highlight w:val="none"/>
              </w:rPr>
              <w:t>现有工程</w:t>
            </w:r>
          </w:p>
          <w:p w14:paraId="7E97E0AF">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spacing w:val="-6"/>
                <w:kern w:val="21"/>
                <w:szCs w:val="21"/>
                <w:highlight w:val="none"/>
              </w:rPr>
            </w:pPr>
            <w:r>
              <w:rPr>
                <w:rFonts w:ascii="Times New Roman" w:hAnsi="Times New Roman" w:eastAsia="宋体" w:cs="Times New Roman"/>
                <w:snapToGrid w:val="0"/>
                <w:color w:val="auto"/>
                <w:spacing w:val="-6"/>
                <w:kern w:val="21"/>
                <w:szCs w:val="21"/>
                <w:highlight w:val="none"/>
              </w:rPr>
              <w:t>排放量</w:t>
            </w:r>
            <w:r>
              <w:rPr>
                <w:rFonts w:ascii="Times New Roman" w:hAnsi="Times New Roman" w:eastAsia="宋体" w:cs="Times New Roman"/>
                <w:snapToGrid w:val="0"/>
                <w:color w:val="auto"/>
                <w:kern w:val="21"/>
                <w:szCs w:val="21"/>
                <w:highlight w:val="none"/>
              </w:rPr>
              <w:t>t/a</w:t>
            </w:r>
            <w:r>
              <w:rPr>
                <w:rFonts w:ascii="Times New Roman" w:hAnsi="Times New Roman" w:eastAsia="宋体" w:cs="Times New Roman"/>
                <w:snapToGrid w:val="0"/>
                <w:color w:val="auto"/>
                <w:spacing w:val="-6"/>
                <w:kern w:val="21"/>
                <w:szCs w:val="21"/>
                <w:highlight w:val="none"/>
              </w:rPr>
              <w:t>（固体废物产生量）</w:t>
            </w:r>
            <w:r>
              <w:rPr>
                <w:rFonts w:hint="eastAsia" w:ascii="Times New Roman" w:hAnsi="Times New Roman" w:eastAsia="宋体" w:cs="宋体"/>
                <w:color w:val="auto"/>
                <w:kern w:val="2"/>
                <w:szCs w:val="21"/>
                <w:highlight w:val="none"/>
              </w:rPr>
              <w:t>①</w:t>
            </w:r>
          </w:p>
        </w:tc>
        <w:tc>
          <w:tcPr>
            <w:tcW w:w="1276" w:type="dxa"/>
            <w:noWrap w:val="0"/>
            <w:tcMar>
              <w:left w:w="28" w:type="dxa"/>
              <w:right w:w="28" w:type="dxa"/>
            </w:tcMar>
            <w:vAlign w:val="center"/>
          </w:tcPr>
          <w:p w14:paraId="223D8405">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spacing w:val="-6"/>
                <w:kern w:val="21"/>
                <w:szCs w:val="21"/>
                <w:highlight w:val="none"/>
              </w:rPr>
            </w:pPr>
            <w:r>
              <w:rPr>
                <w:rFonts w:ascii="Times New Roman" w:hAnsi="Times New Roman" w:eastAsia="宋体" w:cs="Times New Roman"/>
                <w:snapToGrid w:val="0"/>
                <w:color w:val="auto"/>
                <w:spacing w:val="-6"/>
                <w:kern w:val="21"/>
                <w:szCs w:val="21"/>
                <w:highlight w:val="none"/>
              </w:rPr>
              <w:t>现有工程</w:t>
            </w:r>
          </w:p>
          <w:p w14:paraId="374F6B1F">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spacing w:val="-6"/>
                <w:kern w:val="21"/>
                <w:szCs w:val="21"/>
                <w:highlight w:val="none"/>
              </w:rPr>
            </w:pPr>
            <w:r>
              <w:rPr>
                <w:rFonts w:ascii="Times New Roman" w:hAnsi="Times New Roman" w:eastAsia="宋体" w:cs="Times New Roman"/>
                <w:snapToGrid w:val="0"/>
                <w:color w:val="auto"/>
                <w:spacing w:val="-6"/>
                <w:kern w:val="21"/>
                <w:szCs w:val="21"/>
                <w:highlight w:val="none"/>
              </w:rPr>
              <w:t>许可排放量</w:t>
            </w:r>
            <w:r>
              <w:rPr>
                <w:rFonts w:ascii="Times New Roman" w:hAnsi="Times New Roman" w:eastAsia="宋体" w:cs="Times New Roman"/>
                <w:snapToGrid w:val="0"/>
                <w:color w:val="auto"/>
                <w:kern w:val="21"/>
                <w:szCs w:val="21"/>
                <w:highlight w:val="none"/>
              </w:rPr>
              <w:t>t/a</w:t>
            </w:r>
          </w:p>
          <w:p w14:paraId="5BEA4415">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spacing w:val="-6"/>
                <w:kern w:val="21"/>
                <w:szCs w:val="21"/>
                <w:highlight w:val="none"/>
              </w:rPr>
            </w:pPr>
            <w:r>
              <w:rPr>
                <w:rFonts w:hint="eastAsia" w:ascii="Times New Roman" w:hAnsi="Times New Roman" w:eastAsia="宋体" w:cs="宋体"/>
                <w:snapToGrid w:val="0"/>
                <w:color w:val="auto"/>
                <w:spacing w:val="-6"/>
                <w:kern w:val="21"/>
                <w:szCs w:val="21"/>
                <w:highlight w:val="none"/>
              </w:rPr>
              <w:t>②</w:t>
            </w:r>
          </w:p>
        </w:tc>
        <w:tc>
          <w:tcPr>
            <w:tcW w:w="1701" w:type="dxa"/>
            <w:noWrap w:val="0"/>
            <w:tcMar>
              <w:left w:w="28" w:type="dxa"/>
              <w:right w:w="28" w:type="dxa"/>
            </w:tcMar>
            <w:vAlign w:val="center"/>
          </w:tcPr>
          <w:p w14:paraId="3671943A">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spacing w:val="-6"/>
                <w:kern w:val="21"/>
                <w:szCs w:val="21"/>
                <w:highlight w:val="none"/>
              </w:rPr>
            </w:pPr>
            <w:r>
              <w:rPr>
                <w:rFonts w:ascii="Times New Roman" w:hAnsi="Times New Roman" w:eastAsia="宋体" w:cs="Times New Roman"/>
                <w:snapToGrid w:val="0"/>
                <w:color w:val="auto"/>
                <w:spacing w:val="-6"/>
                <w:kern w:val="21"/>
                <w:szCs w:val="21"/>
                <w:highlight w:val="none"/>
              </w:rPr>
              <w:t>在建工程</w:t>
            </w:r>
          </w:p>
          <w:p w14:paraId="12AF8E83">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spacing w:val="-6"/>
                <w:kern w:val="21"/>
                <w:szCs w:val="21"/>
                <w:highlight w:val="none"/>
              </w:rPr>
            </w:pPr>
            <w:r>
              <w:rPr>
                <w:rFonts w:ascii="Times New Roman" w:hAnsi="Times New Roman" w:eastAsia="宋体" w:cs="Times New Roman"/>
                <w:snapToGrid w:val="0"/>
                <w:color w:val="auto"/>
                <w:spacing w:val="-6"/>
                <w:kern w:val="21"/>
                <w:szCs w:val="21"/>
                <w:highlight w:val="none"/>
              </w:rPr>
              <w:t>排放量</w:t>
            </w:r>
            <w:r>
              <w:rPr>
                <w:rFonts w:ascii="Times New Roman" w:hAnsi="Times New Roman" w:eastAsia="宋体" w:cs="Times New Roman"/>
                <w:snapToGrid w:val="0"/>
                <w:color w:val="auto"/>
                <w:kern w:val="21"/>
                <w:szCs w:val="21"/>
                <w:highlight w:val="none"/>
              </w:rPr>
              <w:t>t/a</w:t>
            </w:r>
            <w:r>
              <w:rPr>
                <w:rFonts w:ascii="Times New Roman" w:hAnsi="Times New Roman" w:eastAsia="宋体" w:cs="Times New Roman"/>
                <w:snapToGrid w:val="0"/>
                <w:color w:val="auto"/>
                <w:spacing w:val="-6"/>
                <w:kern w:val="21"/>
                <w:szCs w:val="21"/>
                <w:highlight w:val="none"/>
              </w:rPr>
              <w:t>（固体废物产生量）</w:t>
            </w:r>
            <w:r>
              <w:rPr>
                <w:rFonts w:hint="eastAsia" w:ascii="Times New Roman" w:hAnsi="Times New Roman" w:eastAsia="宋体" w:cs="宋体"/>
                <w:color w:val="auto"/>
                <w:kern w:val="2"/>
                <w:szCs w:val="21"/>
                <w:highlight w:val="none"/>
              </w:rPr>
              <w:t>③</w:t>
            </w:r>
          </w:p>
        </w:tc>
        <w:tc>
          <w:tcPr>
            <w:tcW w:w="1559" w:type="dxa"/>
            <w:noWrap w:val="0"/>
            <w:tcMar>
              <w:left w:w="28" w:type="dxa"/>
              <w:right w:w="28" w:type="dxa"/>
            </w:tcMar>
            <w:vAlign w:val="center"/>
          </w:tcPr>
          <w:p w14:paraId="2209E212">
            <w:pPr>
              <w:pStyle w:val="85"/>
              <w:keepNext w:val="0"/>
              <w:keepLines w:val="0"/>
              <w:suppressLineNumbers w:val="0"/>
              <w:spacing w:before="0" w:beforeLines="0" w:beforeAutospacing="0" w:after="0" w:afterLines="0" w:afterAutospacing="0" w:line="240" w:lineRule="auto"/>
              <w:ind w:left="0" w:right="0"/>
              <w:rPr>
                <w:rFonts w:hint="eastAsia" w:ascii="Times New Roman" w:hAnsi="Times New Roman" w:eastAsia="宋体" w:cs="Times New Roman"/>
                <w:snapToGrid w:val="0"/>
                <w:color w:val="auto"/>
                <w:spacing w:val="-6"/>
                <w:kern w:val="21"/>
                <w:szCs w:val="21"/>
                <w:highlight w:val="none"/>
              </w:rPr>
            </w:pPr>
            <w:r>
              <w:rPr>
                <w:rFonts w:hint="eastAsia" w:ascii="Times New Roman" w:hAnsi="Times New Roman" w:eastAsia="宋体" w:cs="Times New Roman"/>
                <w:snapToGrid w:val="0"/>
                <w:color w:val="auto"/>
                <w:spacing w:val="-6"/>
                <w:kern w:val="21"/>
                <w:szCs w:val="21"/>
                <w:highlight w:val="none"/>
              </w:rPr>
              <w:t>项目</w:t>
            </w:r>
          </w:p>
          <w:p w14:paraId="6375F120">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spacing w:val="-6"/>
                <w:kern w:val="21"/>
                <w:szCs w:val="21"/>
                <w:highlight w:val="none"/>
              </w:rPr>
            </w:pPr>
            <w:r>
              <w:rPr>
                <w:rFonts w:ascii="Times New Roman" w:hAnsi="Times New Roman" w:eastAsia="宋体" w:cs="Times New Roman"/>
                <w:snapToGrid w:val="0"/>
                <w:color w:val="auto"/>
                <w:spacing w:val="-6"/>
                <w:kern w:val="21"/>
                <w:szCs w:val="21"/>
                <w:highlight w:val="none"/>
              </w:rPr>
              <w:t>排放量</w:t>
            </w:r>
            <w:r>
              <w:rPr>
                <w:rFonts w:ascii="Times New Roman" w:hAnsi="Times New Roman" w:eastAsia="宋体" w:cs="Times New Roman"/>
                <w:snapToGrid w:val="0"/>
                <w:color w:val="auto"/>
                <w:kern w:val="21"/>
                <w:szCs w:val="21"/>
                <w:highlight w:val="none"/>
              </w:rPr>
              <w:t>t/a</w:t>
            </w:r>
            <w:r>
              <w:rPr>
                <w:rFonts w:ascii="Times New Roman" w:hAnsi="Times New Roman" w:eastAsia="宋体" w:cs="Times New Roman"/>
                <w:snapToGrid w:val="0"/>
                <w:color w:val="auto"/>
                <w:spacing w:val="-6"/>
                <w:kern w:val="21"/>
                <w:szCs w:val="21"/>
                <w:highlight w:val="none"/>
              </w:rPr>
              <w:t>（固体废物产生量）</w:t>
            </w:r>
            <w:r>
              <w:rPr>
                <w:rFonts w:hint="eastAsia" w:ascii="Times New Roman" w:hAnsi="Times New Roman" w:eastAsia="宋体" w:cs="宋体"/>
                <w:color w:val="auto"/>
                <w:kern w:val="2"/>
                <w:szCs w:val="21"/>
                <w:highlight w:val="none"/>
              </w:rPr>
              <w:t>④</w:t>
            </w:r>
          </w:p>
        </w:tc>
        <w:tc>
          <w:tcPr>
            <w:tcW w:w="1761" w:type="dxa"/>
            <w:noWrap w:val="0"/>
            <w:tcMar>
              <w:left w:w="28" w:type="dxa"/>
              <w:right w:w="28" w:type="dxa"/>
            </w:tcMar>
            <w:vAlign w:val="center"/>
          </w:tcPr>
          <w:p w14:paraId="08EC0476">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spacing w:val="-16"/>
                <w:kern w:val="21"/>
                <w:szCs w:val="21"/>
                <w:highlight w:val="none"/>
              </w:rPr>
            </w:pPr>
            <w:r>
              <w:rPr>
                <w:rFonts w:ascii="Times New Roman" w:hAnsi="Times New Roman" w:eastAsia="宋体" w:cs="Times New Roman"/>
                <w:snapToGrid w:val="0"/>
                <w:color w:val="auto"/>
                <w:spacing w:val="-16"/>
                <w:kern w:val="21"/>
                <w:szCs w:val="21"/>
                <w:highlight w:val="none"/>
              </w:rPr>
              <w:t>以新带老削减量</w:t>
            </w:r>
            <w:r>
              <w:rPr>
                <w:rFonts w:ascii="Times New Roman" w:hAnsi="Times New Roman" w:eastAsia="宋体" w:cs="Times New Roman"/>
                <w:snapToGrid w:val="0"/>
                <w:color w:val="auto"/>
                <w:kern w:val="21"/>
                <w:szCs w:val="21"/>
                <w:highlight w:val="none"/>
              </w:rPr>
              <w:t>t/a</w:t>
            </w:r>
          </w:p>
          <w:p w14:paraId="3763448F">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spacing w:val="-16"/>
                <w:kern w:val="21"/>
                <w:szCs w:val="21"/>
                <w:highlight w:val="none"/>
              </w:rPr>
            </w:pPr>
            <w:r>
              <w:rPr>
                <w:rFonts w:ascii="Times New Roman" w:hAnsi="Times New Roman" w:eastAsia="宋体" w:cs="Times New Roman"/>
                <w:snapToGrid w:val="0"/>
                <w:color w:val="auto"/>
                <w:spacing w:val="-16"/>
                <w:kern w:val="21"/>
                <w:szCs w:val="21"/>
                <w:highlight w:val="none"/>
              </w:rPr>
              <w:t>（新建项目不填）</w:t>
            </w:r>
            <w:r>
              <w:rPr>
                <w:rFonts w:hint="eastAsia" w:ascii="Times New Roman" w:hAnsi="Times New Roman" w:eastAsia="宋体" w:cs="宋体"/>
                <w:color w:val="auto"/>
                <w:kern w:val="2"/>
                <w:szCs w:val="21"/>
                <w:highlight w:val="none"/>
              </w:rPr>
              <w:t>⑤</w:t>
            </w:r>
          </w:p>
        </w:tc>
        <w:tc>
          <w:tcPr>
            <w:tcW w:w="1628" w:type="dxa"/>
            <w:noWrap w:val="0"/>
            <w:tcMar>
              <w:left w:w="28" w:type="dxa"/>
              <w:right w:w="28" w:type="dxa"/>
            </w:tcMar>
            <w:vAlign w:val="center"/>
          </w:tcPr>
          <w:p w14:paraId="32111B56">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spacing w:val="-16"/>
                <w:kern w:val="21"/>
                <w:szCs w:val="21"/>
                <w:highlight w:val="none"/>
              </w:rPr>
            </w:pPr>
            <w:r>
              <w:rPr>
                <w:rFonts w:hint="eastAsia" w:ascii="Times New Roman" w:hAnsi="Times New Roman" w:eastAsia="宋体" w:cs="Times New Roman"/>
                <w:snapToGrid w:val="0"/>
                <w:color w:val="auto"/>
                <w:spacing w:val="-16"/>
                <w:kern w:val="21"/>
                <w:szCs w:val="21"/>
                <w:highlight w:val="none"/>
              </w:rPr>
              <w:t>项目</w:t>
            </w:r>
            <w:r>
              <w:rPr>
                <w:rFonts w:ascii="Times New Roman" w:hAnsi="Times New Roman" w:eastAsia="宋体" w:cs="Times New Roman"/>
                <w:snapToGrid w:val="0"/>
                <w:color w:val="auto"/>
                <w:spacing w:val="-16"/>
                <w:kern w:val="21"/>
                <w:szCs w:val="21"/>
                <w:highlight w:val="none"/>
              </w:rPr>
              <w:t>建成后</w:t>
            </w:r>
          </w:p>
          <w:p w14:paraId="334E6EDC">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spacing w:val="-16"/>
                <w:kern w:val="21"/>
                <w:szCs w:val="21"/>
                <w:highlight w:val="none"/>
              </w:rPr>
            </w:pPr>
            <w:r>
              <w:rPr>
                <w:rFonts w:ascii="Times New Roman" w:hAnsi="Times New Roman" w:eastAsia="宋体" w:cs="Times New Roman"/>
                <w:snapToGrid w:val="0"/>
                <w:color w:val="auto"/>
                <w:spacing w:val="-16"/>
                <w:kern w:val="21"/>
                <w:szCs w:val="21"/>
                <w:highlight w:val="none"/>
              </w:rPr>
              <w:t>全厂排放量</w:t>
            </w:r>
            <w:r>
              <w:rPr>
                <w:rFonts w:ascii="Times New Roman" w:hAnsi="Times New Roman" w:eastAsia="宋体" w:cs="Times New Roman"/>
                <w:snapToGrid w:val="0"/>
                <w:color w:val="auto"/>
                <w:kern w:val="21"/>
                <w:szCs w:val="21"/>
                <w:highlight w:val="none"/>
              </w:rPr>
              <w:t>t/a</w:t>
            </w:r>
            <w:r>
              <w:rPr>
                <w:rFonts w:ascii="Times New Roman" w:hAnsi="Times New Roman" w:eastAsia="宋体" w:cs="Times New Roman"/>
                <w:snapToGrid w:val="0"/>
                <w:color w:val="auto"/>
                <w:spacing w:val="-16"/>
                <w:kern w:val="21"/>
                <w:szCs w:val="21"/>
                <w:highlight w:val="none"/>
              </w:rPr>
              <w:t>（固体废物产生量）</w:t>
            </w:r>
            <w:r>
              <w:rPr>
                <w:rFonts w:hint="eastAsia" w:ascii="Times New Roman" w:hAnsi="Times New Roman" w:eastAsia="宋体" w:cs="宋体"/>
                <w:color w:val="auto"/>
                <w:kern w:val="2"/>
                <w:szCs w:val="21"/>
                <w:highlight w:val="none"/>
              </w:rPr>
              <w:t>⑥</w:t>
            </w:r>
          </w:p>
        </w:tc>
        <w:tc>
          <w:tcPr>
            <w:tcW w:w="1157" w:type="dxa"/>
            <w:noWrap w:val="0"/>
            <w:tcMar>
              <w:left w:w="28" w:type="dxa"/>
              <w:right w:w="28" w:type="dxa"/>
            </w:tcMar>
            <w:vAlign w:val="center"/>
          </w:tcPr>
          <w:p w14:paraId="70AAA875">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spacing w:val="-6"/>
                <w:kern w:val="21"/>
                <w:szCs w:val="21"/>
                <w:highlight w:val="none"/>
              </w:rPr>
            </w:pPr>
            <w:r>
              <w:rPr>
                <w:rFonts w:ascii="Times New Roman" w:hAnsi="Times New Roman" w:eastAsia="宋体" w:cs="Times New Roman"/>
                <w:snapToGrid w:val="0"/>
                <w:color w:val="auto"/>
                <w:spacing w:val="-6"/>
                <w:kern w:val="21"/>
                <w:szCs w:val="21"/>
                <w:highlight w:val="none"/>
              </w:rPr>
              <w:t>变化量</w:t>
            </w:r>
            <w:r>
              <w:rPr>
                <w:rFonts w:ascii="Times New Roman" w:hAnsi="Times New Roman" w:eastAsia="宋体" w:cs="Times New Roman"/>
                <w:snapToGrid w:val="0"/>
                <w:color w:val="auto"/>
                <w:kern w:val="21"/>
                <w:szCs w:val="21"/>
                <w:highlight w:val="none"/>
              </w:rPr>
              <w:t>t/a</w:t>
            </w:r>
          </w:p>
          <w:p w14:paraId="3EB8630B">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spacing w:val="-6"/>
                <w:kern w:val="21"/>
                <w:szCs w:val="21"/>
                <w:highlight w:val="none"/>
              </w:rPr>
            </w:pPr>
            <w:r>
              <w:rPr>
                <w:rFonts w:hint="eastAsia" w:ascii="Times New Roman" w:hAnsi="Times New Roman" w:eastAsia="宋体" w:cs="宋体"/>
                <w:color w:val="auto"/>
                <w:kern w:val="2"/>
                <w:szCs w:val="21"/>
                <w:highlight w:val="none"/>
              </w:rPr>
              <w:t>⑦</w:t>
            </w:r>
          </w:p>
        </w:tc>
      </w:tr>
      <w:tr w14:paraId="0F552F0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2" w:hRule="atLeast"/>
        </w:trPr>
        <w:tc>
          <w:tcPr>
            <w:tcW w:w="979" w:type="dxa"/>
            <w:noWrap w:val="0"/>
            <w:vAlign w:val="center"/>
          </w:tcPr>
          <w:p w14:paraId="297F5FFC">
            <w:pPr>
              <w:pStyle w:val="85"/>
              <w:keepNext w:val="0"/>
              <w:keepLines w:val="0"/>
              <w:suppressLineNumbers w:val="0"/>
              <w:spacing w:before="0" w:beforeLines="0" w:beforeAutospacing="0" w:after="0" w:afterLines="0" w:afterAutospacing="0" w:line="240" w:lineRule="auto"/>
              <w:ind w:left="0" w:right="0"/>
              <w:rPr>
                <w:rFonts w:hint="eastAsia" w:ascii="Times New Roman" w:hAnsi="Times New Roman" w:eastAsia="宋体" w:cs="Times New Roman"/>
                <w:snapToGrid w:val="0"/>
                <w:color w:val="auto"/>
                <w:kern w:val="21"/>
                <w:szCs w:val="21"/>
                <w:highlight w:val="none"/>
              </w:rPr>
            </w:pPr>
            <w:r>
              <w:rPr>
                <w:rFonts w:hint="eastAsia" w:ascii="Times New Roman" w:hAnsi="Times New Roman" w:eastAsia="宋体" w:cs="Times New Roman"/>
                <w:snapToGrid w:val="0"/>
                <w:color w:val="auto"/>
                <w:kern w:val="21"/>
                <w:szCs w:val="21"/>
                <w:highlight w:val="none"/>
              </w:rPr>
              <w:t>废气</w:t>
            </w:r>
          </w:p>
        </w:tc>
        <w:tc>
          <w:tcPr>
            <w:tcW w:w="2115" w:type="dxa"/>
            <w:noWrap w:val="0"/>
            <w:vAlign w:val="center"/>
          </w:tcPr>
          <w:p w14:paraId="38D6846B">
            <w:pPr>
              <w:pStyle w:val="85"/>
              <w:keepNext w:val="0"/>
              <w:keepLines w:val="0"/>
              <w:suppressLineNumbers w:val="0"/>
              <w:spacing w:before="0" w:beforeLines="0" w:beforeAutospacing="0" w:after="0" w:afterLines="0" w:afterAutospacing="0" w:line="240" w:lineRule="auto"/>
              <w:ind w:left="0" w:right="0"/>
              <w:rPr>
                <w:rFonts w:hint="eastAsia" w:ascii="Times New Roman" w:hAnsi="Times New Roman" w:eastAsia="宋体" w:cs="Times New Roman"/>
                <w:snapToGrid w:val="0"/>
                <w:color w:val="auto"/>
                <w:kern w:val="21"/>
                <w:szCs w:val="21"/>
                <w:highlight w:val="none"/>
              </w:rPr>
            </w:pPr>
            <w:r>
              <w:rPr>
                <w:rFonts w:ascii="Times New Roman" w:hAnsi="Times New Roman" w:eastAsia="宋体" w:cs="Times New Roman"/>
                <w:snapToGrid w:val="0"/>
                <w:color w:val="auto"/>
                <w:kern w:val="21"/>
                <w:szCs w:val="21"/>
                <w:highlight w:val="none"/>
              </w:rPr>
              <w:t>总VOCs</w:t>
            </w:r>
            <w:r>
              <w:rPr>
                <w:rFonts w:hint="eastAsia" w:ascii="Times New Roman" w:hAnsi="Times New Roman" w:eastAsia="宋体" w:cs="Times New Roman"/>
                <w:snapToGrid w:val="0"/>
                <w:color w:val="auto"/>
                <w:kern w:val="21"/>
                <w:szCs w:val="21"/>
                <w:highlight w:val="none"/>
              </w:rPr>
              <w:t>（含非甲烷总烃）</w:t>
            </w:r>
          </w:p>
        </w:tc>
        <w:tc>
          <w:tcPr>
            <w:tcW w:w="1612" w:type="dxa"/>
            <w:noWrap w:val="0"/>
            <w:vAlign w:val="center"/>
          </w:tcPr>
          <w:p w14:paraId="2A28CE00">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0.2826</w:t>
            </w:r>
          </w:p>
        </w:tc>
        <w:tc>
          <w:tcPr>
            <w:tcW w:w="1276" w:type="dxa"/>
            <w:noWrap w:val="0"/>
            <w:vAlign w:val="center"/>
          </w:tcPr>
          <w:p w14:paraId="1899B1BC">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eastAsia="zh-CN"/>
              </w:rPr>
            </w:pPr>
            <w:r>
              <w:rPr>
                <w:rFonts w:hint="eastAsia" w:cs="Times New Roman"/>
                <w:snapToGrid w:val="0"/>
                <w:color w:val="auto"/>
                <w:kern w:val="21"/>
                <w:szCs w:val="21"/>
                <w:highlight w:val="none"/>
                <w:lang w:val="en-US" w:eastAsia="zh-CN"/>
              </w:rPr>
              <w:t>/</w:t>
            </w:r>
          </w:p>
        </w:tc>
        <w:tc>
          <w:tcPr>
            <w:tcW w:w="1701" w:type="dxa"/>
            <w:noWrap w:val="0"/>
            <w:vAlign w:val="center"/>
          </w:tcPr>
          <w:p w14:paraId="69B75D2D">
            <w:pPr>
              <w:keepNext w:val="0"/>
              <w:keepLines w:val="0"/>
              <w:suppressLineNumbers w:val="0"/>
              <w:spacing w:before="0" w:beforeAutospacing="0" w:after="0" w:afterAutospacing="0"/>
              <w:ind w:left="0" w:right="0"/>
              <w:jc w:val="center"/>
              <w:rPr>
                <w:rFonts w:ascii="Times New Roman" w:hAnsi="Times New Roman" w:eastAsia="宋体" w:cs="Times New Roman"/>
                <w:snapToGrid w:val="0"/>
                <w:color w:val="auto"/>
                <w:kern w:val="21"/>
                <w:szCs w:val="21"/>
                <w:highlight w:val="none"/>
              </w:rPr>
            </w:pPr>
            <w:r>
              <w:rPr>
                <w:rFonts w:hint="eastAsia" w:ascii="Times New Roman" w:hAnsi="Times New Roman" w:eastAsia="宋体" w:cs="Times New Roman"/>
                <w:snapToGrid w:val="0"/>
                <w:color w:val="auto"/>
                <w:kern w:val="21"/>
                <w:szCs w:val="21"/>
                <w:highlight w:val="none"/>
              </w:rPr>
              <w:t>0</w:t>
            </w:r>
          </w:p>
        </w:tc>
        <w:tc>
          <w:tcPr>
            <w:tcW w:w="1559" w:type="dxa"/>
            <w:noWrap w:val="0"/>
            <w:vAlign w:val="center"/>
          </w:tcPr>
          <w:p w14:paraId="08847616">
            <w:pPr>
              <w:pStyle w:val="85"/>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Cs w:val="21"/>
                <w:highlight w:val="none"/>
                <w:lang w:val="en-US" w:eastAsia="zh-CN"/>
              </w:rPr>
            </w:pPr>
            <w:r>
              <w:rPr>
                <w:rFonts w:hint="eastAsia" w:ascii="Times New Roman" w:cs="Times New Roman"/>
                <w:color w:val="auto"/>
                <w:szCs w:val="21"/>
                <w:highlight w:val="none"/>
                <w:lang w:val="en-US" w:eastAsia="zh-CN" w:bidi="ar"/>
              </w:rPr>
              <w:t>0.1781</w:t>
            </w:r>
          </w:p>
        </w:tc>
        <w:tc>
          <w:tcPr>
            <w:tcW w:w="1761" w:type="dxa"/>
            <w:noWrap w:val="0"/>
            <w:vAlign w:val="center"/>
          </w:tcPr>
          <w:p w14:paraId="171F18C9">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0.2826</w:t>
            </w:r>
          </w:p>
        </w:tc>
        <w:tc>
          <w:tcPr>
            <w:tcW w:w="1628" w:type="dxa"/>
            <w:noWrap w:val="0"/>
            <w:vAlign w:val="center"/>
          </w:tcPr>
          <w:p w14:paraId="6AA471CC">
            <w:pPr>
              <w:pStyle w:val="85"/>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auto"/>
                <w:kern w:val="21"/>
                <w:szCs w:val="21"/>
                <w:highlight w:val="none"/>
                <w:lang w:val="en-US" w:eastAsia="zh-CN"/>
              </w:rPr>
            </w:pPr>
            <w:r>
              <w:rPr>
                <w:rFonts w:hint="eastAsia" w:ascii="Times New Roman" w:cs="Times New Roman"/>
                <w:color w:val="auto"/>
                <w:szCs w:val="21"/>
                <w:highlight w:val="none"/>
                <w:lang w:val="en-US" w:eastAsia="zh-CN" w:bidi="ar"/>
              </w:rPr>
              <w:t>0.1781</w:t>
            </w:r>
          </w:p>
        </w:tc>
        <w:tc>
          <w:tcPr>
            <w:tcW w:w="1157" w:type="dxa"/>
            <w:noWrap w:val="0"/>
            <w:vAlign w:val="center"/>
          </w:tcPr>
          <w:p w14:paraId="5D3933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Cs w:val="21"/>
                <w:highlight w:val="none"/>
                <w:lang w:val="en-US" w:eastAsia="zh-CN"/>
              </w:rPr>
            </w:pPr>
            <w:r>
              <w:rPr>
                <w:rFonts w:hint="eastAsia" w:cs="Times New Roman"/>
                <w:color w:val="auto"/>
                <w:kern w:val="0"/>
                <w:szCs w:val="21"/>
                <w:highlight w:val="none"/>
                <w:lang w:val="en-US" w:eastAsia="zh-CN" w:bidi="ar"/>
              </w:rPr>
              <w:t>-0.1045</w:t>
            </w:r>
          </w:p>
        </w:tc>
      </w:tr>
      <w:tr w14:paraId="27BC72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9" w:type="dxa"/>
            <w:vMerge w:val="restart"/>
            <w:noWrap w:val="0"/>
            <w:vAlign w:val="center"/>
          </w:tcPr>
          <w:p w14:paraId="40E6271C">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kern w:val="21"/>
                <w:szCs w:val="21"/>
                <w:highlight w:val="none"/>
              </w:rPr>
            </w:pPr>
            <w:r>
              <w:rPr>
                <w:rFonts w:ascii="Times New Roman" w:hAnsi="Times New Roman" w:eastAsia="宋体" w:cs="Times New Roman"/>
                <w:snapToGrid w:val="0"/>
                <w:color w:val="auto"/>
                <w:kern w:val="21"/>
                <w:szCs w:val="21"/>
                <w:highlight w:val="none"/>
              </w:rPr>
              <w:t>废水</w:t>
            </w:r>
          </w:p>
        </w:tc>
        <w:tc>
          <w:tcPr>
            <w:tcW w:w="2115" w:type="dxa"/>
            <w:noWrap w:val="0"/>
            <w:vAlign w:val="center"/>
          </w:tcPr>
          <w:p w14:paraId="6CEDD81F">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kern w:val="21"/>
                <w:szCs w:val="21"/>
                <w:highlight w:val="none"/>
              </w:rPr>
            </w:pPr>
            <w:r>
              <w:rPr>
                <w:rFonts w:hint="eastAsia" w:ascii="Times New Roman" w:hAnsi="Times New Roman" w:eastAsia="宋体" w:cs="Times New Roman"/>
                <w:snapToGrid w:val="0"/>
                <w:color w:val="auto"/>
                <w:kern w:val="21"/>
                <w:szCs w:val="21"/>
                <w:highlight w:val="none"/>
              </w:rPr>
              <w:t>生活污水</w:t>
            </w:r>
            <w:r>
              <w:rPr>
                <w:rFonts w:ascii="Times New Roman" w:hAnsi="Times New Roman" w:eastAsia="宋体" w:cs="Times New Roman"/>
                <w:snapToGrid w:val="0"/>
                <w:color w:val="auto"/>
                <w:kern w:val="21"/>
                <w:szCs w:val="21"/>
                <w:highlight w:val="none"/>
              </w:rPr>
              <w:t>量</w:t>
            </w:r>
          </w:p>
        </w:tc>
        <w:tc>
          <w:tcPr>
            <w:tcW w:w="1612" w:type="dxa"/>
            <w:noWrap w:val="0"/>
            <w:vAlign w:val="center"/>
          </w:tcPr>
          <w:p w14:paraId="197EC3C4">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739.8</w:t>
            </w:r>
          </w:p>
        </w:tc>
        <w:tc>
          <w:tcPr>
            <w:tcW w:w="1276" w:type="dxa"/>
            <w:noWrap w:val="0"/>
            <w:vAlign w:val="center"/>
          </w:tcPr>
          <w:p w14:paraId="65D5D627">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w:t>
            </w:r>
          </w:p>
        </w:tc>
        <w:tc>
          <w:tcPr>
            <w:tcW w:w="1701" w:type="dxa"/>
            <w:noWrap w:val="0"/>
            <w:vAlign w:val="center"/>
          </w:tcPr>
          <w:p w14:paraId="34F01E85">
            <w:pPr>
              <w:keepNext w:val="0"/>
              <w:keepLines w:val="0"/>
              <w:suppressLineNumbers w:val="0"/>
              <w:spacing w:before="0" w:beforeAutospacing="0" w:after="0" w:afterAutospacing="0"/>
              <w:ind w:left="0" w:right="0"/>
              <w:jc w:val="center"/>
              <w:rPr>
                <w:rFonts w:ascii="Times New Roman" w:hAnsi="Times New Roman" w:eastAsia="宋体" w:cs="Times New Roman"/>
                <w:snapToGrid w:val="0"/>
                <w:color w:val="auto"/>
                <w:kern w:val="21"/>
                <w:szCs w:val="21"/>
                <w:highlight w:val="none"/>
              </w:rPr>
            </w:pPr>
            <w:r>
              <w:rPr>
                <w:rFonts w:hint="eastAsia" w:ascii="Times New Roman" w:hAnsi="Times New Roman" w:eastAsia="宋体" w:cs="Times New Roman"/>
                <w:snapToGrid w:val="0"/>
                <w:color w:val="auto"/>
                <w:kern w:val="21"/>
                <w:szCs w:val="21"/>
                <w:highlight w:val="none"/>
              </w:rPr>
              <w:t>0</w:t>
            </w:r>
          </w:p>
        </w:tc>
        <w:tc>
          <w:tcPr>
            <w:tcW w:w="1559" w:type="dxa"/>
            <w:noWrap w:val="0"/>
            <w:vAlign w:val="center"/>
          </w:tcPr>
          <w:p w14:paraId="59826B04">
            <w:pPr>
              <w:pStyle w:val="85"/>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color w:val="auto"/>
                <w:szCs w:val="21"/>
                <w:highlight w:val="none"/>
                <w:lang w:val="en-US" w:eastAsia="zh-CN"/>
              </w:rPr>
            </w:pPr>
            <w:r>
              <w:rPr>
                <w:rFonts w:hint="eastAsia" w:ascii="Times New Roman" w:cs="Times New Roman"/>
                <w:color w:val="auto"/>
                <w:szCs w:val="21"/>
                <w:highlight w:val="none"/>
                <w:lang w:val="en-US" w:eastAsia="zh-CN"/>
              </w:rPr>
              <w:t>168</w:t>
            </w:r>
          </w:p>
        </w:tc>
        <w:tc>
          <w:tcPr>
            <w:tcW w:w="1761" w:type="dxa"/>
            <w:noWrap w:val="0"/>
            <w:vAlign w:val="center"/>
          </w:tcPr>
          <w:p w14:paraId="76CFC629">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739.8</w:t>
            </w:r>
          </w:p>
        </w:tc>
        <w:tc>
          <w:tcPr>
            <w:tcW w:w="1628" w:type="dxa"/>
            <w:noWrap w:val="0"/>
            <w:vAlign w:val="center"/>
          </w:tcPr>
          <w:p w14:paraId="79259E58">
            <w:pPr>
              <w:pStyle w:val="85"/>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color w:val="auto"/>
                <w:szCs w:val="21"/>
                <w:highlight w:val="none"/>
                <w:lang w:val="en-US" w:eastAsia="zh-CN"/>
              </w:rPr>
            </w:pPr>
            <w:r>
              <w:rPr>
                <w:rFonts w:hint="eastAsia" w:ascii="Times New Roman" w:cs="Times New Roman"/>
                <w:color w:val="auto"/>
                <w:szCs w:val="21"/>
                <w:highlight w:val="none"/>
                <w:lang w:val="en-US" w:eastAsia="zh-CN" w:bidi="ar"/>
              </w:rPr>
              <w:t>168</w:t>
            </w:r>
          </w:p>
        </w:tc>
        <w:tc>
          <w:tcPr>
            <w:tcW w:w="1157" w:type="dxa"/>
            <w:noWrap w:val="0"/>
            <w:vAlign w:val="center"/>
          </w:tcPr>
          <w:p w14:paraId="09BB3AA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ascii="Times New Roman" w:hAnsi="Times New Roman" w:eastAsia="宋体" w:cs="Times New Roman"/>
                <w:color w:val="auto"/>
                <w:kern w:val="0"/>
                <w:szCs w:val="21"/>
                <w:highlight w:val="none"/>
                <w:lang w:bidi="ar"/>
              </w:rPr>
              <w:t>-</w:t>
            </w:r>
            <w:r>
              <w:rPr>
                <w:rFonts w:hint="eastAsia" w:cs="Times New Roman"/>
                <w:color w:val="auto"/>
                <w:kern w:val="0"/>
                <w:szCs w:val="21"/>
                <w:highlight w:val="none"/>
                <w:lang w:val="en-US" w:eastAsia="zh-CN" w:bidi="ar"/>
              </w:rPr>
              <w:t>739.8</w:t>
            </w:r>
          </w:p>
        </w:tc>
      </w:tr>
      <w:tr w14:paraId="1D644D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9" w:type="dxa"/>
            <w:vMerge w:val="continue"/>
            <w:noWrap w:val="0"/>
            <w:vAlign w:val="center"/>
          </w:tcPr>
          <w:p w14:paraId="7B192D62">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kern w:val="21"/>
                <w:szCs w:val="21"/>
                <w:highlight w:val="none"/>
              </w:rPr>
            </w:pPr>
          </w:p>
        </w:tc>
        <w:tc>
          <w:tcPr>
            <w:tcW w:w="2115" w:type="dxa"/>
            <w:noWrap w:val="0"/>
            <w:vAlign w:val="center"/>
          </w:tcPr>
          <w:p w14:paraId="0883686E">
            <w:pPr>
              <w:keepNext w:val="0"/>
              <w:keepLines w:val="0"/>
              <w:widowControl/>
              <w:suppressLineNumbers w:val="0"/>
              <w:spacing w:before="0" w:beforeAutospacing="0" w:after="0" w:afterAutospacing="0"/>
              <w:ind w:left="0" w:right="0"/>
              <w:jc w:val="center"/>
              <w:textAlignment w:val="center"/>
              <w:rPr>
                <w:rFonts w:ascii="Times New Roman" w:hAnsi="Times New Roman" w:eastAsia="宋体" w:cs="Times New Roman"/>
                <w:color w:val="auto"/>
                <w:kern w:val="0"/>
                <w:szCs w:val="21"/>
                <w:highlight w:val="none"/>
              </w:rPr>
            </w:pPr>
            <w:r>
              <w:rPr>
                <w:rFonts w:ascii="Times New Roman" w:hAnsi="Times New Roman" w:eastAsia="宋体" w:cs="Times New Roman"/>
                <w:color w:val="auto"/>
                <w:kern w:val="0"/>
                <w:szCs w:val="21"/>
                <w:highlight w:val="none"/>
                <w:lang w:bidi="ar"/>
              </w:rPr>
              <w:t>CODcr</w:t>
            </w:r>
          </w:p>
        </w:tc>
        <w:tc>
          <w:tcPr>
            <w:tcW w:w="1612" w:type="dxa"/>
            <w:noWrap w:val="0"/>
            <w:vAlign w:val="center"/>
          </w:tcPr>
          <w:p w14:paraId="12624E7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rPr>
              <w:t>0.</w:t>
            </w:r>
            <w:r>
              <w:rPr>
                <w:rFonts w:hint="eastAsia" w:cs="Times New Roman"/>
                <w:snapToGrid w:val="0"/>
                <w:color w:val="auto"/>
                <w:kern w:val="21"/>
                <w:szCs w:val="21"/>
                <w:highlight w:val="none"/>
                <w:lang w:val="en-US" w:eastAsia="zh-CN"/>
              </w:rPr>
              <w:t>0300</w:t>
            </w:r>
          </w:p>
        </w:tc>
        <w:tc>
          <w:tcPr>
            <w:tcW w:w="1276" w:type="dxa"/>
            <w:noWrap w:val="0"/>
            <w:vAlign w:val="center"/>
          </w:tcPr>
          <w:p w14:paraId="33857757">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w:t>
            </w:r>
          </w:p>
        </w:tc>
        <w:tc>
          <w:tcPr>
            <w:tcW w:w="1701" w:type="dxa"/>
            <w:noWrap w:val="0"/>
            <w:vAlign w:val="center"/>
          </w:tcPr>
          <w:p w14:paraId="2F508EC0">
            <w:pPr>
              <w:keepNext w:val="0"/>
              <w:keepLines w:val="0"/>
              <w:suppressLineNumbers w:val="0"/>
              <w:spacing w:before="0" w:beforeAutospacing="0" w:after="0" w:afterAutospacing="0"/>
              <w:ind w:left="0" w:right="0"/>
              <w:jc w:val="center"/>
              <w:rPr>
                <w:rFonts w:ascii="Times New Roman" w:hAnsi="Times New Roman" w:eastAsia="宋体" w:cs="Times New Roman"/>
                <w:snapToGrid w:val="0"/>
                <w:color w:val="auto"/>
                <w:kern w:val="21"/>
                <w:szCs w:val="21"/>
                <w:highlight w:val="none"/>
              </w:rPr>
            </w:pPr>
            <w:r>
              <w:rPr>
                <w:rFonts w:hint="eastAsia" w:ascii="Times New Roman" w:hAnsi="Times New Roman" w:eastAsia="宋体" w:cs="Times New Roman"/>
                <w:snapToGrid w:val="0"/>
                <w:color w:val="auto"/>
                <w:kern w:val="21"/>
                <w:szCs w:val="21"/>
                <w:highlight w:val="none"/>
              </w:rPr>
              <w:t>0</w:t>
            </w:r>
          </w:p>
        </w:tc>
        <w:tc>
          <w:tcPr>
            <w:tcW w:w="1559" w:type="dxa"/>
            <w:noWrap w:val="0"/>
            <w:vAlign w:val="center"/>
          </w:tcPr>
          <w:p w14:paraId="19B0252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highlight w:val="none"/>
                <w:lang w:val="en-US" w:eastAsia="zh-CN" w:bidi="ar"/>
              </w:rPr>
            </w:pPr>
            <w:r>
              <w:rPr>
                <w:rFonts w:hint="eastAsia" w:cs="Times New Roman"/>
                <w:color w:val="auto"/>
                <w:kern w:val="0"/>
                <w:szCs w:val="21"/>
                <w:highlight w:val="none"/>
                <w:lang w:val="en-US" w:eastAsia="zh-CN" w:bidi="ar"/>
              </w:rPr>
              <w:t>0.0067</w:t>
            </w:r>
          </w:p>
        </w:tc>
        <w:tc>
          <w:tcPr>
            <w:tcW w:w="1761" w:type="dxa"/>
            <w:noWrap w:val="0"/>
            <w:vAlign w:val="center"/>
          </w:tcPr>
          <w:p w14:paraId="363BA4A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0.0300</w:t>
            </w:r>
          </w:p>
        </w:tc>
        <w:tc>
          <w:tcPr>
            <w:tcW w:w="1628" w:type="dxa"/>
            <w:noWrap w:val="0"/>
            <w:vAlign w:val="center"/>
          </w:tcPr>
          <w:p w14:paraId="7EFC92B4">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kern w:val="0"/>
                <w:szCs w:val="21"/>
                <w:highlight w:val="none"/>
                <w:lang w:bidi="ar"/>
              </w:rPr>
            </w:pPr>
            <w:r>
              <w:rPr>
                <w:rFonts w:hint="eastAsia" w:cs="Times New Roman"/>
                <w:color w:val="auto"/>
                <w:kern w:val="0"/>
                <w:szCs w:val="21"/>
                <w:highlight w:val="none"/>
                <w:lang w:val="en-US" w:eastAsia="zh-CN" w:bidi="ar"/>
              </w:rPr>
              <w:t>0.0067</w:t>
            </w:r>
          </w:p>
        </w:tc>
        <w:tc>
          <w:tcPr>
            <w:tcW w:w="1157" w:type="dxa"/>
            <w:noWrap w:val="0"/>
            <w:vAlign w:val="center"/>
          </w:tcPr>
          <w:p w14:paraId="63006D4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highlight w:val="none"/>
                <w:lang w:val="en-US" w:eastAsia="zh-CN" w:bidi="ar"/>
              </w:rPr>
            </w:pPr>
            <w:r>
              <w:rPr>
                <w:rFonts w:hint="eastAsia" w:cs="Times New Roman"/>
                <w:color w:val="auto"/>
                <w:kern w:val="0"/>
                <w:szCs w:val="21"/>
                <w:highlight w:val="none"/>
                <w:lang w:val="en-US" w:eastAsia="zh-CN" w:bidi="ar"/>
              </w:rPr>
              <w:t>-</w:t>
            </w:r>
            <w:r>
              <w:rPr>
                <w:rFonts w:ascii="Times New Roman" w:hAnsi="Times New Roman" w:eastAsia="宋体" w:cs="Times New Roman"/>
                <w:color w:val="auto"/>
                <w:kern w:val="0"/>
                <w:szCs w:val="21"/>
                <w:highlight w:val="none"/>
                <w:lang w:bidi="ar"/>
              </w:rPr>
              <w:t>0.</w:t>
            </w:r>
            <w:r>
              <w:rPr>
                <w:rFonts w:hint="eastAsia" w:cs="Times New Roman"/>
                <w:color w:val="auto"/>
                <w:kern w:val="0"/>
                <w:szCs w:val="21"/>
                <w:highlight w:val="none"/>
                <w:lang w:val="en-US" w:eastAsia="zh-CN" w:bidi="ar"/>
              </w:rPr>
              <w:t>0300</w:t>
            </w:r>
          </w:p>
        </w:tc>
      </w:tr>
      <w:tr w14:paraId="5FB2642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9" w:type="dxa"/>
            <w:vMerge w:val="continue"/>
            <w:noWrap w:val="0"/>
            <w:vAlign w:val="center"/>
          </w:tcPr>
          <w:p w14:paraId="45DC0D9B">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kern w:val="21"/>
                <w:szCs w:val="21"/>
                <w:highlight w:val="none"/>
              </w:rPr>
            </w:pPr>
          </w:p>
        </w:tc>
        <w:tc>
          <w:tcPr>
            <w:tcW w:w="2115" w:type="dxa"/>
            <w:noWrap w:val="0"/>
            <w:vAlign w:val="center"/>
          </w:tcPr>
          <w:p w14:paraId="027142A6">
            <w:pPr>
              <w:keepNext w:val="0"/>
              <w:keepLines w:val="0"/>
              <w:widowControl/>
              <w:suppressLineNumbers w:val="0"/>
              <w:spacing w:before="0" w:beforeAutospacing="0" w:after="0" w:afterAutospacing="0"/>
              <w:ind w:left="0" w:right="0"/>
              <w:jc w:val="center"/>
              <w:textAlignment w:val="center"/>
              <w:rPr>
                <w:rFonts w:ascii="Times New Roman" w:hAnsi="Times New Roman" w:eastAsia="宋体" w:cs="Times New Roman"/>
                <w:color w:val="auto"/>
                <w:kern w:val="0"/>
                <w:szCs w:val="21"/>
                <w:highlight w:val="none"/>
              </w:rPr>
            </w:pPr>
            <w:r>
              <w:rPr>
                <w:rFonts w:hint="eastAsia" w:ascii="Times New Roman" w:hAnsi="Times New Roman" w:eastAsia="宋体" w:cs="宋体"/>
                <w:color w:val="auto"/>
                <w:kern w:val="0"/>
                <w:szCs w:val="21"/>
                <w:highlight w:val="none"/>
                <w:lang w:bidi="ar"/>
              </w:rPr>
              <w:t>氨氮</w:t>
            </w:r>
          </w:p>
        </w:tc>
        <w:tc>
          <w:tcPr>
            <w:tcW w:w="1612" w:type="dxa"/>
            <w:noWrap w:val="0"/>
            <w:vAlign w:val="center"/>
          </w:tcPr>
          <w:p w14:paraId="4028B73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rPr>
              <w:t>0.0</w:t>
            </w:r>
            <w:r>
              <w:rPr>
                <w:rFonts w:hint="eastAsia" w:cs="Times New Roman"/>
                <w:snapToGrid w:val="0"/>
                <w:color w:val="auto"/>
                <w:kern w:val="21"/>
                <w:szCs w:val="21"/>
                <w:highlight w:val="none"/>
                <w:lang w:val="en-US" w:eastAsia="zh-CN"/>
              </w:rPr>
              <w:t>015</w:t>
            </w:r>
          </w:p>
        </w:tc>
        <w:tc>
          <w:tcPr>
            <w:tcW w:w="1276" w:type="dxa"/>
            <w:noWrap w:val="0"/>
            <w:vAlign w:val="center"/>
          </w:tcPr>
          <w:p w14:paraId="11194140">
            <w:pPr>
              <w:keepNext w:val="0"/>
              <w:keepLines w:val="0"/>
              <w:suppressLineNumbers w:val="0"/>
              <w:spacing w:before="0" w:beforeAutospacing="0" w:after="0" w:afterAutospacing="0"/>
              <w:ind w:left="0" w:right="0"/>
              <w:jc w:val="center"/>
              <w:rPr>
                <w:rFonts w:ascii="Times New Roman" w:hAnsi="Times New Roman" w:eastAsia="宋体" w:cs="Times New Roman"/>
                <w:snapToGrid w:val="0"/>
                <w:color w:val="auto"/>
                <w:kern w:val="21"/>
                <w:szCs w:val="21"/>
                <w:highlight w:val="none"/>
              </w:rPr>
            </w:pPr>
            <w:r>
              <w:rPr>
                <w:rFonts w:hint="eastAsia" w:cs="Times New Roman"/>
                <w:snapToGrid w:val="0"/>
                <w:color w:val="auto"/>
                <w:kern w:val="21"/>
                <w:szCs w:val="21"/>
                <w:highlight w:val="none"/>
                <w:lang w:val="en-US" w:eastAsia="zh-CN"/>
              </w:rPr>
              <w:t>/</w:t>
            </w:r>
          </w:p>
        </w:tc>
        <w:tc>
          <w:tcPr>
            <w:tcW w:w="1701" w:type="dxa"/>
            <w:noWrap w:val="0"/>
            <w:vAlign w:val="center"/>
          </w:tcPr>
          <w:p w14:paraId="78A5D7CE">
            <w:pPr>
              <w:keepNext w:val="0"/>
              <w:keepLines w:val="0"/>
              <w:suppressLineNumbers w:val="0"/>
              <w:spacing w:before="0" w:beforeAutospacing="0" w:after="0" w:afterAutospacing="0"/>
              <w:ind w:left="0" w:right="0"/>
              <w:jc w:val="center"/>
              <w:rPr>
                <w:rFonts w:ascii="Times New Roman" w:hAnsi="Times New Roman" w:eastAsia="宋体" w:cs="Times New Roman"/>
                <w:snapToGrid w:val="0"/>
                <w:color w:val="auto"/>
                <w:kern w:val="21"/>
                <w:szCs w:val="21"/>
                <w:highlight w:val="none"/>
              </w:rPr>
            </w:pPr>
            <w:r>
              <w:rPr>
                <w:rFonts w:hint="eastAsia" w:ascii="Times New Roman" w:hAnsi="Times New Roman" w:eastAsia="宋体" w:cs="Times New Roman"/>
                <w:snapToGrid w:val="0"/>
                <w:color w:val="auto"/>
                <w:kern w:val="21"/>
                <w:szCs w:val="21"/>
                <w:highlight w:val="none"/>
              </w:rPr>
              <w:t>0</w:t>
            </w:r>
          </w:p>
        </w:tc>
        <w:tc>
          <w:tcPr>
            <w:tcW w:w="1559" w:type="dxa"/>
            <w:noWrap w:val="0"/>
            <w:vAlign w:val="center"/>
          </w:tcPr>
          <w:p w14:paraId="6773018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highlight w:val="none"/>
                <w:lang w:val="en-US" w:eastAsia="zh-CN" w:bidi="ar"/>
              </w:rPr>
            </w:pPr>
            <w:r>
              <w:rPr>
                <w:rFonts w:hint="eastAsia" w:ascii="Times New Roman" w:hAnsi="Times New Roman" w:eastAsia="宋体" w:cs="Times New Roman"/>
                <w:color w:val="auto"/>
                <w:kern w:val="0"/>
                <w:szCs w:val="21"/>
                <w:highlight w:val="none"/>
                <w:lang w:val="en-US" w:eastAsia="zh-CN" w:bidi="ar"/>
              </w:rPr>
              <w:t>0.</w:t>
            </w:r>
            <w:r>
              <w:rPr>
                <w:rFonts w:hint="eastAsia" w:cs="Times New Roman"/>
                <w:color w:val="auto"/>
                <w:kern w:val="0"/>
                <w:szCs w:val="21"/>
                <w:highlight w:val="none"/>
                <w:lang w:val="en-US" w:eastAsia="zh-CN" w:bidi="ar"/>
              </w:rPr>
              <w:t>0003</w:t>
            </w:r>
          </w:p>
        </w:tc>
        <w:tc>
          <w:tcPr>
            <w:tcW w:w="1761" w:type="dxa"/>
            <w:noWrap w:val="0"/>
            <w:vAlign w:val="center"/>
          </w:tcPr>
          <w:p w14:paraId="64F7B0B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rPr>
              <w:t>0.0</w:t>
            </w:r>
            <w:r>
              <w:rPr>
                <w:rFonts w:hint="eastAsia" w:cs="Times New Roman"/>
                <w:snapToGrid w:val="0"/>
                <w:color w:val="auto"/>
                <w:kern w:val="21"/>
                <w:szCs w:val="21"/>
                <w:highlight w:val="none"/>
                <w:lang w:val="en-US" w:eastAsia="zh-CN"/>
              </w:rPr>
              <w:t>015</w:t>
            </w:r>
          </w:p>
        </w:tc>
        <w:tc>
          <w:tcPr>
            <w:tcW w:w="1628" w:type="dxa"/>
            <w:noWrap w:val="0"/>
            <w:vAlign w:val="center"/>
          </w:tcPr>
          <w:p w14:paraId="4D89D127">
            <w:pPr>
              <w:keepNext w:val="0"/>
              <w:keepLines w:val="0"/>
              <w:widowControl/>
              <w:suppressLineNumbers w:val="0"/>
              <w:spacing w:before="0" w:beforeAutospacing="0" w:after="0" w:afterAutospacing="0"/>
              <w:ind w:left="0" w:right="0"/>
              <w:jc w:val="center"/>
              <w:textAlignment w:val="center"/>
              <w:rPr>
                <w:rFonts w:ascii="Times New Roman" w:hAnsi="Times New Roman" w:eastAsia="宋体" w:cs="Times New Roman"/>
                <w:color w:val="auto"/>
                <w:kern w:val="0"/>
                <w:szCs w:val="21"/>
                <w:highlight w:val="none"/>
                <w:lang w:bidi="ar"/>
              </w:rPr>
            </w:pPr>
            <w:r>
              <w:rPr>
                <w:rFonts w:hint="eastAsia" w:ascii="Times New Roman" w:hAnsi="Times New Roman" w:eastAsia="宋体" w:cs="Times New Roman"/>
                <w:color w:val="auto"/>
                <w:kern w:val="0"/>
                <w:szCs w:val="21"/>
                <w:highlight w:val="none"/>
                <w:lang w:val="en-US" w:eastAsia="zh-CN" w:bidi="ar"/>
              </w:rPr>
              <w:t>0.</w:t>
            </w:r>
            <w:r>
              <w:rPr>
                <w:rFonts w:hint="eastAsia" w:cs="Times New Roman"/>
                <w:color w:val="auto"/>
                <w:kern w:val="0"/>
                <w:szCs w:val="21"/>
                <w:highlight w:val="none"/>
                <w:lang w:val="en-US" w:eastAsia="zh-CN" w:bidi="ar"/>
              </w:rPr>
              <w:t>0003</w:t>
            </w:r>
          </w:p>
        </w:tc>
        <w:tc>
          <w:tcPr>
            <w:tcW w:w="1157" w:type="dxa"/>
            <w:noWrap w:val="0"/>
            <w:vAlign w:val="center"/>
          </w:tcPr>
          <w:p w14:paraId="7DB7EF3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highlight w:val="none"/>
                <w:lang w:val="en-US" w:eastAsia="zh-CN" w:bidi="ar"/>
              </w:rPr>
            </w:pPr>
            <w:r>
              <w:rPr>
                <w:rFonts w:hint="eastAsia" w:cs="Times New Roman"/>
                <w:color w:val="auto"/>
                <w:kern w:val="0"/>
                <w:szCs w:val="21"/>
                <w:highlight w:val="none"/>
                <w:lang w:val="en-US" w:eastAsia="zh-CN" w:bidi="ar"/>
              </w:rPr>
              <w:t>-</w:t>
            </w:r>
            <w:r>
              <w:rPr>
                <w:rFonts w:ascii="Times New Roman" w:hAnsi="Times New Roman" w:eastAsia="宋体" w:cs="Times New Roman"/>
                <w:color w:val="auto"/>
                <w:kern w:val="0"/>
                <w:szCs w:val="21"/>
                <w:highlight w:val="none"/>
                <w:lang w:bidi="ar"/>
              </w:rPr>
              <w:t>0.</w:t>
            </w:r>
            <w:r>
              <w:rPr>
                <w:rFonts w:hint="eastAsia" w:cs="Times New Roman"/>
                <w:color w:val="auto"/>
                <w:kern w:val="0"/>
                <w:szCs w:val="21"/>
                <w:highlight w:val="none"/>
                <w:lang w:val="en-US" w:eastAsia="zh-CN" w:bidi="ar"/>
              </w:rPr>
              <w:t>0015</w:t>
            </w:r>
          </w:p>
        </w:tc>
      </w:tr>
      <w:tr w14:paraId="798E6A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9" w:type="dxa"/>
            <w:vMerge w:val="restart"/>
            <w:noWrap w:val="0"/>
            <w:vAlign w:val="center"/>
          </w:tcPr>
          <w:p w14:paraId="272EBD75">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kern w:val="21"/>
                <w:szCs w:val="21"/>
                <w:highlight w:val="none"/>
              </w:rPr>
            </w:pPr>
            <w:r>
              <w:rPr>
                <w:rFonts w:ascii="Times New Roman" w:hAnsi="Times New Roman" w:eastAsia="宋体" w:cs="Times New Roman"/>
                <w:snapToGrid w:val="0"/>
                <w:color w:val="auto"/>
                <w:kern w:val="21"/>
                <w:szCs w:val="21"/>
                <w:highlight w:val="none"/>
              </w:rPr>
              <w:t>一般工业固体废物</w:t>
            </w:r>
          </w:p>
        </w:tc>
        <w:tc>
          <w:tcPr>
            <w:tcW w:w="2115" w:type="dxa"/>
            <w:noWrap w:val="0"/>
            <w:vAlign w:val="center"/>
          </w:tcPr>
          <w:p w14:paraId="359ADF42">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 w:val="22"/>
                <w:szCs w:val="22"/>
                <w:highlight w:val="none"/>
                <w:lang w:val="en-US" w:eastAsia="zh-CN"/>
              </w:rPr>
            </w:pPr>
            <w:r>
              <w:rPr>
                <w:rFonts w:hint="eastAsia" w:cs="Times New Roman"/>
                <w:color w:val="auto"/>
                <w:sz w:val="22"/>
                <w:szCs w:val="22"/>
                <w:highlight w:val="none"/>
                <w:lang w:val="en-US" w:eastAsia="zh-CN"/>
              </w:rPr>
              <w:t>塑料边角料</w:t>
            </w:r>
          </w:p>
        </w:tc>
        <w:tc>
          <w:tcPr>
            <w:tcW w:w="1612" w:type="dxa"/>
            <w:noWrap w:val="0"/>
            <w:vAlign w:val="center"/>
          </w:tcPr>
          <w:p w14:paraId="1F013F00">
            <w:pPr>
              <w:keepNext w:val="0"/>
              <w:keepLines w:val="0"/>
              <w:suppressLineNumbers w:val="0"/>
              <w:spacing w:before="0" w:beforeAutospacing="0" w:after="0" w:afterAutospacing="0"/>
              <w:ind w:left="0" w:right="0"/>
              <w:jc w:val="center"/>
              <w:rPr>
                <w:rFonts w:ascii="Times New Roman" w:hAnsi="Times New Roman" w:eastAsia="宋体" w:cs="Times New Roman"/>
                <w:snapToGrid w:val="0"/>
                <w:color w:val="auto"/>
                <w:kern w:val="21"/>
                <w:szCs w:val="21"/>
                <w:highlight w:val="none"/>
              </w:rPr>
            </w:pPr>
            <w:r>
              <w:rPr>
                <w:rFonts w:hint="eastAsia" w:cs="Times New Roman"/>
                <w:snapToGrid w:val="0"/>
                <w:color w:val="auto"/>
                <w:kern w:val="21"/>
                <w:szCs w:val="21"/>
                <w:highlight w:val="none"/>
                <w:lang w:val="en-US" w:eastAsia="zh-CN"/>
              </w:rPr>
              <w:t>20</w:t>
            </w:r>
          </w:p>
        </w:tc>
        <w:tc>
          <w:tcPr>
            <w:tcW w:w="1276" w:type="dxa"/>
            <w:noWrap w:val="0"/>
            <w:vAlign w:val="center"/>
          </w:tcPr>
          <w:p w14:paraId="2131BD3D">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eastAsia="zh-CN"/>
              </w:rPr>
            </w:pPr>
            <w:r>
              <w:rPr>
                <w:rFonts w:hint="eastAsia" w:cs="Times New Roman"/>
                <w:snapToGrid w:val="0"/>
                <w:color w:val="auto"/>
                <w:kern w:val="21"/>
                <w:szCs w:val="21"/>
                <w:highlight w:val="none"/>
                <w:lang w:val="en-US" w:eastAsia="zh-CN"/>
              </w:rPr>
              <w:t>/</w:t>
            </w:r>
          </w:p>
        </w:tc>
        <w:tc>
          <w:tcPr>
            <w:tcW w:w="1701" w:type="dxa"/>
            <w:noWrap w:val="0"/>
            <w:vAlign w:val="center"/>
          </w:tcPr>
          <w:p w14:paraId="2C1553A5">
            <w:pPr>
              <w:keepNext w:val="0"/>
              <w:keepLines w:val="0"/>
              <w:suppressLineNumbers w:val="0"/>
              <w:spacing w:before="0" w:beforeAutospacing="0" w:after="0" w:afterAutospacing="0"/>
              <w:ind w:left="0" w:right="0"/>
              <w:jc w:val="center"/>
              <w:rPr>
                <w:rFonts w:ascii="Times New Roman" w:hAnsi="Times New Roman" w:eastAsia="宋体" w:cs="Times New Roman"/>
                <w:snapToGrid w:val="0"/>
                <w:color w:val="auto"/>
                <w:kern w:val="21"/>
                <w:szCs w:val="21"/>
                <w:highlight w:val="none"/>
              </w:rPr>
            </w:pPr>
            <w:r>
              <w:rPr>
                <w:rFonts w:hint="eastAsia" w:ascii="Times New Roman" w:hAnsi="Times New Roman" w:eastAsia="宋体" w:cs="Times New Roman"/>
                <w:snapToGrid w:val="0"/>
                <w:color w:val="auto"/>
                <w:kern w:val="21"/>
                <w:szCs w:val="21"/>
                <w:highlight w:val="none"/>
              </w:rPr>
              <w:t>0</w:t>
            </w:r>
          </w:p>
        </w:tc>
        <w:tc>
          <w:tcPr>
            <w:tcW w:w="1559" w:type="dxa"/>
            <w:noWrap w:val="0"/>
            <w:vAlign w:val="center"/>
          </w:tcPr>
          <w:p w14:paraId="301A0636">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1.715</w:t>
            </w:r>
          </w:p>
        </w:tc>
        <w:tc>
          <w:tcPr>
            <w:tcW w:w="1761" w:type="dxa"/>
            <w:noWrap w:val="0"/>
            <w:vAlign w:val="center"/>
          </w:tcPr>
          <w:p w14:paraId="5CE09FD6">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20</w:t>
            </w:r>
          </w:p>
        </w:tc>
        <w:tc>
          <w:tcPr>
            <w:tcW w:w="1628" w:type="dxa"/>
            <w:noWrap w:val="0"/>
            <w:vAlign w:val="center"/>
          </w:tcPr>
          <w:p w14:paraId="1CC2BD43">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1.715</w:t>
            </w:r>
          </w:p>
        </w:tc>
        <w:tc>
          <w:tcPr>
            <w:tcW w:w="1157" w:type="dxa"/>
            <w:noWrap w:val="0"/>
            <w:vAlign w:val="center"/>
          </w:tcPr>
          <w:p w14:paraId="6BB61A8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eastAsia" w:cs="Times New Roman"/>
                <w:color w:val="auto"/>
                <w:kern w:val="0"/>
                <w:szCs w:val="21"/>
                <w:highlight w:val="none"/>
                <w:lang w:val="en-US" w:eastAsia="zh-CN" w:bidi="ar"/>
              </w:rPr>
              <w:t>-20</w:t>
            </w:r>
          </w:p>
        </w:tc>
      </w:tr>
      <w:tr w14:paraId="16EBE2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979" w:type="dxa"/>
            <w:vMerge w:val="continue"/>
            <w:noWrap w:val="0"/>
            <w:vAlign w:val="center"/>
          </w:tcPr>
          <w:p w14:paraId="299C996E">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kern w:val="21"/>
                <w:szCs w:val="21"/>
                <w:highlight w:val="none"/>
              </w:rPr>
            </w:pPr>
          </w:p>
        </w:tc>
        <w:tc>
          <w:tcPr>
            <w:tcW w:w="2115" w:type="dxa"/>
            <w:noWrap w:val="0"/>
            <w:vAlign w:val="center"/>
          </w:tcPr>
          <w:p w14:paraId="7B8BCCA3">
            <w:pPr>
              <w:keepNext w:val="0"/>
              <w:keepLines w:val="0"/>
              <w:suppressLineNumbers w:val="0"/>
              <w:snapToGrid w:val="0"/>
              <w:spacing w:before="0" w:beforeAutospacing="0" w:after="0" w:afterAutospacing="0"/>
              <w:ind w:left="0" w:right="0"/>
              <w:jc w:val="center"/>
              <w:rPr>
                <w:rFonts w:hint="eastAsia" w:cs="Times New Roman"/>
                <w:color w:val="auto"/>
                <w:szCs w:val="21"/>
                <w:highlight w:val="none"/>
                <w:lang w:val="en-US" w:eastAsia="zh-CN"/>
              </w:rPr>
            </w:pPr>
            <w:r>
              <w:rPr>
                <w:rFonts w:hint="eastAsia" w:cs="Times New Roman"/>
                <w:color w:val="auto"/>
                <w:szCs w:val="21"/>
                <w:highlight w:val="none"/>
                <w:lang w:val="en-US" w:eastAsia="zh-CN"/>
              </w:rPr>
              <w:t>包装纸边角料</w:t>
            </w:r>
          </w:p>
        </w:tc>
        <w:tc>
          <w:tcPr>
            <w:tcW w:w="1612" w:type="dxa"/>
            <w:noWrap w:val="0"/>
            <w:vAlign w:val="center"/>
          </w:tcPr>
          <w:p w14:paraId="059CB3E9">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1</w:t>
            </w:r>
          </w:p>
        </w:tc>
        <w:tc>
          <w:tcPr>
            <w:tcW w:w="1276" w:type="dxa"/>
            <w:noWrap w:val="0"/>
            <w:vAlign w:val="center"/>
          </w:tcPr>
          <w:p w14:paraId="16918CC0">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w:t>
            </w:r>
          </w:p>
        </w:tc>
        <w:tc>
          <w:tcPr>
            <w:tcW w:w="1701" w:type="dxa"/>
            <w:noWrap w:val="0"/>
            <w:vAlign w:val="center"/>
          </w:tcPr>
          <w:p w14:paraId="533CE0AE">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0</w:t>
            </w:r>
          </w:p>
        </w:tc>
        <w:tc>
          <w:tcPr>
            <w:tcW w:w="1559" w:type="dxa"/>
            <w:noWrap w:val="0"/>
            <w:vAlign w:val="center"/>
          </w:tcPr>
          <w:p w14:paraId="7C487D31">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0.1</w:t>
            </w:r>
          </w:p>
        </w:tc>
        <w:tc>
          <w:tcPr>
            <w:tcW w:w="1761" w:type="dxa"/>
            <w:noWrap w:val="0"/>
            <w:vAlign w:val="center"/>
          </w:tcPr>
          <w:p w14:paraId="7CBEC845">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1</w:t>
            </w:r>
          </w:p>
        </w:tc>
        <w:tc>
          <w:tcPr>
            <w:tcW w:w="1628" w:type="dxa"/>
            <w:noWrap w:val="0"/>
            <w:vAlign w:val="center"/>
          </w:tcPr>
          <w:p w14:paraId="59727855">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0.1</w:t>
            </w:r>
          </w:p>
        </w:tc>
        <w:tc>
          <w:tcPr>
            <w:tcW w:w="1157" w:type="dxa"/>
            <w:noWrap w:val="0"/>
            <w:vAlign w:val="center"/>
          </w:tcPr>
          <w:p w14:paraId="006679B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0"/>
                <w:szCs w:val="21"/>
                <w:highlight w:val="none"/>
                <w:lang w:val="en-US" w:eastAsia="zh-CN" w:bidi="ar"/>
              </w:rPr>
            </w:pPr>
            <w:r>
              <w:rPr>
                <w:rFonts w:hint="eastAsia" w:cs="Times New Roman"/>
                <w:color w:val="auto"/>
                <w:kern w:val="0"/>
                <w:szCs w:val="21"/>
                <w:highlight w:val="none"/>
                <w:lang w:val="en-US" w:eastAsia="zh-CN" w:bidi="ar"/>
              </w:rPr>
              <w:t>-1</w:t>
            </w:r>
          </w:p>
        </w:tc>
      </w:tr>
      <w:tr w14:paraId="55EA5B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979" w:type="dxa"/>
            <w:vMerge w:val="continue"/>
            <w:noWrap w:val="0"/>
            <w:vAlign w:val="center"/>
          </w:tcPr>
          <w:p w14:paraId="0E694B17">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kern w:val="21"/>
                <w:szCs w:val="21"/>
                <w:highlight w:val="none"/>
              </w:rPr>
            </w:pPr>
          </w:p>
        </w:tc>
        <w:tc>
          <w:tcPr>
            <w:tcW w:w="2115" w:type="dxa"/>
            <w:noWrap w:val="0"/>
            <w:vAlign w:val="center"/>
          </w:tcPr>
          <w:p w14:paraId="7471A8C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纸板边角料</w:t>
            </w:r>
          </w:p>
        </w:tc>
        <w:tc>
          <w:tcPr>
            <w:tcW w:w="1612" w:type="dxa"/>
            <w:noWrap w:val="0"/>
            <w:vAlign w:val="center"/>
          </w:tcPr>
          <w:p w14:paraId="4B32854D">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0</w:t>
            </w:r>
          </w:p>
        </w:tc>
        <w:tc>
          <w:tcPr>
            <w:tcW w:w="1276" w:type="dxa"/>
            <w:noWrap w:val="0"/>
            <w:vAlign w:val="center"/>
          </w:tcPr>
          <w:p w14:paraId="7028F1E6">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w:t>
            </w:r>
          </w:p>
        </w:tc>
        <w:tc>
          <w:tcPr>
            <w:tcW w:w="1701" w:type="dxa"/>
            <w:noWrap w:val="0"/>
            <w:vAlign w:val="center"/>
          </w:tcPr>
          <w:p w14:paraId="0EC9A8F7">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0</w:t>
            </w:r>
          </w:p>
        </w:tc>
        <w:tc>
          <w:tcPr>
            <w:tcW w:w="1559" w:type="dxa"/>
            <w:noWrap w:val="0"/>
            <w:vAlign w:val="center"/>
          </w:tcPr>
          <w:p w14:paraId="15436AA0">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2.2</w:t>
            </w:r>
          </w:p>
        </w:tc>
        <w:tc>
          <w:tcPr>
            <w:tcW w:w="1761" w:type="dxa"/>
            <w:noWrap w:val="0"/>
            <w:vAlign w:val="center"/>
          </w:tcPr>
          <w:p w14:paraId="15157CA6">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w:t>
            </w:r>
          </w:p>
        </w:tc>
        <w:tc>
          <w:tcPr>
            <w:tcW w:w="1628" w:type="dxa"/>
            <w:noWrap w:val="0"/>
            <w:vAlign w:val="center"/>
          </w:tcPr>
          <w:p w14:paraId="7AF309CD">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2.2</w:t>
            </w:r>
          </w:p>
        </w:tc>
        <w:tc>
          <w:tcPr>
            <w:tcW w:w="1157" w:type="dxa"/>
            <w:noWrap w:val="0"/>
            <w:vAlign w:val="center"/>
          </w:tcPr>
          <w:p w14:paraId="2057FE9E">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kern w:val="0"/>
                <w:szCs w:val="21"/>
                <w:highlight w:val="none"/>
                <w:lang w:val="en-US" w:eastAsia="zh-CN" w:bidi="ar"/>
              </w:rPr>
            </w:pPr>
            <w:r>
              <w:rPr>
                <w:rFonts w:hint="eastAsia" w:cs="Times New Roman"/>
                <w:color w:val="auto"/>
                <w:kern w:val="0"/>
                <w:szCs w:val="21"/>
                <w:highlight w:val="none"/>
                <w:lang w:val="en-US" w:eastAsia="zh-CN" w:bidi="ar"/>
              </w:rPr>
              <w:t>0</w:t>
            </w:r>
          </w:p>
        </w:tc>
      </w:tr>
      <w:tr w14:paraId="3B8954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979" w:type="dxa"/>
            <w:vMerge w:val="continue"/>
            <w:noWrap w:val="0"/>
            <w:vAlign w:val="center"/>
          </w:tcPr>
          <w:p w14:paraId="2305F377">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kern w:val="21"/>
                <w:szCs w:val="21"/>
                <w:highlight w:val="none"/>
              </w:rPr>
            </w:pPr>
          </w:p>
        </w:tc>
        <w:tc>
          <w:tcPr>
            <w:tcW w:w="2115" w:type="dxa"/>
            <w:noWrap w:val="0"/>
            <w:vAlign w:val="center"/>
          </w:tcPr>
          <w:p w14:paraId="68C9DB3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废模具</w:t>
            </w:r>
          </w:p>
        </w:tc>
        <w:tc>
          <w:tcPr>
            <w:tcW w:w="1612" w:type="dxa"/>
            <w:noWrap w:val="0"/>
            <w:vAlign w:val="center"/>
          </w:tcPr>
          <w:p w14:paraId="49A93E90">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0</w:t>
            </w:r>
          </w:p>
        </w:tc>
        <w:tc>
          <w:tcPr>
            <w:tcW w:w="1276" w:type="dxa"/>
            <w:noWrap w:val="0"/>
            <w:vAlign w:val="center"/>
          </w:tcPr>
          <w:p w14:paraId="7EE07A1C">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w:t>
            </w:r>
          </w:p>
        </w:tc>
        <w:tc>
          <w:tcPr>
            <w:tcW w:w="1701" w:type="dxa"/>
            <w:noWrap w:val="0"/>
            <w:vAlign w:val="center"/>
          </w:tcPr>
          <w:p w14:paraId="1386C198">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0</w:t>
            </w:r>
          </w:p>
        </w:tc>
        <w:tc>
          <w:tcPr>
            <w:tcW w:w="1559" w:type="dxa"/>
            <w:noWrap w:val="0"/>
            <w:vAlign w:val="center"/>
          </w:tcPr>
          <w:p w14:paraId="03228234">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0.6</w:t>
            </w:r>
          </w:p>
        </w:tc>
        <w:tc>
          <w:tcPr>
            <w:tcW w:w="1761" w:type="dxa"/>
            <w:noWrap w:val="0"/>
            <w:vAlign w:val="center"/>
          </w:tcPr>
          <w:p w14:paraId="65ED6222">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w:t>
            </w:r>
          </w:p>
        </w:tc>
        <w:tc>
          <w:tcPr>
            <w:tcW w:w="1628" w:type="dxa"/>
            <w:noWrap w:val="0"/>
            <w:vAlign w:val="center"/>
          </w:tcPr>
          <w:p w14:paraId="2B06AB7E">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0.6</w:t>
            </w:r>
          </w:p>
        </w:tc>
        <w:tc>
          <w:tcPr>
            <w:tcW w:w="1157" w:type="dxa"/>
            <w:noWrap w:val="0"/>
            <w:vAlign w:val="center"/>
          </w:tcPr>
          <w:p w14:paraId="65D26EEA">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kern w:val="0"/>
                <w:szCs w:val="21"/>
                <w:highlight w:val="none"/>
                <w:lang w:val="en-US" w:eastAsia="zh-CN" w:bidi="ar"/>
              </w:rPr>
            </w:pPr>
            <w:r>
              <w:rPr>
                <w:rFonts w:hint="eastAsia" w:cs="Times New Roman"/>
                <w:color w:val="auto"/>
                <w:kern w:val="0"/>
                <w:szCs w:val="21"/>
                <w:highlight w:val="none"/>
                <w:lang w:val="en-US" w:eastAsia="zh-CN" w:bidi="ar"/>
              </w:rPr>
              <w:t>0</w:t>
            </w:r>
          </w:p>
        </w:tc>
      </w:tr>
      <w:tr w14:paraId="1EDEA3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9" w:type="dxa"/>
            <w:vMerge w:val="restart"/>
            <w:noWrap w:val="0"/>
            <w:vAlign w:val="center"/>
          </w:tcPr>
          <w:p w14:paraId="5E140968">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kern w:val="21"/>
                <w:szCs w:val="21"/>
                <w:highlight w:val="none"/>
              </w:rPr>
            </w:pPr>
            <w:r>
              <w:rPr>
                <w:rFonts w:hint="eastAsia" w:ascii="Times New Roman" w:hAnsi="Times New Roman" w:eastAsia="宋体" w:cs="Times New Roman"/>
                <w:snapToGrid w:val="0"/>
                <w:color w:val="auto"/>
                <w:kern w:val="21"/>
                <w:szCs w:val="21"/>
                <w:highlight w:val="none"/>
              </w:rPr>
              <w:t>危险废物</w:t>
            </w:r>
          </w:p>
        </w:tc>
        <w:tc>
          <w:tcPr>
            <w:tcW w:w="2115" w:type="dxa"/>
            <w:noWrap w:val="0"/>
            <w:vAlign w:val="center"/>
          </w:tcPr>
          <w:p w14:paraId="3D38ED59">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废活性炭</w:t>
            </w:r>
          </w:p>
        </w:tc>
        <w:tc>
          <w:tcPr>
            <w:tcW w:w="1612" w:type="dxa"/>
            <w:noWrap w:val="0"/>
            <w:vAlign w:val="center"/>
          </w:tcPr>
          <w:p w14:paraId="489D0C61">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rPr>
              <w:t>0.</w:t>
            </w:r>
            <w:r>
              <w:rPr>
                <w:rFonts w:hint="eastAsia" w:cs="Times New Roman"/>
                <w:snapToGrid w:val="0"/>
                <w:color w:val="auto"/>
                <w:kern w:val="21"/>
                <w:szCs w:val="21"/>
                <w:highlight w:val="none"/>
                <w:lang w:val="en-US" w:eastAsia="zh-CN"/>
              </w:rPr>
              <w:t>015</w:t>
            </w:r>
          </w:p>
        </w:tc>
        <w:tc>
          <w:tcPr>
            <w:tcW w:w="1276" w:type="dxa"/>
            <w:noWrap w:val="0"/>
            <w:vAlign w:val="center"/>
          </w:tcPr>
          <w:p w14:paraId="6B67C823">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eastAsia="zh-CN"/>
              </w:rPr>
            </w:pPr>
            <w:r>
              <w:rPr>
                <w:rFonts w:hint="eastAsia" w:cs="Times New Roman"/>
                <w:snapToGrid w:val="0"/>
                <w:color w:val="auto"/>
                <w:kern w:val="21"/>
                <w:szCs w:val="21"/>
                <w:highlight w:val="none"/>
                <w:lang w:val="en-US" w:eastAsia="zh-CN"/>
              </w:rPr>
              <w:t>/</w:t>
            </w:r>
          </w:p>
        </w:tc>
        <w:tc>
          <w:tcPr>
            <w:tcW w:w="1701" w:type="dxa"/>
            <w:noWrap w:val="0"/>
            <w:vAlign w:val="center"/>
          </w:tcPr>
          <w:p w14:paraId="21AC202C">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eastAsia="zh-CN"/>
              </w:rPr>
            </w:pPr>
            <w:r>
              <w:rPr>
                <w:rFonts w:hint="eastAsia" w:cs="Times New Roman"/>
                <w:snapToGrid w:val="0"/>
                <w:color w:val="auto"/>
                <w:kern w:val="21"/>
                <w:szCs w:val="21"/>
                <w:highlight w:val="none"/>
                <w:lang w:val="en-US" w:eastAsia="zh-CN"/>
              </w:rPr>
              <w:t>0</w:t>
            </w:r>
          </w:p>
        </w:tc>
        <w:tc>
          <w:tcPr>
            <w:tcW w:w="1559" w:type="dxa"/>
            <w:noWrap w:val="0"/>
            <w:vAlign w:val="center"/>
          </w:tcPr>
          <w:p w14:paraId="74A6AA45">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4.31</w:t>
            </w:r>
          </w:p>
        </w:tc>
        <w:tc>
          <w:tcPr>
            <w:tcW w:w="1761" w:type="dxa"/>
            <w:noWrap w:val="0"/>
            <w:vAlign w:val="center"/>
          </w:tcPr>
          <w:p w14:paraId="748990D1">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0.015</w:t>
            </w:r>
          </w:p>
        </w:tc>
        <w:tc>
          <w:tcPr>
            <w:tcW w:w="1628" w:type="dxa"/>
            <w:noWrap w:val="0"/>
            <w:vAlign w:val="center"/>
          </w:tcPr>
          <w:p w14:paraId="3034E298">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szCs w:val="21"/>
                <w:highlight w:val="none"/>
                <w:lang w:val="en-US" w:eastAsia="zh-CN"/>
              </w:rPr>
            </w:pPr>
            <w:r>
              <w:rPr>
                <w:rFonts w:hint="eastAsia" w:cs="Times New Roman"/>
                <w:color w:val="auto"/>
                <w:kern w:val="0"/>
                <w:szCs w:val="21"/>
                <w:highlight w:val="none"/>
                <w:lang w:val="en-US" w:eastAsia="zh-CN"/>
              </w:rPr>
              <w:t>4.31</w:t>
            </w:r>
          </w:p>
        </w:tc>
        <w:tc>
          <w:tcPr>
            <w:tcW w:w="1157" w:type="dxa"/>
            <w:noWrap w:val="0"/>
            <w:vAlign w:val="center"/>
          </w:tcPr>
          <w:p w14:paraId="38271D1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eastAsia" w:cs="Times New Roman"/>
                <w:color w:val="auto"/>
                <w:kern w:val="0"/>
                <w:szCs w:val="21"/>
                <w:highlight w:val="none"/>
                <w:lang w:val="en-US" w:eastAsia="zh-CN" w:bidi="ar"/>
              </w:rPr>
              <w:t>-0.015</w:t>
            </w:r>
          </w:p>
        </w:tc>
      </w:tr>
      <w:tr w14:paraId="7C24F3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9" w:type="dxa"/>
            <w:vMerge w:val="continue"/>
            <w:noWrap w:val="0"/>
            <w:vAlign w:val="center"/>
          </w:tcPr>
          <w:p w14:paraId="26748DEA">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kern w:val="21"/>
                <w:szCs w:val="21"/>
                <w:highlight w:val="none"/>
              </w:rPr>
            </w:pPr>
          </w:p>
        </w:tc>
        <w:tc>
          <w:tcPr>
            <w:tcW w:w="2115" w:type="dxa"/>
            <w:noWrap w:val="0"/>
            <w:vAlign w:val="center"/>
          </w:tcPr>
          <w:p w14:paraId="22BF60F9">
            <w:pPr>
              <w:keepNext w:val="0"/>
              <w:keepLines w:val="0"/>
              <w:suppressLineNumbers w:val="0"/>
              <w:snapToGrid w:val="0"/>
              <w:spacing w:before="0" w:beforeAutospacing="0" w:after="0" w:afterAutospacing="0"/>
              <w:ind w:left="0" w:right="0"/>
              <w:jc w:val="center"/>
              <w:rPr>
                <w:rFonts w:hint="eastAsia"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废油墨桶</w:t>
            </w:r>
          </w:p>
        </w:tc>
        <w:tc>
          <w:tcPr>
            <w:tcW w:w="1612" w:type="dxa"/>
            <w:noWrap w:val="0"/>
            <w:vAlign w:val="center"/>
          </w:tcPr>
          <w:p w14:paraId="5F7AD790">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rPr>
              <w:t>0</w:t>
            </w:r>
            <w:r>
              <w:rPr>
                <w:rFonts w:hint="eastAsia" w:cs="Times New Roman"/>
                <w:snapToGrid w:val="0"/>
                <w:color w:val="auto"/>
                <w:kern w:val="21"/>
                <w:szCs w:val="21"/>
                <w:highlight w:val="none"/>
                <w:lang w:val="en-US" w:eastAsia="zh-CN"/>
              </w:rPr>
              <w:t>.004</w:t>
            </w:r>
          </w:p>
        </w:tc>
        <w:tc>
          <w:tcPr>
            <w:tcW w:w="1276" w:type="dxa"/>
            <w:noWrap w:val="0"/>
            <w:vAlign w:val="center"/>
          </w:tcPr>
          <w:p w14:paraId="37CA69E2">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eastAsia="zh-CN"/>
              </w:rPr>
            </w:pPr>
            <w:r>
              <w:rPr>
                <w:rFonts w:hint="eastAsia" w:cs="Times New Roman"/>
                <w:snapToGrid w:val="0"/>
                <w:color w:val="auto"/>
                <w:kern w:val="21"/>
                <w:szCs w:val="21"/>
                <w:highlight w:val="none"/>
                <w:lang w:val="en-US" w:eastAsia="zh-CN"/>
              </w:rPr>
              <w:t>/</w:t>
            </w:r>
          </w:p>
        </w:tc>
        <w:tc>
          <w:tcPr>
            <w:tcW w:w="1701" w:type="dxa"/>
            <w:noWrap w:val="0"/>
            <w:vAlign w:val="center"/>
          </w:tcPr>
          <w:p w14:paraId="54CFF781">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eastAsia="zh-CN"/>
              </w:rPr>
            </w:pPr>
            <w:r>
              <w:rPr>
                <w:rFonts w:hint="eastAsia" w:cs="Times New Roman"/>
                <w:snapToGrid w:val="0"/>
                <w:color w:val="auto"/>
                <w:kern w:val="21"/>
                <w:szCs w:val="21"/>
                <w:highlight w:val="none"/>
                <w:lang w:val="en-US" w:eastAsia="zh-CN"/>
              </w:rPr>
              <w:t>0</w:t>
            </w:r>
          </w:p>
        </w:tc>
        <w:tc>
          <w:tcPr>
            <w:tcW w:w="1559" w:type="dxa"/>
            <w:noWrap w:val="0"/>
            <w:vAlign w:val="center"/>
          </w:tcPr>
          <w:p w14:paraId="7C1D9ED3">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rPr>
              <w:t>0.</w:t>
            </w:r>
            <w:r>
              <w:rPr>
                <w:rFonts w:hint="eastAsia" w:cs="Times New Roman"/>
                <w:color w:val="auto"/>
                <w:szCs w:val="21"/>
                <w:highlight w:val="none"/>
                <w:lang w:val="en-US" w:eastAsia="zh-CN"/>
              </w:rPr>
              <w:t>001</w:t>
            </w:r>
          </w:p>
        </w:tc>
        <w:tc>
          <w:tcPr>
            <w:tcW w:w="1761" w:type="dxa"/>
            <w:noWrap w:val="0"/>
            <w:vAlign w:val="center"/>
          </w:tcPr>
          <w:p w14:paraId="76AD9C6C">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0.004</w:t>
            </w:r>
          </w:p>
        </w:tc>
        <w:tc>
          <w:tcPr>
            <w:tcW w:w="1628" w:type="dxa"/>
            <w:noWrap w:val="0"/>
            <w:vAlign w:val="center"/>
          </w:tcPr>
          <w:p w14:paraId="4563A8C6">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0.001</w:t>
            </w:r>
          </w:p>
        </w:tc>
        <w:tc>
          <w:tcPr>
            <w:tcW w:w="1157" w:type="dxa"/>
            <w:noWrap w:val="0"/>
            <w:vAlign w:val="center"/>
          </w:tcPr>
          <w:p w14:paraId="26854C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szCs w:val="21"/>
                <w:highlight w:val="none"/>
                <w:lang w:val="en-US" w:eastAsia="zh-CN"/>
              </w:rPr>
            </w:pPr>
            <w:r>
              <w:rPr>
                <w:rFonts w:hint="eastAsia" w:cs="Times New Roman"/>
                <w:color w:val="auto"/>
                <w:kern w:val="0"/>
                <w:szCs w:val="21"/>
                <w:highlight w:val="none"/>
                <w:lang w:val="en-US" w:eastAsia="zh-CN" w:bidi="ar"/>
              </w:rPr>
              <w:t>-0.004</w:t>
            </w:r>
          </w:p>
        </w:tc>
      </w:tr>
      <w:tr w14:paraId="6F3D42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9" w:type="dxa"/>
            <w:vMerge w:val="continue"/>
            <w:noWrap w:val="0"/>
            <w:vAlign w:val="center"/>
          </w:tcPr>
          <w:p w14:paraId="195EE2C2">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kern w:val="21"/>
                <w:szCs w:val="21"/>
                <w:highlight w:val="none"/>
              </w:rPr>
            </w:pPr>
          </w:p>
        </w:tc>
        <w:tc>
          <w:tcPr>
            <w:tcW w:w="2115" w:type="dxa"/>
            <w:noWrap w:val="0"/>
            <w:vAlign w:val="center"/>
          </w:tcPr>
          <w:p w14:paraId="583EE00A">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rPr>
              <w:t>废</w:t>
            </w:r>
            <w:r>
              <w:rPr>
                <w:rFonts w:hint="eastAsia" w:cs="Times New Roman"/>
                <w:color w:val="auto"/>
                <w:szCs w:val="21"/>
                <w:highlight w:val="none"/>
                <w:lang w:val="en-US" w:eastAsia="zh-CN"/>
              </w:rPr>
              <w:t>手套和抹布</w:t>
            </w:r>
          </w:p>
        </w:tc>
        <w:tc>
          <w:tcPr>
            <w:tcW w:w="1612" w:type="dxa"/>
            <w:noWrap w:val="0"/>
            <w:vAlign w:val="center"/>
          </w:tcPr>
          <w:p w14:paraId="7A4C8B2C">
            <w:pPr>
              <w:keepNext w:val="0"/>
              <w:keepLines w:val="0"/>
              <w:suppressLineNumbers w:val="0"/>
              <w:spacing w:before="0" w:beforeAutospacing="0" w:after="0" w:afterAutospacing="0"/>
              <w:ind w:left="0" w:right="0"/>
              <w:jc w:val="center"/>
              <w:rPr>
                <w:rFonts w:ascii="Times New Roman" w:hAnsi="Times New Roman" w:eastAsia="宋体" w:cs="Times New Roman"/>
                <w:snapToGrid w:val="0"/>
                <w:color w:val="auto"/>
                <w:kern w:val="21"/>
                <w:szCs w:val="21"/>
                <w:highlight w:val="none"/>
              </w:rPr>
            </w:pPr>
            <w:r>
              <w:rPr>
                <w:rFonts w:hint="eastAsia" w:ascii="Times New Roman" w:hAnsi="Times New Roman" w:eastAsia="宋体" w:cs="Times New Roman"/>
                <w:snapToGrid w:val="0"/>
                <w:color w:val="auto"/>
                <w:kern w:val="21"/>
                <w:szCs w:val="21"/>
                <w:highlight w:val="none"/>
              </w:rPr>
              <w:t>0</w:t>
            </w:r>
          </w:p>
        </w:tc>
        <w:tc>
          <w:tcPr>
            <w:tcW w:w="1276" w:type="dxa"/>
            <w:noWrap w:val="0"/>
            <w:vAlign w:val="center"/>
          </w:tcPr>
          <w:p w14:paraId="5E2A6DD7">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eastAsia="zh-CN"/>
              </w:rPr>
            </w:pPr>
            <w:r>
              <w:rPr>
                <w:rFonts w:hint="eastAsia" w:cs="Times New Roman"/>
                <w:snapToGrid w:val="0"/>
                <w:color w:val="auto"/>
                <w:kern w:val="21"/>
                <w:szCs w:val="21"/>
                <w:highlight w:val="none"/>
                <w:lang w:val="en-US" w:eastAsia="zh-CN"/>
              </w:rPr>
              <w:t>/</w:t>
            </w:r>
          </w:p>
        </w:tc>
        <w:tc>
          <w:tcPr>
            <w:tcW w:w="1701" w:type="dxa"/>
            <w:noWrap w:val="0"/>
            <w:vAlign w:val="center"/>
          </w:tcPr>
          <w:p w14:paraId="6BDFA787">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eastAsia="zh-CN"/>
              </w:rPr>
            </w:pPr>
            <w:r>
              <w:rPr>
                <w:rFonts w:hint="eastAsia" w:cs="Times New Roman"/>
                <w:snapToGrid w:val="0"/>
                <w:color w:val="auto"/>
                <w:kern w:val="21"/>
                <w:szCs w:val="21"/>
                <w:highlight w:val="none"/>
                <w:lang w:val="en-US" w:eastAsia="zh-CN"/>
              </w:rPr>
              <w:t>0</w:t>
            </w:r>
          </w:p>
        </w:tc>
        <w:tc>
          <w:tcPr>
            <w:tcW w:w="1559" w:type="dxa"/>
            <w:noWrap w:val="0"/>
            <w:vAlign w:val="center"/>
          </w:tcPr>
          <w:p w14:paraId="3C9DE1F3">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0.02</w:t>
            </w:r>
          </w:p>
        </w:tc>
        <w:tc>
          <w:tcPr>
            <w:tcW w:w="1761" w:type="dxa"/>
            <w:noWrap w:val="0"/>
            <w:vAlign w:val="center"/>
          </w:tcPr>
          <w:p w14:paraId="27A8AC7A">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Cs w:val="21"/>
                <w:highlight w:val="none"/>
                <w:lang w:val="en-US" w:eastAsia="zh-CN"/>
              </w:rPr>
            </w:pPr>
            <w:r>
              <w:rPr>
                <w:rFonts w:hint="eastAsia" w:cs="Times New Roman"/>
                <w:snapToGrid w:val="0"/>
                <w:color w:val="auto"/>
                <w:kern w:val="21"/>
                <w:szCs w:val="21"/>
                <w:highlight w:val="none"/>
                <w:lang w:val="en-US" w:eastAsia="zh-CN"/>
              </w:rPr>
              <w:t>/</w:t>
            </w:r>
          </w:p>
        </w:tc>
        <w:tc>
          <w:tcPr>
            <w:tcW w:w="1628" w:type="dxa"/>
            <w:noWrap w:val="0"/>
            <w:vAlign w:val="center"/>
          </w:tcPr>
          <w:p w14:paraId="3A8C9BAA">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0.02</w:t>
            </w:r>
          </w:p>
        </w:tc>
        <w:tc>
          <w:tcPr>
            <w:tcW w:w="1157" w:type="dxa"/>
            <w:noWrap w:val="0"/>
            <w:vAlign w:val="center"/>
          </w:tcPr>
          <w:p w14:paraId="0D77A1CF">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Cs w:val="21"/>
                <w:highlight w:val="none"/>
                <w:lang w:eastAsia="zh-CN"/>
              </w:rPr>
            </w:pPr>
            <w:r>
              <w:rPr>
                <w:rFonts w:hint="eastAsia" w:cs="Times New Roman"/>
                <w:color w:val="auto"/>
                <w:kern w:val="0"/>
                <w:szCs w:val="21"/>
                <w:highlight w:val="none"/>
                <w:lang w:val="en-US" w:eastAsia="zh-CN" w:bidi="ar"/>
              </w:rPr>
              <w:t>0</w:t>
            </w:r>
          </w:p>
        </w:tc>
      </w:tr>
      <w:tr w14:paraId="7F8B1F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9" w:type="dxa"/>
            <w:vMerge w:val="continue"/>
            <w:noWrap w:val="0"/>
            <w:vAlign w:val="center"/>
          </w:tcPr>
          <w:p w14:paraId="65E06096">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kern w:val="21"/>
                <w:szCs w:val="21"/>
                <w:highlight w:val="none"/>
              </w:rPr>
            </w:pPr>
          </w:p>
        </w:tc>
        <w:tc>
          <w:tcPr>
            <w:tcW w:w="2115" w:type="dxa"/>
            <w:noWrap w:val="0"/>
            <w:vAlign w:val="center"/>
          </w:tcPr>
          <w:p w14:paraId="32DE3784">
            <w:pPr>
              <w:keepNext w:val="0"/>
              <w:keepLines w:val="0"/>
              <w:widowControl/>
              <w:suppressLineNumbers w:val="0"/>
              <w:spacing w:before="0" w:beforeAutospacing="0" w:after="0" w:afterAutospacing="0"/>
              <w:ind w:left="0" w:right="0"/>
              <w:jc w:val="center"/>
              <w:textAlignment w:val="bottom"/>
              <w:rPr>
                <w:rFonts w:hint="eastAsia" w:ascii="Times New Roman" w:hAnsi="Times New Roman" w:eastAsia="宋体" w:cs="Times New Roman"/>
                <w:color w:val="auto"/>
                <w:kern w:val="0"/>
                <w:szCs w:val="21"/>
                <w:highlight w:val="none"/>
                <w:lang w:val="en-US" w:eastAsia="zh-CN" w:bidi="ar"/>
              </w:rPr>
            </w:pPr>
            <w:r>
              <w:rPr>
                <w:rFonts w:hint="eastAsia" w:cs="Times New Roman"/>
                <w:color w:val="auto"/>
                <w:kern w:val="0"/>
                <w:szCs w:val="21"/>
                <w:highlight w:val="none"/>
                <w:lang w:val="en-US" w:eastAsia="zh-CN" w:bidi="ar"/>
              </w:rPr>
              <w:t>废机油</w:t>
            </w:r>
          </w:p>
        </w:tc>
        <w:tc>
          <w:tcPr>
            <w:tcW w:w="1612" w:type="dxa"/>
            <w:noWrap w:val="0"/>
            <w:vAlign w:val="center"/>
          </w:tcPr>
          <w:p w14:paraId="73368856">
            <w:pPr>
              <w:keepNext w:val="0"/>
              <w:keepLines w:val="0"/>
              <w:suppressLineNumbers w:val="0"/>
              <w:spacing w:before="0" w:beforeAutospacing="0" w:after="0" w:afterAutospacing="0"/>
              <w:ind w:left="0" w:right="0"/>
              <w:jc w:val="center"/>
              <w:rPr>
                <w:rFonts w:hint="default" w:ascii="Times New Roman" w:hAnsi="Times New Roman" w:eastAsia="宋体"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rPr>
              <w:t>0</w:t>
            </w:r>
          </w:p>
        </w:tc>
        <w:tc>
          <w:tcPr>
            <w:tcW w:w="1276" w:type="dxa"/>
            <w:noWrap w:val="0"/>
            <w:vAlign w:val="center"/>
          </w:tcPr>
          <w:p w14:paraId="2060805D">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eastAsia="zh-CN"/>
              </w:rPr>
            </w:pPr>
            <w:r>
              <w:rPr>
                <w:rFonts w:hint="eastAsia" w:cs="Times New Roman"/>
                <w:snapToGrid w:val="0"/>
                <w:color w:val="auto"/>
                <w:kern w:val="21"/>
                <w:szCs w:val="21"/>
                <w:highlight w:val="none"/>
                <w:lang w:val="en-US" w:eastAsia="zh-CN"/>
              </w:rPr>
              <w:t>/</w:t>
            </w:r>
          </w:p>
        </w:tc>
        <w:tc>
          <w:tcPr>
            <w:tcW w:w="1701" w:type="dxa"/>
            <w:noWrap w:val="0"/>
            <w:vAlign w:val="center"/>
          </w:tcPr>
          <w:p w14:paraId="6FB7CAC3">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eastAsia="zh-CN"/>
              </w:rPr>
            </w:pPr>
            <w:r>
              <w:rPr>
                <w:rFonts w:hint="eastAsia" w:cs="Times New Roman"/>
                <w:snapToGrid w:val="0"/>
                <w:color w:val="auto"/>
                <w:kern w:val="21"/>
                <w:szCs w:val="21"/>
                <w:highlight w:val="none"/>
                <w:lang w:val="en-US" w:eastAsia="zh-CN"/>
              </w:rPr>
              <w:t>0</w:t>
            </w:r>
          </w:p>
        </w:tc>
        <w:tc>
          <w:tcPr>
            <w:tcW w:w="1559" w:type="dxa"/>
            <w:noWrap w:val="0"/>
            <w:vAlign w:val="center"/>
          </w:tcPr>
          <w:p w14:paraId="3812220A">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0.01</w:t>
            </w:r>
          </w:p>
        </w:tc>
        <w:tc>
          <w:tcPr>
            <w:tcW w:w="1761" w:type="dxa"/>
            <w:noWrap w:val="0"/>
            <w:vAlign w:val="center"/>
          </w:tcPr>
          <w:p w14:paraId="69454547">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eastAsia="zh-CN"/>
              </w:rPr>
            </w:pPr>
            <w:r>
              <w:rPr>
                <w:rFonts w:hint="eastAsia" w:cs="Times New Roman"/>
                <w:snapToGrid w:val="0"/>
                <w:color w:val="auto"/>
                <w:kern w:val="21"/>
                <w:szCs w:val="21"/>
                <w:highlight w:val="none"/>
                <w:lang w:val="en-US" w:eastAsia="zh-CN"/>
              </w:rPr>
              <w:t>/</w:t>
            </w:r>
          </w:p>
        </w:tc>
        <w:tc>
          <w:tcPr>
            <w:tcW w:w="1628" w:type="dxa"/>
            <w:noWrap w:val="0"/>
            <w:vAlign w:val="center"/>
          </w:tcPr>
          <w:p w14:paraId="107CA309">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0.01</w:t>
            </w:r>
          </w:p>
        </w:tc>
        <w:tc>
          <w:tcPr>
            <w:tcW w:w="1157" w:type="dxa"/>
            <w:noWrap w:val="0"/>
            <w:vAlign w:val="center"/>
          </w:tcPr>
          <w:p w14:paraId="0F1BB40E">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Cs w:val="21"/>
                <w:highlight w:val="none"/>
                <w:lang w:val="en-US" w:eastAsia="zh-CN"/>
              </w:rPr>
            </w:pPr>
            <w:r>
              <w:rPr>
                <w:rFonts w:hint="eastAsia" w:cs="Times New Roman"/>
                <w:color w:val="auto"/>
                <w:kern w:val="0"/>
                <w:szCs w:val="21"/>
                <w:highlight w:val="none"/>
                <w:lang w:val="en-US" w:eastAsia="zh-CN" w:bidi="ar"/>
              </w:rPr>
              <w:t>0</w:t>
            </w:r>
          </w:p>
        </w:tc>
      </w:tr>
      <w:tr w14:paraId="1480D9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9" w:type="dxa"/>
            <w:vMerge w:val="continue"/>
            <w:noWrap w:val="0"/>
            <w:vAlign w:val="top"/>
          </w:tcPr>
          <w:p w14:paraId="022E3ABB">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kern w:val="21"/>
                <w:szCs w:val="21"/>
                <w:highlight w:val="none"/>
              </w:rPr>
            </w:pPr>
          </w:p>
        </w:tc>
        <w:tc>
          <w:tcPr>
            <w:tcW w:w="2115" w:type="dxa"/>
            <w:noWrap w:val="0"/>
            <w:vAlign w:val="center"/>
          </w:tcPr>
          <w:p w14:paraId="3EE7D07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rPr>
              <w:t>废</w:t>
            </w:r>
            <w:r>
              <w:rPr>
                <w:rFonts w:hint="eastAsia" w:cs="Times New Roman"/>
                <w:color w:val="auto"/>
                <w:szCs w:val="21"/>
                <w:highlight w:val="none"/>
                <w:lang w:val="en-US" w:eastAsia="zh-CN"/>
              </w:rPr>
              <w:t>机油桶</w:t>
            </w:r>
          </w:p>
        </w:tc>
        <w:tc>
          <w:tcPr>
            <w:tcW w:w="1612" w:type="dxa"/>
            <w:noWrap w:val="0"/>
            <w:vAlign w:val="center"/>
          </w:tcPr>
          <w:p w14:paraId="1E1D3334">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eastAsia="zh-CN"/>
              </w:rPr>
            </w:pPr>
            <w:r>
              <w:rPr>
                <w:rFonts w:hint="eastAsia" w:cs="Times New Roman"/>
                <w:snapToGrid w:val="0"/>
                <w:color w:val="auto"/>
                <w:kern w:val="21"/>
                <w:szCs w:val="21"/>
                <w:highlight w:val="none"/>
                <w:lang w:val="en-US" w:eastAsia="zh-CN"/>
              </w:rPr>
              <w:t>0</w:t>
            </w:r>
          </w:p>
        </w:tc>
        <w:tc>
          <w:tcPr>
            <w:tcW w:w="1276" w:type="dxa"/>
            <w:noWrap w:val="0"/>
            <w:vAlign w:val="center"/>
          </w:tcPr>
          <w:p w14:paraId="3ABA8F59">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eastAsia="zh-CN"/>
              </w:rPr>
            </w:pPr>
            <w:r>
              <w:rPr>
                <w:rFonts w:hint="eastAsia" w:cs="Times New Roman"/>
                <w:snapToGrid w:val="0"/>
                <w:color w:val="auto"/>
                <w:kern w:val="21"/>
                <w:szCs w:val="21"/>
                <w:highlight w:val="none"/>
                <w:lang w:val="en-US" w:eastAsia="zh-CN"/>
              </w:rPr>
              <w:t>/</w:t>
            </w:r>
          </w:p>
        </w:tc>
        <w:tc>
          <w:tcPr>
            <w:tcW w:w="1701" w:type="dxa"/>
            <w:noWrap w:val="0"/>
            <w:vAlign w:val="center"/>
          </w:tcPr>
          <w:p w14:paraId="1DDBBA2D">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rPr>
            </w:pPr>
            <w:r>
              <w:rPr>
                <w:rFonts w:hint="eastAsia" w:ascii="Times New Roman" w:hAnsi="Times New Roman" w:eastAsia="宋体" w:cs="Times New Roman"/>
                <w:snapToGrid w:val="0"/>
                <w:color w:val="auto"/>
                <w:kern w:val="21"/>
                <w:szCs w:val="21"/>
                <w:highlight w:val="none"/>
              </w:rPr>
              <w:t>0</w:t>
            </w:r>
          </w:p>
        </w:tc>
        <w:tc>
          <w:tcPr>
            <w:tcW w:w="1559" w:type="dxa"/>
            <w:noWrap w:val="0"/>
            <w:vAlign w:val="center"/>
          </w:tcPr>
          <w:p w14:paraId="7E5DA671">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0.001</w:t>
            </w:r>
          </w:p>
        </w:tc>
        <w:tc>
          <w:tcPr>
            <w:tcW w:w="1761" w:type="dxa"/>
            <w:noWrap w:val="0"/>
            <w:vAlign w:val="center"/>
          </w:tcPr>
          <w:p w14:paraId="5B20A307">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eastAsia="zh-CN"/>
              </w:rPr>
            </w:pPr>
            <w:r>
              <w:rPr>
                <w:rFonts w:hint="eastAsia" w:cs="Times New Roman"/>
                <w:snapToGrid w:val="0"/>
                <w:color w:val="auto"/>
                <w:kern w:val="21"/>
                <w:szCs w:val="21"/>
                <w:highlight w:val="none"/>
                <w:lang w:val="en-US" w:eastAsia="zh-CN"/>
              </w:rPr>
              <w:t>/</w:t>
            </w:r>
          </w:p>
        </w:tc>
        <w:tc>
          <w:tcPr>
            <w:tcW w:w="1628" w:type="dxa"/>
            <w:noWrap w:val="0"/>
            <w:vAlign w:val="center"/>
          </w:tcPr>
          <w:p w14:paraId="6994BC0C">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0.001</w:t>
            </w:r>
          </w:p>
        </w:tc>
        <w:tc>
          <w:tcPr>
            <w:tcW w:w="1157" w:type="dxa"/>
            <w:noWrap w:val="0"/>
            <w:vAlign w:val="center"/>
          </w:tcPr>
          <w:p w14:paraId="21E76165">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Cs w:val="21"/>
                <w:highlight w:val="none"/>
                <w:lang w:eastAsia="zh-CN"/>
              </w:rPr>
            </w:pPr>
            <w:r>
              <w:rPr>
                <w:rFonts w:hint="eastAsia" w:cs="Times New Roman"/>
                <w:color w:val="auto"/>
                <w:kern w:val="0"/>
                <w:szCs w:val="21"/>
                <w:highlight w:val="none"/>
                <w:lang w:val="en-US" w:eastAsia="zh-CN" w:bidi="ar"/>
              </w:rPr>
              <w:t>0</w:t>
            </w:r>
          </w:p>
        </w:tc>
      </w:tr>
      <w:tr w14:paraId="1E8B66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979" w:type="dxa"/>
            <w:vMerge w:val="continue"/>
            <w:noWrap w:val="0"/>
            <w:vAlign w:val="top"/>
          </w:tcPr>
          <w:p w14:paraId="50495D55">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kern w:val="21"/>
                <w:szCs w:val="21"/>
                <w:highlight w:val="none"/>
              </w:rPr>
            </w:pPr>
          </w:p>
        </w:tc>
        <w:tc>
          <w:tcPr>
            <w:tcW w:w="2115" w:type="dxa"/>
            <w:noWrap w:val="0"/>
            <w:vAlign w:val="center"/>
          </w:tcPr>
          <w:p w14:paraId="3B1EDE3E">
            <w:pPr>
              <w:keepNext w:val="0"/>
              <w:keepLines w:val="0"/>
              <w:widowControl/>
              <w:suppressLineNumbers w:val="0"/>
              <w:spacing w:before="0" w:beforeAutospacing="0" w:after="0" w:afterAutospacing="0"/>
              <w:ind w:left="0" w:right="0"/>
              <w:jc w:val="center"/>
              <w:textAlignment w:val="bottom"/>
              <w:rPr>
                <w:rFonts w:hint="default" w:ascii="Times New Roman" w:hAnsi="Times New Roman" w:eastAsia="宋体" w:cs="Times New Roman"/>
                <w:color w:val="auto"/>
                <w:kern w:val="0"/>
                <w:szCs w:val="21"/>
                <w:highlight w:val="none"/>
                <w:lang w:val="en-US" w:eastAsia="zh-CN" w:bidi="ar"/>
              </w:rPr>
            </w:pPr>
            <w:r>
              <w:rPr>
                <w:rFonts w:hint="eastAsia" w:cs="Times New Roman"/>
                <w:color w:val="auto"/>
                <w:kern w:val="0"/>
                <w:szCs w:val="21"/>
                <w:highlight w:val="none"/>
                <w:lang w:val="en-US" w:eastAsia="zh-CN" w:bidi="ar"/>
              </w:rPr>
              <w:t>冷却废水</w:t>
            </w:r>
          </w:p>
        </w:tc>
        <w:tc>
          <w:tcPr>
            <w:tcW w:w="1612" w:type="dxa"/>
            <w:noWrap w:val="0"/>
            <w:vAlign w:val="center"/>
          </w:tcPr>
          <w:p w14:paraId="3F8978C3">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eastAsia="zh-CN"/>
              </w:rPr>
            </w:pPr>
            <w:r>
              <w:rPr>
                <w:rFonts w:hint="eastAsia" w:cs="Times New Roman"/>
                <w:snapToGrid w:val="0"/>
                <w:color w:val="auto"/>
                <w:kern w:val="21"/>
                <w:szCs w:val="21"/>
                <w:highlight w:val="none"/>
                <w:lang w:val="en-US" w:eastAsia="zh-CN"/>
              </w:rPr>
              <w:t>0</w:t>
            </w:r>
          </w:p>
        </w:tc>
        <w:tc>
          <w:tcPr>
            <w:tcW w:w="1276" w:type="dxa"/>
            <w:noWrap w:val="0"/>
            <w:vAlign w:val="center"/>
          </w:tcPr>
          <w:p w14:paraId="65F8EA6D">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eastAsia="zh-CN"/>
              </w:rPr>
            </w:pPr>
            <w:r>
              <w:rPr>
                <w:rFonts w:hint="eastAsia" w:cs="Times New Roman"/>
                <w:snapToGrid w:val="0"/>
                <w:color w:val="auto"/>
                <w:kern w:val="21"/>
                <w:szCs w:val="21"/>
                <w:highlight w:val="none"/>
                <w:lang w:val="en-US" w:eastAsia="zh-CN"/>
              </w:rPr>
              <w:t>/</w:t>
            </w:r>
          </w:p>
        </w:tc>
        <w:tc>
          <w:tcPr>
            <w:tcW w:w="1701" w:type="dxa"/>
            <w:noWrap w:val="0"/>
            <w:vAlign w:val="center"/>
          </w:tcPr>
          <w:p w14:paraId="1909B16E">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eastAsia="zh-CN"/>
              </w:rPr>
            </w:pPr>
            <w:r>
              <w:rPr>
                <w:rFonts w:hint="eastAsia" w:cs="Times New Roman"/>
                <w:snapToGrid w:val="0"/>
                <w:color w:val="auto"/>
                <w:kern w:val="21"/>
                <w:szCs w:val="21"/>
                <w:highlight w:val="none"/>
                <w:lang w:val="en-US" w:eastAsia="zh-CN"/>
              </w:rPr>
              <w:t>0</w:t>
            </w:r>
          </w:p>
        </w:tc>
        <w:tc>
          <w:tcPr>
            <w:tcW w:w="1559" w:type="dxa"/>
            <w:noWrap w:val="0"/>
            <w:vAlign w:val="center"/>
          </w:tcPr>
          <w:p w14:paraId="206BE613">
            <w:pPr>
              <w:keepNext w:val="0"/>
              <w:keepLines w:val="0"/>
              <w:suppressLineNumbers w:val="0"/>
              <w:adjustRightInd w:val="0"/>
              <w:snapToGrid w:val="0"/>
              <w:spacing w:before="0" w:beforeAutospacing="0" w:after="0" w:afterAutospacing="0"/>
              <w:ind w:left="-105" w:leftChars="-50" w:right="-105" w:rightChars="-50"/>
              <w:jc w:val="center"/>
              <w:rPr>
                <w:rFonts w:hint="eastAsia" w:ascii="Times New Roman" w:hAnsi="Times New Roman" w:eastAsia="宋体" w:cs="Times New Roman"/>
                <w:color w:val="auto"/>
                <w:szCs w:val="21"/>
                <w:highlight w:val="none"/>
                <w:lang w:eastAsia="zh-CN"/>
              </w:rPr>
            </w:pPr>
            <w:r>
              <w:rPr>
                <w:rFonts w:hint="eastAsia" w:cs="Times New Roman"/>
                <w:color w:val="auto"/>
                <w:szCs w:val="21"/>
                <w:highlight w:val="none"/>
                <w:lang w:val="en-US" w:eastAsia="zh-CN"/>
              </w:rPr>
              <w:t>2</w:t>
            </w:r>
          </w:p>
        </w:tc>
        <w:tc>
          <w:tcPr>
            <w:tcW w:w="1761" w:type="dxa"/>
            <w:noWrap w:val="0"/>
            <w:vAlign w:val="center"/>
          </w:tcPr>
          <w:p w14:paraId="16731EFA">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eastAsia="zh-CN"/>
              </w:rPr>
            </w:pPr>
            <w:r>
              <w:rPr>
                <w:rFonts w:hint="eastAsia" w:cs="Times New Roman"/>
                <w:snapToGrid w:val="0"/>
                <w:color w:val="auto"/>
                <w:kern w:val="21"/>
                <w:szCs w:val="21"/>
                <w:highlight w:val="none"/>
                <w:lang w:val="en-US" w:eastAsia="zh-CN"/>
              </w:rPr>
              <w:t>/</w:t>
            </w:r>
          </w:p>
        </w:tc>
        <w:tc>
          <w:tcPr>
            <w:tcW w:w="1628" w:type="dxa"/>
            <w:noWrap w:val="0"/>
            <w:vAlign w:val="center"/>
          </w:tcPr>
          <w:p w14:paraId="78271B3E">
            <w:pPr>
              <w:keepNext w:val="0"/>
              <w:keepLines w:val="0"/>
              <w:suppressLineNumbers w:val="0"/>
              <w:adjustRightInd w:val="0"/>
              <w:snapToGrid w:val="0"/>
              <w:spacing w:before="0" w:beforeAutospacing="0" w:after="0" w:afterAutospacing="0"/>
              <w:ind w:left="-105" w:leftChars="-50" w:right="-105" w:rightChars="-50"/>
              <w:jc w:val="center"/>
              <w:rPr>
                <w:rFonts w:hint="eastAsia" w:ascii="Times New Roman" w:hAnsi="Times New Roman" w:eastAsia="宋体" w:cs="Times New Roman"/>
                <w:color w:val="auto"/>
                <w:szCs w:val="21"/>
                <w:highlight w:val="none"/>
                <w:lang w:eastAsia="zh-CN"/>
              </w:rPr>
            </w:pPr>
            <w:r>
              <w:rPr>
                <w:rFonts w:hint="eastAsia" w:cs="Times New Roman"/>
                <w:color w:val="auto"/>
                <w:szCs w:val="21"/>
                <w:highlight w:val="none"/>
                <w:lang w:val="en-US" w:eastAsia="zh-CN"/>
              </w:rPr>
              <w:t>2</w:t>
            </w:r>
          </w:p>
        </w:tc>
        <w:tc>
          <w:tcPr>
            <w:tcW w:w="1157" w:type="dxa"/>
            <w:noWrap w:val="0"/>
            <w:vAlign w:val="center"/>
          </w:tcPr>
          <w:p w14:paraId="6DD6C55C">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Cs w:val="21"/>
                <w:highlight w:val="none"/>
                <w:lang w:eastAsia="zh-CN"/>
              </w:rPr>
            </w:pPr>
            <w:r>
              <w:rPr>
                <w:rFonts w:hint="eastAsia" w:cs="Times New Roman"/>
                <w:color w:val="auto"/>
                <w:kern w:val="0"/>
                <w:szCs w:val="21"/>
                <w:highlight w:val="none"/>
                <w:lang w:val="en-US" w:eastAsia="zh-CN" w:bidi="ar"/>
              </w:rPr>
              <w:t>0</w:t>
            </w:r>
          </w:p>
        </w:tc>
      </w:tr>
      <w:tr w14:paraId="1DCC6A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79" w:type="dxa"/>
            <w:vMerge w:val="continue"/>
            <w:noWrap w:val="0"/>
            <w:vAlign w:val="top"/>
          </w:tcPr>
          <w:p w14:paraId="7ECF99C4">
            <w:pPr>
              <w:pStyle w:val="85"/>
              <w:keepNext w:val="0"/>
              <w:keepLines w:val="0"/>
              <w:suppressLineNumbers w:val="0"/>
              <w:spacing w:before="0" w:beforeLines="0" w:beforeAutospacing="0" w:after="0" w:afterLines="0" w:afterAutospacing="0" w:line="240" w:lineRule="auto"/>
              <w:ind w:left="0" w:right="0"/>
              <w:rPr>
                <w:rFonts w:ascii="Times New Roman" w:hAnsi="Times New Roman" w:eastAsia="宋体" w:cs="Times New Roman"/>
                <w:snapToGrid w:val="0"/>
                <w:color w:val="auto"/>
                <w:kern w:val="21"/>
                <w:szCs w:val="21"/>
                <w:highlight w:val="none"/>
              </w:rPr>
            </w:pPr>
          </w:p>
        </w:tc>
        <w:tc>
          <w:tcPr>
            <w:tcW w:w="2115" w:type="dxa"/>
            <w:noWrap w:val="0"/>
            <w:vAlign w:val="center"/>
          </w:tcPr>
          <w:p w14:paraId="524D2B6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清洗废水</w:t>
            </w:r>
          </w:p>
        </w:tc>
        <w:tc>
          <w:tcPr>
            <w:tcW w:w="1612" w:type="dxa"/>
            <w:noWrap w:val="0"/>
            <w:vAlign w:val="center"/>
          </w:tcPr>
          <w:p w14:paraId="01EB58C2">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eastAsia="zh-CN"/>
              </w:rPr>
            </w:pPr>
            <w:r>
              <w:rPr>
                <w:rFonts w:hint="eastAsia" w:cs="Times New Roman"/>
                <w:snapToGrid w:val="0"/>
                <w:color w:val="auto"/>
                <w:kern w:val="21"/>
                <w:szCs w:val="21"/>
                <w:highlight w:val="none"/>
                <w:lang w:val="en-US" w:eastAsia="zh-CN"/>
              </w:rPr>
              <w:t>0</w:t>
            </w:r>
          </w:p>
        </w:tc>
        <w:tc>
          <w:tcPr>
            <w:tcW w:w="1276" w:type="dxa"/>
            <w:noWrap w:val="0"/>
            <w:vAlign w:val="center"/>
          </w:tcPr>
          <w:p w14:paraId="43A0A05C">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eastAsia="zh-CN"/>
              </w:rPr>
            </w:pPr>
            <w:r>
              <w:rPr>
                <w:rFonts w:hint="eastAsia" w:cs="Times New Roman"/>
                <w:snapToGrid w:val="0"/>
                <w:color w:val="auto"/>
                <w:kern w:val="21"/>
                <w:szCs w:val="21"/>
                <w:highlight w:val="none"/>
                <w:lang w:val="en-US" w:eastAsia="zh-CN"/>
              </w:rPr>
              <w:t>/</w:t>
            </w:r>
          </w:p>
        </w:tc>
        <w:tc>
          <w:tcPr>
            <w:tcW w:w="1701" w:type="dxa"/>
            <w:noWrap w:val="0"/>
            <w:vAlign w:val="center"/>
          </w:tcPr>
          <w:p w14:paraId="320F6F37">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eastAsia="zh-CN"/>
              </w:rPr>
            </w:pPr>
            <w:r>
              <w:rPr>
                <w:rFonts w:hint="eastAsia" w:cs="Times New Roman"/>
                <w:snapToGrid w:val="0"/>
                <w:color w:val="auto"/>
                <w:kern w:val="21"/>
                <w:szCs w:val="21"/>
                <w:highlight w:val="none"/>
                <w:lang w:val="en-US" w:eastAsia="zh-CN"/>
              </w:rPr>
              <w:t>0</w:t>
            </w:r>
          </w:p>
        </w:tc>
        <w:tc>
          <w:tcPr>
            <w:tcW w:w="1559" w:type="dxa"/>
            <w:noWrap w:val="0"/>
            <w:vAlign w:val="center"/>
          </w:tcPr>
          <w:p w14:paraId="6165577A">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16.2</w:t>
            </w:r>
          </w:p>
        </w:tc>
        <w:tc>
          <w:tcPr>
            <w:tcW w:w="1761" w:type="dxa"/>
            <w:noWrap w:val="0"/>
            <w:vAlign w:val="center"/>
          </w:tcPr>
          <w:p w14:paraId="66708EC1">
            <w:pPr>
              <w:keepNext w:val="0"/>
              <w:keepLines w:val="0"/>
              <w:suppressLineNumbers w:val="0"/>
              <w:spacing w:before="0" w:beforeAutospacing="0" w:after="0" w:afterAutospacing="0"/>
              <w:ind w:left="0" w:right="0"/>
              <w:jc w:val="center"/>
              <w:rPr>
                <w:rFonts w:hint="eastAsia" w:ascii="Times New Roman" w:hAnsi="Times New Roman" w:eastAsia="宋体" w:cs="Times New Roman"/>
                <w:snapToGrid w:val="0"/>
                <w:color w:val="auto"/>
                <w:kern w:val="21"/>
                <w:szCs w:val="21"/>
                <w:highlight w:val="none"/>
                <w:lang w:eastAsia="zh-CN"/>
              </w:rPr>
            </w:pPr>
            <w:r>
              <w:rPr>
                <w:rFonts w:hint="eastAsia" w:cs="Times New Roman"/>
                <w:snapToGrid w:val="0"/>
                <w:color w:val="auto"/>
                <w:kern w:val="21"/>
                <w:szCs w:val="21"/>
                <w:highlight w:val="none"/>
                <w:lang w:val="en-US" w:eastAsia="zh-CN"/>
              </w:rPr>
              <w:t>/</w:t>
            </w:r>
          </w:p>
        </w:tc>
        <w:tc>
          <w:tcPr>
            <w:tcW w:w="1628" w:type="dxa"/>
            <w:noWrap w:val="0"/>
            <w:vAlign w:val="center"/>
          </w:tcPr>
          <w:p w14:paraId="7B8CEB74">
            <w:pPr>
              <w:keepNext w:val="0"/>
              <w:keepLines w:val="0"/>
              <w:suppressLineNumbers w:val="0"/>
              <w:adjustRightInd w:val="0"/>
              <w:snapToGrid w:val="0"/>
              <w:spacing w:before="0" w:beforeAutospacing="0" w:after="0" w:afterAutospacing="0"/>
              <w:ind w:left="-105" w:leftChars="-50" w:right="-105" w:rightChars="-5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16.2</w:t>
            </w:r>
          </w:p>
        </w:tc>
        <w:tc>
          <w:tcPr>
            <w:tcW w:w="1157" w:type="dxa"/>
            <w:noWrap w:val="0"/>
            <w:vAlign w:val="center"/>
          </w:tcPr>
          <w:p w14:paraId="41F6B1E4">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auto"/>
                <w:szCs w:val="21"/>
                <w:highlight w:val="none"/>
                <w:lang w:val="en-US" w:eastAsia="zh-CN"/>
              </w:rPr>
            </w:pPr>
            <w:r>
              <w:rPr>
                <w:rFonts w:hint="eastAsia" w:cs="Times New Roman"/>
                <w:color w:val="auto"/>
                <w:kern w:val="0"/>
                <w:szCs w:val="21"/>
                <w:highlight w:val="none"/>
                <w:lang w:val="en-US" w:eastAsia="zh-CN" w:bidi="ar"/>
              </w:rPr>
              <w:t>0</w:t>
            </w:r>
          </w:p>
        </w:tc>
      </w:tr>
    </w:tbl>
    <w:p w14:paraId="78EA56A2">
      <w:pPr>
        <w:pStyle w:val="85"/>
        <w:spacing w:before="249" w:beforeLines="80" w:after="31" w:line="240" w:lineRule="auto"/>
        <w:jc w:val="left"/>
        <w:rPr>
          <w:rFonts w:ascii="Times New Roman" w:hAnsi="Times New Roman" w:eastAsia="宋体"/>
          <w:snapToGrid w:val="0"/>
          <w:color w:val="auto"/>
          <w:spacing w:val="-6"/>
          <w:kern w:val="21"/>
          <w:szCs w:val="21"/>
          <w:highlight w:val="none"/>
        </w:rPr>
      </w:pPr>
      <w:r>
        <w:rPr>
          <w:rFonts w:ascii="Times New Roman" w:hAnsi="Times New Roman" w:eastAsia="宋体"/>
          <w:snapToGrid w:val="0"/>
          <w:color w:val="auto"/>
          <w:kern w:val="21"/>
          <w:szCs w:val="21"/>
          <w:highlight w:val="none"/>
        </w:rPr>
        <w:t>注：</w:t>
      </w:r>
      <w:r>
        <w:rPr>
          <w:rFonts w:hint="eastAsia" w:ascii="Times New Roman" w:hAnsi="Times New Roman" w:eastAsia="宋体" w:cs="宋体"/>
          <w:color w:val="auto"/>
          <w:szCs w:val="21"/>
          <w:highlight w:val="none"/>
        </w:rPr>
        <w:t>⑥</w:t>
      </w:r>
      <w:r>
        <w:rPr>
          <w:rFonts w:ascii="Times New Roman" w:hAnsi="Times New Roman" w:eastAsia="宋体"/>
          <w:snapToGrid w:val="0"/>
          <w:color w:val="auto"/>
          <w:spacing w:val="-16"/>
          <w:kern w:val="21"/>
          <w:szCs w:val="21"/>
          <w:highlight w:val="none"/>
        </w:rPr>
        <w:t>=</w:t>
      </w:r>
      <w:r>
        <w:rPr>
          <w:rFonts w:hint="eastAsia" w:ascii="Times New Roman" w:hAnsi="Times New Roman" w:eastAsia="宋体" w:cs="宋体"/>
          <w:color w:val="auto"/>
          <w:szCs w:val="21"/>
          <w:highlight w:val="none"/>
        </w:rPr>
        <w:t>①</w:t>
      </w:r>
      <w:r>
        <w:rPr>
          <w:rFonts w:ascii="Times New Roman" w:hAnsi="Times New Roman" w:eastAsia="宋体"/>
          <w:snapToGrid w:val="0"/>
          <w:color w:val="auto"/>
          <w:spacing w:val="-6"/>
          <w:kern w:val="21"/>
          <w:szCs w:val="21"/>
          <w:highlight w:val="none"/>
        </w:rPr>
        <w:t>+</w:t>
      </w:r>
      <w:r>
        <w:rPr>
          <w:rFonts w:hint="eastAsia" w:ascii="Times New Roman" w:hAnsi="Times New Roman" w:eastAsia="宋体" w:cs="宋体"/>
          <w:color w:val="auto"/>
          <w:szCs w:val="21"/>
          <w:highlight w:val="none"/>
        </w:rPr>
        <w:t>③</w:t>
      </w:r>
      <w:r>
        <w:rPr>
          <w:rFonts w:ascii="Times New Roman" w:hAnsi="Times New Roman" w:eastAsia="宋体"/>
          <w:snapToGrid w:val="0"/>
          <w:color w:val="auto"/>
          <w:spacing w:val="-6"/>
          <w:kern w:val="21"/>
          <w:szCs w:val="21"/>
          <w:highlight w:val="none"/>
        </w:rPr>
        <w:t>+</w:t>
      </w:r>
      <w:r>
        <w:rPr>
          <w:rFonts w:hint="eastAsia" w:ascii="Times New Roman" w:hAnsi="Times New Roman" w:eastAsia="宋体" w:cs="宋体"/>
          <w:color w:val="auto"/>
          <w:szCs w:val="21"/>
          <w:highlight w:val="none"/>
        </w:rPr>
        <w:t>④</w:t>
      </w:r>
      <w:r>
        <w:rPr>
          <w:rFonts w:ascii="Times New Roman" w:hAnsi="Times New Roman" w:eastAsia="宋体"/>
          <w:snapToGrid w:val="0"/>
          <w:color w:val="auto"/>
          <w:spacing w:val="-6"/>
          <w:kern w:val="21"/>
          <w:szCs w:val="21"/>
          <w:highlight w:val="none"/>
        </w:rPr>
        <w:t>-</w:t>
      </w:r>
      <w:r>
        <w:rPr>
          <w:rFonts w:hint="eastAsia" w:ascii="Times New Roman" w:hAnsi="Times New Roman" w:eastAsia="宋体" w:cs="宋体"/>
          <w:color w:val="auto"/>
          <w:szCs w:val="21"/>
          <w:highlight w:val="none"/>
        </w:rPr>
        <w:t>⑤</w:t>
      </w:r>
      <w:r>
        <w:rPr>
          <w:rFonts w:ascii="Times New Roman" w:hAnsi="Times New Roman" w:eastAsia="宋体"/>
          <w:snapToGrid w:val="0"/>
          <w:color w:val="auto"/>
          <w:spacing w:val="-16"/>
          <w:kern w:val="21"/>
          <w:szCs w:val="21"/>
          <w:highlight w:val="none"/>
        </w:rPr>
        <w:t>；</w:t>
      </w:r>
      <w:r>
        <w:rPr>
          <w:rFonts w:hint="eastAsia" w:ascii="Times New Roman" w:hAnsi="Times New Roman" w:eastAsia="宋体" w:cs="宋体"/>
          <w:color w:val="auto"/>
          <w:szCs w:val="21"/>
          <w:highlight w:val="none"/>
        </w:rPr>
        <w:t>⑦</w:t>
      </w:r>
      <w:r>
        <w:rPr>
          <w:rFonts w:ascii="Times New Roman" w:hAnsi="Times New Roman" w:eastAsia="宋体"/>
          <w:snapToGrid w:val="0"/>
          <w:color w:val="auto"/>
          <w:spacing w:val="-6"/>
          <w:kern w:val="21"/>
          <w:szCs w:val="21"/>
          <w:highlight w:val="none"/>
        </w:rPr>
        <w:t>=</w:t>
      </w:r>
      <w:r>
        <w:rPr>
          <w:rFonts w:hint="eastAsia" w:ascii="Times New Roman" w:hAnsi="Times New Roman" w:eastAsia="宋体" w:cs="宋体"/>
          <w:color w:val="auto"/>
          <w:szCs w:val="21"/>
          <w:highlight w:val="none"/>
        </w:rPr>
        <w:t>⑥</w:t>
      </w:r>
      <w:r>
        <w:rPr>
          <w:rFonts w:ascii="Times New Roman" w:hAnsi="Times New Roman" w:eastAsia="宋体"/>
          <w:snapToGrid w:val="0"/>
          <w:color w:val="auto"/>
          <w:spacing w:val="-16"/>
          <w:kern w:val="21"/>
          <w:szCs w:val="21"/>
          <w:highlight w:val="none"/>
        </w:rPr>
        <w:t>-</w:t>
      </w:r>
      <w:r>
        <w:rPr>
          <w:rFonts w:hint="eastAsia" w:ascii="Times New Roman" w:hAnsi="Times New Roman" w:eastAsia="宋体" w:cs="宋体"/>
          <w:color w:val="auto"/>
          <w:szCs w:val="21"/>
          <w:highlight w:val="none"/>
        </w:rPr>
        <w:t>①</w:t>
      </w:r>
    </w:p>
    <w:p w14:paraId="02C36D6F">
      <w:pPr>
        <w:pStyle w:val="2"/>
        <w:rPr>
          <w:color w:val="auto"/>
          <w:highlight w:val="none"/>
        </w:rPr>
      </w:pPr>
    </w:p>
    <w:sectPr>
      <w:headerReference r:id="rId6" w:type="default"/>
      <w:footerReference r:id="rId7" w:type="default"/>
      <w:pgSz w:w="16838" w:h="11906" w:orient="landscape"/>
      <w:pgMar w:top="1418" w:right="1440" w:bottom="1418" w:left="1440"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Impact">
    <w:panose1 w:val="020B0806030902050204"/>
    <w:charset w:val="00"/>
    <w:family w:val="swiss"/>
    <w:pitch w:val="default"/>
    <w:sig w:usb0="00000287" w:usb1="00000000" w:usb2="00000000" w:usb3="00000000" w:csb0="2000009F" w:csb1="DFD7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TimesNewRomanPSMT">
    <w:altName w:val="Times New Roman"/>
    <w:panose1 w:val="00000000000000000000"/>
    <w:charset w:val="00"/>
    <w:family w:val="auto"/>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Roman">
    <w:altName w:val="Times New Roman"/>
    <w:panose1 w:val="00000000000000000000"/>
    <w:charset w:val="00"/>
    <w:family w:val="roman"/>
    <w:pitch w:val="default"/>
    <w:sig w:usb0="00000000" w:usb1="00000000" w:usb2="00000000" w:usb3="00000000" w:csb0="00040001" w:csb1="00000000"/>
  </w:font>
  <w:font w:name="Wingdings 2">
    <w:panose1 w:val="05020102010507070707"/>
    <w:charset w:val="02"/>
    <w:family w:val="roman"/>
    <w:pitch w:val="default"/>
    <w:sig w:usb0="00000000" w:usb1="00000000" w:usb2="00000000" w:usb3="00000000" w:csb0="80000000" w:csb1="00000000"/>
  </w:font>
  <w:font w:name="Cambria Math">
    <w:panose1 w:val="02040503050406030204"/>
    <w:charset w:val="00"/>
    <w:family w:val="auto"/>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FAEC70">
    <w:pPr>
      <w:pStyle w:val="28"/>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1A04EB">
    <w:pPr>
      <w:pStyle w:val="28"/>
      <w:jc w:val="center"/>
    </w:pPr>
    <w:r>
      <w:fldChar w:fldCharType="begin"/>
    </w:r>
    <w:r>
      <w:instrText xml:space="preserve">PAGE   \* MERGEFORMAT</w:instrText>
    </w:r>
    <w:r>
      <w:fldChar w:fldCharType="separate"/>
    </w:r>
    <w:r>
      <w:rPr>
        <w:lang w:val="zh-CN"/>
      </w:rPr>
      <w:t>110</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ED54AB">
    <w:pPr>
      <w:pStyle w:val="28"/>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53F585">
                          <w:pPr>
                            <w:pStyle w:val="28"/>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4553F585">
                    <w:pPr>
                      <w:pStyle w:val="28"/>
                    </w:pPr>
                    <w:r>
                      <w:fldChar w:fldCharType="begin"/>
                    </w:r>
                    <w:r>
                      <w:instrText xml:space="preserve"> PAGE  \* MERGEFORMAT </w:instrText>
                    </w:r>
                    <w:r>
                      <w:fldChar w:fldCharType="separate"/>
                    </w:r>
                    <w:r>
                      <w:t>30</w:t>
                    </w:r>
                    <w:r>
                      <w:fldChar w:fldCharType="end"/>
                    </w:r>
                  </w:p>
                </w:txbxContent>
              </v:textbox>
            </v:shape>
          </w:pict>
        </mc:Fallback>
      </mc:AlternateContent>
    </w:r>
  </w:p>
  <w:p w14:paraId="1078C2D7">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E9ECC7">
    <w:pPr>
      <w:pStyle w:val="30"/>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60E450">
    <w:pPr>
      <w:pStyle w:val="3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FCABBB"/>
    <w:multiLevelType w:val="singleLevel"/>
    <w:tmpl w:val="9FFCABBB"/>
    <w:lvl w:ilvl="0" w:tentative="0">
      <w:start w:val="1"/>
      <w:numFmt w:val="decimal"/>
      <w:suff w:val="nothing"/>
      <w:lvlText w:val="%1、"/>
      <w:lvlJc w:val="left"/>
    </w:lvl>
  </w:abstractNum>
  <w:abstractNum w:abstractNumId="1">
    <w:nsid w:val="A0615473"/>
    <w:multiLevelType w:val="singleLevel"/>
    <w:tmpl w:val="A0615473"/>
    <w:lvl w:ilvl="0" w:tentative="0">
      <w:start w:val="12"/>
      <w:numFmt w:val="decimal"/>
      <w:suff w:val="nothing"/>
      <w:lvlText w:val="%1、"/>
      <w:lvlJc w:val="left"/>
    </w:lvl>
  </w:abstractNum>
  <w:abstractNum w:abstractNumId="2">
    <w:nsid w:val="BB164882"/>
    <w:multiLevelType w:val="multilevel"/>
    <w:tmpl w:val="BB164882"/>
    <w:lvl w:ilvl="0" w:tentative="0">
      <w:start w:val="1"/>
      <w:numFmt w:val="decimal"/>
      <w:suff w:val="nothing"/>
      <w:lvlText w:val="%1、"/>
      <w:lvlJc w:val="left"/>
    </w:lvl>
    <w:lvl w:ilvl="1" w:tentative="0">
      <w:start w:val="1"/>
      <w:numFmt w:val="decimal"/>
      <w:lvlText w:val="(%2)"/>
      <w:lvlJc w:val="left"/>
      <w:pPr>
        <w:tabs>
          <w:tab w:val="left" w:pos="840"/>
        </w:tabs>
        <w:ind w:left="840" w:hanging="420"/>
      </w:pPr>
      <w:rPr>
        <w:rFonts w:hint="default"/>
      </w:rPr>
    </w:lvl>
    <w:lvl w:ilvl="2" w:tentative="0">
      <w:start w:val="1"/>
      <w:numFmt w:val="decimalEnclosedCircleChinese"/>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rPr>
        <w:rFonts w:hint="default"/>
      </w:rPr>
    </w:lvl>
    <w:lvl w:ilvl="4" w:tentative="0">
      <w:start w:val="1"/>
      <w:numFmt w:val="lowerLetter"/>
      <w:lvlText w:val="%5."/>
      <w:lvlJc w:val="left"/>
      <w:pPr>
        <w:tabs>
          <w:tab w:val="left" w:pos="2100"/>
        </w:tabs>
        <w:ind w:left="2100" w:hanging="420"/>
      </w:pPr>
      <w:rPr>
        <w:rFonts w:hint="default"/>
      </w:rPr>
    </w:lvl>
    <w:lvl w:ilvl="5" w:tentative="0">
      <w:start w:val="1"/>
      <w:numFmt w:val="lowerLetter"/>
      <w:lvlText w:val="%6)"/>
      <w:lvlJc w:val="left"/>
      <w:pPr>
        <w:tabs>
          <w:tab w:val="left" w:pos="2520"/>
        </w:tabs>
        <w:ind w:left="2520" w:hanging="420"/>
      </w:pPr>
      <w:rPr>
        <w:rFonts w:hint="default"/>
      </w:rPr>
    </w:lvl>
    <w:lvl w:ilvl="6" w:tentative="0">
      <w:start w:val="1"/>
      <w:numFmt w:val="lowerRoman"/>
      <w:lvlText w:val="%7."/>
      <w:lvlJc w:val="left"/>
      <w:pPr>
        <w:tabs>
          <w:tab w:val="left" w:pos="2940"/>
        </w:tabs>
        <w:ind w:left="2940" w:hanging="420"/>
      </w:pPr>
      <w:rPr>
        <w:rFonts w:hint="default"/>
      </w:rPr>
    </w:lvl>
    <w:lvl w:ilvl="7" w:tentative="0">
      <w:start w:val="1"/>
      <w:numFmt w:val="lowerRoman"/>
      <w:lvlText w:val="%8)"/>
      <w:lvlJc w:val="left"/>
      <w:pPr>
        <w:tabs>
          <w:tab w:val="left" w:pos="3360"/>
        </w:tabs>
        <w:ind w:left="3360" w:hanging="420"/>
      </w:pPr>
      <w:rPr>
        <w:rFonts w:hint="default"/>
      </w:rPr>
    </w:lvl>
    <w:lvl w:ilvl="8" w:tentative="0">
      <w:start w:val="1"/>
      <w:numFmt w:val="lowerLetter"/>
      <w:lvlText w:val="%9."/>
      <w:lvlJc w:val="left"/>
      <w:pPr>
        <w:tabs>
          <w:tab w:val="left" w:pos="3780"/>
        </w:tabs>
        <w:ind w:left="3780" w:hanging="420"/>
      </w:pPr>
      <w:rPr>
        <w:rFonts w:hint="default"/>
      </w:rPr>
    </w:lvl>
  </w:abstractNum>
  <w:abstractNum w:abstractNumId="3">
    <w:nsid w:val="D5AD38D5"/>
    <w:multiLevelType w:val="singleLevel"/>
    <w:tmpl w:val="D5AD38D5"/>
    <w:lvl w:ilvl="0" w:tentative="0">
      <w:start w:val="1"/>
      <w:numFmt w:val="bullet"/>
      <w:pStyle w:val="15"/>
      <w:lvlText w:val=""/>
      <w:lvlJc w:val="left"/>
      <w:pPr>
        <w:tabs>
          <w:tab w:val="left" w:pos="360"/>
        </w:tabs>
        <w:ind w:left="360" w:hanging="360"/>
      </w:pPr>
      <w:rPr>
        <w:rFonts w:hint="default" w:ascii="Wingdings" w:hAnsi="Wingdings"/>
      </w:rPr>
    </w:lvl>
  </w:abstractNum>
  <w:abstractNum w:abstractNumId="4">
    <w:nsid w:val="EFFA5187"/>
    <w:multiLevelType w:val="singleLevel"/>
    <w:tmpl w:val="EFFA5187"/>
    <w:lvl w:ilvl="0" w:tentative="0">
      <w:start w:val="1"/>
      <w:numFmt w:val="decimal"/>
      <w:suff w:val="nothing"/>
      <w:lvlText w:val="（%1）"/>
      <w:lvlJc w:val="left"/>
    </w:lvl>
  </w:abstractNum>
  <w:abstractNum w:abstractNumId="5">
    <w:nsid w:val="F3BEBC6A"/>
    <w:multiLevelType w:val="singleLevel"/>
    <w:tmpl w:val="F3BEBC6A"/>
    <w:lvl w:ilvl="0" w:tentative="0">
      <w:start w:val="2"/>
      <w:numFmt w:val="decimal"/>
      <w:suff w:val="nothing"/>
      <w:lvlText w:val="%1）"/>
      <w:lvlJc w:val="left"/>
    </w:lvl>
  </w:abstractNum>
  <w:abstractNum w:abstractNumId="6">
    <w:nsid w:val="F896CAAA"/>
    <w:multiLevelType w:val="singleLevel"/>
    <w:tmpl w:val="F896CAAA"/>
    <w:lvl w:ilvl="0" w:tentative="0">
      <w:start w:val="6"/>
      <w:numFmt w:val="decimal"/>
      <w:suff w:val="nothing"/>
      <w:lvlText w:val="%1、"/>
      <w:lvlJc w:val="left"/>
    </w:lvl>
  </w:abstractNum>
  <w:abstractNum w:abstractNumId="7">
    <w:nsid w:val="FA47E699"/>
    <w:multiLevelType w:val="singleLevel"/>
    <w:tmpl w:val="FA47E699"/>
    <w:lvl w:ilvl="0" w:tentative="0">
      <w:start w:val="4"/>
      <w:numFmt w:val="decimal"/>
      <w:suff w:val="nothing"/>
      <w:lvlText w:val="%1、"/>
      <w:lvlJc w:val="left"/>
    </w:lvl>
  </w:abstractNum>
  <w:abstractNum w:abstractNumId="8">
    <w:nsid w:val="20312F31"/>
    <w:multiLevelType w:val="multilevel"/>
    <w:tmpl w:val="20312F31"/>
    <w:lvl w:ilvl="0" w:tentative="0">
      <w:start w:val="1"/>
      <w:numFmt w:val="decimal"/>
      <w:lvlText w:val="%1."/>
      <w:lvlJc w:val="left"/>
      <w:pPr>
        <w:ind w:left="850" w:hanging="425"/>
      </w:pPr>
      <w:rPr>
        <w:rFonts w:hint="default" w:ascii="Times New Roman" w:hAnsi="Times New Roman" w:eastAsia="宋体"/>
        <w:b/>
        <w:i w:val="0"/>
        <w:sz w:val="36"/>
      </w:rPr>
    </w:lvl>
    <w:lvl w:ilvl="1" w:tentative="0">
      <w:start w:val="1"/>
      <w:numFmt w:val="decimal"/>
      <w:lvlText w:val="%1.%2."/>
      <w:lvlJc w:val="left"/>
      <w:rPr>
        <w:rFonts w:hint="default" w:ascii="Times New Roman" w:hAnsi="Times New Roman" w:eastAsia="宋体"/>
        <w:b/>
        <w:i w:val="0"/>
        <w:color w:val="000000"/>
        <w:sz w:val="32"/>
      </w:rPr>
    </w:lvl>
    <w:lvl w:ilvl="2" w:tentative="0">
      <w:start w:val="1"/>
      <w:numFmt w:val="decimal"/>
      <w:lvlText w:val="%1.%2.%3."/>
      <w:lvlJc w:val="left"/>
      <w:pPr>
        <w:ind w:left="3260" w:hanging="425"/>
      </w:pPr>
      <w:rPr>
        <w:rFonts w:hint="default" w:ascii="Times New Roman" w:hAnsi="Times New Roman" w:eastAsia="宋体"/>
        <w:b/>
        <w:i w:val="0"/>
        <w:sz w:val="28"/>
        <w:lang w:val="en-US"/>
      </w:rPr>
    </w:lvl>
    <w:lvl w:ilvl="3" w:tentative="0">
      <w:start w:val="1"/>
      <w:numFmt w:val="decimal"/>
      <w:lvlText w:val="%1.%2.%3.%4."/>
      <w:lvlJc w:val="left"/>
      <w:pPr>
        <w:ind w:left="2126" w:hanging="425"/>
      </w:pPr>
      <w:rPr>
        <w:rFonts w:hint="default" w:ascii="Times New Roman" w:hAnsi="Times New Roman" w:eastAsia="宋体"/>
        <w:b/>
        <w:i w:val="0"/>
        <w:sz w:val="24"/>
      </w:rPr>
    </w:lvl>
    <w:lvl w:ilvl="4" w:tentative="0">
      <w:start w:val="1"/>
      <w:numFmt w:val="decimal"/>
      <w:lvlRestart w:val="2"/>
      <w:pStyle w:val="115"/>
      <w:lvlText w:val="表%1.%2-%5"/>
      <w:lvlJc w:val="center"/>
      <w:pPr>
        <w:ind w:left="1260" w:firstLine="0"/>
      </w:pPr>
      <w:rPr>
        <w:rFonts w:hint="eastAsia"/>
      </w:rPr>
    </w:lvl>
    <w:lvl w:ilvl="5" w:tentative="0">
      <w:start w:val="1"/>
      <w:numFmt w:val="decimal"/>
      <w:lvlText w:val="%1.%2.%3.%4.%5.%6."/>
      <w:lvlJc w:val="left"/>
      <w:pPr>
        <w:ind w:left="425" w:hanging="425"/>
      </w:pPr>
      <w:rPr>
        <w:rFonts w:hint="eastAsia"/>
      </w:rPr>
    </w:lvl>
    <w:lvl w:ilvl="6" w:tentative="0">
      <w:start w:val="1"/>
      <w:numFmt w:val="decimal"/>
      <w:lvlText w:val="%1.%2.%3.%4.%5.%6.%7."/>
      <w:lvlJc w:val="left"/>
      <w:pPr>
        <w:ind w:left="425" w:hanging="425"/>
      </w:pPr>
      <w:rPr>
        <w:rFonts w:hint="eastAsia"/>
      </w:rPr>
    </w:lvl>
    <w:lvl w:ilvl="7" w:tentative="0">
      <w:start w:val="1"/>
      <w:numFmt w:val="decimal"/>
      <w:lvlText w:val="%1.%2.%3.%4.%5.%6.%7.%8."/>
      <w:lvlJc w:val="left"/>
      <w:pPr>
        <w:ind w:left="425" w:hanging="425"/>
      </w:pPr>
      <w:rPr>
        <w:rFonts w:hint="eastAsia"/>
      </w:rPr>
    </w:lvl>
    <w:lvl w:ilvl="8" w:tentative="0">
      <w:start w:val="1"/>
      <w:numFmt w:val="decimal"/>
      <w:lvlText w:val="%1.%2.%3.%4.%5.%6.%7.%8.%9."/>
      <w:lvlJc w:val="left"/>
      <w:pPr>
        <w:ind w:left="425" w:hanging="425"/>
      </w:pPr>
      <w:rPr>
        <w:rFonts w:hint="eastAsia"/>
      </w:rPr>
    </w:lvl>
  </w:abstractNum>
  <w:abstractNum w:abstractNumId="9">
    <w:nsid w:val="213533EF"/>
    <w:multiLevelType w:val="multilevel"/>
    <w:tmpl w:val="213533E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6CBCAB8F"/>
    <w:multiLevelType w:val="singleLevel"/>
    <w:tmpl w:val="6CBCAB8F"/>
    <w:lvl w:ilvl="0" w:tentative="0">
      <w:start w:val="4"/>
      <w:numFmt w:val="chineseCounting"/>
      <w:suff w:val="nothing"/>
      <w:lvlText w:val="%1、"/>
      <w:lvlJc w:val="left"/>
      <w:rPr>
        <w:rFonts w:hint="eastAsia"/>
      </w:rPr>
    </w:lvl>
  </w:abstractNum>
  <w:abstractNum w:abstractNumId="11">
    <w:nsid w:val="776F5210"/>
    <w:multiLevelType w:val="singleLevel"/>
    <w:tmpl w:val="776F5210"/>
    <w:lvl w:ilvl="0" w:tentative="0">
      <w:start w:val="53"/>
      <w:numFmt w:val="decimal"/>
      <w:suff w:val="nothing"/>
      <w:lvlText w:val="%1、"/>
      <w:lvlJc w:val="left"/>
    </w:lvl>
  </w:abstractNum>
  <w:abstractNum w:abstractNumId="12">
    <w:nsid w:val="7B93035B"/>
    <w:multiLevelType w:val="multilevel"/>
    <w:tmpl w:val="7B93035B"/>
    <w:lvl w:ilvl="0" w:tentative="0">
      <w:start w:val="1"/>
      <w:numFmt w:val="decimal"/>
      <w:suff w:val="space"/>
      <w:lvlText w:val="表%1"/>
      <w:lvlJc w:val="left"/>
      <w:pPr>
        <w:ind w:left="0" w:firstLine="0"/>
      </w:pPr>
      <w:rPr>
        <w:rFonts w:hint="default" w:ascii="Times New Roman" w:hAnsi="Times New Roman" w:cs="Times New Roman"/>
        <w:b/>
        <w:bCs/>
        <w:sz w:val="21"/>
        <w:szCs w:val="24"/>
        <w:vertAlign w:val="baseline"/>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3"/>
  </w:num>
  <w:num w:numId="2">
    <w:abstractNumId w:val="8"/>
  </w:num>
  <w:num w:numId="3">
    <w:abstractNumId w:val="11"/>
  </w:num>
  <w:num w:numId="4">
    <w:abstractNumId w:val="12"/>
  </w:num>
  <w:num w:numId="5">
    <w:abstractNumId w:val="1"/>
  </w:num>
  <w:num w:numId="6">
    <w:abstractNumId w:val="2"/>
  </w:num>
  <w:num w:numId="7">
    <w:abstractNumId w:val="7"/>
  </w:num>
  <w:num w:numId="8">
    <w:abstractNumId w:val="5"/>
  </w:num>
  <w:num w:numId="9">
    <w:abstractNumId w:val="4"/>
  </w:num>
  <w:num w:numId="10">
    <w:abstractNumId w:val="6"/>
  </w:num>
  <w:num w:numId="11">
    <w:abstractNumId w:val="0"/>
  </w:num>
  <w:num w:numId="12">
    <w:abstractNumId w:val="10"/>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hyphenationZone w:val="36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yNjA0ZDhlMmRmZDU2ZDVmOWU2M2VlYTc3MmY0ZDAifQ=="/>
  </w:docVars>
  <w:rsids>
    <w:rsidRoot w:val="00172A27"/>
    <w:rsid w:val="00005974"/>
    <w:rsid w:val="000060B3"/>
    <w:rsid w:val="0000711E"/>
    <w:rsid w:val="000172AF"/>
    <w:rsid w:val="00020C9E"/>
    <w:rsid w:val="00025C86"/>
    <w:rsid w:val="00025DF6"/>
    <w:rsid w:val="00030070"/>
    <w:rsid w:val="0003146D"/>
    <w:rsid w:val="000347EE"/>
    <w:rsid w:val="0004287C"/>
    <w:rsid w:val="0004364B"/>
    <w:rsid w:val="00044AFD"/>
    <w:rsid w:val="000457D8"/>
    <w:rsid w:val="00051B50"/>
    <w:rsid w:val="00052341"/>
    <w:rsid w:val="000538D1"/>
    <w:rsid w:val="00053E1D"/>
    <w:rsid w:val="000604B7"/>
    <w:rsid w:val="00061B1F"/>
    <w:rsid w:val="000675CB"/>
    <w:rsid w:val="00070287"/>
    <w:rsid w:val="000733C4"/>
    <w:rsid w:val="00074783"/>
    <w:rsid w:val="000747B4"/>
    <w:rsid w:val="00075B2D"/>
    <w:rsid w:val="00076920"/>
    <w:rsid w:val="0008070B"/>
    <w:rsid w:val="000810AC"/>
    <w:rsid w:val="00081A02"/>
    <w:rsid w:val="00082231"/>
    <w:rsid w:val="00084705"/>
    <w:rsid w:val="000878DA"/>
    <w:rsid w:val="00091EF3"/>
    <w:rsid w:val="00092D38"/>
    <w:rsid w:val="0009377B"/>
    <w:rsid w:val="00094B5A"/>
    <w:rsid w:val="0009592F"/>
    <w:rsid w:val="00096204"/>
    <w:rsid w:val="00097EC4"/>
    <w:rsid w:val="000A089C"/>
    <w:rsid w:val="000A20C9"/>
    <w:rsid w:val="000A3329"/>
    <w:rsid w:val="000A3CCF"/>
    <w:rsid w:val="000B058F"/>
    <w:rsid w:val="000B2027"/>
    <w:rsid w:val="000B2EC5"/>
    <w:rsid w:val="000B2EF7"/>
    <w:rsid w:val="000B4467"/>
    <w:rsid w:val="000B4DB9"/>
    <w:rsid w:val="000B57B4"/>
    <w:rsid w:val="000C09AC"/>
    <w:rsid w:val="000C767F"/>
    <w:rsid w:val="000D4E7C"/>
    <w:rsid w:val="000D5A44"/>
    <w:rsid w:val="000E10F8"/>
    <w:rsid w:val="000E3ED2"/>
    <w:rsid w:val="000E445B"/>
    <w:rsid w:val="000E46B5"/>
    <w:rsid w:val="000E53C9"/>
    <w:rsid w:val="000E7CEC"/>
    <w:rsid w:val="000F6C4E"/>
    <w:rsid w:val="00100939"/>
    <w:rsid w:val="00100B7E"/>
    <w:rsid w:val="001040EE"/>
    <w:rsid w:val="001041E9"/>
    <w:rsid w:val="00105DC1"/>
    <w:rsid w:val="00112A3B"/>
    <w:rsid w:val="00115353"/>
    <w:rsid w:val="001232E4"/>
    <w:rsid w:val="00124096"/>
    <w:rsid w:val="00131F42"/>
    <w:rsid w:val="001343BE"/>
    <w:rsid w:val="00134CBD"/>
    <w:rsid w:val="001357F1"/>
    <w:rsid w:val="00140FA8"/>
    <w:rsid w:val="00142FEB"/>
    <w:rsid w:val="00143A2D"/>
    <w:rsid w:val="00143F67"/>
    <w:rsid w:val="00145A41"/>
    <w:rsid w:val="00151675"/>
    <w:rsid w:val="00154BE4"/>
    <w:rsid w:val="00157435"/>
    <w:rsid w:val="00167D3D"/>
    <w:rsid w:val="001719C4"/>
    <w:rsid w:val="0017504D"/>
    <w:rsid w:val="0017671A"/>
    <w:rsid w:val="00177422"/>
    <w:rsid w:val="00177831"/>
    <w:rsid w:val="00183049"/>
    <w:rsid w:val="00184590"/>
    <w:rsid w:val="001847A7"/>
    <w:rsid w:val="001850AE"/>
    <w:rsid w:val="001870D1"/>
    <w:rsid w:val="0018781E"/>
    <w:rsid w:val="0019262D"/>
    <w:rsid w:val="00192D35"/>
    <w:rsid w:val="00195B69"/>
    <w:rsid w:val="001A1B35"/>
    <w:rsid w:val="001A48A2"/>
    <w:rsid w:val="001A6F61"/>
    <w:rsid w:val="001B1456"/>
    <w:rsid w:val="001B5F92"/>
    <w:rsid w:val="001B72B8"/>
    <w:rsid w:val="001C26E5"/>
    <w:rsid w:val="001C281D"/>
    <w:rsid w:val="001C41B5"/>
    <w:rsid w:val="001C4513"/>
    <w:rsid w:val="001C69B3"/>
    <w:rsid w:val="001D1D69"/>
    <w:rsid w:val="001D1F3A"/>
    <w:rsid w:val="001D5595"/>
    <w:rsid w:val="001D7874"/>
    <w:rsid w:val="001D7F22"/>
    <w:rsid w:val="001E0C5A"/>
    <w:rsid w:val="001E4DD2"/>
    <w:rsid w:val="001F0C10"/>
    <w:rsid w:val="001F0F17"/>
    <w:rsid w:val="001F1F07"/>
    <w:rsid w:val="001F3347"/>
    <w:rsid w:val="001F4802"/>
    <w:rsid w:val="001F58D0"/>
    <w:rsid w:val="001F69E4"/>
    <w:rsid w:val="0020420A"/>
    <w:rsid w:val="00205D45"/>
    <w:rsid w:val="002125B4"/>
    <w:rsid w:val="00212F54"/>
    <w:rsid w:val="00213048"/>
    <w:rsid w:val="002155B8"/>
    <w:rsid w:val="00216FD2"/>
    <w:rsid w:val="002216A7"/>
    <w:rsid w:val="002229BE"/>
    <w:rsid w:val="00224839"/>
    <w:rsid w:val="002249B2"/>
    <w:rsid w:val="00226574"/>
    <w:rsid w:val="002278EC"/>
    <w:rsid w:val="00230250"/>
    <w:rsid w:val="0023280E"/>
    <w:rsid w:val="002354E9"/>
    <w:rsid w:val="002377D1"/>
    <w:rsid w:val="0025055A"/>
    <w:rsid w:val="002506BC"/>
    <w:rsid w:val="002508C3"/>
    <w:rsid w:val="00254345"/>
    <w:rsid w:val="00254B0B"/>
    <w:rsid w:val="00264557"/>
    <w:rsid w:val="00264E69"/>
    <w:rsid w:val="00265D1E"/>
    <w:rsid w:val="002743E5"/>
    <w:rsid w:val="00275ED0"/>
    <w:rsid w:val="002805AB"/>
    <w:rsid w:val="00281AE7"/>
    <w:rsid w:val="00282002"/>
    <w:rsid w:val="002830D5"/>
    <w:rsid w:val="00284204"/>
    <w:rsid w:val="00291773"/>
    <w:rsid w:val="00294BCB"/>
    <w:rsid w:val="002A0976"/>
    <w:rsid w:val="002A0FAA"/>
    <w:rsid w:val="002A168C"/>
    <w:rsid w:val="002A3DC7"/>
    <w:rsid w:val="002A4E1A"/>
    <w:rsid w:val="002A5243"/>
    <w:rsid w:val="002A5901"/>
    <w:rsid w:val="002B49E2"/>
    <w:rsid w:val="002B7B00"/>
    <w:rsid w:val="002B7C44"/>
    <w:rsid w:val="002C1B6F"/>
    <w:rsid w:val="002C21DD"/>
    <w:rsid w:val="002C2B17"/>
    <w:rsid w:val="002C5E7E"/>
    <w:rsid w:val="002C666A"/>
    <w:rsid w:val="002C7269"/>
    <w:rsid w:val="002D1EE1"/>
    <w:rsid w:val="002D3DD0"/>
    <w:rsid w:val="002D4359"/>
    <w:rsid w:val="002D543D"/>
    <w:rsid w:val="002E107B"/>
    <w:rsid w:val="002E1AE7"/>
    <w:rsid w:val="002E1F3A"/>
    <w:rsid w:val="002E298A"/>
    <w:rsid w:val="00301978"/>
    <w:rsid w:val="0030332C"/>
    <w:rsid w:val="003051C2"/>
    <w:rsid w:val="003064D4"/>
    <w:rsid w:val="00312296"/>
    <w:rsid w:val="00314F0E"/>
    <w:rsid w:val="00316A6D"/>
    <w:rsid w:val="00316F74"/>
    <w:rsid w:val="00321250"/>
    <w:rsid w:val="00321D8E"/>
    <w:rsid w:val="00325928"/>
    <w:rsid w:val="00327A62"/>
    <w:rsid w:val="00332863"/>
    <w:rsid w:val="0033359B"/>
    <w:rsid w:val="00336408"/>
    <w:rsid w:val="0033684D"/>
    <w:rsid w:val="00337B42"/>
    <w:rsid w:val="00341B42"/>
    <w:rsid w:val="0034328A"/>
    <w:rsid w:val="0034348F"/>
    <w:rsid w:val="00345D7E"/>
    <w:rsid w:val="0035084B"/>
    <w:rsid w:val="00351186"/>
    <w:rsid w:val="00353BA7"/>
    <w:rsid w:val="00356653"/>
    <w:rsid w:val="0035743F"/>
    <w:rsid w:val="003577A2"/>
    <w:rsid w:val="00357B8B"/>
    <w:rsid w:val="00357BE2"/>
    <w:rsid w:val="0036170C"/>
    <w:rsid w:val="00362346"/>
    <w:rsid w:val="00366E0F"/>
    <w:rsid w:val="00374C78"/>
    <w:rsid w:val="00381A72"/>
    <w:rsid w:val="00384676"/>
    <w:rsid w:val="0038496B"/>
    <w:rsid w:val="00390857"/>
    <w:rsid w:val="0039360A"/>
    <w:rsid w:val="003A4BF3"/>
    <w:rsid w:val="003A4DB8"/>
    <w:rsid w:val="003A70B8"/>
    <w:rsid w:val="003A7E50"/>
    <w:rsid w:val="003B420D"/>
    <w:rsid w:val="003C0329"/>
    <w:rsid w:val="003C1C70"/>
    <w:rsid w:val="003C221C"/>
    <w:rsid w:val="003C6C16"/>
    <w:rsid w:val="003D1260"/>
    <w:rsid w:val="003D794D"/>
    <w:rsid w:val="003E3058"/>
    <w:rsid w:val="003E34CB"/>
    <w:rsid w:val="003E76A9"/>
    <w:rsid w:val="003F0809"/>
    <w:rsid w:val="003F0F76"/>
    <w:rsid w:val="003F25E9"/>
    <w:rsid w:val="003F310B"/>
    <w:rsid w:val="003F4192"/>
    <w:rsid w:val="003F471F"/>
    <w:rsid w:val="003F62BF"/>
    <w:rsid w:val="003F64C6"/>
    <w:rsid w:val="003F6A8C"/>
    <w:rsid w:val="003F755C"/>
    <w:rsid w:val="00405F72"/>
    <w:rsid w:val="00406F01"/>
    <w:rsid w:val="00407603"/>
    <w:rsid w:val="00411CA3"/>
    <w:rsid w:val="00412C91"/>
    <w:rsid w:val="00416D50"/>
    <w:rsid w:val="00416FD5"/>
    <w:rsid w:val="00417772"/>
    <w:rsid w:val="004206D8"/>
    <w:rsid w:val="00420E6A"/>
    <w:rsid w:val="004244C7"/>
    <w:rsid w:val="00425A9E"/>
    <w:rsid w:val="00426D6B"/>
    <w:rsid w:val="00430012"/>
    <w:rsid w:val="00431E6C"/>
    <w:rsid w:val="00433CE7"/>
    <w:rsid w:val="00433EE5"/>
    <w:rsid w:val="00435851"/>
    <w:rsid w:val="004423E4"/>
    <w:rsid w:val="004433DD"/>
    <w:rsid w:val="00445D35"/>
    <w:rsid w:val="00452738"/>
    <w:rsid w:val="00455371"/>
    <w:rsid w:val="00456091"/>
    <w:rsid w:val="00461622"/>
    <w:rsid w:val="0046186C"/>
    <w:rsid w:val="0046556F"/>
    <w:rsid w:val="00465B5F"/>
    <w:rsid w:val="00466321"/>
    <w:rsid w:val="00467971"/>
    <w:rsid w:val="00472E98"/>
    <w:rsid w:val="00481EC1"/>
    <w:rsid w:val="00483658"/>
    <w:rsid w:val="00484B9B"/>
    <w:rsid w:val="004855F6"/>
    <w:rsid w:val="004860EA"/>
    <w:rsid w:val="0048661E"/>
    <w:rsid w:val="004870C7"/>
    <w:rsid w:val="00487486"/>
    <w:rsid w:val="004907B8"/>
    <w:rsid w:val="00491635"/>
    <w:rsid w:val="00494670"/>
    <w:rsid w:val="00496B30"/>
    <w:rsid w:val="004A357C"/>
    <w:rsid w:val="004A3823"/>
    <w:rsid w:val="004A7330"/>
    <w:rsid w:val="004A7722"/>
    <w:rsid w:val="004B4068"/>
    <w:rsid w:val="004B4D28"/>
    <w:rsid w:val="004C0A6B"/>
    <w:rsid w:val="004C3534"/>
    <w:rsid w:val="004C3C77"/>
    <w:rsid w:val="004C435D"/>
    <w:rsid w:val="004D242D"/>
    <w:rsid w:val="004D3285"/>
    <w:rsid w:val="004D6270"/>
    <w:rsid w:val="004E2D02"/>
    <w:rsid w:val="004E5E7F"/>
    <w:rsid w:val="004E6946"/>
    <w:rsid w:val="004F06DE"/>
    <w:rsid w:val="004F1AD8"/>
    <w:rsid w:val="004F2E99"/>
    <w:rsid w:val="004F38FD"/>
    <w:rsid w:val="004F70E1"/>
    <w:rsid w:val="005039CB"/>
    <w:rsid w:val="0050558F"/>
    <w:rsid w:val="00506286"/>
    <w:rsid w:val="00510813"/>
    <w:rsid w:val="00511990"/>
    <w:rsid w:val="00511D87"/>
    <w:rsid w:val="00511DE0"/>
    <w:rsid w:val="00514870"/>
    <w:rsid w:val="00514B9B"/>
    <w:rsid w:val="0051591B"/>
    <w:rsid w:val="005167B5"/>
    <w:rsid w:val="00517F02"/>
    <w:rsid w:val="00520190"/>
    <w:rsid w:val="00524303"/>
    <w:rsid w:val="005258A2"/>
    <w:rsid w:val="00525E32"/>
    <w:rsid w:val="00526435"/>
    <w:rsid w:val="00532BAA"/>
    <w:rsid w:val="005401AE"/>
    <w:rsid w:val="00542E07"/>
    <w:rsid w:val="00545424"/>
    <w:rsid w:val="0054665F"/>
    <w:rsid w:val="005547EB"/>
    <w:rsid w:val="00554A7B"/>
    <w:rsid w:val="0055572C"/>
    <w:rsid w:val="00556242"/>
    <w:rsid w:val="00557E0E"/>
    <w:rsid w:val="0056106A"/>
    <w:rsid w:val="005625C6"/>
    <w:rsid w:val="00565829"/>
    <w:rsid w:val="005720AE"/>
    <w:rsid w:val="00575A9D"/>
    <w:rsid w:val="00580DF2"/>
    <w:rsid w:val="00591F7E"/>
    <w:rsid w:val="00592351"/>
    <w:rsid w:val="00594D77"/>
    <w:rsid w:val="00596442"/>
    <w:rsid w:val="005969E4"/>
    <w:rsid w:val="005A06B7"/>
    <w:rsid w:val="005A1759"/>
    <w:rsid w:val="005A621A"/>
    <w:rsid w:val="005A68A7"/>
    <w:rsid w:val="005A7690"/>
    <w:rsid w:val="005B0DB9"/>
    <w:rsid w:val="005B28B6"/>
    <w:rsid w:val="005B6415"/>
    <w:rsid w:val="005B7604"/>
    <w:rsid w:val="005C2D16"/>
    <w:rsid w:val="005C4D2E"/>
    <w:rsid w:val="005D36AB"/>
    <w:rsid w:val="005E1B53"/>
    <w:rsid w:val="005E2E13"/>
    <w:rsid w:val="005E32D5"/>
    <w:rsid w:val="005E76C9"/>
    <w:rsid w:val="005E7F98"/>
    <w:rsid w:val="005F5F7A"/>
    <w:rsid w:val="005F60EB"/>
    <w:rsid w:val="0060028A"/>
    <w:rsid w:val="00602D07"/>
    <w:rsid w:val="00607498"/>
    <w:rsid w:val="006076C8"/>
    <w:rsid w:val="006156AB"/>
    <w:rsid w:val="00617CC3"/>
    <w:rsid w:val="00617F34"/>
    <w:rsid w:val="006212EA"/>
    <w:rsid w:val="006227EA"/>
    <w:rsid w:val="006327FA"/>
    <w:rsid w:val="00633E62"/>
    <w:rsid w:val="006377A6"/>
    <w:rsid w:val="00637A3D"/>
    <w:rsid w:val="00640834"/>
    <w:rsid w:val="00640A5E"/>
    <w:rsid w:val="006411EF"/>
    <w:rsid w:val="00643BC1"/>
    <w:rsid w:val="006446C5"/>
    <w:rsid w:val="00644D3D"/>
    <w:rsid w:val="00645122"/>
    <w:rsid w:val="006457E9"/>
    <w:rsid w:val="00646D58"/>
    <w:rsid w:val="00650291"/>
    <w:rsid w:val="00654460"/>
    <w:rsid w:val="006638E8"/>
    <w:rsid w:val="00665BAD"/>
    <w:rsid w:val="0066759E"/>
    <w:rsid w:val="006748B8"/>
    <w:rsid w:val="006775C3"/>
    <w:rsid w:val="00677EE7"/>
    <w:rsid w:val="00682D80"/>
    <w:rsid w:val="00684B00"/>
    <w:rsid w:val="00685592"/>
    <w:rsid w:val="0069096A"/>
    <w:rsid w:val="0069290A"/>
    <w:rsid w:val="006946FF"/>
    <w:rsid w:val="006955BB"/>
    <w:rsid w:val="0069584C"/>
    <w:rsid w:val="006961E5"/>
    <w:rsid w:val="0069775A"/>
    <w:rsid w:val="00697813"/>
    <w:rsid w:val="006A3EE8"/>
    <w:rsid w:val="006A4FB4"/>
    <w:rsid w:val="006A53B9"/>
    <w:rsid w:val="006A72BF"/>
    <w:rsid w:val="006B03F2"/>
    <w:rsid w:val="006B0F76"/>
    <w:rsid w:val="006B2F00"/>
    <w:rsid w:val="006B37DC"/>
    <w:rsid w:val="006B4F68"/>
    <w:rsid w:val="006C0256"/>
    <w:rsid w:val="006C0592"/>
    <w:rsid w:val="006C272E"/>
    <w:rsid w:val="006C5479"/>
    <w:rsid w:val="006C727D"/>
    <w:rsid w:val="006D05F8"/>
    <w:rsid w:val="006D13B5"/>
    <w:rsid w:val="006D61A6"/>
    <w:rsid w:val="006D6428"/>
    <w:rsid w:val="006D68AD"/>
    <w:rsid w:val="006E04D8"/>
    <w:rsid w:val="006E12FF"/>
    <w:rsid w:val="006E566D"/>
    <w:rsid w:val="006E607E"/>
    <w:rsid w:val="00701544"/>
    <w:rsid w:val="00702588"/>
    <w:rsid w:val="00703AEE"/>
    <w:rsid w:val="00703F14"/>
    <w:rsid w:val="007041B1"/>
    <w:rsid w:val="00706C5D"/>
    <w:rsid w:val="00707484"/>
    <w:rsid w:val="007078AC"/>
    <w:rsid w:val="00711D3A"/>
    <w:rsid w:val="00713429"/>
    <w:rsid w:val="00717D06"/>
    <w:rsid w:val="0072153F"/>
    <w:rsid w:val="007256E6"/>
    <w:rsid w:val="00730C49"/>
    <w:rsid w:val="00732922"/>
    <w:rsid w:val="0074236C"/>
    <w:rsid w:val="00744D1B"/>
    <w:rsid w:val="0075162E"/>
    <w:rsid w:val="007519A7"/>
    <w:rsid w:val="00753528"/>
    <w:rsid w:val="00754034"/>
    <w:rsid w:val="00756556"/>
    <w:rsid w:val="00756F76"/>
    <w:rsid w:val="007618C4"/>
    <w:rsid w:val="00763109"/>
    <w:rsid w:val="0076544C"/>
    <w:rsid w:val="00767980"/>
    <w:rsid w:val="00770B19"/>
    <w:rsid w:val="00770C17"/>
    <w:rsid w:val="00772C50"/>
    <w:rsid w:val="0077463F"/>
    <w:rsid w:val="00777044"/>
    <w:rsid w:val="007836EA"/>
    <w:rsid w:val="00784BB3"/>
    <w:rsid w:val="00784CDA"/>
    <w:rsid w:val="0078528D"/>
    <w:rsid w:val="00790300"/>
    <w:rsid w:val="007906C4"/>
    <w:rsid w:val="00790900"/>
    <w:rsid w:val="007940EA"/>
    <w:rsid w:val="00796569"/>
    <w:rsid w:val="007967E8"/>
    <w:rsid w:val="007A2170"/>
    <w:rsid w:val="007A22BF"/>
    <w:rsid w:val="007A2773"/>
    <w:rsid w:val="007A3323"/>
    <w:rsid w:val="007A420B"/>
    <w:rsid w:val="007B1009"/>
    <w:rsid w:val="007B1922"/>
    <w:rsid w:val="007B2BDE"/>
    <w:rsid w:val="007B4A1A"/>
    <w:rsid w:val="007B6FB3"/>
    <w:rsid w:val="007B72B8"/>
    <w:rsid w:val="007B7A58"/>
    <w:rsid w:val="007C10EC"/>
    <w:rsid w:val="007C1FA6"/>
    <w:rsid w:val="007C21B5"/>
    <w:rsid w:val="007D32C2"/>
    <w:rsid w:val="007D4711"/>
    <w:rsid w:val="007D4E07"/>
    <w:rsid w:val="007D7145"/>
    <w:rsid w:val="007E4BD2"/>
    <w:rsid w:val="007E4F04"/>
    <w:rsid w:val="007E6284"/>
    <w:rsid w:val="00801393"/>
    <w:rsid w:val="00802F88"/>
    <w:rsid w:val="00810532"/>
    <w:rsid w:val="00810751"/>
    <w:rsid w:val="008114C7"/>
    <w:rsid w:val="008124F4"/>
    <w:rsid w:val="0081293E"/>
    <w:rsid w:val="008140A7"/>
    <w:rsid w:val="00815465"/>
    <w:rsid w:val="00815D24"/>
    <w:rsid w:val="00817E9A"/>
    <w:rsid w:val="0082032C"/>
    <w:rsid w:val="00823002"/>
    <w:rsid w:val="00823E76"/>
    <w:rsid w:val="008253B7"/>
    <w:rsid w:val="008306BD"/>
    <w:rsid w:val="00831A80"/>
    <w:rsid w:val="0083336E"/>
    <w:rsid w:val="00833743"/>
    <w:rsid w:val="008340A4"/>
    <w:rsid w:val="008354DC"/>
    <w:rsid w:val="00847A94"/>
    <w:rsid w:val="00847BC3"/>
    <w:rsid w:val="008512BE"/>
    <w:rsid w:val="0085253D"/>
    <w:rsid w:val="00853692"/>
    <w:rsid w:val="00854A0F"/>
    <w:rsid w:val="008555A7"/>
    <w:rsid w:val="00861BAA"/>
    <w:rsid w:val="00863D7D"/>
    <w:rsid w:val="0087135F"/>
    <w:rsid w:val="0087167F"/>
    <w:rsid w:val="00872D94"/>
    <w:rsid w:val="008741FA"/>
    <w:rsid w:val="00876C9B"/>
    <w:rsid w:val="00880364"/>
    <w:rsid w:val="00880535"/>
    <w:rsid w:val="0089028E"/>
    <w:rsid w:val="00891592"/>
    <w:rsid w:val="00891E9E"/>
    <w:rsid w:val="008945C9"/>
    <w:rsid w:val="008A2F68"/>
    <w:rsid w:val="008A348A"/>
    <w:rsid w:val="008A369C"/>
    <w:rsid w:val="008A4C16"/>
    <w:rsid w:val="008A7E38"/>
    <w:rsid w:val="008B0DC6"/>
    <w:rsid w:val="008B4FA6"/>
    <w:rsid w:val="008B5282"/>
    <w:rsid w:val="008B7C17"/>
    <w:rsid w:val="008C01A7"/>
    <w:rsid w:val="008C2AB8"/>
    <w:rsid w:val="008C2D01"/>
    <w:rsid w:val="008C40E6"/>
    <w:rsid w:val="008C5C00"/>
    <w:rsid w:val="008C6188"/>
    <w:rsid w:val="008D0F7A"/>
    <w:rsid w:val="008D2852"/>
    <w:rsid w:val="008D30D9"/>
    <w:rsid w:val="008D4C7C"/>
    <w:rsid w:val="008D5EEE"/>
    <w:rsid w:val="008D68E4"/>
    <w:rsid w:val="008E0506"/>
    <w:rsid w:val="008E0CFF"/>
    <w:rsid w:val="008E5D6B"/>
    <w:rsid w:val="008E6528"/>
    <w:rsid w:val="008E6935"/>
    <w:rsid w:val="008E76F0"/>
    <w:rsid w:val="008E7DEC"/>
    <w:rsid w:val="008F0F15"/>
    <w:rsid w:val="008F11DB"/>
    <w:rsid w:val="008F15FE"/>
    <w:rsid w:val="008F22F6"/>
    <w:rsid w:val="008F2D29"/>
    <w:rsid w:val="008F38B0"/>
    <w:rsid w:val="008F5187"/>
    <w:rsid w:val="008F60D8"/>
    <w:rsid w:val="00902727"/>
    <w:rsid w:val="00902971"/>
    <w:rsid w:val="0090312B"/>
    <w:rsid w:val="00905784"/>
    <w:rsid w:val="0091221C"/>
    <w:rsid w:val="00915F85"/>
    <w:rsid w:val="0091736D"/>
    <w:rsid w:val="0092333F"/>
    <w:rsid w:val="0093037A"/>
    <w:rsid w:val="009362E1"/>
    <w:rsid w:val="00940451"/>
    <w:rsid w:val="0094154D"/>
    <w:rsid w:val="009436DF"/>
    <w:rsid w:val="00946CFB"/>
    <w:rsid w:val="0095155F"/>
    <w:rsid w:val="009535D7"/>
    <w:rsid w:val="00953DAC"/>
    <w:rsid w:val="00954429"/>
    <w:rsid w:val="009563CE"/>
    <w:rsid w:val="009614E8"/>
    <w:rsid w:val="009619B5"/>
    <w:rsid w:val="00962939"/>
    <w:rsid w:val="0097255C"/>
    <w:rsid w:val="00976328"/>
    <w:rsid w:val="0097667A"/>
    <w:rsid w:val="0097680D"/>
    <w:rsid w:val="00981159"/>
    <w:rsid w:val="00982438"/>
    <w:rsid w:val="0098404C"/>
    <w:rsid w:val="00985283"/>
    <w:rsid w:val="009907C4"/>
    <w:rsid w:val="00990C1E"/>
    <w:rsid w:val="00995992"/>
    <w:rsid w:val="009A03E5"/>
    <w:rsid w:val="009A0F3B"/>
    <w:rsid w:val="009A1BB4"/>
    <w:rsid w:val="009A220B"/>
    <w:rsid w:val="009A2628"/>
    <w:rsid w:val="009A2E62"/>
    <w:rsid w:val="009A3200"/>
    <w:rsid w:val="009A3468"/>
    <w:rsid w:val="009A49C5"/>
    <w:rsid w:val="009A7A42"/>
    <w:rsid w:val="009B0897"/>
    <w:rsid w:val="009B175F"/>
    <w:rsid w:val="009B45F6"/>
    <w:rsid w:val="009B4DBD"/>
    <w:rsid w:val="009B6F54"/>
    <w:rsid w:val="009B7BD9"/>
    <w:rsid w:val="009C25BC"/>
    <w:rsid w:val="009C2952"/>
    <w:rsid w:val="009C2968"/>
    <w:rsid w:val="009C7DD5"/>
    <w:rsid w:val="009D271F"/>
    <w:rsid w:val="009E06BB"/>
    <w:rsid w:val="009E0E3C"/>
    <w:rsid w:val="009E227D"/>
    <w:rsid w:val="009E360B"/>
    <w:rsid w:val="009E5019"/>
    <w:rsid w:val="009E65CC"/>
    <w:rsid w:val="009F0066"/>
    <w:rsid w:val="009F0120"/>
    <w:rsid w:val="009F2F97"/>
    <w:rsid w:val="009F3AAE"/>
    <w:rsid w:val="00A005FB"/>
    <w:rsid w:val="00A013AB"/>
    <w:rsid w:val="00A01AA0"/>
    <w:rsid w:val="00A04F1B"/>
    <w:rsid w:val="00A0501B"/>
    <w:rsid w:val="00A14947"/>
    <w:rsid w:val="00A17152"/>
    <w:rsid w:val="00A315F0"/>
    <w:rsid w:val="00A32201"/>
    <w:rsid w:val="00A32A83"/>
    <w:rsid w:val="00A3380E"/>
    <w:rsid w:val="00A358E3"/>
    <w:rsid w:val="00A368DB"/>
    <w:rsid w:val="00A40274"/>
    <w:rsid w:val="00A423AA"/>
    <w:rsid w:val="00A47E4B"/>
    <w:rsid w:val="00A51273"/>
    <w:rsid w:val="00A53EC6"/>
    <w:rsid w:val="00A55C0F"/>
    <w:rsid w:val="00A647CB"/>
    <w:rsid w:val="00A668A5"/>
    <w:rsid w:val="00A712F6"/>
    <w:rsid w:val="00A71479"/>
    <w:rsid w:val="00A74085"/>
    <w:rsid w:val="00A75C66"/>
    <w:rsid w:val="00A773EF"/>
    <w:rsid w:val="00A8713F"/>
    <w:rsid w:val="00A9032D"/>
    <w:rsid w:val="00A90BA1"/>
    <w:rsid w:val="00A9244C"/>
    <w:rsid w:val="00A96827"/>
    <w:rsid w:val="00A97A9A"/>
    <w:rsid w:val="00AA0671"/>
    <w:rsid w:val="00AA0FBF"/>
    <w:rsid w:val="00AA1B91"/>
    <w:rsid w:val="00AA2531"/>
    <w:rsid w:val="00AA28B0"/>
    <w:rsid w:val="00AA2ACA"/>
    <w:rsid w:val="00AA3797"/>
    <w:rsid w:val="00AA7AD1"/>
    <w:rsid w:val="00AB1E09"/>
    <w:rsid w:val="00AB24CE"/>
    <w:rsid w:val="00AB5330"/>
    <w:rsid w:val="00AB606C"/>
    <w:rsid w:val="00AB7747"/>
    <w:rsid w:val="00AB7C76"/>
    <w:rsid w:val="00AB7D61"/>
    <w:rsid w:val="00AC14CE"/>
    <w:rsid w:val="00AC2A56"/>
    <w:rsid w:val="00AC42B9"/>
    <w:rsid w:val="00AC5D80"/>
    <w:rsid w:val="00AC75AA"/>
    <w:rsid w:val="00AD055E"/>
    <w:rsid w:val="00AD05AE"/>
    <w:rsid w:val="00AD2651"/>
    <w:rsid w:val="00AD47A7"/>
    <w:rsid w:val="00AD4CE1"/>
    <w:rsid w:val="00AD4F0B"/>
    <w:rsid w:val="00AD7830"/>
    <w:rsid w:val="00AE059F"/>
    <w:rsid w:val="00AE2AE9"/>
    <w:rsid w:val="00AF0CBF"/>
    <w:rsid w:val="00AF1E8F"/>
    <w:rsid w:val="00AF23EC"/>
    <w:rsid w:val="00AF257F"/>
    <w:rsid w:val="00AF33CF"/>
    <w:rsid w:val="00AF4D50"/>
    <w:rsid w:val="00AF6179"/>
    <w:rsid w:val="00B0550F"/>
    <w:rsid w:val="00B11ACC"/>
    <w:rsid w:val="00B11E1F"/>
    <w:rsid w:val="00B1295A"/>
    <w:rsid w:val="00B15B11"/>
    <w:rsid w:val="00B20A45"/>
    <w:rsid w:val="00B22269"/>
    <w:rsid w:val="00B22C5C"/>
    <w:rsid w:val="00B24F30"/>
    <w:rsid w:val="00B259D3"/>
    <w:rsid w:val="00B31ABF"/>
    <w:rsid w:val="00B320A2"/>
    <w:rsid w:val="00B33BE3"/>
    <w:rsid w:val="00B51A13"/>
    <w:rsid w:val="00B529DD"/>
    <w:rsid w:val="00B53B5D"/>
    <w:rsid w:val="00B54A62"/>
    <w:rsid w:val="00B54DBE"/>
    <w:rsid w:val="00B561ED"/>
    <w:rsid w:val="00B6055E"/>
    <w:rsid w:val="00B60EA0"/>
    <w:rsid w:val="00B6317D"/>
    <w:rsid w:val="00B64559"/>
    <w:rsid w:val="00B72709"/>
    <w:rsid w:val="00B73666"/>
    <w:rsid w:val="00B7723F"/>
    <w:rsid w:val="00B80534"/>
    <w:rsid w:val="00B81AA6"/>
    <w:rsid w:val="00B8433C"/>
    <w:rsid w:val="00B84CD0"/>
    <w:rsid w:val="00B84EF3"/>
    <w:rsid w:val="00B87491"/>
    <w:rsid w:val="00B92349"/>
    <w:rsid w:val="00B92BAA"/>
    <w:rsid w:val="00BA29E9"/>
    <w:rsid w:val="00BA44DA"/>
    <w:rsid w:val="00BA4CB7"/>
    <w:rsid w:val="00BA7142"/>
    <w:rsid w:val="00BB237C"/>
    <w:rsid w:val="00BB41A3"/>
    <w:rsid w:val="00BC1218"/>
    <w:rsid w:val="00BC1928"/>
    <w:rsid w:val="00BC32DC"/>
    <w:rsid w:val="00BC35B6"/>
    <w:rsid w:val="00BD0081"/>
    <w:rsid w:val="00BD1B51"/>
    <w:rsid w:val="00BD298A"/>
    <w:rsid w:val="00BD4596"/>
    <w:rsid w:val="00BD5897"/>
    <w:rsid w:val="00BD5DCE"/>
    <w:rsid w:val="00BE12F9"/>
    <w:rsid w:val="00BE1405"/>
    <w:rsid w:val="00BE312D"/>
    <w:rsid w:val="00BE651A"/>
    <w:rsid w:val="00BF1C20"/>
    <w:rsid w:val="00BF2C7B"/>
    <w:rsid w:val="00BF6986"/>
    <w:rsid w:val="00C00AD4"/>
    <w:rsid w:val="00C0199E"/>
    <w:rsid w:val="00C03D22"/>
    <w:rsid w:val="00C10578"/>
    <w:rsid w:val="00C135BC"/>
    <w:rsid w:val="00C14A7E"/>
    <w:rsid w:val="00C15C95"/>
    <w:rsid w:val="00C17AB7"/>
    <w:rsid w:val="00C25785"/>
    <w:rsid w:val="00C2596A"/>
    <w:rsid w:val="00C27537"/>
    <w:rsid w:val="00C27C69"/>
    <w:rsid w:val="00C30BFB"/>
    <w:rsid w:val="00C328FE"/>
    <w:rsid w:val="00C33507"/>
    <w:rsid w:val="00C3350F"/>
    <w:rsid w:val="00C3421E"/>
    <w:rsid w:val="00C351E2"/>
    <w:rsid w:val="00C4409D"/>
    <w:rsid w:val="00C44E72"/>
    <w:rsid w:val="00C450C3"/>
    <w:rsid w:val="00C45A06"/>
    <w:rsid w:val="00C47C00"/>
    <w:rsid w:val="00C47E5B"/>
    <w:rsid w:val="00C512E9"/>
    <w:rsid w:val="00C52B45"/>
    <w:rsid w:val="00C603E2"/>
    <w:rsid w:val="00C61E4B"/>
    <w:rsid w:val="00C63D34"/>
    <w:rsid w:val="00C64BFF"/>
    <w:rsid w:val="00C65EBF"/>
    <w:rsid w:val="00C704E9"/>
    <w:rsid w:val="00C7435B"/>
    <w:rsid w:val="00C75264"/>
    <w:rsid w:val="00C7627A"/>
    <w:rsid w:val="00C763C9"/>
    <w:rsid w:val="00C76ACA"/>
    <w:rsid w:val="00C80057"/>
    <w:rsid w:val="00C81AA8"/>
    <w:rsid w:val="00C82232"/>
    <w:rsid w:val="00C8240A"/>
    <w:rsid w:val="00C82913"/>
    <w:rsid w:val="00C83C57"/>
    <w:rsid w:val="00C86E42"/>
    <w:rsid w:val="00C93C3B"/>
    <w:rsid w:val="00C967CA"/>
    <w:rsid w:val="00C972B1"/>
    <w:rsid w:val="00CA2CCE"/>
    <w:rsid w:val="00CA43FD"/>
    <w:rsid w:val="00CA52E0"/>
    <w:rsid w:val="00CA567A"/>
    <w:rsid w:val="00CA6E57"/>
    <w:rsid w:val="00CA7EF8"/>
    <w:rsid w:val="00CB0378"/>
    <w:rsid w:val="00CB1F09"/>
    <w:rsid w:val="00CB5A36"/>
    <w:rsid w:val="00CB5D46"/>
    <w:rsid w:val="00CC0D01"/>
    <w:rsid w:val="00CC39D9"/>
    <w:rsid w:val="00CC4649"/>
    <w:rsid w:val="00CC489B"/>
    <w:rsid w:val="00CC52F5"/>
    <w:rsid w:val="00CD2BCD"/>
    <w:rsid w:val="00CD3A4C"/>
    <w:rsid w:val="00CD5193"/>
    <w:rsid w:val="00CD66E9"/>
    <w:rsid w:val="00CD72D8"/>
    <w:rsid w:val="00CE10E9"/>
    <w:rsid w:val="00CE2910"/>
    <w:rsid w:val="00CE4DED"/>
    <w:rsid w:val="00CE5393"/>
    <w:rsid w:val="00CE607C"/>
    <w:rsid w:val="00CE6128"/>
    <w:rsid w:val="00CE6468"/>
    <w:rsid w:val="00CE6866"/>
    <w:rsid w:val="00CF1A4E"/>
    <w:rsid w:val="00CF2766"/>
    <w:rsid w:val="00CF36BE"/>
    <w:rsid w:val="00CF5A79"/>
    <w:rsid w:val="00CF6000"/>
    <w:rsid w:val="00CF7A83"/>
    <w:rsid w:val="00D003F3"/>
    <w:rsid w:val="00D008BC"/>
    <w:rsid w:val="00D01D58"/>
    <w:rsid w:val="00D0339F"/>
    <w:rsid w:val="00D0364F"/>
    <w:rsid w:val="00D060C0"/>
    <w:rsid w:val="00D06640"/>
    <w:rsid w:val="00D06834"/>
    <w:rsid w:val="00D068B4"/>
    <w:rsid w:val="00D10FCD"/>
    <w:rsid w:val="00D118D8"/>
    <w:rsid w:val="00D147B9"/>
    <w:rsid w:val="00D15406"/>
    <w:rsid w:val="00D20B4D"/>
    <w:rsid w:val="00D308ED"/>
    <w:rsid w:val="00D32195"/>
    <w:rsid w:val="00D36120"/>
    <w:rsid w:val="00D361A3"/>
    <w:rsid w:val="00D36D86"/>
    <w:rsid w:val="00D373C4"/>
    <w:rsid w:val="00D428AA"/>
    <w:rsid w:val="00D45768"/>
    <w:rsid w:val="00D4610F"/>
    <w:rsid w:val="00D509DC"/>
    <w:rsid w:val="00D50A34"/>
    <w:rsid w:val="00D53EFA"/>
    <w:rsid w:val="00D60DB6"/>
    <w:rsid w:val="00D62507"/>
    <w:rsid w:val="00D645F2"/>
    <w:rsid w:val="00D70471"/>
    <w:rsid w:val="00D7141A"/>
    <w:rsid w:val="00D74A2E"/>
    <w:rsid w:val="00D74FB9"/>
    <w:rsid w:val="00D75DE2"/>
    <w:rsid w:val="00D77E1F"/>
    <w:rsid w:val="00D77F27"/>
    <w:rsid w:val="00D85039"/>
    <w:rsid w:val="00D93280"/>
    <w:rsid w:val="00D94A7C"/>
    <w:rsid w:val="00D95896"/>
    <w:rsid w:val="00D97802"/>
    <w:rsid w:val="00DA25F1"/>
    <w:rsid w:val="00DA449E"/>
    <w:rsid w:val="00DA47DF"/>
    <w:rsid w:val="00DA59F6"/>
    <w:rsid w:val="00DA64AE"/>
    <w:rsid w:val="00DB2983"/>
    <w:rsid w:val="00DB352C"/>
    <w:rsid w:val="00DB7FC8"/>
    <w:rsid w:val="00DC1257"/>
    <w:rsid w:val="00DC3DC0"/>
    <w:rsid w:val="00DC3FEF"/>
    <w:rsid w:val="00DC5933"/>
    <w:rsid w:val="00DC5B2B"/>
    <w:rsid w:val="00DC6126"/>
    <w:rsid w:val="00DC6266"/>
    <w:rsid w:val="00DC6DA5"/>
    <w:rsid w:val="00DD318D"/>
    <w:rsid w:val="00DD3910"/>
    <w:rsid w:val="00DD68DD"/>
    <w:rsid w:val="00DE2690"/>
    <w:rsid w:val="00DE2C1B"/>
    <w:rsid w:val="00DE2D66"/>
    <w:rsid w:val="00DE3995"/>
    <w:rsid w:val="00DF039A"/>
    <w:rsid w:val="00DF1493"/>
    <w:rsid w:val="00DF2E12"/>
    <w:rsid w:val="00DF514A"/>
    <w:rsid w:val="00DF6690"/>
    <w:rsid w:val="00DF6804"/>
    <w:rsid w:val="00E0358D"/>
    <w:rsid w:val="00E04323"/>
    <w:rsid w:val="00E070A2"/>
    <w:rsid w:val="00E079D7"/>
    <w:rsid w:val="00E209F2"/>
    <w:rsid w:val="00E20ED1"/>
    <w:rsid w:val="00E2340D"/>
    <w:rsid w:val="00E2656A"/>
    <w:rsid w:val="00E27A4D"/>
    <w:rsid w:val="00E3266D"/>
    <w:rsid w:val="00E412D0"/>
    <w:rsid w:val="00E42480"/>
    <w:rsid w:val="00E43F4B"/>
    <w:rsid w:val="00E46284"/>
    <w:rsid w:val="00E504F9"/>
    <w:rsid w:val="00E52707"/>
    <w:rsid w:val="00E54B71"/>
    <w:rsid w:val="00E56322"/>
    <w:rsid w:val="00E60982"/>
    <w:rsid w:val="00E62C62"/>
    <w:rsid w:val="00E654C1"/>
    <w:rsid w:val="00E65D97"/>
    <w:rsid w:val="00E72A5A"/>
    <w:rsid w:val="00E73354"/>
    <w:rsid w:val="00E81B53"/>
    <w:rsid w:val="00E84FD8"/>
    <w:rsid w:val="00E85511"/>
    <w:rsid w:val="00E86AA6"/>
    <w:rsid w:val="00E90741"/>
    <w:rsid w:val="00E907D0"/>
    <w:rsid w:val="00E9242D"/>
    <w:rsid w:val="00EA37E6"/>
    <w:rsid w:val="00EA3C48"/>
    <w:rsid w:val="00EA3F5D"/>
    <w:rsid w:val="00EA66BF"/>
    <w:rsid w:val="00EA74D2"/>
    <w:rsid w:val="00EB14D2"/>
    <w:rsid w:val="00EB1D86"/>
    <w:rsid w:val="00EB1F15"/>
    <w:rsid w:val="00EB2F8F"/>
    <w:rsid w:val="00EB477B"/>
    <w:rsid w:val="00EB51DF"/>
    <w:rsid w:val="00EB5255"/>
    <w:rsid w:val="00EB5501"/>
    <w:rsid w:val="00EB5C47"/>
    <w:rsid w:val="00EC11F5"/>
    <w:rsid w:val="00EC2286"/>
    <w:rsid w:val="00ED0639"/>
    <w:rsid w:val="00ED2A37"/>
    <w:rsid w:val="00ED2B3E"/>
    <w:rsid w:val="00EE00B2"/>
    <w:rsid w:val="00EE0928"/>
    <w:rsid w:val="00EE2A24"/>
    <w:rsid w:val="00EE6637"/>
    <w:rsid w:val="00EF079E"/>
    <w:rsid w:val="00EF4755"/>
    <w:rsid w:val="00EF4CC0"/>
    <w:rsid w:val="00EF7135"/>
    <w:rsid w:val="00EF76F2"/>
    <w:rsid w:val="00F027DB"/>
    <w:rsid w:val="00F02FCC"/>
    <w:rsid w:val="00F065F7"/>
    <w:rsid w:val="00F10974"/>
    <w:rsid w:val="00F14A7A"/>
    <w:rsid w:val="00F22985"/>
    <w:rsid w:val="00F230E5"/>
    <w:rsid w:val="00F26D62"/>
    <w:rsid w:val="00F30CDC"/>
    <w:rsid w:val="00F3277B"/>
    <w:rsid w:val="00F3383E"/>
    <w:rsid w:val="00F3480B"/>
    <w:rsid w:val="00F41E78"/>
    <w:rsid w:val="00F443FD"/>
    <w:rsid w:val="00F465A7"/>
    <w:rsid w:val="00F46CEB"/>
    <w:rsid w:val="00F508CD"/>
    <w:rsid w:val="00F50B7C"/>
    <w:rsid w:val="00F550E6"/>
    <w:rsid w:val="00F57563"/>
    <w:rsid w:val="00F606A9"/>
    <w:rsid w:val="00F616D2"/>
    <w:rsid w:val="00F61802"/>
    <w:rsid w:val="00F61DDA"/>
    <w:rsid w:val="00F72612"/>
    <w:rsid w:val="00F72E14"/>
    <w:rsid w:val="00F74345"/>
    <w:rsid w:val="00F8024E"/>
    <w:rsid w:val="00F80A0A"/>
    <w:rsid w:val="00F8157E"/>
    <w:rsid w:val="00F82B19"/>
    <w:rsid w:val="00F844E2"/>
    <w:rsid w:val="00F91042"/>
    <w:rsid w:val="00F91451"/>
    <w:rsid w:val="00F9212D"/>
    <w:rsid w:val="00F92982"/>
    <w:rsid w:val="00F9403B"/>
    <w:rsid w:val="00F965DA"/>
    <w:rsid w:val="00F97AE3"/>
    <w:rsid w:val="00FA229F"/>
    <w:rsid w:val="00FA2D3B"/>
    <w:rsid w:val="00FA406A"/>
    <w:rsid w:val="00FA4D16"/>
    <w:rsid w:val="00FA5EF0"/>
    <w:rsid w:val="00FB1216"/>
    <w:rsid w:val="00FB503A"/>
    <w:rsid w:val="00FB516C"/>
    <w:rsid w:val="00FB5A15"/>
    <w:rsid w:val="00FB7B09"/>
    <w:rsid w:val="00FD0236"/>
    <w:rsid w:val="00FD09A9"/>
    <w:rsid w:val="00FD18F4"/>
    <w:rsid w:val="00FD310D"/>
    <w:rsid w:val="00FD4B09"/>
    <w:rsid w:val="00FD54DB"/>
    <w:rsid w:val="00FD619F"/>
    <w:rsid w:val="00FD6201"/>
    <w:rsid w:val="00FE0AB7"/>
    <w:rsid w:val="00FE1700"/>
    <w:rsid w:val="00FE3C4B"/>
    <w:rsid w:val="00FE4037"/>
    <w:rsid w:val="00FF0AFB"/>
    <w:rsid w:val="00FF32EB"/>
    <w:rsid w:val="00FF524B"/>
    <w:rsid w:val="00FF792C"/>
    <w:rsid w:val="00FF7D5D"/>
    <w:rsid w:val="010528B9"/>
    <w:rsid w:val="0119677B"/>
    <w:rsid w:val="011B54CF"/>
    <w:rsid w:val="01207B0A"/>
    <w:rsid w:val="012515C4"/>
    <w:rsid w:val="0125204F"/>
    <w:rsid w:val="01290F7E"/>
    <w:rsid w:val="012A2737"/>
    <w:rsid w:val="012D2227"/>
    <w:rsid w:val="012E59E9"/>
    <w:rsid w:val="012F05BA"/>
    <w:rsid w:val="012F4995"/>
    <w:rsid w:val="0138070A"/>
    <w:rsid w:val="014A2DD9"/>
    <w:rsid w:val="014B27A4"/>
    <w:rsid w:val="014F6641"/>
    <w:rsid w:val="015522D5"/>
    <w:rsid w:val="015638CD"/>
    <w:rsid w:val="0159301C"/>
    <w:rsid w:val="015B4A06"/>
    <w:rsid w:val="015D1E09"/>
    <w:rsid w:val="015E56C5"/>
    <w:rsid w:val="0162151D"/>
    <w:rsid w:val="016F45ED"/>
    <w:rsid w:val="01700901"/>
    <w:rsid w:val="01826A17"/>
    <w:rsid w:val="018514CE"/>
    <w:rsid w:val="01883901"/>
    <w:rsid w:val="018F2C17"/>
    <w:rsid w:val="018F4C90"/>
    <w:rsid w:val="01916C5A"/>
    <w:rsid w:val="019422A6"/>
    <w:rsid w:val="019F664E"/>
    <w:rsid w:val="01A0034A"/>
    <w:rsid w:val="01AD3AFC"/>
    <w:rsid w:val="01C419B3"/>
    <w:rsid w:val="01CB0493"/>
    <w:rsid w:val="01E30A41"/>
    <w:rsid w:val="01FD42EF"/>
    <w:rsid w:val="02295505"/>
    <w:rsid w:val="023A2E4D"/>
    <w:rsid w:val="02405F8A"/>
    <w:rsid w:val="024A6146"/>
    <w:rsid w:val="024D6822"/>
    <w:rsid w:val="02506B77"/>
    <w:rsid w:val="025A0035"/>
    <w:rsid w:val="02624152"/>
    <w:rsid w:val="026914E5"/>
    <w:rsid w:val="02697903"/>
    <w:rsid w:val="026B3007"/>
    <w:rsid w:val="027A76EE"/>
    <w:rsid w:val="028A358E"/>
    <w:rsid w:val="028E6791"/>
    <w:rsid w:val="02A14C7A"/>
    <w:rsid w:val="02AE2989"/>
    <w:rsid w:val="02B02AE4"/>
    <w:rsid w:val="02B17DEA"/>
    <w:rsid w:val="02BF0D61"/>
    <w:rsid w:val="02BF77F6"/>
    <w:rsid w:val="02CD1F13"/>
    <w:rsid w:val="02D52CB9"/>
    <w:rsid w:val="02DB6D23"/>
    <w:rsid w:val="02E119E5"/>
    <w:rsid w:val="02F079B0"/>
    <w:rsid w:val="02F96569"/>
    <w:rsid w:val="03057A39"/>
    <w:rsid w:val="030C5461"/>
    <w:rsid w:val="03132C35"/>
    <w:rsid w:val="031418F0"/>
    <w:rsid w:val="031E3181"/>
    <w:rsid w:val="031E62CB"/>
    <w:rsid w:val="03292DF3"/>
    <w:rsid w:val="032D650E"/>
    <w:rsid w:val="033C2BF5"/>
    <w:rsid w:val="034804A0"/>
    <w:rsid w:val="034A09F4"/>
    <w:rsid w:val="034D3C5E"/>
    <w:rsid w:val="035508BA"/>
    <w:rsid w:val="036D1000"/>
    <w:rsid w:val="036F3C68"/>
    <w:rsid w:val="0377307E"/>
    <w:rsid w:val="037C6A95"/>
    <w:rsid w:val="038002F5"/>
    <w:rsid w:val="03885E3A"/>
    <w:rsid w:val="038C12F2"/>
    <w:rsid w:val="039447DF"/>
    <w:rsid w:val="03AF1619"/>
    <w:rsid w:val="03B53475"/>
    <w:rsid w:val="03C07382"/>
    <w:rsid w:val="03CB7B24"/>
    <w:rsid w:val="03CF617C"/>
    <w:rsid w:val="03D61CC7"/>
    <w:rsid w:val="03DC30C9"/>
    <w:rsid w:val="03E01CC9"/>
    <w:rsid w:val="03E365A7"/>
    <w:rsid w:val="03E70DB3"/>
    <w:rsid w:val="03EA7B21"/>
    <w:rsid w:val="03F013EA"/>
    <w:rsid w:val="03F3131A"/>
    <w:rsid w:val="0406477E"/>
    <w:rsid w:val="040B48D1"/>
    <w:rsid w:val="04142BC5"/>
    <w:rsid w:val="04161698"/>
    <w:rsid w:val="04180F6C"/>
    <w:rsid w:val="04207EF6"/>
    <w:rsid w:val="042532DE"/>
    <w:rsid w:val="042C2C6A"/>
    <w:rsid w:val="04336F74"/>
    <w:rsid w:val="04365012"/>
    <w:rsid w:val="043C1017"/>
    <w:rsid w:val="044004C3"/>
    <w:rsid w:val="0442248D"/>
    <w:rsid w:val="04441D61"/>
    <w:rsid w:val="045A0BC3"/>
    <w:rsid w:val="0472197E"/>
    <w:rsid w:val="047A1C27"/>
    <w:rsid w:val="047E3CCD"/>
    <w:rsid w:val="04854128"/>
    <w:rsid w:val="049A0157"/>
    <w:rsid w:val="049B235B"/>
    <w:rsid w:val="04A86794"/>
    <w:rsid w:val="04AB1CB5"/>
    <w:rsid w:val="04B53D1B"/>
    <w:rsid w:val="04B85E33"/>
    <w:rsid w:val="04C81AE6"/>
    <w:rsid w:val="04D03244"/>
    <w:rsid w:val="04DE5809"/>
    <w:rsid w:val="04FE6296"/>
    <w:rsid w:val="05154177"/>
    <w:rsid w:val="051918BE"/>
    <w:rsid w:val="051C6491"/>
    <w:rsid w:val="051C6BD2"/>
    <w:rsid w:val="05373674"/>
    <w:rsid w:val="053E7CEF"/>
    <w:rsid w:val="055C3C08"/>
    <w:rsid w:val="05663A90"/>
    <w:rsid w:val="056D30B8"/>
    <w:rsid w:val="056F1060"/>
    <w:rsid w:val="057272E7"/>
    <w:rsid w:val="05816FE5"/>
    <w:rsid w:val="05850FA6"/>
    <w:rsid w:val="0588243D"/>
    <w:rsid w:val="059279E7"/>
    <w:rsid w:val="05A21435"/>
    <w:rsid w:val="05A50F26"/>
    <w:rsid w:val="05A56137"/>
    <w:rsid w:val="05A827C4"/>
    <w:rsid w:val="05A97997"/>
    <w:rsid w:val="05AA2098"/>
    <w:rsid w:val="05AF0A30"/>
    <w:rsid w:val="05CA464D"/>
    <w:rsid w:val="05CB200E"/>
    <w:rsid w:val="05DB0FF8"/>
    <w:rsid w:val="05DF62C8"/>
    <w:rsid w:val="05E10046"/>
    <w:rsid w:val="05EE1A1D"/>
    <w:rsid w:val="05F437EE"/>
    <w:rsid w:val="05F7488B"/>
    <w:rsid w:val="05F83EAE"/>
    <w:rsid w:val="05FA70D2"/>
    <w:rsid w:val="06010975"/>
    <w:rsid w:val="06025E6A"/>
    <w:rsid w:val="0620235A"/>
    <w:rsid w:val="063E7D85"/>
    <w:rsid w:val="06402A94"/>
    <w:rsid w:val="064918B1"/>
    <w:rsid w:val="065A3ABE"/>
    <w:rsid w:val="065A4742"/>
    <w:rsid w:val="065C5077"/>
    <w:rsid w:val="066C44CE"/>
    <w:rsid w:val="066D1AB1"/>
    <w:rsid w:val="06700C2D"/>
    <w:rsid w:val="067266D3"/>
    <w:rsid w:val="067277C8"/>
    <w:rsid w:val="0687062B"/>
    <w:rsid w:val="069074E0"/>
    <w:rsid w:val="069D52B6"/>
    <w:rsid w:val="069E24B0"/>
    <w:rsid w:val="06AB431A"/>
    <w:rsid w:val="06B33330"/>
    <w:rsid w:val="06C1662E"/>
    <w:rsid w:val="06C21663"/>
    <w:rsid w:val="06C278B5"/>
    <w:rsid w:val="06C97BAD"/>
    <w:rsid w:val="06DF5243"/>
    <w:rsid w:val="06DF5963"/>
    <w:rsid w:val="06E0397C"/>
    <w:rsid w:val="06E97196"/>
    <w:rsid w:val="06EE5561"/>
    <w:rsid w:val="06FA704F"/>
    <w:rsid w:val="06FF299A"/>
    <w:rsid w:val="07057D9F"/>
    <w:rsid w:val="07060306"/>
    <w:rsid w:val="071D55AF"/>
    <w:rsid w:val="071D753B"/>
    <w:rsid w:val="0721695A"/>
    <w:rsid w:val="07247A6D"/>
    <w:rsid w:val="072705C8"/>
    <w:rsid w:val="07293586"/>
    <w:rsid w:val="07295285"/>
    <w:rsid w:val="07317B7D"/>
    <w:rsid w:val="073836D3"/>
    <w:rsid w:val="073A38EF"/>
    <w:rsid w:val="07481B68"/>
    <w:rsid w:val="074C5FBF"/>
    <w:rsid w:val="0754675F"/>
    <w:rsid w:val="075F150C"/>
    <w:rsid w:val="07636392"/>
    <w:rsid w:val="07697D31"/>
    <w:rsid w:val="07770C56"/>
    <w:rsid w:val="077C1812"/>
    <w:rsid w:val="077D47B4"/>
    <w:rsid w:val="07846919"/>
    <w:rsid w:val="078660CC"/>
    <w:rsid w:val="07911761"/>
    <w:rsid w:val="07983E97"/>
    <w:rsid w:val="079923C4"/>
    <w:rsid w:val="07994889"/>
    <w:rsid w:val="07A15675"/>
    <w:rsid w:val="07A47677"/>
    <w:rsid w:val="07B977A3"/>
    <w:rsid w:val="07C53191"/>
    <w:rsid w:val="07CB326A"/>
    <w:rsid w:val="07CC027A"/>
    <w:rsid w:val="07D6021D"/>
    <w:rsid w:val="07D94090"/>
    <w:rsid w:val="07E15B19"/>
    <w:rsid w:val="07E86C40"/>
    <w:rsid w:val="08017F69"/>
    <w:rsid w:val="08055112"/>
    <w:rsid w:val="08071A24"/>
    <w:rsid w:val="080812F8"/>
    <w:rsid w:val="080A32C2"/>
    <w:rsid w:val="080A5070"/>
    <w:rsid w:val="080E39BA"/>
    <w:rsid w:val="08202AE5"/>
    <w:rsid w:val="082500FC"/>
    <w:rsid w:val="082F0F7A"/>
    <w:rsid w:val="0833192C"/>
    <w:rsid w:val="08335EE3"/>
    <w:rsid w:val="0840616D"/>
    <w:rsid w:val="08484D29"/>
    <w:rsid w:val="085C65AA"/>
    <w:rsid w:val="086230FE"/>
    <w:rsid w:val="087B488F"/>
    <w:rsid w:val="08862D93"/>
    <w:rsid w:val="088A346F"/>
    <w:rsid w:val="08960941"/>
    <w:rsid w:val="0898267C"/>
    <w:rsid w:val="089C0455"/>
    <w:rsid w:val="089D5EE4"/>
    <w:rsid w:val="089E3A0A"/>
    <w:rsid w:val="08AB28A7"/>
    <w:rsid w:val="08B55590"/>
    <w:rsid w:val="08C41AE8"/>
    <w:rsid w:val="08CE0E26"/>
    <w:rsid w:val="08CF4C1B"/>
    <w:rsid w:val="08DF64FD"/>
    <w:rsid w:val="08F024B8"/>
    <w:rsid w:val="08F02B9A"/>
    <w:rsid w:val="08F6791F"/>
    <w:rsid w:val="08F95FE0"/>
    <w:rsid w:val="09095F00"/>
    <w:rsid w:val="09151F1E"/>
    <w:rsid w:val="092217DD"/>
    <w:rsid w:val="092263E9"/>
    <w:rsid w:val="09291E45"/>
    <w:rsid w:val="09334A53"/>
    <w:rsid w:val="093A7294"/>
    <w:rsid w:val="09455E35"/>
    <w:rsid w:val="09481618"/>
    <w:rsid w:val="09526CCE"/>
    <w:rsid w:val="095742E5"/>
    <w:rsid w:val="09616506"/>
    <w:rsid w:val="09664528"/>
    <w:rsid w:val="09696332"/>
    <w:rsid w:val="09732F58"/>
    <w:rsid w:val="097924AD"/>
    <w:rsid w:val="097C3D4B"/>
    <w:rsid w:val="098175B4"/>
    <w:rsid w:val="098826F0"/>
    <w:rsid w:val="098F195C"/>
    <w:rsid w:val="099B7C83"/>
    <w:rsid w:val="099C7352"/>
    <w:rsid w:val="09A134B0"/>
    <w:rsid w:val="09A1696F"/>
    <w:rsid w:val="09A45050"/>
    <w:rsid w:val="09D403DB"/>
    <w:rsid w:val="09F00295"/>
    <w:rsid w:val="09FC6C3A"/>
    <w:rsid w:val="09FF2C83"/>
    <w:rsid w:val="0A0273AA"/>
    <w:rsid w:val="0A1263F7"/>
    <w:rsid w:val="0A154E75"/>
    <w:rsid w:val="0A255CC4"/>
    <w:rsid w:val="0A263993"/>
    <w:rsid w:val="0A2B471E"/>
    <w:rsid w:val="0A2D3AC2"/>
    <w:rsid w:val="0A2F0DBE"/>
    <w:rsid w:val="0A424F95"/>
    <w:rsid w:val="0A4C5E14"/>
    <w:rsid w:val="0A5D4EE4"/>
    <w:rsid w:val="0A650112"/>
    <w:rsid w:val="0A652A31"/>
    <w:rsid w:val="0A6C2012"/>
    <w:rsid w:val="0A6E6667"/>
    <w:rsid w:val="0A72306C"/>
    <w:rsid w:val="0A733DF9"/>
    <w:rsid w:val="0A762D11"/>
    <w:rsid w:val="0A84735B"/>
    <w:rsid w:val="0A876E4C"/>
    <w:rsid w:val="0A917CCA"/>
    <w:rsid w:val="0A93759F"/>
    <w:rsid w:val="0AA755DF"/>
    <w:rsid w:val="0AB37C41"/>
    <w:rsid w:val="0AC02164"/>
    <w:rsid w:val="0AD12338"/>
    <w:rsid w:val="0AD66408"/>
    <w:rsid w:val="0AE078CF"/>
    <w:rsid w:val="0AE5230E"/>
    <w:rsid w:val="0AE67BFD"/>
    <w:rsid w:val="0AFA2B41"/>
    <w:rsid w:val="0B037581"/>
    <w:rsid w:val="0B095AB3"/>
    <w:rsid w:val="0B120D44"/>
    <w:rsid w:val="0B132F9F"/>
    <w:rsid w:val="0B185CF6"/>
    <w:rsid w:val="0B1A1A6E"/>
    <w:rsid w:val="0B1A381C"/>
    <w:rsid w:val="0B217997"/>
    <w:rsid w:val="0B2B77D7"/>
    <w:rsid w:val="0B3C4FEE"/>
    <w:rsid w:val="0B3E0A36"/>
    <w:rsid w:val="0B573446"/>
    <w:rsid w:val="0B6215F1"/>
    <w:rsid w:val="0B6257C9"/>
    <w:rsid w:val="0B693DD3"/>
    <w:rsid w:val="0B6B4077"/>
    <w:rsid w:val="0B7078E0"/>
    <w:rsid w:val="0B732F2C"/>
    <w:rsid w:val="0B8D6E90"/>
    <w:rsid w:val="0B9B38BA"/>
    <w:rsid w:val="0BA56A3C"/>
    <w:rsid w:val="0BB21CA6"/>
    <w:rsid w:val="0BB52BC2"/>
    <w:rsid w:val="0BBC6802"/>
    <w:rsid w:val="0BCD2653"/>
    <w:rsid w:val="0BCD4D32"/>
    <w:rsid w:val="0BD27BF6"/>
    <w:rsid w:val="0BD87233"/>
    <w:rsid w:val="0BDA06F8"/>
    <w:rsid w:val="0BDE0CED"/>
    <w:rsid w:val="0BDE6F3F"/>
    <w:rsid w:val="0BE44837"/>
    <w:rsid w:val="0BE52FF0"/>
    <w:rsid w:val="0C0229D3"/>
    <w:rsid w:val="0C0369A6"/>
    <w:rsid w:val="0C060EA5"/>
    <w:rsid w:val="0C0F0EA7"/>
    <w:rsid w:val="0C1C6F16"/>
    <w:rsid w:val="0C201306"/>
    <w:rsid w:val="0C227E67"/>
    <w:rsid w:val="0C2A7A8F"/>
    <w:rsid w:val="0C3B3C7D"/>
    <w:rsid w:val="0C5114BF"/>
    <w:rsid w:val="0C523489"/>
    <w:rsid w:val="0C6008CA"/>
    <w:rsid w:val="0C670CE3"/>
    <w:rsid w:val="0C690C5E"/>
    <w:rsid w:val="0C6A07D3"/>
    <w:rsid w:val="0C731097"/>
    <w:rsid w:val="0C756975"/>
    <w:rsid w:val="0C801DA5"/>
    <w:rsid w:val="0C8C699B"/>
    <w:rsid w:val="0C8E62B6"/>
    <w:rsid w:val="0C8F023A"/>
    <w:rsid w:val="0C9525EA"/>
    <w:rsid w:val="0C974BFF"/>
    <w:rsid w:val="0C9D2956"/>
    <w:rsid w:val="0CA24A72"/>
    <w:rsid w:val="0CAB2EAE"/>
    <w:rsid w:val="0CAE1672"/>
    <w:rsid w:val="0CC03419"/>
    <w:rsid w:val="0CC63E58"/>
    <w:rsid w:val="0CE42990"/>
    <w:rsid w:val="0CE73F48"/>
    <w:rsid w:val="0CEC743A"/>
    <w:rsid w:val="0D0B527B"/>
    <w:rsid w:val="0D164953"/>
    <w:rsid w:val="0D186AF3"/>
    <w:rsid w:val="0D2210AE"/>
    <w:rsid w:val="0D237FB8"/>
    <w:rsid w:val="0D2B54E5"/>
    <w:rsid w:val="0D374B59"/>
    <w:rsid w:val="0D5B3813"/>
    <w:rsid w:val="0D613984"/>
    <w:rsid w:val="0D621C7D"/>
    <w:rsid w:val="0D696DCC"/>
    <w:rsid w:val="0D7A2C98"/>
    <w:rsid w:val="0D7D60D2"/>
    <w:rsid w:val="0D815DD4"/>
    <w:rsid w:val="0D836A0D"/>
    <w:rsid w:val="0D894C89"/>
    <w:rsid w:val="0D941FBE"/>
    <w:rsid w:val="0DA10224"/>
    <w:rsid w:val="0DA47C71"/>
    <w:rsid w:val="0DAD4CDF"/>
    <w:rsid w:val="0DB02216"/>
    <w:rsid w:val="0DB735A4"/>
    <w:rsid w:val="0DCF5641"/>
    <w:rsid w:val="0DFF3918"/>
    <w:rsid w:val="0E010CC3"/>
    <w:rsid w:val="0E0F65E7"/>
    <w:rsid w:val="0E16414A"/>
    <w:rsid w:val="0E190362"/>
    <w:rsid w:val="0E24538F"/>
    <w:rsid w:val="0E484B44"/>
    <w:rsid w:val="0E4F293D"/>
    <w:rsid w:val="0E6005C6"/>
    <w:rsid w:val="0E617E5D"/>
    <w:rsid w:val="0E686875"/>
    <w:rsid w:val="0E6D6359"/>
    <w:rsid w:val="0E73034D"/>
    <w:rsid w:val="0E7C47EE"/>
    <w:rsid w:val="0E9B2557"/>
    <w:rsid w:val="0EAC50D3"/>
    <w:rsid w:val="0EB91956"/>
    <w:rsid w:val="0EC54B18"/>
    <w:rsid w:val="0ED32660"/>
    <w:rsid w:val="0EDA0781"/>
    <w:rsid w:val="0EDC1223"/>
    <w:rsid w:val="0EE54141"/>
    <w:rsid w:val="0EE7610B"/>
    <w:rsid w:val="0EF34AB0"/>
    <w:rsid w:val="0EF80E8F"/>
    <w:rsid w:val="0F0A5683"/>
    <w:rsid w:val="0F13775A"/>
    <w:rsid w:val="0F1704EA"/>
    <w:rsid w:val="0F176BD8"/>
    <w:rsid w:val="0F187725"/>
    <w:rsid w:val="0F1A55A9"/>
    <w:rsid w:val="0F3341F4"/>
    <w:rsid w:val="0F3444CA"/>
    <w:rsid w:val="0F3550C8"/>
    <w:rsid w:val="0F563275"/>
    <w:rsid w:val="0F5A68DD"/>
    <w:rsid w:val="0F5C24F2"/>
    <w:rsid w:val="0F5F45FE"/>
    <w:rsid w:val="0F5F743B"/>
    <w:rsid w:val="0F696B20"/>
    <w:rsid w:val="0F6A63E1"/>
    <w:rsid w:val="0F711BD1"/>
    <w:rsid w:val="0F7D3049"/>
    <w:rsid w:val="0F844707"/>
    <w:rsid w:val="0F932BA2"/>
    <w:rsid w:val="0F946F1E"/>
    <w:rsid w:val="0F9A112B"/>
    <w:rsid w:val="0FA062E8"/>
    <w:rsid w:val="0FA364D6"/>
    <w:rsid w:val="0FB12275"/>
    <w:rsid w:val="0FBA55CD"/>
    <w:rsid w:val="0FBB45AA"/>
    <w:rsid w:val="0FBF19DA"/>
    <w:rsid w:val="0FC34FF6"/>
    <w:rsid w:val="0FD3043D"/>
    <w:rsid w:val="0FD7617F"/>
    <w:rsid w:val="0FDB1E2E"/>
    <w:rsid w:val="0FE43413"/>
    <w:rsid w:val="0FE467C4"/>
    <w:rsid w:val="0FE91E54"/>
    <w:rsid w:val="0FEB42BE"/>
    <w:rsid w:val="0FEE0B17"/>
    <w:rsid w:val="0FF46D31"/>
    <w:rsid w:val="0FF704AC"/>
    <w:rsid w:val="100803F7"/>
    <w:rsid w:val="101316CB"/>
    <w:rsid w:val="10163E75"/>
    <w:rsid w:val="101A724D"/>
    <w:rsid w:val="101C3B92"/>
    <w:rsid w:val="10230142"/>
    <w:rsid w:val="104F15F5"/>
    <w:rsid w:val="105552F6"/>
    <w:rsid w:val="106D2F64"/>
    <w:rsid w:val="10702130"/>
    <w:rsid w:val="107B45B1"/>
    <w:rsid w:val="107D260B"/>
    <w:rsid w:val="10A00E68"/>
    <w:rsid w:val="10A047C3"/>
    <w:rsid w:val="10A575F0"/>
    <w:rsid w:val="10AB4B20"/>
    <w:rsid w:val="10AD0C8E"/>
    <w:rsid w:val="10B63710"/>
    <w:rsid w:val="10B70800"/>
    <w:rsid w:val="10BA43DB"/>
    <w:rsid w:val="10BD35C7"/>
    <w:rsid w:val="10C8678C"/>
    <w:rsid w:val="10CA7A92"/>
    <w:rsid w:val="10DA712F"/>
    <w:rsid w:val="10F10820"/>
    <w:rsid w:val="10F2036C"/>
    <w:rsid w:val="10FB0CD6"/>
    <w:rsid w:val="10FE58C3"/>
    <w:rsid w:val="110A60E1"/>
    <w:rsid w:val="111B209C"/>
    <w:rsid w:val="111C2F7A"/>
    <w:rsid w:val="111C627A"/>
    <w:rsid w:val="113B066C"/>
    <w:rsid w:val="113D42B9"/>
    <w:rsid w:val="11407D54"/>
    <w:rsid w:val="11416870"/>
    <w:rsid w:val="114541CD"/>
    <w:rsid w:val="114A0BD3"/>
    <w:rsid w:val="114A2F85"/>
    <w:rsid w:val="115F06D1"/>
    <w:rsid w:val="11665CA1"/>
    <w:rsid w:val="11672D2F"/>
    <w:rsid w:val="117345B2"/>
    <w:rsid w:val="11744246"/>
    <w:rsid w:val="11844D14"/>
    <w:rsid w:val="118D039B"/>
    <w:rsid w:val="119654BE"/>
    <w:rsid w:val="11B0459D"/>
    <w:rsid w:val="11BB42F2"/>
    <w:rsid w:val="11C97D4A"/>
    <w:rsid w:val="11CC7749"/>
    <w:rsid w:val="11D72467"/>
    <w:rsid w:val="11DC080A"/>
    <w:rsid w:val="11E419E9"/>
    <w:rsid w:val="11E422F6"/>
    <w:rsid w:val="11E626AA"/>
    <w:rsid w:val="11EB72CA"/>
    <w:rsid w:val="11F03528"/>
    <w:rsid w:val="11F528ED"/>
    <w:rsid w:val="1207125C"/>
    <w:rsid w:val="12235B83"/>
    <w:rsid w:val="1234384D"/>
    <w:rsid w:val="12373DF7"/>
    <w:rsid w:val="123A6C55"/>
    <w:rsid w:val="123C36EE"/>
    <w:rsid w:val="123F74CD"/>
    <w:rsid w:val="12635AA8"/>
    <w:rsid w:val="12677A45"/>
    <w:rsid w:val="126844B3"/>
    <w:rsid w:val="126D6927"/>
    <w:rsid w:val="12747CB6"/>
    <w:rsid w:val="127C4DBC"/>
    <w:rsid w:val="127E0B34"/>
    <w:rsid w:val="12851EC3"/>
    <w:rsid w:val="1292638E"/>
    <w:rsid w:val="129E2F84"/>
    <w:rsid w:val="12A32349"/>
    <w:rsid w:val="12AA7B7B"/>
    <w:rsid w:val="12B13119"/>
    <w:rsid w:val="12B21BE1"/>
    <w:rsid w:val="12BB5397"/>
    <w:rsid w:val="12BB5897"/>
    <w:rsid w:val="12BC3B9F"/>
    <w:rsid w:val="12C2199A"/>
    <w:rsid w:val="12C5798E"/>
    <w:rsid w:val="12C80DD9"/>
    <w:rsid w:val="12D13215"/>
    <w:rsid w:val="12D20E80"/>
    <w:rsid w:val="12D720A5"/>
    <w:rsid w:val="12DB0B11"/>
    <w:rsid w:val="12FC555E"/>
    <w:rsid w:val="12FD500A"/>
    <w:rsid w:val="130A23C8"/>
    <w:rsid w:val="13146CF9"/>
    <w:rsid w:val="13182D37"/>
    <w:rsid w:val="13272F7A"/>
    <w:rsid w:val="132C67E2"/>
    <w:rsid w:val="132F1E2E"/>
    <w:rsid w:val="133160F1"/>
    <w:rsid w:val="134428EC"/>
    <w:rsid w:val="134527E4"/>
    <w:rsid w:val="135D2E40"/>
    <w:rsid w:val="13606D51"/>
    <w:rsid w:val="13637D2A"/>
    <w:rsid w:val="136664E0"/>
    <w:rsid w:val="137D703E"/>
    <w:rsid w:val="137F0587"/>
    <w:rsid w:val="13827854"/>
    <w:rsid w:val="13951726"/>
    <w:rsid w:val="139C2C55"/>
    <w:rsid w:val="13A26AA4"/>
    <w:rsid w:val="13A34EAF"/>
    <w:rsid w:val="13AB605B"/>
    <w:rsid w:val="13AC4D9D"/>
    <w:rsid w:val="13B616F1"/>
    <w:rsid w:val="13B77BD4"/>
    <w:rsid w:val="13B97F56"/>
    <w:rsid w:val="13C46A1B"/>
    <w:rsid w:val="13CE33F5"/>
    <w:rsid w:val="13DB0780"/>
    <w:rsid w:val="13DF413D"/>
    <w:rsid w:val="13DF617E"/>
    <w:rsid w:val="13EA1322"/>
    <w:rsid w:val="13F73C7A"/>
    <w:rsid w:val="13FF09B7"/>
    <w:rsid w:val="14076907"/>
    <w:rsid w:val="14172FEE"/>
    <w:rsid w:val="14284D66"/>
    <w:rsid w:val="142B4CEC"/>
    <w:rsid w:val="142D3EF2"/>
    <w:rsid w:val="142F71C0"/>
    <w:rsid w:val="143108FD"/>
    <w:rsid w:val="14385889"/>
    <w:rsid w:val="14392248"/>
    <w:rsid w:val="14396509"/>
    <w:rsid w:val="1457491F"/>
    <w:rsid w:val="145A737F"/>
    <w:rsid w:val="146370FB"/>
    <w:rsid w:val="146C6C9C"/>
    <w:rsid w:val="147541B9"/>
    <w:rsid w:val="147F11E7"/>
    <w:rsid w:val="148D505F"/>
    <w:rsid w:val="14A05457"/>
    <w:rsid w:val="14AD5701"/>
    <w:rsid w:val="14C8763F"/>
    <w:rsid w:val="14CA1097"/>
    <w:rsid w:val="14D3150B"/>
    <w:rsid w:val="14D7277E"/>
    <w:rsid w:val="14DC1B42"/>
    <w:rsid w:val="14DD2C3C"/>
    <w:rsid w:val="14E60C13"/>
    <w:rsid w:val="14F81B4E"/>
    <w:rsid w:val="14FD0A3D"/>
    <w:rsid w:val="15007F26"/>
    <w:rsid w:val="15082937"/>
    <w:rsid w:val="151B6B0E"/>
    <w:rsid w:val="15237771"/>
    <w:rsid w:val="15254377"/>
    <w:rsid w:val="15510782"/>
    <w:rsid w:val="155D6BD0"/>
    <w:rsid w:val="15681628"/>
    <w:rsid w:val="15754E9E"/>
    <w:rsid w:val="15757437"/>
    <w:rsid w:val="1584460A"/>
    <w:rsid w:val="159056AF"/>
    <w:rsid w:val="15AB710C"/>
    <w:rsid w:val="15B30AF5"/>
    <w:rsid w:val="15D53161"/>
    <w:rsid w:val="15DE7F38"/>
    <w:rsid w:val="15E2059F"/>
    <w:rsid w:val="15EE408F"/>
    <w:rsid w:val="15EF58B5"/>
    <w:rsid w:val="15F06869"/>
    <w:rsid w:val="15F07F9B"/>
    <w:rsid w:val="15F31839"/>
    <w:rsid w:val="15F630D7"/>
    <w:rsid w:val="16087E1D"/>
    <w:rsid w:val="160C28FB"/>
    <w:rsid w:val="162437A1"/>
    <w:rsid w:val="16302145"/>
    <w:rsid w:val="163360DA"/>
    <w:rsid w:val="163462D5"/>
    <w:rsid w:val="164D719B"/>
    <w:rsid w:val="165027E8"/>
    <w:rsid w:val="16617BC8"/>
    <w:rsid w:val="166E23A9"/>
    <w:rsid w:val="16702C78"/>
    <w:rsid w:val="167D3AA9"/>
    <w:rsid w:val="16921052"/>
    <w:rsid w:val="169B0F30"/>
    <w:rsid w:val="169D3553"/>
    <w:rsid w:val="16C3120C"/>
    <w:rsid w:val="16CA07EC"/>
    <w:rsid w:val="16E807EB"/>
    <w:rsid w:val="16F00564"/>
    <w:rsid w:val="17067B69"/>
    <w:rsid w:val="17081314"/>
    <w:rsid w:val="170F4451"/>
    <w:rsid w:val="17101F77"/>
    <w:rsid w:val="171827C9"/>
    <w:rsid w:val="171C7347"/>
    <w:rsid w:val="172123D6"/>
    <w:rsid w:val="172F7AEC"/>
    <w:rsid w:val="17345C65"/>
    <w:rsid w:val="173914CE"/>
    <w:rsid w:val="173F4E53"/>
    <w:rsid w:val="173F6204"/>
    <w:rsid w:val="17481711"/>
    <w:rsid w:val="175005C5"/>
    <w:rsid w:val="17524196"/>
    <w:rsid w:val="17591B70"/>
    <w:rsid w:val="17622036"/>
    <w:rsid w:val="176A78D9"/>
    <w:rsid w:val="17701D14"/>
    <w:rsid w:val="17735226"/>
    <w:rsid w:val="177C13BA"/>
    <w:rsid w:val="1782733C"/>
    <w:rsid w:val="17831FED"/>
    <w:rsid w:val="178E49DF"/>
    <w:rsid w:val="179E21C4"/>
    <w:rsid w:val="179F6AD9"/>
    <w:rsid w:val="17B510CB"/>
    <w:rsid w:val="17C27715"/>
    <w:rsid w:val="17C63C83"/>
    <w:rsid w:val="17CA57EF"/>
    <w:rsid w:val="17D32BC9"/>
    <w:rsid w:val="17E30241"/>
    <w:rsid w:val="180A4C18"/>
    <w:rsid w:val="18100480"/>
    <w:rsid w:val="18133C2B"/>
    <w:rsid w:val="181451A4"/>
    <w:rsid w:val="18187C96"/>
    <w:rsid w:val="183231D1"/>
    <w:rsid w:val="18420856"/>
    <w:rsid w:val="184300EF"/>
    <w:rsid w:val="18482169"/>
    <w:rsid w:val="18502A31"/>
    <w:rsid w:val="18567E5D"/>
    <w:rsid w:val="185D6550"/>
    <w:rsid w:val="18625F4B"/>
    <w:rsid w:val="18644B34"/>
    <w:rsid w:val="186D2C93"/>
    <w:rsid w:val="186E164B"/>
    <w:rsid w:val="188B5607"/>
    <w:rsid w:val="188E3A9B"/>
    <w:rsid w:val="189270E7"/>
    <w:rsid w:val="189C1D14"/>
    <w:rsid w:val="189C7F66"/>
    <w:rsid w:val="189D0617"/>
    <w:rsid w:val="189D783A"/>
    <w:rsid w:val="189F624C"/>
    <w:rsid w:val="18A14E42"/>
    <w:rsid w:val="18A316DD"/>
    <w:rsid w:val="18AA4B64"/>
    <w:rsid w:val="18B05567"/>
    <w:rsid w:val="18BB11EA"/>
    <w:rsid w:val="18C11E91"/>
    <w:rsid w:val="18C95B28"/>
    <w:rsid w:val="18C96881"/>
    <w:rsid w:val="18CB084B"/>
    <w:rsid w:val="18CD2C86"/>
    <w:rsid w:val="18D50057"/>
    <w:rsid w:val="18D53478"/>
    <w:rsid w:val="18D55226"/>
    <w:rsid w:val="18DA0A8E"/>
    <w:rsid w:val="18DC5659"/>
    <w:rsid w:val="18E216F1"/>
    <w:rsid w:val="18F76701"/>
    <w:rsid w:val="18F953B8"/>
    <w:rsid w:val="18FE29CF"/>
    <w:rsid w:val="190E24E6"/>
    <w:rsid w:val="19143FA0"/>
    <w:rsid w:val="191F5D7A"/>
    <w:rsid w:val="1922596B"/>
    <w:rsid w:val="19383C1B"/>
    <w:rsid w:val="193C12CB"/>
    <w:rsid w:val="1947366D"/>
    <w:rsid w:val="194A79C2"/>
    <w:rsid w:val="194B7296"/>
    <w:rsid w:val="19622F5E"/>
    <w:rsid w:val="19657868"/>
    <w:rsid w:val="197113F3"/>
    <w:rsid w:val="1971794B"/>
    <w:rsid w:val="197762DD"/>
    <w:rsid w:val="19792055"/>
    <w:rsid w:val="197D46C8"/>
    <w:rsid w:val="197F0562"/>
    <w:rsid w:val="19834C82"/>
    <w:rsid w:val="19882298"/>
    <w:rsid w:val="19914340"/>
    <w:rsid w:val="19A01670"/>
    <w:rsid w:val="19A05834"/>
    <w:rsid w:val="19A05CB8"/>
    <w:rsid w:val="19A27635"/>
    <w:rsid w:val="19AF7825"/>
    <w:rsid w:val="19B31D93"/>
    <w:rsid w:val="19B97804"/>
    <w:rsid w:val="19BE3F0C"/>
    <w:rsid w:val="19C34341"/>
    <w:rsid w:val="19CE23A1"/>
    <w:rsid w:val="19D60C5F"/>
    <w:rsid w:val="19DB3339"/>
    <w:rsid w:val="19DE195D"/>
    <w:rsid w:val="19E03E83"/>
    <w:rsid w:val="19E07D39"/>
    <w:rsid w:val="1A003B22"/>
    <w:rsid w:val="1A11040C"/>
    <w:rsid w:val="1A1C66C0"/>
    <w:rsid w:val="1A42393B"/>
    <w:rsid w:val="1A432C1F"/>
    <w:rsid w:val="1A4A5C7F"/>
    <w:rsid w:val="1A4E703E"/>
    <w:rsid w:val="1A5017E6"/>
    <w:rsid w:val="1A5605E9"/>
    <w:rsid w:val="1A654FCE"/>
    <w:rsid w:val="1A694281"/>
    <w:rsid w:val="1A792A0E"/>
    <w:rsid w:val="1A7F18ED"/>
    <w:rsid w:val="1A903AFB"/>
    <w:rsid w:val="1A952EBF"/>
    <w:rsid w:val="1A9F5AEC"/>
    <w:rsid w:val="1AA0173F"/>
    <w:rsid w:val="1AA5089C"/>
    <w:rsid w:val="1AA84175"/>
    <w:rsid w:val="1AAD45DE"/>
    <w:rsid w:val="1AAD676C"/>
    <w:rsid w:val="1AAF5148"/>
    <w:rsid w:val="1AB64BE3"/>
    <w:rsid w:val="1ABE6898"/>
    <w:rsid w:val="1AC512E4"/>
    <w:rsid w:val="1ACA5454"/>
    <w:rsid w:val="1AD76066"/>
    <w:rsid w:val="1AE71241"/>
    <w:rsid w:val="1AF377E3"/>
    <w:rsid w:val="1B046F80"/>
    <w:rsid w:val="1B0D5414"/>
    <w:rsid w:val="1B1C1F38"/>
    <w:rsid w:val="1B214C6B"/>
    <w:rsid w:val="1B2539D7"/>
    <w:rsid w:val="1B3204E9"/>
    <w:rsid w:val="1B3267B5"/>
    <w:rsid w:val="1B391A9C"/>
    <w:rsid w:val="1B40161D"/>
    <w:rsid w:val="1B441859"/>
    <w:rsid w:val="1B4548E5"/>
    <w:rsid w:val="1B46457B"/>
    <w:rsid w:val="1B594B80"/>
    <w:rsid w:val="1B5A2AA1"/>
    <w:rsid w:val="1B5C1C2F"/>
    <w:rsid w:val="1B6606B1"/>
    <w:rsid w:val="1B7615D0"/>
    <w:rsid w:val="1B795CDB"/>
    <w:rsid w:val="1B854CE1"/>
    <w:rsid w:val="1B897D2E"/>
    <w:rsid w:val="1B9403E7"/>
    <w:rsid w:val="1B9A62B3"/>
    <w:rsid w:val="1B9C4323"/>
    <w:rsid w:val="1B9E72CC"/>
    <w:rsid w:val="1BC66F3E"/>
    <w:rsid w:val="1BD061B0"/>
    <w:rsid w:val="1BDD2D6F"/>
    <w:rsid w:val="1C3E30E2"/>
    <w:rsid w:val="1C441279"/>
    <w:rsid w:val="1C454471"/>
    <w:rsid w:val="1C5E7925"/>
    <w:rsid w:val="1C666463"/>
    <w:rsid w:val="1C705992"/>
    <w:rsid w:val="1C8036FB"/>
    <w:rsid w:val="1C84143D"/>
    <w:rsid w:val="1C8B27CB"/>
    <w:rsid w:val="1C940F54"/>
    <w:rsid w:val="1CB17D58"/>
    <w:rsid w:val="1CB303A9"/>
    <w:rsid w:val="1CBD15DA"/>
    <w:rsid w:val="1CC56B6E"/>
    <w:rsid w:val="1CC7757C"/>
    <w:rsid w:val="1CCC06EE"/>
    <w:rsid w:val="1CDD2776"/>
    <w:rsid w:val="1CE026E3"/>
    <w:rsid w:val="1CE20489"/>
    <w:rsid w:val="1CE25E06"/>
    <w:rsid w:val="1CF00880"/>
    <w:rsid w:val="1CF23B93"/>
    <w:rsid w:val="1CF95B46"/>
    <w:rsid w:val="1CFC0FD3"/>
    <w:rsid w:val="1CFD070F"/>
    <w:rsid w:val="1D0253E4"/>
    <w:rsid w:val="1D094313"/>
    <w:rsid w:val="1D126A49"/>
    <w:rsid w:val="1D143544"/>
    <w:rsid w:val="1D183D06"/>
    <w:rsid w:val="1D1C5FD1"/>
    <w:rsid w:val="1D24677C"/>
    <w:rsid w:val="1D266050"/>
    <w:rsid w:val="1D2A2840"/>
    <w:rsid w:val="1D383206"/>
    <w:rsid w:val="1D4204B6"/>
    <w:rsid w:val="1D4576F2"/>
    <w:rsid w:val="1D4B7246"/>
    <w:rsid w:val="1D5C7B62"/>
    <w:rsid w:val="1D5F5A06"/>
    <w:rsid w:val="1D5F6196"/>
    <w:rsid w:val="1D6132A5"/>
    <w:rsid w:val="1D62292C"/>
    <w:rsid w:val="1D715A06"/>
    <w:rsid w:val="1D7748BD"/>
    <w:rsid w:val="1D77549B"/>
    <w:rsid w:val="1D7A639C"/>
    <w:rsid w:val="1D7D279D"/>
    <w:rsid w:val="1D807B0D"/>
    <w:rsid w:val="1D807E78"/>
    <w:rsid w:val="1D81317F"/>
    <w:rsid w:val="1D8E56D5"/>
    <w:rsid w:val="1D9323CB"/>
    <w:rsid w:val="1D965C01"/>
    <w:rsid w:val="1D994A74"/>
    <w:rsid w:val="1DB67AAD"/>
    <w:rsid w:val="1DB94415"/>
    <w:rsid w:val="1DCF70F7"/>
    <w:rsid w:val="1DD2442A"/>
    <w:rsid w:val="1DD47A99"/>
    <w:rsid w:val="1DDF1B3A"/>
    <w:rsid w:val="1DE101C9"/>
    <w:rsid w:val="1DE303E5"/>
    <w:rsid w:val="1DE80754"/>
    <w:rsid w:val="1DEA12F4"/>
    <w:rsid w:val="1DFB128B"/>
    <w:rsid w:val="1E087AC1"/>
    <w:rsid w:val="1E1137B5"/>
    <w:rsid w:val="1E15785B"/>
    <w:rsid w:val="1E3B3D7D"/>
    <w:rsid w:val="1E3F30C3"/>
    <w:rsid w:val="1E48649A"/>
    <w:rsid w:val="1E4F7829"/>
    <w:rsid w:val="1E546C5B"/>
    <w:rsid w:val="1E5B4D81"/>
    <w:rsid w:val="1E6037E4"/>
    <w:rsid w:val="1E6E5F01"/>
    <w:rsid w:val="1E7464F8"/>
    <w:rsid w:val="1E7A43DA"/>
    <w:rsid w:val="1E7F010E"/>
    <w:rsid w:val="1E827BFE"/>
    <w:rsid w:val="1E8307FC"/>
    <w:rsid w:val="1E85324A"/>
    <w:rsid w:val="1E8C751D"/>
    <w:rsid w:val="1E9B246D"/>
    <w:rsid w:val="1E9F1316"/>
    <w:rsid w:val="1EA13D46"/>
    <w:rsid w:val="1EA71413"/>
    <w:rsid w:val="1EB5434A"/>
    <w:rsid w:val="1EC21DA9"/>
    <w:rsid w:val="1ECB3353"/>
    <w:rsid w:val="1ED15A9D"/>
    <w:rsid w:val="1ED33FB6"/>
    <w:rsid w:val="1EDA5344"/>
    <w:rsid w:val="1EF96751"/>
    <w:rsid w:val="1EFA3C38"/>
    <w:rsid w:val="1EFC297D"/>
    <w:rsid w:val="1F01220C"/>
    <w:rsid w:val="1F030122"/>
    <w:rsid w:val="1F036180"/>
    <w:rsid w:val="1F134CFA"/>
    <w:rsid w:val="1F1F0CF1"/>
    <w:rsid w:val="1F23748F"/>
    <w:rsid w:val="1F2C1838"/>
    <w:rsid w:val="1F411476"/>
    <w:rsid w:val="1F4501BA"/>
    <w:rsid w:val="1F4D5BC7"/>
    <w:rsid w:val="1F5A6FB2"/>
    <w:rsid w:val="1F6A2354"/>
    <w:rsid w:val="1F6D3C88"/>
    <w:rsid w:val="1F6E5A46"/>
    <w:rsid w:val="1F74634B"/>
    <w:rsid w:val="1F813A12"/>
    <w:rsid w:val="1F8A19DD"/>
    <w:rsid w:val="1F8F4381"/>
    <w:rsid w:val="1F985C44"/>
    <w:rsid w:val="1F9E45C4"/>
    <w:rsid w:val="1FA333F8"/>
    <w:rsid w:val="1FA912D2"/>
    <w:rsid w:val="1FAB22C3"/>
    <w:rsid w:val="1FAD0CAB"/>
    <w:rsid w:val="1FAD5C5A"/>
    <w:rsid w:val="1FAF4A23"/>
    <w:rsid w:val="1FBA5176"/>
    <w:rsid w:val="1FBC6ED8"/>
    <w:rsid w:val="1FDB270A"/>
    <w:rsid w:val="1FDB5917"/>
    <w:rsid w:val="1FDB75E8"/>
    <w:rsid w:val="1FE7539E"/>
    <w:rsid w:val="1FF31116"/>
    <w:rsid w:val="1FF416E5"/>
    <w:rsid w:val="1FF70178"/>
    <w:rsid w:val="202B099A"/>
    <w:rsid w:val="202D5948"/>
    <w:rsid w:val="20382371"/>
    <w:rsid w:val="203D19BA"/>
    <w:rsid w:val="20541126"/>
    <w:rsid w:val="205630F0"/>
    <w:rsid w:val="205B1FBA"/>
    <w:rsid w:val="205D1FBB"/>
    <w:rsid w:val="20671BE0"/>
    <w:rsid w:val="206724B7"/>
    <w:rsid w:val="2075045A"/>
    <w:rsid w:val="20765541"/>
    <w:rsid w:val="20832A86"/>
    <w:rsid w:val="20956B1A"/>
    <w:rsid w:val="20963CB8"/>
    <w:rsid w:val="20992FDD"/>
    <w:rsid w:val="20A15CB6"/>
    <w:rsid w:val="20A2121D"/>
    <w:rsid w:val="20A3138F"/>
    <w:rsid w:val="20A57BD4"/>
    <w:rsid w:val="20A80C44"/>
    <w:rsid w:val="20A81A1B"/>
    <w:rsid w:val="20AF0A2F"/>
    <w:rsid w:val="20AF1DF1"/>
    <w:rsid w:val="20B07FB6"/>
    <w:rsid w:val="20B646FB"/>
    <w:rsid w:val="20B90766"/>
    <w:rsid w:val="20D62B72"/>
    <w:rsid w:val="20D919B5"/>
    <w:rsid w:val="20DB2206"/>
    <w:rsid w:val="20DB59EE"/>
    <w:rsid w:val="20E410EC"/>
    <w:rsid w:val="20E55C2B"/>
    <w:rsid w:val="20F515C0"/>
    <w:rsid w:val="20FA1CCE"/>
    <w:rsid w:val="210831BB"/>
    <w:rsid w:val="210C7C53"/>
    <w:rsid w:val="212154AC"/>
    <w:rsid w:val="21237107"/>
    <w:rsid w:val="21247CEA"/>
    <w:rsid w:val="213B74B1"/>
    <w:rsid w:val="21470C8B"/>
    <w:rsid w:val="214E5B76"/>
    <w:rsid w:val="215A2310"/>
    <w:rsid w:val="215F39E6"/>
    <w:rsid w:val="21617F9F"/>
    <w:rsid w:val="216710D6"/>
    <w:rsid w:val="21686BBE"/>
    <w:rsid w:val="21692883"/>
    <w:rsid w:val="216A17D0"/>
    <w:rsid w:val="21714375"/>
    <w:rsid w:val="217B0F40"/>
    <w:rsid w:val="217F6677"/>
    <w:rsid w:val="21815F4B"/>
    <w:rsid w:val="218417FB"/>
    <w:rsid w:val="218F1280"/>
    <w:rsid w:val="21922787"/>
    <w:rsid w:val="21947636"/>
    <w:rsid w:val="219D08AB"/>
    <w:rsid w:val="219F2875"/>
    <w:rsid w:val="21A63C04"/>
    <w:rsid w:val="21AE2AB8"/>
    <w:rsid w:val="21B17BF7"/>
    <w:rsid w:val="21BA3FE0"/>
    <w:rsid w:val="21BE2CFB"/>
    <w:rsid w:val="21BF0821"/>
    <w:rsid w:val="21C30312"/>
    <w:rsid w:val="21C9535E"/>
    <w:rsid w:val="21C978F2"/>
    <w:rsid w:val="21CA5B44"/>
    <w:rsid w:val="21CB71C6"/>
    <w:rsid w:val="21D02A2F"/>
    <w:rsid w:val="21DD1625"/>
    <w:rsid w:val="21DE318A"/>
    <w:rsid w:val="21DE514B"/>
    <w:rsid w:val="21E604A4"/>
    <w:rsid w:val="21E6657A"/>
    <w:rsid w:val="21EF55AB"/>
    <w:rsid w:val="21EF5B80"/>
    <w:rsid w:val="21F453A3"/>
    <w:rsid w:val="21F506E7"/>
    <w:rsid w:val="21F7620D"/>
    <w:rsid w:val="21FB60D3"/>
    <w:rsid w:val="22031078"/>
    <w:rsid w:val="221D798C"/>
    <w:rsid w:val="221E7C3E"/>
    <w:rsid w:val="22237002"/>
    <w:rsid w:val="222A213F"/>
    <w:rsid w:val="22452D17"/>
    <w:rsid w:val="22465C8A"/>
    <w:rsid w:val="224D3A0D"/>
    <w:rsid w:val="22500702"/>
    <w:rsid w:val="2251549A"/>
    <w:rsid w:val="225361C9"/>
    <w:rsid w:val="22576990"/>
    <w:rsid w:val="225A426B"/>
    <w:rsid w:val="227F52C7"/>
    <w:rsid w:val="229D6DB5"/>
    <w:rsid w:val="22A04AF7"/>
    <w:rsid w:val="22AC6FF8"/>
    <w:rsid w:val="22B569E9"/>
    <w:rsid w:val="22B660C8"/>
    <w:rsid w:val="22BB35F2"/>
    <w:rsid w:val="22C32593"/>
    <w:rsid w:val="22CF33EC"/>
    <w:rsid w:val="22D95913"/>
    <w:rsid w:val="22DF561F"/>
    <w:rsid w:val="22E213B6"/>
    <w:rsid w:val="22F4099F"/>
    <w:rsid w:val="22F4634C"/>
    <w:rsid w:val="22F46BD8"/>
    <w:rsid w:val="22F47480"/>
    <w:rsid w:val="22F62969"/>
    <w:rsid w:val="22FA5FD4"/>
    <w:rsid w:val="22FB5F51"/>
    <w:rsid w:val="23157CDA"/>
    <w:rsid w:val="231E4EE1"/>
    <w:rsid w:val="23244644"/>
    <w:rsid w:val="232E2103"/>
    <w:rsid w:val="23362517"/>
    <w:rsid w:val="233D5EA2"/>
    <w:rsid w:val="233F71BD"/>
    <w:rsid w:val="23474AD7"/>
    <w:rsid w:val="23490CEA"/>
    <w:rsid w:val="236162A5"/>
    <w:rsid w:val="23655C60"/>
    <w:rsid w:val="2375388E"/>
    <w:rsid w:val="23771FDC"/>
    <w:rsid w:val="237B3238"/>
    <w:rsid w:val="238B1303"/>
    <w:rsid w:val="23922691"/>
    <w:rsid w:val="23924B55"/>
    <w:rsid w:val="239B0E1A"/>
    <w:rsid w:val="23A44B41"/>
    <w:rsid w:val="23AF736C"/>
    <w:rsid w:val="23B1063E"/>
    <w:rsid w:val="23B30E99"/>
    <w:rsid w:val="23B720F8"/>
    <w:rsid w:val="23BB652D"/>
    <w:rsid w:val="23C14017"/>
    <w:rsid w:val="23DC5C6B"/>
    <w:rsid w:val="23DE1C48"/>
    <w:rsid w:val="23E40A13"/>
    <w:rsid w:val="23E6478B"/>
    <w:rsid w:val="23E97DD8"/>
    <w:rsid w:val="23ED3D6C"/>
    <w:rsid w:val="23FC4CA0"/>
    <w:rsid w:val="23FE5A42"/>
    <w:rsid w:val="240210CD"/>
    <w:rsid w:val="240A1D79"/>
    <w:rsid w:val="240D3AC6"/>
    <w:rsid w:val="240D4CD6"/>
    <w:rsid w:val="24126639"/>
    <w:rsid w:val="24127442"/>
    <w:rsid w:val="242B03F0"/>
    <w:rsid w:val="24341478"/>
    <w:rsid w:val="24344AEF"/>
    <w:rsid w:val="24544246"/>
    <w:rsid w:val="245759F0"/>
    <w:rsid w:val="245E4322"/>
    <w:rsid w:val="2460675F"/>
    <w:rsid w:val="247753E3"/>
    <w:rsid w:val="247A1800"/>
    <w:rsid w:val="247A70B7"/>
    <w:rsid w:val="247E49C4"/>
    <w:rsid w:val="24866514"/>
    <w:rsid w:val="248875F1"/>
    <w:rsid w:val="24891C13"/>
    <w:rsid w:val="248C5333"/>
    <w:rsid w:val="24B12D7A"/>
    <w:rsid w:val="24BE4D5C"/>
    <w:rsid w:val="24BF09F7"/>
    <w:rsid w:val="24C01F08"/>
    <w:rsid w:val="24C24210"/>
    <w:rsid w:val="24C3687B"/>
    <w:rsid w:val="24D10F97"/>
    <w:rsid w:val="24E20D41"/>
    <w:rsid w:val="24E94533"/>
    <w:rsid w:val="24E95022"/>
    <w:rsid w:val="24F44C86"/>
    <w:rsid w:val="25144F80"/>
    <w:rsid w:val="251610A0"/>
    <w:rsid w:val="251E6D76"/>
    <w:rsid w:val="25205A7B"/>
    <w:rsid w:val="2526682A"/>
    <w:rsid w:val="25283A6A"/>
    <w:rsid w:val="252D53FE"/>
    <w:rsid w:val="2530284B"/>
    <w:rsid w:val="25412F98"/>
    <w:rsid w:val="254A3B19"/>
    <w:rsid w:val="25695674"/>
    <w:rsid w:val="25761B3F"/>
    <w:rsid w:val="25891182"/>
    <w:rsid w:val="258A1146"/>
    <w:rsid w:val="259049AF"/>
    <w:rsid w:val="25951FC5"/>
    <w:rsid w:val="25A06B7C"/>
    <w:rsid w:val="25BA7C7E"/>
    <w:rsid w:val="25BF34E6"/>
    <w:rsid w:val="25BF35CA"/>
    <w:rsid w:val="25CB4399"/>
    <w:rsid w:val="25D32AED"/>
    <w:rsid w:val="25EB0FC4"/>
    <w:rsid w:val="25EC2D81"/>
    <w:rsid w:val="25FA5EE8"/>
    <w:rsid w:val="262B46D7"/>
    <w:rsid w:val="26377CDD"/>
    <w:rsid w:val="26526108"/>
    <w:rsid w:val="2666570F"/>
    <w:rsid w:val="26741DCB"/>
    <w:rsid w:val="267442D0"/>
    <w:rsid w:val="267A6CFE"/>
    <w:rsid w:val="267F67D1"/>
    <w:rsid w:val="2682234F"/>
    <w:rsid w:val="26845012"/>
    <w:rsid w:val="26867B60"/>
    <w:rsid w:val="269E105F"/>
    <w:rsid w:val="26A225EF"/>
    <w:rsid w:val="26A85D28"/>
    <w:rsid w:val="26B246DF"/>
    <w:rsid w:val="26B338D1"/>
    <w:rsid w:val="26B446CD"/>
    <w:rsid w:val="26BC7A25"/>
    <w:rsid w:val="26C51673"/>
    <w:rsid w:val="26C568DA"/>
    <w:rsid w:val="26C863CA"/>
    <w:rsid w:val="26D0702D"/>
    <w:rsid w:val="26D072E0"/>
    <w:rsid w:val="26D25E0C"/>
    <w:rsid w:val="26D902A9"/>
    <w:rsid w:val="26E1123A"/>
    <w:rsid w:val="26E33204"/>
    <w:rsid w:val="26E53674"/>
    <w:rsid w:val="26E87E73"/>
    <w:rsid w:val="26E93A35"/>
    <w:rsid w:val="26F05E30"/>
    <w:rsid w:val="26FE1DEC"/>
    <w:rsid w:val="27076EF2"/>
    <w:rsid w:val="2723183D"/>
    <w:rsid w:val="2726474E"/>
    <w:rsid w:val="273A60EB"/>
    <w:rsid w:val="273C3E88"/>
    <w:rsid w:val="274D272A"/>
    <w:rsid w:val="274D423F"/>
    <w:rsid w:val="275B64B2"/>
    <w:rsid w:val="277057A2"/>
    <w:rsid w:val="277565E9"/>
    <w:rsid w:val="27762460"/>
    <w:rsid w:val="277D2198"/>
    <w:rsid w:val="27846795"/>
    <w:rsid w:val="27871DE1"/>
    <w:rsid w:val="279010F0"/>
    <w:rsid w:val="2790789C"/>
    <w:rsid w:val="27914A0E"/>
    <w:rsid w:val="279427B8"/>
    <w:rsid w:val="27A72484"/>
    <w:rsid w:val="27AC6E57"/>
    <w:rsid w:val="27AE736E"/>
    <w:rsid w:val="27B04698"/>
    <w:rsid w:val="27B8264C"/>
    <w:rsid w:val="27BC4905"/>
    <w:rsid w:val="27BF77CD"/>
    <w:rsid w:val="27C46844"/>
    <w:rsid w:val="27C60B5C"/>
    <w:rsid w:val="27C769B4"/>
    <w:rsid w:val="27C84A9A"/>
    <w:rsid w:val="27CB38C3"/>
    <w:rsid w:val="27DD5EA5"/>
    <w:rsid w:val="27E014F2"/>
    <w:rsid w:val="27E965F8"/>
    <w:rsid w:val="27EE00B2"/>
    <w:rsid w:val="27F03E2A"/>
    <w:rsid w:val="27F87483"/>
    <w:rsid w:val="27FE2FDF"/>
    <w:rsid w:val="28185173"/>
    <w:rsid w:val="281C369B"/>
    <w:rsid w:val="28216FE6"/>
    <w:rsid w:val="28270DE3"/>
    <w:rsid w:val="282919F4"/>
    <w:rsid w:val="282E220B"/>
    <w:rsid w:val="283006CB"/>
    <w:rsid w:val="283A32F8"/>
    <w:rsid w:val="283C72B8"/>
    <w:rsid w:val="28467821"/>
    <w:rsid w:val="28477CB1"/>
    <w:rsid w:val="28481571"/>
    <w:rsid w:val="28560CD9"/>
    <w:rsid w:val="285A0AEA"/>
    <w:rsid w:val="285F4B0C"/>
    <w:rsid w:val="28656F89"/>
    <w:rsid w:val="286839C1"/>
    <w:rsid w:val="28760D0C"/>
    <w:rsid w:val="28795BCE"/>
    <w:rsid w:val="288051AE"/>
    <w:rsid w:val="28976249"/>
    <w:rsid w:val="289C7B0E"/>
    <w:rsid w:val="28A365DE"/>
    <w:rsid w:val="28D472A8"/>
    <w:rsid w:val="28D93BC8"/>
    <w:rsid w:val="28DB078E"/>
    <w:rsid w:val="28ED3EC6"/>
    <w:rsid w:val="28EF38E5"/>
    <w:rsid w:val="291B4ED7"/>
    <w:rsid w:val="29206EB8"/>
    <w:rsid w:val="293715E5"/>
    <w:rsid w:val="294477FD"/>
    <w:rsid w:val="29461A79"/>
    <w:rsid w:val="2947257D"/>
    <w:rsid w:val="29595666"/>
    <w:rsid w:val="295B3526"/>
    <w:rsid w:val="296310D9"/>
    <w:rsid w:val="29631412"/>
    <w:rsid w:val="296E0998"/>
    <w:rsid w:val="296F2CF0"/>
    <w:rsid w:val="2970538A"/>
    <w:rsid w:val="29787C34"/>
    <w:rsid w:val="297A0B78"/>
    <w:rsid w:val="297B7724"/>
    <w:rsid w:val="29874881"/>
    <w:rsid w:val="299B4A98"/>
    <w:rsid w:val="29A0362E"/>
    <w:rsid w:val="29A053DC"/>
    <w:rsid w:val="29A742E4"/>
    <w:rsid w:val="29C37F84"/>
    <w:rsid w:val="29CC6E69"/>
    <w:rsid w:val="29D43B6D"/>
    <w:rsid w:val="29E0096E"/>
    <w:rsid w:val="29E325E0"/>
    <w:rsid w:val="29E80E65"/>
    <w:rsid w:val="29EC568E"/>
    <w:rsid w:val="29ED0187"/>
    <w:rsid w:val="29EF3C6E"/>
    <w:rsid w:val="29F85B41"/>
    <w:rsid w:val="2A053617"/>
    <w:rsid w:val="2A2E0928"/>
    <w:rsid w:val="2A36444B"/>
    <w:rsid w:val="2A383867"/>
    <w:rsid w:val="2A385B4D"/>
    <w:rsid w:val="2A452503"/>
    <w:rsid w:val="2A461AE0"/>
    <w:rsid w:val="2A482C60"/>
    <w:rsid w:val="2A4A087B"/>
    <w:rsid w:val="2A6254EB"/>
    <w:rsid w:val="2A727AC6"/>
    <w:rsid w:val="2A742C20"/>
    <w:rsid w:val="2A762776"/>
    <w:rsid w:val="2A771A5A"/>
    <w:rsid w:val="2A7C7BF7"/>
    <w:rsid w:val="2A7E571E"/>
    <w:rsid w:val="2A8675BA"/>
    <w:rsid w:val="2A8E5B5E"/>
    <w:rsid w:val="2A9D41C3"/>
    <w:rsid w:val="2AA50EFC"/>
    <w:rsid w:val="2AA9206F"/>
    <w:rsid w:val="2AAD3CB8"/>
    <w:rsid w:val="2AC21E7D"/>
    <w:rsid w:val="2AD03A9F"/>
    <w:rsid w:val="2AD215C5"/>
    <w:rsid w:val="2AD52E64"/>
    <w:rsid w:val="2AD632DC"/>
    <w:rsid w:val="2AD96CA0"/>
    <w:rsid w:val="2AE412F9"/>
    <w:rsid w:val="2AE608F7"/>
    <w:rsid w:val="2AEE42AE"/>
    <w:rsid w:val="2AEF03C9"/>
    <w:rsid w:val="2AF542DB"/>
    <w:rsid w:val="2AFE7D9D"/>
    <w:rsid w:val="2B033E75"/>
    <w:rsid w:val="2B0665E2"/>
    <w:rsid w:val="2B1271BF"/>
    <w:rsid w:val="2B1716CE"/>
    <w:rsid w:val="2B1D6617"/>
    <w:rsid w:val="2B1D76C8"/>
    <w:rsid w:val="2B2B31E8"/>
    <w:rsid w:val="2B30453E"/>
    <w:rsid w:val="2B35044C"/>
    <w:rsid w:val="2B393C17"/>
    <w:rsid w:val="2B45448D"/>
    <w:rsid w:val="2B465B0F"/>
    <w:rsid w:val="2B4C5CEB"/>
    <w:rsid w:val="2B4F70BA"/>
    <w:rsid w:val="2B514D73"/>
    <w:rsid w:val="2B5446D0"/>
    <w:rsid w:val="2B5B2D39"/>
    <w:rsid w:val="2B603075"/>
    <w:rsid w:val="2B7F2E46"/>
    <w:rsid w:val="2B9D7E25"/>
    <w:rsid w:val="2BA14AC6"/>
    <w:rsid w:val="2BA57F25"/>
    <w:rsid w:val="2BA936A8"/>
    <w:rsid w:val="2BAE1403"/>
    <w:rsid w:val="2BB138D1"/>
    <w:rsid w:val="2BB66F76"/>
    <w:rsid w:val="2BBE52BC"/>
    <w:rsid w:val="2BD107CE"/>
    <w:rsid w:val="2BD440AE"/>
    <w:rsid w:val="2BE61418"/>
    <w:rsid w:val="2BEB4B93"/>
    <w:rsid w:val="2BF27637"/>
    <w:rsid w:val="2BFA1EB2"/>
    <w:rsid w:val="2BFC06E9"/>
    <w:rsid w:val="2BFF4235"/>
    <w:rsid w:val="2C0003B4"/>
    <w:rsid w:val="2C027C88"/>
    <w:rsid w:val="2C077995"/>
    <w:rsid w:val="2C0E598F"/>
    <w:rsid w:val="2C1300E8"/>
    <w:rsid w:val="2C1D0F66"/>
    <w:rsid w:val="2C261412"/>
    <w:rsid w:val="2C2A4C66"/>
    <w:rsid w:val="2C315A5A"/>
    <w:rsid w:val="2C36164E"/>
    <w:rsid w:val="2C3F4B36"/>
    <w:rsid w:val="2C4A0B64"/>
    <w:rsid w:val="2C4B1C25"/>
    <w:rsid w:val="2C4B7881"/>
    <w:rsid w:val="2C5030EA"/>
    <w:rsid w:val="2C5B070C"/>
    <w:rsid w:val="2C622328"/>
    <w:rsid w:val="2C671380"/>
    <w:rsid w:val="2C697858"/>
    <w:rsid w:val="2C864F38"/>
    <w:rsid w:val="2C9254B0"/>
    <w:rsid w:val="2C954EEB"/>
    <w:rsid w:val="2C9F010F"/>
    <w:rsid w:val="2CA0630C"/>
    <w:rsid w:val="2CAC4DFD"/>
    <w:rsid w:val="2CAD3ED7"/>
    <w:rsid w:val="2CAE1BBE"/>
    <w:rsid w:val="2CB2690D"/>
    <w:rsid w:val="2CB63BB3"/>
    <w:rsid w:val="2CB73169"/>
    <w:rsid w:val="2CC3435C"/>
    <w:rsid w:val="2CCD21A0"/>
    <w:rsid w:val="2CCD4AD5"/>
    <w:rsid w:val="2CD23AFF"/>
    <w:rsid w:val="2CEB06B4"/>
    <w:rsid w:val="2CFA6F40"/>
    <w:rsid w:val="2D12039F"/>
    <w:rsid w:val="2D1B54A6"/>
    <w:rsid w:val="2D1C4D7A"/>
    <w:rsid w:val="2D26209C"/>
    <w:rsid w:val="2D2C1732"/>
    <w:rsid w:val="2D32585A"/>
    <w:rsid w:val="2D392F53"/>
    <w:rsid w:val="2D4542D1"/>
    <w:rsid w:val="2D483DC1"/>
    <w:rsid w:val="2D486799"/>
    <w:rsid w:val="2D4D2549"/>
    <w:rsid w:val="2D4D7DDB"/>
    <w:rsid w:val="2D51668A"/>
    <w:rsid w:val="2D5B3AF4"/>
    <w:rsid w:val="2D6D2812"/>
    <w:rsid w:val="2D7F2A1C"/>
    <w:rsid w:val="2D7F659F"/>
    <w:rsid w:val="2D80549A"/>
    <w:rsid w:val="2D895859"/>
    <w:rsid w:val="2D9C4FE7"/>
    <w:rsid w:val="2D9C7203"/>
    <w:rsid w:val="2D9D4F2D"/>
    <w:rsid w:val="2D9E56F5"/>
    <w:rsid w:val="2DA90D03"/>
    <w:rsid w:val="2DAF41E8"/>
    <w:rsid w:val="2DB17BB8"/>
    <w:rsid w:val="2DB949C1"/>
    <w:rsid w:val="2DBC0063"/>
    <w:rsid w:val="2DC1775B"/>
    <w:rsid w:val="2DC45B3D"/>
    <w:rsid w:val="2DC7118A"/>
    <w:rsid w:val="2DD12C03"/>
    <w:rsid w:val="2DD613CD"/>
    <w:rsid w:val="2DD70495"/>
    <w:rsid w:val="2E0205C2"/>
    <w:rsid w:val="2E084AD9"/>
    <w:rsid w:val="2E262354"/>
    <w:rsid w:val="2E2B7335"/>
    <w:rsid w:val="2E3305CD"/>
    <w:rsid w:val="2E3C5442"/>
    <w:rsid w:val="2E3C6E03"/>
    <w:rsid w:val="2E48330B"/>
    <w:rsid w:val="2E5171F3"/>
    <w:rsid w:val="2E536EC1"/>
    <w:rsid w:val="2E6314F2"/>
    <w:rsid w:val="2E667F96"/>
    <w:rsid w:val="2E6F3155"/>
    <w:rsid w:val="2E7355C9"/>
    <w:rsid w:val="2E76495E"/>
    <w:rsid w:val="2E8226AB"/>
    <w:rsid w:val="2E8411D9"/>
    <w:rsid w:val="2E8500AF"/>
    <w:rsid w:val="2E864E16"/>
    <w:rsid w:val="2E921798"/>
    <w:rsid w:val="2E9A471C"/>
    <w:rsid w:val="2EA7204B"/>
    <w:rsid w:val="2EAE3958"/>
    <w:rsid w:val="2EC4391B"/>
    <w:rsid w:val="2EE45D6B"/>
    <w:rsid w:val="2EEB534C"/>
    <w:rsid w:val="2EF13182"/>
    <w:rsid w:val="2EF25B01"/>
    <w:rsid w:val="2EF4224A"/>
    <w:rsid w:val="2EFB515D"/>
    <w:rsid w:val="2F010CF0"/>
    <w:rsid w:val="2F0F64BF"/>
    <w:rsid w:val="2F1403FE"/>
    <w:rsid w:val="2F146FFE"/>
    <w:rsid w:val="2F194CF3"/>
    <w:rsid w:val="2F1B7042"/>
    <w:rsid w:val="2F2919D0"/>
    <w:rsid w:val="2F422FF1"/>
    <w:rsid w:val="2F4405B8"/>
    <w:rsid w:val="2F550663"/>
    <w:rsid w:val="2F5702EB"/>
    <w:rsid w:val="2F6B3D97"/>
    <w:rsid w:val="2F782CC6"/>
    <w:rsid w:val="2F8C4439"/>
    <w:rsid w:val="2F974B8C"/>
    <w:rsid w:val="2FA00426"/>
    <w:rsid w:val="2FA770B3"/>
    <w:rsid w:val="2FAB0637"/>
    <w:rsid w:val="2FB66570"/>
    <w:rsid w:val="2FBE270C"/>
    <w:rsid w:val="2FC17E5A"/>
    <w:rsid w:val="2FC260AC"/>
    <w:rsid w:val="2FC31E25"/>
    <w:rsid w:val="2FD065E6"/>
    <w:rsid w:val="2FD344C4"/>
    <w:rsid w:val="2FD8190A"/>
    <w:rsid w:val="2FD96870"/>
    <w:rsid w:val="2FDB6DFB"/>
    <w:rsid w:val="2FE20F33"/>
    <w:rsid w:val="2FE763C6"/>
    <w:rsid w:val="2FE9371C"/>
    <w:rsid w:val="2FF63FA8"/>
    <w:rsid w:val="2FFE2E5D"/>
    <w:rsid w:val="30087E17"/>
    <w:rsid w:val="300E30A0"/>
    <w:rsid w:val="30126D4B"/>
    <w:rsid w:val="301306B6"/>
    <w:rsid w:val="30147B01"/>
    <w:rsid w:val="3016702A"/>
    <w:rsid w:val="301C4AE2"/>
    <w:rsid w:val="3020552E"/>
    <w:rsid w:val="30295295"/>
    <w:rsid w:val="302F3016"/>
    <w:rsid w:val="30332B06"/>
    <w:rsid w:val="303845C1"/>
    <w:rsid w:val="30442F65"/>
    <w:rsid w:val="30580BC9"/>
    <w:rsid w:val="30586A11"/>
    <w:rsid w:val="305B205D"/>
    <w:rsid w:val="305E56A9"/>
    <w:rsid w:val="306553A3"/>
    <w:rsid w:val="30683107"/>
    <w:rsid w:val="306951B4"/>
    <w:rsid w:val="307704C7"/>
    <w:rsid w:val="30890978"/>
    <w:rsid w:val="308C7DE3"/>
    <w:rsid w:val="309537C1"/>
    <w:rsid w:val="309C535D"/>
    <w:rsid w:val="309D08C8"/>
    <w:rsid w:val="30A02245"/>
    <w:rsid w:val="30A53ADC"/>
    <w:rsid w:val="30A92DC8"/>
    <w:rsid w:val="30D87E0B"/>
    <w:rsid w:val="30E374E8"/>
    <w:rsid w:val="30E81DDA"/>
    <w:rsid w:val="30FD4EC2"/>
    <w:rsid w:val="310B3A83"/>
    <w:rsid w:val="310E1964"/>
    <w:rsid w:val="310F17F5"/>
    <w:rsid w:val="31132938"/>
    <w:rsid w:val="311D632C"/>
    <w:rsid w:val="311E2ED7"/>
    <w:rsid w:val="3126266B"/>
    <w:rsid w:val="313D5058"/>
    <w:rsid w:val="313E5C07"/>
    <w:rsid w:val="31405131"/>
    <w:rsid w:val="31466485"/>
    <w:rsid w:val="315619EE"/>
    <w:rsid w:val="315C42DF"/>
    <w:rsid w:val="315C449C"/>
    <w:rsid w:val="31654E44"/>
    <w:rsid w:val="316D2048"/>
    <w:rsid w:val="31722022"/>
    <w:rsid w:val="31736083"/>
    <w:rsid w:val="3176091B"/>
    <w:rsid w:val="319445F5"/>
    <w:rsid w:val="31951EAC"/>
    <w:rsid w:val="31AE3364"/>
    <w:rsid w:val="31AE7CEF"/>
    <w:rsid w:val="31B82709"/>
    <w:rsid w:val="31BB1005"/>
    <w:rsid w:val="31C53C32"/>
    <w:rsid w:val="31CF536E"/>
    <w:rsid w:val="31D05482"/>
    <w:rsid w:val="31D352F5"/>
    <w:rsid w:val="31D650E0"/>
    <w:rsid w:val="31D67BED"/>
    <w:rsid w:val="31D82588"/>
    <w:rsid w:val="31DF3D88"/>
    <w:rsid w:val="31E97269"/>
    <w:rsid w:val="31EA18EB"/>
    <w:rsid w:val="31F14A27"/>
    <w:rsid w:val="32117999"/>
    <w:rsid w:val="3212660A"/>
    <w:rsid w:val="321B7CF6"/>
    <w:rsid w:val="321E31D1"/>
    <w:rsid w:val="321E3D19"/>
    <w:rsid w:val="32400B34"/>
    <w:rsid w:val="32504B0A"/>
    <w:rsid w:val="325154C6"/>
    <w:rsid w:val="32633892"/>
    <w:rsid w:val="326571C3"/>
    <w:rsid w:val="32713DBA"/>
    <w:rsid w:val="32747377"/>
    <w:rsid w:val="32794A1C"/>
    <w:rsid w:val="329B5E2E"/>
    <w:rsid w:val="329E6876"/>
    <w:rsid w:val="32A41A99"/>
    <w:rsid w:val="32AE19E1"/>
    <w:rsid w:val="32B30866"/>
    <w:rsid w:val="32B34D3A"/>
    <w:rsid w:val="32CA48A4"/>
    <w:rsid w:val="32D04EE7"/>
    <w:rsid w:val="32E45B4D"/>
    <w:rsid w:val="330A66D8"/>
    <w:rsid w:val="330D77CD"/>
    <w:rsid w:val="33114C55"/>
    <w:rsid w:val="33150BE9"/>
    <w:rsid w:val="331648F3"/>
    <w:rsid w:val="33175040"/>
    <w:rsid w:val="333015F2"/>
    <w:rsid w:val="33310B16"/>
    <w:rsid w:val="333A613D"/>
    <w:rsid w:val="333A6A61"/>
    <w:rsid w:val="333E5445"/>
    <w:rsid w:val="334353D9"/>
    <w:rsid w:val="334B221C"/>
    <w:rsid w:val="334B6320"/>
    <w:rsid w:val="33551FCE"/>
    <w:rsid w:val="335C2374"/>
    <w:rsid w:val="335F3C12"/>
    <w:rsid w:val="33727DEA"/>
    <w:rsid w:val="33773E94"/>
    <w:rsid w:val="33775400"/>
    <w:rsid w:val="337A6426"/>
    <w:rsid w:val="33802DD5"/>
    <w:rsid w:val="33870FA1"/>
    <w:rsid w:val="33957634"/>
    <w:rsid w:val="33A12CAA"/>
    <w:rsid w:val="33A55682"/>
    <w:rsid w:val="33B734CA"/>
    <w:rsid w:val="33BE2706"/>
    <w:rsid w:val="33C53F7A"/>
    <w:rsid w:val="33C92430"/>
    <w:rsid w:val="33D934D4"/>
    <w:rsid w:val="33EF3438"/>
    <w:rsid w:val="33F2678E"/>
    <w:rsid w:val="33F374F1"/>
    <w:rsid w:val="33FE2F6A"/>
    <w:rsid w:val="34004C67"/>
    <w:rsid w:val="3406176A"/>
    <w:rsid w:val="340A6A2C"/>
    <w:rsid w:val="340D4CCC"/>
    <w:rsid w:val="340E07E5"/>
    <w:rsid w:val="3411315F"/>
    <w:rsid w:val="34125129"/>
    <w:rsid w:val="341E3111"/>
    <w:rsid w:val="34235BF7"/>
    <w:rsid w:val="34272982"/>
    <w:rsid w:val="34310415"/>
    <w:rsid w:val="34321327"/>
    <w:rsid w:val="343B6D62"/>
    <w:rsid w:val="343E5F1E"/>
    <w:rsid w:val="344165C4"/>
    <w:rsid w:val="344444E7"/>
    <w:rsid w:val="34483842"/>
    <w:rsid w:val="34565015"/>
    <w:rsid w:val="34666A0F"/>
    <w:rsid w:val="34676FFD"/>
    <w:rsid w:val="3470775F"/>
    <w:rsid w:val="347D25A2"/>
    <w:rsid w:val="348B6CBC"/>
    <w:rsid w:val="348F22D5"/>
    <w:rsid w:val="34945B3E"/>
    <w:rsid w:val="34A00986"/>
    <w:rsid w:val="34B42E0F"/>
    <w:rsid w:val="34C208FD"/>
    <w:rsid w:val="34C75F13"/>
    <w:rsid w:val="34E40E71"/>
    <w:rsid w:val="34E42621"/>
    <w:rsid w:val="34EA65B3"/>
    <w:rsid w:val="34ED1C4D"/>
    <w:rsid w:val="34F777C5"/>
    <w:rsid w:val="34F85BB4"/>
    <w:rsid w:val="34FE16D1"/>
    <w:rsid w:val="350A68DD"/>
    <w:rsid w:val="35101668"/>
    <w:rsid w:val="35284C04"/>
    <w:rsid w:val="352C473D"/>
    <w:rsid w:val="352C4796"/>
    <w:rsid w:val="35315F48"/>
    <w:rsid w:val="35327830"/>
    <w:rsid w:val="354F0C7A"/>
    <w:rsid w:val="35547BE4"/>
    <w:rsid w:val="355A0B35"/>
    <w:rsid w:val="355F614C"/>
    <w:rsid w:val="356D5162"/>
    <w:rsid w:val="3579545F"/>
    <w:rsid w:val="357B4030"/>
    <w:rsid w:val="357F67EE"/>
    <w:rsid w:val="358C5FA8"/>
    <w:rsid w:val="358D0F0B"/>
    <w:rsid w:val="359B768F"/>
    <w:rsid w:val="359E69B4"/>
    <w:rsid w:val="35A44F19"/>
    <w:rsid w:val="35A703B0"/>
    <w:rsid w:val="35A85D44"/>
    <w:rsid w:val="35A90EA2"/>
    <w:rsid w:val="35B13A6F"/>
    <w:rsid w:val="35BC70FA"/>
    <w:rsid w:val="35BE0BBF"/>
    <w:rsid w:val="35C15DF1"/>
    <w:rsid w:val="35C30488"/>
    <w:rsid w:val="35C773D6"/>
    <w:rsid w:val="35D02091"/>
    <w:rsid w:val="35D83F6D"/>
    <w:rsid w:val="35DC59EE"/>
    <w:rsid w:val="35E14A96"/>
    <w:rsid w:val="35F8621B"/>
    <w:rsid w:val="35FC7755"/>
    <w:rsid w:val="36064819"/>
    <w:rsid w:val="36074A7F"/>
    <w:rsid w:val="360B2EED"/>
    <w:rsid w:val="360E5932"/>
    <w:rsid w:val="36174C78"/>
    <w:rsid w:val="36186D04"/>
    <w:rsid w:val="361B2A2D"/>
    <w:rsid w:val="364714B6"/>
    <w:rsid w:val="36496FA8"/>
    <w:rsid w:val="364F3BB1"/>
    <w:rsid w:val="365C5588"/>
    <w:rsid w:val="36603F29"/>
    <w:rsid w:val="366F318F"/>
    <w:rsid w:val="367335E1"/>
    <w:rsid w:val="36767572"/>
    <w:rsid w:val="367F56EF"/>
    <w:rsid w:val="36826077"/>
    <w:rsid w:val="36836A78"/>
    <w:rsid w:val="36856579"/>
    <w:rsid w:val="36923549"/>
    <w:rsid w:val="36A77169"/>
    <w:rsid w:val="36B75FBF"/>
    <w:rsid w:val="36BD0C45"/>
    <w:rsid w:val="36CF348C"/>
    <w:rsid w:val="36D13079"/>
    <w:rsid w:val="36DD557A"/>
    <w:rsid w:val="36E7289C"/>
    <w:rsid w:val="36E96615"/>
    <w:rsid w:val="36EA63AA"/>
    <w:rsid w:val="36FA437E"/>
    <w:rsid w:val="3709636F"/>
    <w:rsid w:val="370C40B1"/>
    <w:rsid w:val="370D78CA"/>
    <w:rsid w:val="37155300"/>
    <w:rsid w:val="373A3D94"/>
    <w:rsid w:val="373B3216"/>
    <w:rsid w:val="37411FAD"/>
    <w:rsid w:val="37434C71"/>
    <w:rsid w:val="37475806"/>
    <w:rsid w:val="374970F9"/>
    <w:rsid w:val="374C49E0"/>
    <w:rsid w:val="374E0226"/>
    <w:rsid w:val="375123D6"/>
    <w:rsid w:val="37515F68"/>
    <w:rsid w:val="37555A58"/>
    <w:rsid w:val="375B5052"/>
    <w:rsid w:val="375D1E78"/>
    <w:rsid w:val="37692CB0"/>
    <w:rsid w:val="37761994"/>
    <w:rsid w:val="378325C5"/>
    <w:rsid w:val="37866434"/>
    <w:rsid w:val="378A6A48"/>
    <w:rsid w:val="378B0249"/>
    <w:rsid w:val="379F4F25"/>
    <w:rsid w:val="37A37285"/>
    <w:rsid w:val="37B81B43"/>
    <w:rsid w:val="37C815BB"/>
    <w:rsid w:val="37D20707"/>
    <w:rsid w:val="37D42E21"/>
    <w:rsid w:val="37D83F93"/>
    <w:rsid w:val="37D85A6C"/>
    <w:rsid w:val="37DD588C"/>
    <w:rsid w:val="37DF226D"/>
    <w:rsid w:val="37E00298"/>
    <w:rsid w:val="37FB79DE"/>
    <w:rsid w:val="38050450"/>
    <w:rsid w:val="381B5160"/>
    <w:rsid w:val="38251072"/>
    <w:rsid w:val="383275E3"/>
    <w:rsid w:val="38406CB4"/>
    <w:rsid w:val="384A52A7"/>
    <w:rsid w:val="38550B96"/>
    <w:rsid w:val="38552DE9"/>
    <w:rsid w:val="386C7960"/>
    <w:rsid w:val="38744A1C"/>
    <w:rsid w:val="38755420"/>
    <w:rsid w:val="387F3536"/>
    <w:rsid w:val="388512B2"/>
    <w:rsid w:val="38855EC9"/>
    <w:rsid w:val="389A2654"/>
    <w:rsid w:val="38A21E6F"/>
    <w:rsid w:val="38AF12F5"/>
    <w:rsid w:val="38B25F7D"/>
    <w:rsid w:val="38B302F9"/>
    <w:rsid w:val="38B30C88"/>
    <w:rsid w:val="38B76ABF"/>
    <w:rsid w:val="38D7084C"/>
    <w:rsid w:val="38D94467"/>
    <w:rsid w:val="38DB3D3B"/>
    <w:rsid w:val="38DE55D9"/>
    <w:rsid w:val="38E62190"/>
    <w:rsid w:val="38E970D3"/>
    <w:rsid w:val="38EB57E4"/>
    <w:rsid w:val="38F12CD3"/>
    <w:rsid w:val="38F25467"/>
    <w:rsid w:val="38F46CC2"/>
    <w:rsid w:val="38F94775"/>
    <w:rsid w:val="39072D82"/>
    <w:rsid w:val="39091137"/>
    <w:rsid w:val="391164C2"/>
    <w:rsid w:val="392927F4"/>
    <w:rsid w:val="392971ED"/>
    <w:rsid w:val="392A081F"/>
    <w:rsid w:val="392B4CC2"/>
    <w:rsid w:val="39325651"/>
    <w:rsid w:val="393C6ED0"/>
    <w:rsid w:val="394268F4"/>
    <w:rsid w:val="39597D4F"/>
    <w:rsid w:val="39657AA9"/>
    <w:rsid w:val="39697290"/>
    <w:rsid w:val="39745D84"/>
    <w:rsid w:val="397F3DCC"/>
    <w:rsid w:val="398443D3"/>
    <w:rsid w:val="39870E1D"/>
    <w:rsid w:val="39AF6B99"/>
    <w:rsid w:val="39B051C8"/>
    <w:rsid w:val="39B12CEE"/>
    <w:rsid w:val="39BC237A"/>
    <w:rsid w:val="39D0586A"/>
    <w:rsid w:val="39D22F86"/>
    <w:rsid w:val="39D25FBE"/>
    <w:rsid w:val="39D946D1"/>
    <w:rsid w:val="39DA4F9D"/>
    <w:rsid w:val="39E6508D"/>
    <w:rsid w:val="39E817C8"/>
    <w:rsid w:val="39E918FB"/>
    <w:rsid w:val="39F340AE"/>
    <w:rsid w:val="39F5707E"/>
    <w:rsid w:val="3A050D5C"/>
    <w:rsid w:val="3A0B0650"/>
    <w:rsid w:val="3A0B1D1F"/>
    <w:rsid w:val="3A0E0140"/>
    <w:rsid w:val="3A11705E"/>
    <w:rsid w:val="3A132E62"/>
    <w:rsid w:val="3A2A1651"/>
    <w:rsid w:val="3A3758E9"/>
    <w:rsid w:val="3A395142"/>
    <w:rsid w:val="3A4B3142"/>
    <w:rsid w:val="3A4E43A5"/>
    <w:rsid w:val="3A4F4F44"/>
    <w:rsid w:val="3A513CE7"/>
    <w:rsid w:val="3A563FC1"/>
    <w:rsid w:val="3A5F60FA"/>
    <w:rsid w:val="3A6340C3"/>
    <w:rsid w:val="3A6C4FEA"/>
    <w:rsid w:val="3A7206CF"/>
    <w:rsid w:val="3A7E0E22"/>
    <w:rsid w:val="3A872856"/>
    <w:rsid w:val="3A920F4B"/>
    <w:rsid w:val="3AAF1923"/>
    <w:rsid w:val="3AC23405"/>
    <w:rsid w:val="3AC76C6D"/>
    <w:rsid w:val="3AC86541"/>
    <w:rsid w:val="3AD43138"/>
    <w:rsid w:val="3ADC3D9A"/>
    <w:rsid w:val="3AE71C04"/>
    <w:rsid w:val="3AE80991"/>
    <w:rsid w:val="3AEA4709"/>
    <w:rsid w:val="3AF235BE"/>
    <w:rsid w:val="3AF37A62"/>
    <w:rsid w:val="3AF70BD4"/>
    <w:rsid w:val="3AFA0DF0"/>
    <w:rsid w:val="3B005CDB"/>
    <w:rsid w:val="3B1B24B7"/>
    <w:rsid w:val="3B1B7E6B"/>
    <w:rsid w:val="3B2B51B8"/>
    <w:rsid w:val="3B3622CB"/>
    <w:rsid w:val="3B3763D1"/>
    <w:rsid w:val="3B441832"/>
    <w:rsid w:val="3B4E0C94"/>
    <w:rsid w:val="3B4F4E4A"/>
    <w:rsid w:val="3B5F79A6"/>
    <w:rsid w:val="3B64270E"/>
    <w:rsid w:val="3B6834A4"/>
    <w:rsid w:val="3B721955"/>
    <w:rsid w:val="3B750477"/>
    <w:rsid w:val="3B8B2D82"/>
    <w:rsid w:val="3B956AF7"/>
    <w:rsid w:val="3B9E336F"/>
    <w:rsid w:val="3BA24A41"/>
    <w:rsid w:val="3BAB3E99"/>
    <w:rsid w:val="3BAC3BAE"/>
    <w:rsid w:val="3BBA40DC"/>
    <w:rsid w:val="3BBE3130"/>
    <w:rsid w:val="3BCC3E0F"/>
    <w:rsid w:val="3BE03C86"/>
    <w:rsid w:val="3BF07AFD"/>
    <w:rsid w:val="3C074E47"/>
    <w:rsid w:val="3C187054"/>
    <w:rsid w:val="3C1E28BD"/>
    <w:rsid w:val="3C20321B"/>
    <w:rsid w:val="3C221C81"/>
    <w:rsid w:val="3C277E24"/>
    <w:rsid w:val="3C28373B"/>
    <w:rsid w:val="3C2F6E1E"/>
    <w:rsid w:val="3C300842"/>
    <w:rsid w:val="3C486490"/>
    <w:rsid w:val="3C4C0CDA"/>
    <w:rsid w:val="3C4E2A76"/>
    <w:rsid w:val="3C4F64BA"/>
    <w:rsid w:val="3C5E715D"/>
    <w:rsid w:val="3C685248"/>
    <w:rsid w:val="3C6B187A"/>
    <w:rsid w:val="3C6F6217"/>
    <w:rsid w:val="3C7E335B"/>
    <w:rsid w:val="3C801BC8"/>
    <w:rsid w:val="3C812E4B"/>
    <w:rsid w:val="3C8A1D00"/>
    <w:rsid w:val="3C98543F"/>
    <w:rsid w:val="3CA1529C"/>
    <w:rsid w:val="3CA65DAF"/>
    <w:rsid w:val="3CB40325"/>
    <w:rsid w:val="3CBB11E9"/>
    <w:rsid w:val="3CBF3712"/>
    <w:rsid w:val="3CC61C99"/>
    <w:rsid w:val="3CD504A1"/>
    <w:rsid w:val="3CD94A35"/>
    <w:rsid w:val="3CDA245A"/>
    <w:rsid w:val="3CE83286"/>
    <w:rsid w:val="3CF33D49"/>
    <w:rsid w:val="3CFB2BFE"/>
    <w:rsid w:val="3D0D06A1"/>
    <w:rsid w:val="3D0F48FB"/>
    <w:rsid w:val="3D103623"/>
    <w:rsid w:val="3D121CF5"/>
    <w:rsid w:val="3D131620"/>
    <w:rsid w:val="3D193084"/>
    <w:rsid w:val="3D1E06B7"/>
    <w:rsid w:val="3D1F72F5"/>
    <w:rsid w:val="3D2008B6"/>
    <w:rsid w:val="3D2959BD"/>
    <w:rsid w:val="3D4524A1"/>
    <w:rsid w:val="3D454E41"/>
    <w:rsid w:val="3D4D47C3"/>
    <w:rsid w:val="3D54230E"/>
    <w:rsid w:val="3D614EFB"/>
    <w:rsid w:val="3D692209"/>
    <w:rsid w:val="3D8E2C9E"/>
    <w:rsid w:val="3D8E5820"/>
    <w:rsid w:val="3D90447A"/>
    <w:rsid w:val="3DA23079"/>
    <w:rsid w:val="3DA25626"/>
    <w:rsid w:val="3DBD7EB3"/>
    <w:rsid w:val="3DC36F13"/>
    <w:rsid w:val="3DC70D32"/>
    <w:rsid w:val="3DCB0822"/>
    <w:rsid w:val="3DD07C2E"/>
    <w:rsid w:val="3DD47A3F"/>
    <w:rsid w:val="3DDB5725"/>
    <w:rsid w:val="3DE10F01"/>
    <w:rsid w:val="3DE2791A"/>
    <w:rsid w:val="3DEE67AE"/>
    <w:rsid w:val="3E08069A"/>
    <w:rsid w:val="3E1677F2"/>
    <w:rsid w:val="3E1A7DD6"/>
    <w:rsid w:val="3E261EFC"/>
    <w:rsid w:val="3E344619"/>
    <w:rsid w:val="3E443598"/>
    <w:rsid w:val="3E453D00"/>
    <w:rsid w:val="3E5325C6"/>
    <w:rsid w:val="3E564C85"/>
    <w:rsid w:val="3E570308"/>
    <w:rsid w:val="3E5872A3"/>
    <w:rsid w:val="3E594080"/>
    <w:rsid w:val="3E5D6ACC"/>
    <w:rsid w:val="3E60015F"/>
    <w:rsid w:val="3E6B5B61"/>
    <w:rsid w:val="3E6E4DB3"/>
    <w:rsid w:val="3E7D3C61"/>
    <w:rsid w:val="3E846C23"/>
    <w:rsid w:val="3E86299B"/>
    <w:rsid w:val="3E910E8A"/>
    <w:rsid w:val="3E990376"/>
    <w:rsid w:val="3EA370A9"/>
    <w:rsid w:val="3EB0220E"/>
    <w:rsid w:val="3EB5188C"/>
    <w:rsid w:val="3EB8255C"/>
    <w:rsid w:val="3EC040FF"/>
    <w:rsid w:val="3EC82FB3"/>
    <w:rsid w:val="3EC86B10"/>
    <w:rsid w:val="3EDA0523"/>
    <w:rsid w:val="3EE84AE4"/>
    <w:rsid w:val="3EEC6742"/>
    <w:rsid w:val="3EF00151"/>
    <w:rsid w:val="3F1643BE"/>
    <w:rsid w:val="3F1E0E25"/>
    <w:rsid w:val="3F1E4A7B"/>
    <w:rsid w:val="3F454A0B"/>
    <w:rsid w:val="3F49174F"/>
    <w:rsid w:val="3F4D5F8A"/>
    <w:rsid w:val="3F607B9A"/>
    <w:rsid w:val="3F626F64"/>
    <w:rsid w:val="3F6C23A4"/>
    <w:rsid w:val="3F6E143F"/>
    <w:rsid w:val="3F843043"/>
    <w:rsid w:val="3F8B7596"/>
    <w:rsid w:val="3F9A435D"/>
    <w:rsid w:val="3F9A4950"/>
    <w:rsid w:val="3F9B7FD5"/>
    <w:rsid w:val="3F9D0A19"/>
    <w:rsid w:val="3F9F3D14"/>
    <w:rsid w:val="3FAA090B"/>
    <w:rsid w:val="3FAC01DF"/>
    <w:rsid w:val="3FB300A8"/>
    <w:rsid w:val="3FC10A9F"/>
    <w:rsid w:val="3FD0640C"/>
    <w:rsid w:val="3FD44BBA"/>
    <w:rsid w:val="3FE12ED9"/>
    <w:rsid w:val="3FE21E53"/>
    <w:rsid w:val="3FF17F6E"/>
    <w:rsid w:val="3FF35E0E"/>
    <w:rsid w:val="40026051"/>
    <w:rsid w:val="40074304"/>
    <w:rsid w:val="401531E4"/>
    <w:rsid w:val="40180D21"/>
    <w:rsid w:val="402814CD"/>
    <w:rsid w:val="40510A2D"/>
    <w:rsid w:val="40557A6C"/>
    <w:rsid w:val="40596D74"/>
    <w:rsid w:val="405E498B"/>
    <w:rsid w:val="40632F94"/>
    <w:rsid w:val="40646D0C"/>
    <w:rsid w:val="407A6407"/>
    <w:rsid w:val="407C22A8"/>
    <w:rsid w:val="409018AF"/>
    <w:rsid w:val="40B45D77"/>
    <w:rsid w:val="40BF2194"/>
    <w:rsid w:val="40C0232B"/>
    <w:rsid w:val="40C57A68"/>
    <w:rsid w:val="40E93C3E"/>
    <w:rsid w:val="410471DB"/>
    <w:rsid w:val="4107425B"/>
    <w:rsid w:val="410A78B3"/>
    <w:rsid w:val="41122DB1"/>
    <w:rsid w:val="411C61E6"/>
    <w:rsid w:val="41354D21"/>
    <w:rsid w:val="414F176A"/>
    <w:rsid w:val="41566655"/>
    <w:rsid w:val="415B15A7"/>
    <w:rsid w:val="416F7716"/>
    <w:rsid w:val="41824CA9"/>
    <w:rsid w:val="4186129A"/>
    <w:rsid w:val="41886A2A"/>
    <w:rsid w:val="418E2292"/>
    <w:rsid w:val="41941738"/>
    <w:rsid w:val="419C60B6"/>
    <w:rsid w:val="41A12474"/>
    <w:rsid w:val="41AC0E4E"/>
    <w:rsid w:val="41B13830"/>
    <w:rsid w:val="41B25855"/>
    <w:rsid w:val="41B43DF7"/>
    <w:rsid w:val="41B8244C"/>
    <w:rsid w:val="41BB633C"/>
    <w:rsid w:val="41E023C2"/>
    <w:rsid w:val="41E35CDD"/>
    <w:rsid w:val="41E73E23"/>
    <w:rsid w:val="41E80D4F"/>
    <w:rsid w:val="41E864D0"/>
    <w:rsid w:val="41F95ECC"/>
    <w:rsid w:val="41FB0E12"/>
    <w:rsid w:val="41FD04EA"/>
    <w:rsid w:val="4200449D"/>
    <w:rsid w:val="42051E29"/>
    <w:rsid w:val="420F4A55"/>
    <w:rsid w:val="4214291C"/>
    <w:rsid w:val="42287DA6"/>
    <w:rsid w:val="42315BFE"/>
    <w:rsid w:val="423A3BCC"/>
    <w:rsid w:val="423A7D24"/>
    <w:rsid w:val="42432EDD"/>
    <w:rsid w:val="424B5C7C"/>
    <w:rsid w:val="424D2EAE"/>
    <w:rsid w:val="424E57D2"/>
    <w:rsid w:val="4250579A"/>
    <w:rsid w:val="42565831"/>
    <w:rsid w:val="425C5EED"/>
    <w:rsid w:val="426109CE"/>
    <w:rsid w:val="426478A4"/>
    <w:rsid w:val="426B4BA6"/>
    <w:rsid w:val="426E0CEE"/>
    <w:rsid w:val="426E79CE"/>
    <w:rsid w:val="42721F4D"/>
    <w:rsid w:val="428B4A24"/>
    <w:rsid w:val="428C0EAD"/>
    <w:rsid w:val="42903DE8"/>
    <w:rsid w:val="42A81C22"/>
    <w:rsid w:val="42B26C49"/>
    <w:rsid w:val="42CE4911"/>
    <w:rsid w:val="42CF423B"/>
    <w:rsid w:val="42D30947"/>
    <w:rsid w:val="42F92F60"/>
    <w:rsid w:val="42FB7129"/>
    <w:rsid w:val="42FC76D0"/>
    <w:rsid w:val="431A19AD"/>
    <w:rsid w:val="43394075"/>
    <w:rsid w:val="433A6FE6"/>
    <w:rsid w:val="433F1693"/>
    <w:rsid w:val="43480868"/>
    <w:rsid w:val="4350713C"/>
    <w:rsid w:val="435272F0"/>
    <w:rsid w:val="435C3CCA"/>
    <w:rsid w:val="436653E0"/>
    <w:rsid w:val="437943F5"/>
    <w:rsid w:val="437E00E5"/>
    <w:rsid w:val="438276E2"/>
    <w:rsid w:val="438B430D"/>
    <w:rsid w:val="4393331B"/>
    <w:rsid w:val="43947392"/>
    <w:rsid w:val="4395233F"/>
    <w:rsid w:val="439709C2"/>
    <w:rsid w:val="439D4A0F"/>
    <w:rsid w:val="439F150F"/>
    <w:rsid w:val="43A25BCA"/>
    <w:rsid w:val="43A35F37"/>
    <w:rsid w:val="43A833B4"/>
    <w:rsid w:val="43AD0027"/>
    <w:rsid w:val="43B068C1"/>
    <w:rsid w:val="43B43B06"/>
    <w:rsid w:val="43C4431A"/>
    <w:rsid w:val="43D9356D"/>
    <w:rsid w:val="43DD4B29"/>
    <w:rsid w:val="43DD4C6D"/>
    <w:rsid w:val="4404683C"/>
    <w:rsid w:val="440E526D"/>
    <w:rsid w:val="441909AD"/>
    <w:rsid w:val="441C7429"/>
    <w:rsid w:val="441F5D14"/>
    <w:rsid w:val="44246EDE"/>
    <w:rsid w:val="44366C11"/>
    <w:rsid w:val="443864E5"/>
    <w:rsid w:val="44387F8A"/>
    <w:rsid w:val="444B5B90"/>
    <w:rsid w:val="44507CD3"/>
    <w:rsid w:val="44511BFB"/>
    <w:rsid w:val="446033CF"/>
    <w:rsid w:val="446107E9"/>
    <w:rsid w:val="44780FD8"/>
    <w:rsid w:val="447B66B0"/>
    <w:rsid w:val="44802BE3"/>
    <w:rsid w:val="448259B3"/>
    <w:rsid w:val="44827B22"/>
    <w:rsid w:val="4484797D"/>
    <w:rsid w:val="44867251"/>
    <w:rsid w:val="44894335"/>
    <w:rsid w:val="448B6005"/>
    <w:rsid w:val="448E6105"/>
    <w:rsid w:val="449007B6"/>
    <w:rsid w:val="44935E12"/>
    <w:rsid w:val="449B4A5F"/>
    <w:rsid w:val="44A26055"/>
    <w:rsid w:val="44AC20C6"/>
    <w:rsid w:val="44AD3040"/>
    <w:rsid w:val="44B57B36"/>
    <w:rsid w:val="44B951CC"/>
    <w:rsid w:val="44C87545"/>
    <w:rsid w:val="44CD14E0"/>
    <w:rsid w:val="44CF2FEB"/>
    <w:rsid w:val="44D04970"/>
    <w:rsid w:val="44E60C61"/>
    <w:rsid w:val="44EE2822"/>
    <w:rsid w:val="44F17514"/>
    <w:rsid w:val="44F20B0B"/>
    <w:rsid w:val="4508235C"/>
    <w:rsid w:val="450B3BFA"/>
    <w:rsid w:val="45102FBE"/>
    <w:rsid w:val="4510439A"/>
    <w:rsid w:val="45121362"/>
    <w:rsid w:val="45176708"/>
    <w:rsid w:val="451778CE"/>
    <w:rsid w:val="452B1BA6"/>
    <w:rsid w:val="452E5F4C"/>
    <w:rsid w:val="45373301"/>
    <w:rsid w:val="453B44DF"/>
    <w:rsid w:val="453E3FCF"/>
    <w:rsid w:val="453E528E"/>
    <w:rsid w:val="454D5FC1"/>
    <w:rsid w:val="455C4900"/>
    <w:rsid w:val="45612018"/>
    <w:rsid w:val="45662B5D"/>
    <w:rsid w:val="45726E51"/>
    <w:rsid w:val="457E4F5C"/>
    <w:rsid w:val="4586670D"/>
    <w:rsid w:val="458946E9"/>
    <w:rsid w:val="458E5EE1"/>
    <w:rsid w:val="45A04342"/>
    <w:rsid w:val="45A47C0E"/>
    <w:rsid w:val="45AA2785"/>
    <w:rsid w:val="45B918A8"/>
    <w:rsid w:val="45BA3F42"/>
    <w:rsid w:val="45CF4804"/>
    <w:rsid w:val="45D264C6"/>
    <w:rsid w:val="45E32112"/>
    <w:rsid w:val="45E32481"/>
    <w:rsid w:val="45E9646F"/>
    <w:rsid w:val="45EE060E"/>
    <w:rsid w:val="45F65CBA"/>
    <w:rsid w:val="45FB3C6E"/>
    <w:rsid w:val="45FD3ED0"/>
    <w:rsid w:val="46003033"/>
    <w:rsid w:val="4626317E"/>
    <w:rsid w:val="462E0004"/>
    <w:rsid w:val="46317690"/>
    <w:rsid w:val="46372AE9"/>
    <w:rsid w:val="463D02E0"/>
    <w:rsid w:val="4645404E"/>
    <w:rsid w:val="46482F15"/>
    <w:rsid w:val="46577FD6"/>
    <w:rsid w:val="465B470D"/>
    <w:rsid w:val="46625A9C"/>
    <w:rsid w:val="467A1037"/>
    <w:rsid w:val="468A074A"/>
    <w:rsid w:val="46946655"/>
    <w:rsid w:val="46965DF2"/>
    <w:rsid w:val="46A240EA"/>
    <w:rsid w:val="46A312F1"/>
    <w:rsid w:val="46AB2654"/>
    <w:rsid w:val="46AC4F69"/>
    <w:rsid w:val="46B972B8"/>
    <w:rsid w:val="46C978C9"/>
    <w:rsid w:val="46CD03D6"/>
    <w:rsid w:val="46D955A7"/>
    <w:rsid w:val="46E26BDC"/>
    <w:rsid w:val="46E86595"/>
    <w:rsid w:val="46EF4D27"/>
    <w:rsid w:val="46FB75DC"/>
    <w:rsid w:val="46FC1A4C"/>
    <w:rsid w:val="470828B2"/>
    <w:rsid w:val="470B7EE1"/>
    <w:rsid w:val="471072A6"/>
    <w:rsid w:val="47133957"/>
    <w:rsid w:val="471941EF"/>
    <w:rsid w:val="471C3BAA"/>
    <w:rsid w:val="471D7619"/>
    <w:rsid w:val="471E7DA6"/>
    <w:rsid w:val="47217D1E"/>
    <w:rsid w:val="47264377"/>
    <w:rsid w:val="47280A93"/>
    <w:rsid w:val="472B23A9"/>
    <w:rsid w:val="472D7E58"/>
    <w:rsid w:val="47347438"/>
    <w:rsid w:val="47364470"/>
    <w:rsid w:val="473867FC"/>
    <w:rsid w:val="474156B1"/>
    <w:rsid w:val="47503547"/>
    <w:rsid w:val="47513B01"/>
    <w:rsid w:val="47587900"/>
    <w:rsid w:val="475C24EB"/>
    <w:rsid w:val="476C2E00"/>
    <w:rsid w:val="476F7E82"/>
    <w:rsid w:val="478B7B0D"/>
    <w:rsid w:val="47906638"/>
    <w:rsid w:val="4797283C"/>
    <w:rsid w:val="479C269D"/>
    <w:rsid w:val="479C65F7"/>
    <w:rsid w:val="47A04ACD"/>
    <w:rsid w:val="47A07E0C"/>
    <w:rsid w:val="47AB464D"/>
    <w:rsid w:val="47AD2D46"/>
    <w:rsid w:val="47CD3164"/>
    <w:rsid w:val="47D3711A"/>
    <w:rsid w:val="47D624B4"/>
    <w:rsid w:val="47D6611B"/>
    <w:rsid w:val="47E36768"/>
    <w:rsid w:val="47E756FB"/>
    <w:rsid w:val="47F31E53"/>
    <w:rsid w:val="48084421"/>
    <w:rsid w:val="480908C5"/>
    <w:rsid w:val="48140818"/>
    <w:rsid w:val="48180B08"/>
    <w:rsid w:val="48185391"/>
    <w:rsid w:val="48360F8E"/>
    <w:rsid w:val="483B0352"/>
    <w:rsid w:val="484C07B1"/>
    <w:rsid w:val="484E33F4"/>
    <w:rsid w:val="48643D4D"/>
    <w:rsid w:val="486523C2"/>
    <w:rsid w:val="4870272E"/>
    <w:rsid w:val="488241D3"/>
    <w:rsid w:val="488C6E00"/>
    <w:rsid w:val="488D667B"/>
    <w:rsid w:val="488E4926"/>
    <w:rsid w:val="489A2861"/>
    <w:rsid w:val="489A776F"/>
    <w:rsid w:val="489C3FAB"/>
    <w:rsid w:val="48A464AC"/>
    <w:rsid w:val="48AA4E97"/>
    <w:rsid w:val="48AD5E1C"/>
    <w:rsid w:val="48BE4EE7"/>
    <w:rsid w:val="48C914C3"/>
    <w:rsid w:val="48CC00E6"/>
    <w:rsid w:val="48CD62BE"/>
    <w:rsid w:val="48DA2746"/>
    <w:rsid w:val="48E228DA"/>
    <w:rsid w:val="48E629B4"/>
    <w:rsid w:val="48F03A5F"/>
    <w:rsid w:val="48F549A5"/>
    <w:rsid w:val="490200FB"/>
    <w:rsid w:val="490E1F0B"/>
    <w:rsid w:val="4941408E"/>
    <w:rsid w:val="49520049"/>
    <w:rsid w:val="495C03FC"/>
    <w:rsid w:val="496518B6"/>
    <w:rsid w:val="496B1DFA"/>
    <w:rsid w:val="49746212"/>
    <w:rsid w:val="49787384"/>
    <w:rsid w:val="49796DC3"/>
    <w:rsid w:val="497D5250"/>
    <w:rsid w:val="497E47FC"/>
    <w:rsid w:val="498F102E"/>
    <w:rsid w:val="49A87C69"/>
    <w:rsid w:val="49B36DD7"/>
    <w:rsid w:val="49B77EAC"/>
    <w:rsid w:val="49B83D5B"/>
    <w:rsid w:val="49C20CE8"/>
    <w:rsid w:val="49C425C9"/>
    <w:rsid w:val="49D42D5B"/>
    <w:rsid w:val="49D942C7"/>
    <w:rsid w:val="49DC7715"/>
    <w:rsid w:val="49FC20D8"/>
    <w:rsid w:val="49FE3D2D"/>
    <w:rsid w:val="4A023139"/>
    <w:rsid w:val="4A025DCE"/>
    <w:rsid w:val="4A0B58F7"/>
    <w:rsid w:val="4A1022B2"/>
    <w:rsid w:val="4A225C6E"/>
    <w:rsid w:val="4A280DAA"/>
    <w:rsid w:val="4A286FFC"/>
    <w:rsid w:val="4A2E3AC8"/>
    <w:rsid w:val="4A30694D"/>
    <w:rsid w:val="4A4061E5"/>
    <w:rsid w:val="4A477482"/>
    <w:rsid w:val="4A4C6847"/>
    <w:rsid w:val="4A565DC4"/>
    <w:rsid w:val="4A58168F"/>
    <w:rsid w:val="4A596C02"/>
    <w:rsid w:val="4A5D3969"/>
    <w:rsid w:val="4A600544"/>
    <w:rsid w:val="4A664263"/>
    <w:rsid w:val="4A69389D"/>
    <w:rsid w:val="4A6C6EE9"/>
    <w:rsid w:val="4A7243C9"/>
    <w:rsid w:val="4A7A7858"/>
    <w:rsid w:val="4A7B576F"/>
    <w:rsid w:val="4A8978C0"/>
    <w:rsid w:val="4A897A9B"/>
    <w:rsid w:val="4A8F2A4C"/>
    <w:rsid w:val="4A9D71DB"/>
    <w:rsid w:val="4A9F0678"/>
    <w:rsid w:val="4AB574BF"/>
    <w:rsid w:val="4AB64608"/>
    <w:rsid w:val="4AB71E81"/>
    <w:rsid w:val="4ABB1049"/>
    <w:rsid w:val="4AC62A9D"/>
    <w:rsid w:val="4AD36F68"/>
    <w:rsid w:val="4AD41E7B"/>
    <w:rsid w:val="4AD60806"/>
    <w:rsid w:val="4AD75C2B"/>
    <w:rsid w:val="4AF0497C"/>
    <w:rsid w:val="4AF51A22"/>
    <w:rsid w:val="4AF561A9"/>
    <w:rsid w:val="4AF64982"/>
    <w:rsid w:val="4AF72494"/>
    <w:rsid w:val="4B16705D"/>
    <w:rsid w:val="4B1A7F38"/>
    <w:rsid w:val="4B221912"/>
    <w:rsid w:val="4B2652EA"/>
    <w:rsid w:val="4B290281"/>
    <w:rsid w:val="4B2B0B52"/>
    <w:rsid w:val="4B30329B"/>
    <w:rsid w:val="4B5516B4"/>
    <w:rsid w:val="4B5736F5"/>
    <w:rsid w:val="4B5859EE"/>
    <w:rsid w:val="4B58746D"/>
    <w:rsid w:val="4B6776B0"/>
    <w:rsid w:val="4B723BA1"/>
    <w:rsid w:val="4B9D0613"/>
    <w:rsid w:val="4BA05080"/>
    <w:rsid w:val="4BA6642B"/>
    <w:rsid w:val="4BB569B0"/>
    <w:rsid w:val="4BBE71AD"/>
    <w:rsid w:val="4BC44A01"/>
    <w:rsid w:val="4BC575D2"/>
    <w:rsid w:val="4BD623FF"/>
    <w:rsid w:val="4BD72A88"/>
    <w:rsid w:val="4BEA27BB"/>
    <w:rsid w:val="4BED67DE"/>
    <w:rsid w:val="4BF64EA9"/>
    <w:rsid w:val="4C005DBB"/>
    <w:rsid w:val="4C013661"/>
    <w:rsid w:val="4C027EC9"/>
    <w:rsid w:val="4C034147"/>
    <w:rsid w:val="4C11504A"/>
    <w:rsid w:val="4C121ACE"/>
    <w:rsid w:val="4C1761BA"/>
    <w:rsid w:val="4C1E0CC2"/>
    <w:rsid w:val="4C373B6B"/>
    <w:rsid w:val="4C3D46E9"/>
    <w:rsid w:val="4C4A0649"/>
    <w:rsid w:val="4C4A71AD"/>
    <w:rsid w:val="4C5E4F57"/>
    <w:rsid w:val="4C645F93"/>
    <w:rsid w:val="4C6C1422"/>
    <w:rsid w:val="4C7E5ECA"/>
    <w:rsid w:val="4C876AA5"/>
    <w:rsid w:val="4C8F6EBF"/>
    <w:rsid w:val="4CA36E5C"/>
    <w:rsid w:val="4CAE1A3B"/>
    <w:rsid w:val="4CCB2361"/>
    <w:rsid w:val="4CD26B56"/>
    <w:rsid w:val="4CDC1A89"/>
    <w:rsid w:val="4CE511D4"/>
    <w:rsid w:val="4CE85DAE"/>
    <w:rsid w:val="4D0E00FB"/>
    <w:rsid w:val="4D0E6C05"/>
    <w:rsid w:val="4D176606"/>
    <w:rsid w:val="4D265A75"/>
    <w:rsid w:val="4D3B1B4F"/>
    <w:rsid w:val="4D405120"/>
    <w:rsid w:val="4D4828C8"/>
    <w:rsid w:val="4D495813"/>
    <w:rsid w:val="4D49738B"/>
    <w:rsid w:val="4D58225C"/>
    <w:rsid w:val="4D6174FD"/>
    <w:rsid w:val="4D6B792C"/>
    <w:rsid w:val="4D7A191D"/>
    <w:rsid w:val="4D7F33D7"/>
    <w:rsid w:val="4D822DD2"/>
    <w:rsid w:val="4D8B61AB"/>
    <w:rsid w:val="4DAF6BE2"/>
    <w:rsid w:val="4DBC0187"/>
    <w:rsid w:val="4DC40DEA"/>
    <w:rsid w:val="4DC5673B"/>
    <w:rsid w:val="4DC96042"/>
    <w:rsid w:val="4DCE3A17"/>
    <w:rsid w:val="4DCF6FBA"/>
    <w:rsid w:val="4DCF7EBB"/>
    <w:rsid w:val="4DDF1AE9"/>
    <w:rsid w:val="4DE13795"/>
    <w:rsid w:val="4DE80F7C"/>
    <w:rsid w:val="4DEC4FB0"/>
    <w:rsid w:val="4DF27B89"/>
    <w:rsid w:val="4DF65813"/>
    <w:rsid w:val="4DF9095E"/>
    <w:rsid w:val="4DFD17D6"/>
    <w:rsid w:val="4E013B83"/>
    <w:rsid w:val="4E04015D"/>
    <w:rsid w:val="4E075D8A"/>
    <w:rsid w:val="4E102281"/>
    <w:rsid w:val="4E217FEA"/>
    <w:rsid w:val="4E241889"/>
    <w:rsid w:val="4E276532"/>
    <w:rsid w:val="4E28581D"/>
    <w:rsid w:val="4E287F63"/>
    <w:rsid w:val="4E2979D2"/>
    <w:rsid w:val="4E2A14DC"/>
    <w:rsid w:val="4E3B3056"/>
    <w:rsid w:val="4E3F6866"/>
    <w:rsid w:val="4E4505B9"/>
    <w:rsid w:val="4E5864F2"/>
    <w:rsid w:val="4E5C487A"/>
    <w:rsid w:val="4E5F0817"/>
    <w:rsid w:val="4E621C6D"/>
    <w:rsid w:val="4E661EA1"/>
    <w:rsid w:val="4E6A5271"/>
    <w:rsid w:val="4E9E788D"/>
    <w:rsid w:val="4EA51550"/>
    <w:rsid w:val="4EA70826"/>
    <w:rsid w:val="4EB21BE6"/>
    <w:rsid w:val="4EBB3930"/>
    <w:rsid w:val="4EC00FAD"/>
    <w:rsid w:val="4ECC40E8"/>
    <w:rsid w:val="4ED1099E"/>
    <w:rsid w:val="4ED137BE"/>
    <w:rsid w:val="4EE5726A"/>
    <w:rsid w:val="4EEA6837"/>
    <w:rsid w:val="4EEC23A6"/>
    <w:rsid w:val="4EF13605"/>
    <w:rsid w:val="4EF90150"/>
    <w:rsid w:val="4F027E1C"/>
    <w:rsid w:val="4F081C0F"/>
    <w:rsid w:val="4F18763F"/>
    <w:rsid w:val="4F1B0EDE"/>
    <w:rsid w:val="4F1B712F"/>
    <w:rsid w:val="4F2B1165"/>
    <w:rsid w:val="4F3E4570"/>
    <w:rsid w:val="4F4C553B"/>
    <w:rsid w:val="4F576D80"/>
    <w:rsid w:val="4F587A3C"/>
    <w:rsid w:val="4F5B752C"/>
    <w:rsid w:val="4F5C2894"/>
    <w:rsid w:val="4F7B626F"/>
    <w:rsid w:val="4F7C7BCE"/>
    <w:rsid w:val="4F9842DC"/>
    <w:rsid w:val="4F9843DC"/>
    <w:rsid w:val="4FAE003C"/>
    <w:rsid w:val="4FAF4286"/>
    <w:rsid w:val="4FB07878"/>
    <w:rsid w:val="4FB64093"/>
    <w:rsid w:val="4FBA4253"/>
    <w:rsid w:val="4FBA750C"/>
    <w:rsid w:val="4FC62A8C"/>
    <w:rsid w:val="4FC774A8"/>
    <w:rsid w:val="4FD934EC"/>
    <w:rsid w:val="4FDF015D"/>
    <w:rsid w:val="4FDF74D3"/>
    <w:rsid w:val="4FE20F0D"/>
    <w:rsid w:val="4FE51552"/>
    <w:rsid w:val="4FE82F87"/>
    <w:rsid w:val="4FEC50F3"/>
    <w:rsid w:val="50034F5C"/>
    <w:rsid w:val="50047BC4"/>
    <w:rsid w:val="500A342C"/>
    <w:rsid w:val="500A6321"/>
    <w:rsid w:val="50115E97"/>
    <w:rsid w:val="501455E9"/>
    <w:rsid w:val="501E6ED7"/>
    <w:rsid w:val="501F67AB"/>
    <w:rsid w:val="50243DC2"/>
    <w:rsid w:val="50412BC6"/>
    <w:rsid w:val="505027A3"/>
    <w:rsid w:val="50502E09"/>
    <w:rsid w:val="50504C4B"/>
    <w:rsid w:val="506230F3"/>
    <w:rsid w:val="507633CE"/>
    <w:rsid w:val="508A2634"/>
    <w:rsid w:val="508F4404"/>
    <w:rsid w:val="509C6E7C"/>
    <w:rsid w:val="50A625B2"/>
    <w:rsid w:val="50B96C00"/>
    <w:rsid w:val="50BD211E"/>
    <w:rsid w:val="50C51101"/>
    <w:rsid w:val="50E33440"/>
    <w:rsid w:val="50E86DB2"/>
    <w:rsid w:val="50FB4B23"/>
    <w:rsid w:val="51022355"/>
    <w:rsid w:val="51051E45"/>
    <w:rsid w:val="51060B8A"/>
    <w:rsid w:val="510A2FB8"/>
    <w:rsid w:val="510A5910"/>
    <w:rsid w:val="510C243D"/>
    <w:rsid w:val="511335F0"/>
    <w:rsid w:val="511703CE"/>
    <w:rsid w:val="5122044E"/>
    <w:rsid w:val="5128403C"/>
    <w:rsid w:val="514D1BDE"/>
    <w:rsid w:val="514F3D74"/>
    <w:rsid w:val="515A6FC2"/>
    <w:rsid w:val="516052CE"/>
    <w:rsid w:val="5162104E"/>
    <w:rsid w:val="51647E65"/>
    <w:rsid w:val="516757F3"/>
    <w:rsid w:val="516E3547"/>
    <w:rsid w:val="51805A47"/>
    <w:rsid w:val="51826DFB"/>
    <w:rsid w:val="51826FF2"/>
    <w:rsid w:val="51873F17"/>
    <w:rsid w:val="519F1486"/>
    <w:rsid w:val="519F5E89"/>
    <w:rsid w:val="51A647D1"/>
    <w:rsid w:val="51A96C75"/>
    <w:rsid w:val="51BE7F58"/>
    <w:rsid w:val="51C07B1A"/>
    <w:rsid w:val="51C22291"/>
    <w:rsid w:val="51D433F8"/>
    <w:rsid w:val="51E76B1F"/>
    <w:rsid w:val="51EA3BB2"/>
    <w:rsid w:val="51F31C9E"/>
    <w:rsid w:val="51F6759E"/>
    <w:rsid w:val="51F76667"/>
    <w:rsid w:val="51FF0643"/>
    <w:rsid w:val="52093835"/>
    <w:rsid w:val="521A722A"/>
    <w:rsid w:val="52247C1D"/>
    <w:rsid w:val="52352B11"/>
    <w:rsid w:val="52374280"/>
    <w:rsid w:val="523E1829"/>
    <w:rsid w:val="52505342"/>
    <w:rsid w:val="5253098E"/>
    <w:rsid w:val="525A142D"/>
    <w:rsid w:val="525B6B2A"/>
    <w:rsid w:val="52612BB8"/>
    <w:rsid w:val="526F3A1A"/>
    <w:rsid w:val="52740F12"/>
    <w:rsid w:val="52816712"/>
    <w:rsid w:val="52943481"/>
    <w:rsid w:val="52A40FF2"/>
    <w:rsid w:val="52B11F76"/>
    <w:rsid w:val="52B515D5"/>
    <w:rsid w:val="52BB1B29"/>
    <w:rsid w:val="52BC29D7"/>
    <w:rsid w:val="52D03847"/>
    <w:rsid w:val="52D753D2"/>
    <w:rsid w:val="52DD4E28"/>
    <w:rsid w:val="52F047D2"/>
    <w:rsid w:val="52F43DFA"/>
    <w:rsid w:val="52F45CCD"/>
    <w:rsid w:val="52F7357A"/>
    <w:rsid w:val="531225F7"/>
    <w:rsid w:val="53146370"/>
    <w:rsid w:val="53187263"/>
    <w:rsid w:val="533125AA"/>
    <w:rsid w:val="533802B0"/>
    <w:rsid w:val="533B7DA0"/>
    <w:rsid w:val="533E65CD"/>
    <w:rsid w:val="534B43A7"/>
    <w:rsid w:val="534F5434"/>
    <w:rsid w:val="53552806"/>
    <w:rsid w:val="53606E33"/>
    <w:rsid w:val="5367764E"/>
    <w:rsid w:val="53682217"/>
    <w:rsid w:val="536A624A"/>
    <w:rsid w:val="536F35A6"/>
    <w:rsid w:val="53760DD8"/>
    <w:rsid w:val="53762677"/>
    <w:rsid w:val="5382777D"/>
    <w:rsid w:val="5388027B"/>
    <w:rsid w:val="538F59F6"/>
    <w:rsid w:val="539E0F4D"/>
    <w:rsid w:val="53A039CC"/>
    <w:rsid w:val="53A1505A"/>
    <w:rsid w:val="53A4702B"/>
    <w:rsid w:val="53A5346C"/>
    <w:rsid w:val="53A54518"/>
    <w:rsid w:val="53A54A39"/>
    <w:rsid w:val="53AB6CD4"/>
    <w:rsid w:val="53F32429"/>
    <w:rsid w:val="53F35AE4"/>
    <w:rsid w:val="53FA177A"/>
    <w:rsid w:val="53FB7876"/>
    <w:rsid w:val="53FC2A05"/>
    <w:rsid w:val="5401148A"/>
    <w:rsid w:val="540262EE"/>
    <w:rsid w:val="54063E08"/>
    <w:rsid w:val="541F3F70"/>
    <w:rsid w:val="54297BF9"/>
    <w:rsid w:val="54300F87"/>
    <w:rsid w:val="543437E8"/>
    <w:rsid w:val="54387E3C"/>
    <w:rsid w:val="543E6346"/>
    <w:rsid w:val="543F741C"/>
    <w:rsid w:val="54414F42"/>
    <w:rsid w:val="54424EA8"/>
    <w:rsid w:val="545C7FCE"/>
    <w:rsid w:val="546B7536"/>
    <w:rsid w:val="54701BC7"/>
    <w:rsid w:val="547370C6"/>
    <w:rsid w:val="54752128"/>
    <w:rsid w:val="548117E3"/>
    <w:rsid w:val="54890697"/>
    <w:rsid w:val="54921C42"/>
    <w:rsid w:val="54972DB4"/>
    <w:rsid w:val="54A379AB"/>
    <w:rsid w:val="54A84063"/>
    <w:rsid w:val="54AA3F73"/>
    <w:rsid w:val="54B16A1E"/>
    <w:rsid w:val="54BA1017"/>
    <w:rsid w:val="54BC6CBF"/>
    <w:rsid w:val="54BF230B"/>
    <w:rsid w:val="54C31DFB"/>
    <w:rsid w:val="54C33BA9"/>
    <w:rsid w:val="54CA3192"/>
    <w:rsid w:val="54CF07A0"/>
    <w:rsid w:val="54DA7145"/>
    <w:rsid w:val="54EE3825"/>
    <w:rsid w:val="54EF04CB"/>
    <w:rsid w:val="54F15D3A"/>
    <w:rsid w:val="54F73313"/>
    <w:rsid w:val="54F80955"/>
    <w:rsid w:val="54FF3EA3"/>
    <w:rsid w:val="551663CF"/>
    <w:rsid w:val="551B4BD7"/>
    <w:rsid w:val="5521017E"/>
    <w:rsid w:val="55254864"/>
    <w:rsid w:val="552A1E7A"/>
    <w:rsid w:val="55307EB9"/>
    <w:rsid w:val="553407ED"/>
    <w:rsid w:val="55341652"/>
    <w:rsid w:val="5539030F"/>
    <w:rsid w:val="555111B5"/>
    <w:rsid w:val="555170A7"/>
    <w:rsid w:val="555175DC"/>
    <w:rsid w:val="55622F8F"/>
    <w:rsid w:val="5563538C"/>
    <w:rsid w:val="55752584"/>
    <w:rsid w:val="55781C63"/>
    <w:rsid w:val="5587107B"/>
    <w:rsid w:val="5587536D"/>
    <w:rsid w:val="5590042B"/>
    <w:rsid w:val="559A33D1"/>
    <w:rsid w:val="559B174B"/>
    <w:rsid w:val="559D264C"/>
    <w:rsid w:val="55A2757D"/>
    <w:rsid w:val="55A27C63"/>
    <w:rsid w:val="55B017CF"/>
    <w:rsid w:val="55B026BB"/>
    <w:rsid w:val="55BC28AF"/>
    <w:rsid w:val="55C20305"/>
    <w:rsid w:val="55CE0CF4"/>
    <w:rsid w:val="55CE6962"/>
    <w:rsid w:val="55DB3175"/>
    <w:rsid w:val="55EA07D1"/>
    <w:rsid w:val="55EC402B"/>
    <w:rsid w:val="55FB7B9D"/>
    <w:rsid w:val="55FD2CDC"/>
    <w:rsid w:val="56073F6A"/>
    <w:rsid w:val="561C16A5"/>
    <w:rsid w:val="561F7505"/>
    <w:rsid w:val="56244B1C"/>
    <w:rsid w:val="56261D35"/>
    <w:rsid w:val="56290384"/>
    <w:rsid w:val="5629178B"/>
    <w:rsid w:val="563A59C7"/>
    <w:rsid w:val="563D3E2F"/>
    <w:rsid w:val="56435218"/>
    <w:rsid w:val="56446F6C"/>
    <w:rsid w:val="56466840"/>
    <w:rsid w:val="564C5E20"/>
    <w:rsid w:val="56530F5D"/>
    <w:rsid w:val="56562F98"/>
    <w:rsid w:val="56574EF1"/>
    <w:rsid w:val="565B41B0"/>
    <w:rsid w:val="566273F2"/>
    <w:rsid w:val="56672B2B"/>
    <w:rsid w:val="56774BC8"/>
    <w:rsid w:val="567A0AA9"/>
    <w:rsid w:val="567D6B95"/>
    <w:rsid w:val="56890E23"/>
    <w:rsid w:val="56896835"/>
    <w:rsid w:val="569B6A1A"/>
    <w:rsid w:val="56A7044E"/>
    <w:rsid w:val="56B22127"/>
    <w:rsid w:val="56B22A9C"/>
    <w:rsid w:val="56B934B6"/>
    <w:rsid w:val="56C71886"/>
    <w:rsid w:val="56CB143B"/>
    <w:rsid w:val="56E45795"/>
    <w:rsid w:val="56F60510"/>
    <w:rsid w:val="56FC6A2C"/>
    <w:rsid w:val="57047A45"/>
    <w:rsid w:val="57080607"/>
    <w:rsid w:val="570D7FA7"/>
    <w:rsid w:val="571921A6"/>
    <w:rsid w:val="571966EB"/>
    <w:rsid w:val="571A26B3"/>
    <w:rsid w:val="57233025"/>
    <w:rsid w:val="5726041F"/>
    <w:rsid w:val="57442750"/>
    <w:rsid w:val="5747203C"/>
    <w:rsid w:val="578A30A4"/>
    <w:rsid w:val="578C4726"/>
    <w:rsid w:val="579655A5"/>
    <w:rsid w:val="57B022EC"/>
    <w:rsid w:val="57B27944"/>
    <w:rsid w:val="57B456D5"/>
    <w:rsid w:val="57B63CC6"/>
    <w:rsid w:val="57B72A76"/>
    <w:rsid w:val="57C1754D"/>
    <w:rsid w:val="57C3426C"/>
    <w:rsid w:val="57CE1F93"/>
    <w:rsid w:val="57D90823"/>
    <w:rsid w:val="57DD4F82"/>
    <w:rsid w:val="57E26A3C"/>
    <w:rsid w:val="57FB7AFE"/>
    <w:rsid w:val="580A59C7"/>
    <w:rsid w:val="580E24FF"/>
    <w:rsid w:val="58170109"/>
    <w:rsid w:val="58172838"/>
    <w:rsid w:val="581B3CFC"/>
    <w:rsid w:val="581D6ABF"/>
    <w:rsid w:val="582E57DE"/>
    <w:rsid w:val="58315A42"/>
    <w:rsid w:val="583475F3"/>
    <w:rsid w:val="58376975"/>
    <w:rsid w:val="58496ABB"/>
    <w:rsid w:val="584B45E2"/>
    <w:rsid w:val="58540320"/>
    <w:rsid w:val="585C7631"/>
    <w:rsid w:val="58704048"/>
    <w:rsid w:val="58727DC0"/>
    <w:rsid w:val="58755F16"/>
    <w:rsid w:val="58772F63"/>
    <w:rsid w:val="587A6C75"/>
    <w:rsid w:val="588743D1"/>
    <w:rsid w:val="5887701A"/>
    <w:rsid w:val="5898534D"/>
    <w:rsid w:val="58AE26C8"/>
    <w:rsid w:val="58AF7466"/>
    <w:rsid w:val="58CE0559"/>
    <w:rsid w:val="58DC7930"/>
    <w:rsid w:val="58E42340"/>
    <w:rsid w:val="59001E8C"/>
    <w:rsid w:val="59011144"/>
    <w:rsid w:val="5908379B"/>
    <w:rsid w:val="591470C9"/>
    <w:rsid w:val="59186F53"/>
    <w:rsid w:val="591A2837"/>
    <w:rsid w:val="5923730C"/>
    <w:rsid w:val="5937763F"/>
    <w:rsid w:val="593A1412"/>
    <w:rsid w:val="595D6B6C"/>
    <w:rsid w:val="595E0345"/>
    <w:rsid w:val="595E5EB7"/>
    <w:rsid w:val="59605E6B"/>
    <w:rsid w:val="596153A9"/>
    <w:rsid w:val="5968741C"/>
    <w:rsid w:val="59741916"/>
    <w:rsid w:val="59761AEC"/>
    <w:rsid w:val="59AC3230"/>
    <w:rsid w:val="59AF20B2"/>
    <w:rsid w:val="59B14918"/>
    <w:rsid w:val="59B937CD"/>
    <w:rsid w:val="59BD03B5"/>
    <w:rsid w:val="59C0439F"/>
    <w:rsid w:val="59D61BA3"/>
    <w:rsid w:val="59E43CC8"/>
    <w:rsid w:val="59E85675"/>
    <w:rsid w:val="59EA7E2A"/>
    <w:rsid w:val="59EB778D"/>
    <w:rsid w:val="5A0377E1"/>
    <w:rsid w:val="5A045854"/>
    <w:rsid w:val="5A0546F1"/>
    <w:rsid w:val="5A105A3C"/>
    <w:rsid w:val="5A131C45"/>
    <w:rsid w:val="5A146C55"/>
    <w:rsid w:val="5A153003"/>
    <w:rsid w:val="5A1D3D5C"/>
    <w:rsid w:val="5A2859CE"/>
    <w:rsid w:val="5A2E63A3"/>
    <w:rsid w:val="5A2E6CC3"/>
    <w:rsid w:val="5A355C07"/>
    <w:rsid w:val="5A4412E8"/>
    <w:rsid w:val="5A4B6B1B"/>
    <w:rsid w:val="5A530D01"/>
    <w:rsid w:val="5A551748"/>
    <w:rsid w:val="5A5A22B6"/>
    <w:rsid w:val="5A6000EC"/>
    <w:rsid w:val="5A7071B9"/>
    <w:rsid w:val="5A71428A"/>
    <w:rsid w:val="5A765B75"/>
    <w:rsid w:val="5A7A11AE"/>
    <w:rsid w:val="5A7C139D"/>
    <w:rsid w:val="5A837388"/>
    <w:rsid w:val="5A8E6A07"/>
    <w:rsid w:val="5A9057A8"/>
    <w:rsid w:val="5A987886"/>
    <w:rsid w:val="5AA12BDF"/>
    <w:rsid w:val="5AA7161B"/>
    <w:rsid w:val="5AAB75B9"/>
    <w:rsid w:val="5AB539CD"/>
    <w:rsid w:val="5AB8440B"/>
    <w:rsid w:val="5ABE2233"/>
    <w:rsid w:val="5AC01A2B"/>
    <w:rsid w:val="5AC12FC3"/>
    <w:rsid w:val="5AC62645"/>
    <w:rsid w:val="5AF153C1"/>
    <w:rsid w:val="5AF251E8"/>
    <w:rsid w:val="5AF46E25"/>
    <w:rsid w:val="5AFA5E4B"/>
    <w:rsid w:val="5B1038C0"/>
    <w:rsid w:val="5B213377"/>
    <w:rsid w:val="5B2C3825"/>
    <w:rsid w:val="5B2C6D97"/>
    <w:rsid w:val="5B2E4B8A"/>
    <w:rsid w:val="5B572E88"/>
    <w:rsid w:val="5B586720"/>
    <w:rsid w:val="5B5E5FBC"/>
    <w:rsid w:val="5B614378"/>
    <w:rsid w:val="5B762B43"/>
    <w:rsid w:val="5B7B562E"/>
    <w:rsid w:val="5B7E082A"/>
    <w:rsid w:val="5B8027F4"/>
    <w:rsid w:val="5B865931"/>
    <w:rsid w:val="5B9462A0"/>
    <w:rsid w:val="5B953DC6"/>
    <w:rsid w:val="5BAD3F86"/>
    <w:rsid w:val="5BB406F0"/>
    <w:rsid w:val="5BDE751B"/>
    <w:rsid w:val="5BDF5D95"/>
    <w:rsid w:val="5BEE1139"/>
    <w:rsid w:val="5BFE7528"/>
    <w:rsid w:val="5C03111E"/>
    <w:rsid w:val="5C03784E"/>
    <w:rsid w:val="5C076B5D"/>
    <w:rsid w:val="5C0F5219"/>
    <w:rsid w:val="5C103962"/>
    <w:rsid w:val="5C1D0BF1"/>
    <w:rsid w:val="5C305E86"/>
    <w:rsid w:val="5C36575D"/>
    <w:rsid w:val="5C384E7D"/>
    <w:rsid w:val="5C3B671B"/>
    <w:rsid w:val="5C3C0BC1"/>
    <w:rsid w:val="5C4001D5"/>
    <w:rsid w:val="5C430981"/>
    <w:rsid w:val="5C4A4BB0"/>
    <w:rsid w:val="5C4E11DA"/>
    <w:rsid w:val="5C5D4F55"/>
    <w:rsid w:val="5C6C2D78"/>
    <w:rsid w:val="5C7963A7"/>
    <w:rsid w:val="5C8021B4"/>
    <w:rsid w:val="5C855BE8"/>
    <w:rsid w:val="5C95407D"/>
    <w:rsid w:val="5C9C18B0"/>
    <w:rsid w:val="5CA442C0"/>
    <w:rsid w:val="5CAF0221"/>
    <w:rsid w:val="5CBC3D00"/>
    <w:rsid w:val="5CBF10FA"/>
    <w:rsid w:val="5CC42BB4"/>
    <w:rsid w:val="5CC6692D"/>
    <w:rsid w:val="5CCB1593"/>
    <w:rsid w:val="5CD269CC"/>
    <w:rsid w:val="5CD4182C"/>
    <w:rsid w:val="5CD821BC"/>
    <w:rsid w:val="5CDA2337"/>
    <w:rsid w:val="5CEE0734"/>
    <w:rsid w:val="5CF07506"/>
    <w:rsid w:val="5CF07625"/>
    <w:rsid w:val="5D107BA8"/>
    <w:rsid w:val="5D132369"/>
    <w:rsid w:val="5D150D34"/>
    <w:rsid w:val="5D166332"/>
    <w:rsid w:val="5D2B2C34"/>
    <w:rsid w:val="5D2E6280"/>
    <w:rsid w:val="5D2F3896"/>
    <w:rsid w:val="5D311A33"/>
    <w:rsid w:val="5D312413"/>
    <w:rsid w:val="5D415FB3"/>
    <w:rsid w:val="5D45607C"/>
    <w:rsid w:val="5D500B3D"/>
    <w:rsid w:val="5D5D27ED"/>
    <w:rsid w:val="5D6B2F98"/>
    <w:rsid w:val="5D6C3EEE"/>
    <w:rsid w:val="5D705DAE"/>
    <w:rsid w:val="5D797461"/>
    <w:rsid w:val="5D7D3024"/>
    <w:rsid w:val="5D812854"/>
    <w:rsid w:val="5D83037A"/>
    <w:rsid w:val="5D8C1B4A"/>
    <w:rsid w:val="5D942587"/>
    <w:rsid w:val="5D9B6618"/>
    <w:rsid w:val="5D9E42C9"/>
    <w:rsid w:val="5DA327CA"/>
    <w:rsid w:val="5DA87DE0"/>
    <w:rsid w:val="5DAA3605"/>
    <w:rsid w:val="5DBE5C87"/>
    <w:rsid w:val="5DC363B0"/>
    <w:rsid w:val="5DCB5BB5"/>
    <w:rsid w:val="5DD45079"/>
    <w:rsid w:val="5DD61A60"/>
    <w:rsid w:val="5DDD76D3"/>
    <w:rsid w:val="5DE810A8"/>
    <w:rsid w:val="5DEB08E3"/>
    <w:rsid w:val="5DEF1EB3"/>
    <w:rsid w:val="5DF81D26"/>
    <w:rsid w:val="5DFA633F"/>
    <w:rsid w:val="5DFB3BF1"/>
    <w:rsid w:val="5DFC5B79"/>
    <w:rsid w:val="5DFD2BBB"/>
    <w:rsid w:val="5E070FAB"/>
    <w:rsid w:val="5E082F75"/>
    <w:rsid w:val="5E0C4813"/>
    <w:rsid w:val="5E127950"/>
    <w:rsid w:val="5E1E00A2"/>
    <w:rsid w:val="5E2467F1"/>
    <w:rsid w:val="5E2D6537"/>
    <w:rsid w:val="5E3524C7"/>
    <w:rsid w:val="5E4805BA"/>
    <w:rsid w:val="5E493AAC"/>
    <w:rsid w:val="5E4C3BD1"/>
    <w:rsid w:val="5E4C7EA6"/>
    <w:rsid w:val="5E4D0988"/>
    <w:rsid w:val="5E4D4BAA"/>
    <w:rsid w:val="5E4F2952"/>
    <w:rsid w:val="5E532442"/>
    <w:rsid w:val="5E5B2DF6"/>
    <w:rsid w:val="5E5B4E53"/>
    <w:rsid w:val="5E6D4B86"/>
    <w:rsid w:val="5E7423B8"/>
    <w:rsid w:val="5E7D74BF"/>
    <w:rsid w:val="5E7F7A73"/>
    <w:rsid w:val="5E802B0B"/>
    <w:rsid w:val="5E84601D"/>
    <w:rsid w:val="5E850121"/>
    <w:rsid w:val="5E8621BD"/>
    <w:rsid w:val="5E875C48"/>
    <w:rsid w:val="5E8819C0"/>
    <w:rsid w:val="5E8B3423"/>
    <w:rsid w:val="5E914D18"/>
    <w:rsid w:val="5E963A55"/>
    <w:rsid w:val="5E977D01"/>
    <w:rsid w:val="5E9C79C2"/>
    <w:rsid w:val="5E9E4667"/>
    <w:rsid w:val="5E9F1316"/>
    <w:rsid w:val="5EBB7C49"/>
    <w:rsid w:val="5EC549C2"/>
    <w:rsid w:val="5ECA46DE"/>
    <w:rsid w:val="5ED03E91"/>
    <w:rsid w:val="5EDF5A84"/>
    <w:rsid w:val="5EE25574"/>
    <w:rsid w:val="5EE55113"/>
    <w:rsid w:val="5EE93CD1"/>
    <w:rsid w:val="5EE93E95"/>
    <w:rsid w:val="5EF14F1B"/>
    <w:rsid w:val="5EF41A5E"/>
    <w:rsid w:val="5EF534F9"/>
    <w:rsid w:val="5F043CCF"/>
    <w:rsid w:val="5F125E59"/>
    <w:rsid w:val="5F1A2B43"/>
    <w:rsid w:val="5F1F40D2"/>
    <w:rsid w:val="5F3149E0"/>
    <w:rsid w:val="5F3B570F"/>
    <w:rsid w:val="5F3D27AA"/>
    <w:rsid w:val="5F424C1C"/>
    <w:rsid w:val="5F4C7DD5"/>
    <w:rsid w:val="5F52005D"/>
    <w:rsid w:val="5F722D4A"/>
    <w:rsid w:val="5F7233AA"/>
    <w:rsid w:val="5F750771"/>
    <w:rsid w:val="5F830D56"/>
    <w:rsid w:val="5F8A291A"/>
    <w:rsid w:val="5F8E3006"/>
    <w:rsid w:val="5FA357B7"/>
    <w:rsid w:val="5FA35B29"/>
    <w:rsid w:val="5FA97E40"/>
    <w:rsid w:val="5FAA1261"/>
    <w:rsid w:val="5FAD7930"/>
    <w:rsid w:val="5FB102FF"/>
    <w:rsid w:val="5FB837BB"/>
    <w:rsid w:val="5FC66CEE"/>
    <w:rsid w:val="5FC811A9"/>
    <w:rsid w:val="5FD900A8"/>
    <w:rsid w:val="5FDC7C4C"/>
    <w:rsid w:val="5FE61094"/>
    <w:rsid w:val="5FE904E2"/>
    <w:rsid w:val="5FF92B75"/>
    <w:rsid w:val="5FFF064D"/>
    <w:rsid w:val="600A05E8"/>
    <w:rsid w:val="60101C97"/>
    <w:rsid w:val="602132F6"/>
    <w:rsid w:val="603C0CB4"/>
    <w:rsid w:val="604E7E8F"/>
    <w:rsid w:val="605204D7"/>
    <w:rsid w:val="60567FC7"/>
    <w:rsid w:val="6065645C"/>
    <w:rsid w:val="60695F4D"/>
    <w:rsid w:val="60746C59"/>
    <w:rsid w:val="608303E1"/>
    <w:rsid w:val="60870181"/>
    <w:rsid w:val="608C39E9"/>
    <w:rsid w:val="60900AA3"/>
    <w:rsid w:val="60964868"/>
    <w:rsid w:val="60B1591A"/>
    <w:rsid w:val="60C018E5"/>
    <w:rsid w:val="60C17B5A"/>
    <w:rsid w:val="60C71B99"/>
    <w:rsid w:val="60CC405A"/>
    <w:rsid w:val="60D32B92"/>
    <w:rsid w:val="60D777F7"/>
    <w:rsid w:val="60E26F3B"/>
    <w:rsid w:val="60E578BE"/>
    <w:rsid w:val="60EA51B0"/>
    <w:rsid w:val="60FB46CB"/>
    <w:rsid w:val="61051FB1"/>
    <w:rsid w:val="61137C66"/>
    <w:rsid w:val="6115578D"/>
    <w:rsid w:val="61161C06"/>
    <w:rsid w:val="613227E2"/>
    <w:rsid w:val="61561BDD"/>
    <w:rsid w:val="61584F7E"/>
    <w:rsid w:val="615B45BF"/>
    <w:rsid w:val="61616C24"/>
    <w:rsid w:val="617C77C9"/>
    <w:rsid w:val="618A51FD"/>
    <w:rsid w:val="618C0D95"/>
    <w:rsid w:val="61964946"/>
    <w:rsid w:val="619B5A9F"/>
    <w:rsid w:val="61A44D62"/>
    <w:rsid w:val="61A46918"/>
    <w:rsid w:val="61A5731A"/>
    <w:rsid w:val="61B06987"/>
    <w:rsid w:val="61B256D1"/>
    <w:rsid w:val="61C86CA3"/>
    <w:rsid w:val="61CA1D35"/>
    <w:rsid w:val="61D357CA"/>
    <w:rsid w:val="61D81859"/>
    <w:rsid w:val="61DF3FED"/>
    <w:rsid w:val="61E215D8"/>
    <w:rsid w:val="61F47D8C"/>
    <w:rsid w:val="61FB107D"/>
    <w:rsid w:val="61FB73F4"/>
    <w:rsid w:val="61FE4473"/>
    <w:rsid w:val="62013F63"/>
    <w:rsid w:val="6208056C"/>
    <w:rsid w:val="62144C71"/>
    <w:rsid w:val="621B3775"/>
    <w:rsid w:val="621B73F8"/>
    <w:rsid w:val="622540F5"/>
    <w:rsid w:val="62364782"/>
    <w:rsid w:val="623751DB"/>
    <w:rsid w:val="623F140B"/>
    <w:rsid w:val="62401E99"/>
    <w:rsid w:val="62546789"/>
    <w:rsid w:val="62571E45"/>
    <w:rsid w:val="62574552"/>
    <w:rsid w:val="625773A5"/>
    <w:rsid w:val="62634B99"/>
    <w:rsid w:val="626B5532"/>
    <w:rsid w:val="626C04B5"/>
    <w:rsid w:val="626C3AD2"/>
    <w:rsid w:val="62750E4E"/>
    <w:rsid w:val="627F2DD2"/>
    <w:rsid w:val="6280036F"/>
    <w:rsid w:val="62821AAC"/>
    <w:rsid w:val="628250A4"/>
    <w:rsid w:val="628539FF"/>
    <w:rsid w:val="628579BD"/>
    <w:rsid w:val="62882294"/>
    <w:rsid w:val="629D1EDE"/>
    <w:rsid w:val="629E7A04"/>
    <w:rsid w:val="62A019CE"/>
    <w:rsid w:val="62A104EB"/>
    <w:rsid w:val="62AB1C2B"/>
    <w:rsid w:val="62B15989"/>
    <w:rsid w:val="62B64D4D"/>
    <w:rsid w:val="62BB1ECD"/>
    <w:rsid w:val="62BD7466"/>
    <w:rsid w:val="62C850AC"/>
    <w:rsid w:val="62CE02E9"/>
    <w:rsid w:val="62D00ABF"/>
    <w:rsid w:val="62D11B87"/>
    <w:rsid w:val="62D63C00"/>
    <w:rsid w:val="62D653F0"/>
    <w:rsid w:val="62E30E34"/>
    <w:rsid w:val="62E567C3"/>
    <w:rsid w:val="630442B5"/>
    <w:rsid w:val="63071A4D"/>
    <w:rsid w:val="63204905"/>
    <w:rsid w:val="63220635"/>
    <w:rsid w:val="632B57F7"/>
    <w:rsid w:val="63313DA6"/>
    <w:rsid w:val="633A3BD0"/>
    <w:rsid w:val="634E142A"/>
    <w:rsid w:val="63660521"/>
    <w:rsid w:val="63754C08"/>
    <w:rsid w:val="63862972"/>
    <w:rsid w:val="63871BF1"/>
    <w:rsid w:val="6394356A"/>
    <w:rsid w:val="639C2195"/>
    <w:rsid w:val="639C27A7"/>
    <w:rsid w:val="639F3D1D"/>
    <w:rsid w:val="63A94DAB"/>
    <w:rsid w:val="63B84AF5"/>
    <w:rsid w:val="63BD0E2B"/>
    <w:rsid w:val="63BD210C"/>
    <w:rsid w:val="63BF4DB2"/>
    <w:rsid w:val="63C61B2C"/>
    <w:rsid w:val="63C65464"/>
    <w:rsid w:val="63CB2A7A"/>
    <w:rsid w:val="63CD67F3"/>
    <w:rsid w:val="63D40BE9"/>
    <w:rsid w:val="63DB3BF8"/>
    <w:rsid w:val="63ED197A"/>
    <w:rsid w:val="63F06A0A"/>
    <w:rsid w:val="63F633B2"/>
    <w:rsid w:val="63FB6B7E"/>
    <w:rsid w:val="63FF44D2"/>
    <w:rsid w:val="64102431"/>
    <w:rsid w:val="641E3BD0"/>
    <w:rsid w:val="643A0656"/>
    <w:rsid w:val="643B7C00"/>
    <w:rsid w:val="64436AB5"/>
    <w:rsid w:val="644851A7"/>
    <w:rsid w:val="6460175B"/>
    <w:rsid w:val="6478131C"/>
    <w:rsid w:val="647B3F47"/>
    <w:rsid w:val="6480021A"/>
    <w:rsid w:val="64801AB7"/>
    <w:rsid w:val="64925346"/>
    <w:rsid w:val="64932046"/>
    <w:rsid w:val="64A22124"/>
    <w:rsid w:val="64A5243A"/>
    <w:rsid w:val="64B157F1"/>
    <w:rsid w:val="64CA0F84"/>
    <w:rsid w:val="64CE0EDE"/>
    <w:rsid w:val="64D02E72"/>
    <w:rsid w:val="64D140C0"/>
    <w:rsid w:val="64DF0A52"/>
    <w:rsid w:val="64E35BA2"/>
    <w:rsid w:val="64F531DE"/>
    <w:rsid w:val="64F91EF5"/>
    <w:rsid w:val="64FC38B6"/>
    <w:rsid w:val="650E3AEB"/>
    <w:rsid w:val="650F7504"/>
    <w:rsid w:val="65167380"/>
    <w:rsid w:val="6520328E"/>
    <w:rsid w:val="652E102B"/>
    <w:rsid w:val="652E61A0"/>
    <w:rsid w:val="6532671F"/>
    <w:rsid w:val="65373578"/>
    <w:rsid w:val="653D6B44"/>
    <w:rsid w:val="654725D5"/>
    <w:rsid w:val="654E3963"/>
    <w:rsid w:val="65643BD6"/>
    <w:rsid w:val="65823DA8"/>
    <w:rsid w:val="65970863"/>
    <w:rsid w:val="65A155DF"/>
    <w:rsid w:val="65AE6FB6"/>
    <w:rsid w:val="65B54B08"/>
    <w:rsid w:val="65BD4645"/>
    <w:rsid w:val="65C5722D"/>
    <w:rsid w:val="65C854C3"/>
    <w:rsid w:val="65D51D0A"/>
    <w:rsid w:val="65E11D12"/>
    <w:rsid w:val="65EF0C7D"/>
    <w:rsid w:val="65F00688"/>
    <w:rsid w:val="65F30067"/>
    <w:rsid w:val="65FB6378"/>
    <w:rsid w:val="66095F1D"/>
    <w:rsid w:val="660A07AE"/>
    <w:rsid w:val="660F3E17"/>
    <w:rsid w:val="66157FDD"/>
    <w:rsid w:val="66240220"/>
    <w:rsid w:val="66257DAE"/>
    <w:rsid w:val="662D5BEA"/>
    <w:rsid w:val="66303069"/>
    <w:rsid w:val="6635242D"/>
    <w:rsid w:val="66435858"/>
    <w:rsid w:val="664D7DD7"/>
    <w:rsid w:val="66642BCD"/>
    <w:rsid w:val="66652B09"/>
    <w:rsid w:val="66652D12"/>
    <w:rsid w:val="666902A6"/>
    <w:rsid w:val="666D5005"/>
    <w:rsid w:val="666D606B"/>
    <w:rsid w:val="666E6460"/>
    <w:rsid w:val="666F1713"/>
    <w:rsid w:val="666F5EAD"/>
    <w:rsid w:val="667806A7"/>
    <w:rsid w:val="668F0D15"/>
    <w:rsid w:val="6697164A"/>
    <w:rsid w:val="66A51361"/>
    <w:rsid w:val="66BB105A"/>
    <w:rsid w:val="66C3167B"/>
    <w:rsid w:val="66C814F3"/>
    <w:rsid w:val="66CC2D91"/>
    <w:rsid w:val="66D16140"/>
    <w:rsid w:val="66E207CF"/>
    <w:rsid w:val="66F77C12"/>
    <w:rsid w:val="66F8140C"/>
    <w:rsid w:val="670359DD"/>
    <w:rsid w:val="670C5884"/>
    <w:rsid w:val="670E1B99"/>
    <w:rsid w:val="671F124A"/>
    <w:rsid w:val="67206E29"/>
    <w:rsid w:val="67302D72"/>
    <w:rsid w:val="6739196F"/>
    <w:rsid w:val="67396F58"/>
    <w:rsid w:val="673E0541"/>
    <w:rsid w:val="67641F71"/>
    <w:rsid w:val="67662C42"/>
    <w:rsid w:val="67662E07"/>
    <w:rsid w:val="677A33C6"/>
    <w:rsid w:val="677C34FF"/>
    <w:rsid w:val="678418BE"/>
    <w:rsid w:val="6788081E"/>
    <w:rsid w:val="67A257B4"/>
    <w:rsid w:val="67A535E2"/>
    <w:rsid w:val="67A77ED6"/>
    <w:rsid w:val="67AC4971"/>
    <w:rsid w:val="67CA446A"/>
    <w:rsid w:val="67D337BB"/>
    <w:rsid w:val="67DD32B6"/>
    <w:rsid w:val="67F105D6"/>
    <w:rsid w:val="67F557E7"/>
    <w:rsid w:val="67F62C57"/>
    <w:rsid w:val="67FF7197"/>
    <w:rsid w:val="681F6961"/>
    <w:rsid w:val="68260326"/>
    <w:rsid w:val="682C19CB"/>
    <w:rsid w:val="682D7615"/>
    <w:rsid w:val="683452CA"/>
    <w:rsid w:val="683D7F7A"/>
    <w:rsid w:val="683F3A37"/>
    <w:rsid w:val="68450538"/>
    <w:rsid w:val="684925F4"/>
    <w:rsid w:val="684E77D6"/>
    <w:rsid w:val="685221B2"/>
    <w:rsid w:val="685E210F"/>
    <w:rsid w:val="685E6044"/>
    <w:rsid w:val="68610A2F"/>
    <w:rsid w:val="68647BCC"/>
    <w:rsid w:val="6870617E"/>
    <w:rsid w:val="68734AE4"/>
    <w:rsid w:val="68774F7F"/>
    <w:rsid w:val="68805514"/>
    <w:rsid w:val="68905759"/>
    <w:rsid w:val="689355A0"/>
    <w:rsid w:val="68A65864"/>
    <w:rsid w:val="68AB4C28"/>
    <w:rsid w:val="68B160FD"/>
    <w:rsid w:val="68C15CC8"/>
    <w:rsid w:val="68C335B2"/>
    <w:rsid w:val="68C42E6C"/>
    <w:rsid w:val="68C830CE"/>
    <w:rsid w:val="68D701A3"/>
    <w:rsid w:val="68E41A1C"/>
    <w:rsid w:val="68E55B66"/>
    <w:rsid w:val="68E72104"/>
    <w:rsid w:val="68F4225D"/>
    <w:rsid w:val="69056871"/>
    <w:rsid w:val="690725F4"/>
    <w:rsid w:val="690A194F"/>
    <w:rsid w:val="690C1F68"/>
    <w:rsid w:val="690D143F"/>
    <w:rsid w:val="690F0AD7"/>
    <w:rsid w:val="69281DB2"/>
    <w:rsid w:val="692B6D20"/>
    <w:rsid w:val="69316E2F"/>
    <w:rsid w:val="69392657"/>
    <w:rsid w:val="693A31F6"/>
    <w:rsid w:val="693B212A"/>
    <w:rsid w:val="693E4A08"/>
    <w:rsid w:val="693E784B"/>
    <w:rsid w:val="694C3FC0"/>
    <w:rsid w:val="694E2071"/>
    <w:rsid w:val="694F2375"/>
    <w:rsid w:val="69513A22"/>
    <w:rsid w:val="69620B1A"/>
    <w:rsid w:val="69766163"/>
    <w:rsid w:val="697744B9"/>
    <w:rsid w:val="697A2F79"/>
    <w:rsid w:val="697A3B33"/>
    <w:rsid w:val="69951B60"/>
    <w:rsid w:val="69990F25"/>
    <w:rsid w:val="69A74846"/>
    <w:rsid w:val="69B4736C"/>
    <w:rsid w:val="69C6719F"/>
    <w:rsid w:val="69D44760"/>
    <w:rsid w:val="69D467B8"/>
    <w:rsid w:val="69DD3507"/>
    <w:rsid w:val="69E06B54"/>
    <w:rsid w:val="69E20B1E"/>
    <w:rsid w:val="69EC3D9F"/>
    <w:rsid w:val="69EC54F9"/>
    <w:rsid w:val="69F10D61"/>
    <w:rsid w:val="69F543AD"/>
    <w:rsid w:val="6A032BED"/>
    <w:rsid w:val="6A040A94"/>
    <w:rsid w:val="6A0445F0"/>
    <w:rsid w:val="6A0740E0"/>
    <w:rsid w:val="6A0A11F5"/>
    <w:rsid w:val="6A1231B1"/>
    <w:rsid w:val="6A2152D6"/>
    <w:rsid w:val="6A2C3B47"/>
    <w:rsid w:val="6A2F3983"/>
    <w:rsid w:val="6A4D35AA"/>
    <w:rsid w:val="6A4E1D0F"/>
    <w:rsid w:val="6A520EC7"/>
    <w:rsid w:val="6A553EDB"/>
    <w:rsid w:val="6A604A02"/>
    <w:rsid w:val="6A6C42EE"/>
    <w:rsid w:val="6A7379C8"/>
    <w:rsid w:val="6A7401CE"/>
    <w:rsid w:val="6A7A19D1"/>
    <w:rsid w:val="6A7B521A"/>
    <w:rsid w:val="6A7C1BB2"/>
    <w:rsid w:val="6A7E1F77"/>
    <w:rsid w:val="6AA179D2"/>
    <w:rsid w:val="6AA62461"/>
    <w:rsid w:val="6ABA0B95"/>
    <w:rsid w:val="6AC102A6"/>
    <w:rsid w:val="6AC5539F"/>
    <w:rsid w:val="6AC81AC2"/>
    <w:rsid w:val="6ACF2E50"/>
    <w:rsid w:val="6ACF67BC"/>
    <w:rsid w:val="6AF87E20"/>
    <w:rsid w:val="6B0056ED"/>
    <w:rsid w:val="6B054AC4"/>
    <w:rsid w:val="6B170353"/>
    <w:rsid w:val="6B173849"/>
    <w:rsid w:val="6B1E5B86"/>
    <w:rsid w:val="6B286A04"/>
    <w:rsid w:val="6B2B0E7A"/>
    <w:rsid w:val="6B317667"/>
    <w:rsid w:val="6B322639"/>
    <w:rsid w:val="6B3453A9"/>
    <w:rsid w:val="6B39200D"/>
    <w:rsid w:val="6B4F3718"/>
    <w:rsid w:val="6B5B4551"/>
    <w:rsid w:val="6B5D5C8E"/>
    <w:rsid w:val="6B601138"/>
    <w:rsid w:val="6B6F018F"/>
    <w:rsid w:val="6B712159"/>
    <w:rsid w:val="6B781BDB"/>
    <w:rsid w:val="6B880C3C"/>
    <w:rsid w:val="6B945E48"/>
    <w:rsid w:val="6BA41FF0"/>
    <w:rsid w:val="6BA614D1"/>
    <w:rsid w:val="6BB169FA"/>
    <w:rsid w:val="6BB767F7"/>
    <w:rsid w:val="6BCA186A"/>
    <w:rsid w:val="6BCD02EE"/>
    <w:rsid w:val="6BD66471"/>
    <w:rsid w:val="6BD80588"/>
    <w:rsid w:val="6BE04BE9"/>
    <w:rsid w:val="6BE56D52"/>
    <w:rsid w:val="6BE75F78"/>
    <w:rsid w:val="6C0905E4"/>
    <w:rsid w:val="6C0A6286"/>
    <w:rsid w:val="6C224DB0"/>
    <w:rsid w:val="6C353187"/>
    <w:rsid w:val="6C4D6722"/>
    <w:rsid w:val="6C557385"/>
    <w:rsid w:val="6C5A30D4"/>
    <w:rsid w:val="6C5D26DE"/>
    <w:rsid w:val="6C615D2A"/>
    <w:rsid w:val="6C636C38"/>
    <w:rsid w:val="6C6A5B41"/>
    <w:rsid w:val="6C704DD2"/>
    <w:rsid w:val="6C7812C6"/>
    <w:rsid w:val="6C7A0B03"/>
    <w:rsid w:val="6C9854C4"/>
    <w:rsid w:val="6CA158B8"/>
    <w:rsid w:val="6CAC1076"/>
    <w:rsid w:val="6CAC69E5"/>
    <w:rsid w:val="6CAD0F6F"/>
    <w:rsid w:val="6CCD412C"/>
    <w:rsid w:val="6CCE5D16"/>
    <w:rsid w:val="6CD01102"/>
    <w:rsid w:val="6CD11F1B"/>
    <w:rsid w:val="6CDC7B2E"/>
    <w:rsid w:val="6CDF6DD2"/>
    <w:rsid w:val="6CEB5F3B"/>
    <w:rsid w:val="6CF22E26"/>
    <w:rsid w:val="6D003795"/>
    <w:rsid w:val="6D06067F"/>
    <w:rsid w:val="6D142D9C"/>
    <w:rsid w:val="6D1A138D"/>
    <w:rsid w:val="6D1E255B"/>
    <w:rsid w:val="6D1F1741"/>
    <w:rsid w:val="6D1F7993"/>
    <w:rsid w:val="6D2516B5"/>
    <w:rsid w:val="6D282CEC"/>
    <w:rsid w:val="6D2A399A"/>
    <w:rsid w:val="6D2B1638"/>
    <w:rsid w:val="6D316241"/>
    <w:rsid w:val="6D486939"/>
    <w:rsid w:val="6D4A0910"/>
    <w:rsid w:val="6D4F7BD2"/>
    <w:rsid w:val="6D561607"/>
    <w:rsid w:val="6D5D1D04"/>
    <w:rsid w:val="6D81609C"/>
    <w:rsid w:val="6D862DAD"/>
    <w:rsid w:val="6D8D463F"/>
    <w:rsid w:val="6D8D6F9D"/>
    <w:rsid w:val="6D967C55"/>
    <w:rsid w:val="6DA71E62"/>
    <w:rsid w:val="6DAB4570"/>
    <w:rsid w:val="6DAD1058"/>
    <w:rsid w:val="6DB10537"/>
    <w:rsid w:val="6DB1683D"/>
    <w:rsid w:val="6DB34098"/>
    <w:rsid w:val="6DB545B6"/>
    <w:rsid w:val="6DBE59DF"/>
    <w:rsid w:val="6DC03BEF"/>
    <w:rsid w:val="6DCB53CE"/>
    <w:rsid w:val="6DCD73EF"/>
    <w:rsid w:val="6DCF5E26"/>
    <w:rsid w:val="6DD00213"/>
    <w:rsid w:val="6DD92640"/>
    <w:rsid w:val="6DDD0F3E"/>
    <w:rsid w:val="6DDF784E"/>
    <w:rsid w:val="6DE02FB4"/>
    <w:rsid w:val="6DE210EC"/>
    <w:rsid w:val="6DE92944"/>
    <w:rsid w:val="6DEC1EB8"/>
    <w:rsid w:val="6DF36F7F"/>
    <w:rsid w:val="6DFC3BBF"/>
    <w:rsid w:val="6E146DCC"/>
    <w:rsid w:val="6E1A6AD8"/>
    <w:rsid w:val="6E1F6131"/>
    <w:rsid w:val="6E4E0530"/>
    <w:rsid w:val="6E514CED"/>
    <w:rsid w:val="6E580AE7"/>
    <w:rsid w:val="6E5834B8"/>
    <w:rsid w:val="6E5D0773"/>
    <w:rsid w:val="6E5E7744"/>
    <w:rsid w:val="6E722051"/>
    <w:rsid w:val="6E7F3506"/>
    <w:rsid w:val="6E905941"/>
    <w:rsid w:val="6E936225"/>
    <w:rsid w:val="6EA01C66"/>
    <w:rsid w:val="6EA815CE"/>
    <w:rsid w:val="6EA91C0A"/>
    <w:rsid w:val="6EA939B8"/>
    <w:rsid w:val="6EB160B4"/>
    <w:rsid w:val="6EB26D11"/>
    <w:rsid w:val="6EB563D5"/>
    <w:rsid w:val="6EC802E2"/>
    <w:rsid w:val="6ED92677"/>
    <w:rsid w:val="6EDE0DC2"/>
    <w:rsid w:val="6F0263F0"/>
    <w:rsid w:val="6F08284F"/>
    <w:rsid w:val="6F084B83"/>
    <w:rsid w:val="6F0D562E"/>
    <w:rsid w:val="6F18267F"/>
    <w:rsid w:val="6F1A5974"/>
    <w:rsid w:val="6F1F6E31"/>
    <w:rsid w:val="6F225983"/>
    <w:rsid w:val="6F235519"/>
    <w:rsid w:val="6F3040D9"/>
    <w:rsid w:val="6F343BCA"/>
    <w:rsid w:val="6F3757AB"/>
    <w:rsid w:val="6F433E0D"/>
    <w:rsid w:val="6F512409"/>
    <w:rsid w:val="6F571E61"/>
    <w:rsid w:val="6F58708C"/>
    <w:rsid w:val="6F5C321F"/>
    <w:rsid w:val="6F6A75EB"/>
    <w:rsid w:val="6F775114"/>
    <w:rsid w:val="6F7815A4"/>
    <w:rsid w:val="6F7C731F"/>
    <w:rsid w:val="6F7F4719"/>
    <w:rsid w:val="6F843609"/>
    <w:rsid w:val="6F8875E1"/>
    <w:rsid w:val="6FA05FCA"/>
    <w:rsid w:val="6FA504F6"/>
    <w:rsid w:val="6FA53D5D"/>
    <w:rsid w:val="6FAA79E8"/>
    <w:rsid w:val="6FBC2C87"/>
    <w:rsid w:val="6FBD3BBF"/>
    <w:rsid w:val="6FBE32F8"/>
    <w:rsid w:val="6FC03976"/>
    <w:rsid w:val="6FC209B1"/>
    <w:rsid w:val="6FC52A74"/>
    <w:rsid w:val="6FC7059A"/>
    <w:rsid w:val="6FD46AA0"/>
    <w:rsid w:val="6FE54EC4"/>
    <w:rsid w:val="6FE83E76"/>
    <w:rsid w:val="6FEC4053"/>
    <w:rsid w:val="6FFC5590"/>
    <w:rsid w:val="70002AE5"/>
    <w:rsid w:val="700B4301"/>
    <w:rsid w:val="702A5D52"/>
    <w:rsid w:val="703D085C"/>
    <w:rsid w:val="70447E3C"/>
    <w:rsid w:val="70457711"/>
    <w:rsid w:val="704D50B7"/>
    <w:rsid w:val="704F233D"/>
    <w:rsid w:val="70510C16"/>
    <w:rsid w:val="70512559"/>
    <w:rsid w:val="7052312E"/>
    <w:rsid w:val="7053007F"/>
    <w:rsid w:val="7056191E"/>
    <w:rsid w:val="705F07D2"/>
    <w:rsid w:val="705F6D76"/>
    <w:rsid w:val="70616099"/>
    <w:rsid w:val="706824E5"/>
    <w:rsid w:val="70692AC3"/>
    <w:rsid w:val="706C7393"/>
    <w:rsid w:val="706D1DD0"/>
    <w:rsid w:val="70787AE6"/>
    <w:rsid w:val="70856B87"/>
    <w:rsid w:val="708F3A70"/>
    <w:rsid w:val="70AC1425"/>
    <w:rsid w:val="70B64614"/>
    <w:rsid w:val="70B76860"/>
    <w:rsid w:val="70C932BA"/>
    <w:rsid w:val="70D527EE"/>
    <w:rsid w:val="70D66204"/>
    <w:rsid w:val="70E4790A"/>
    <w:rsid w:val="70E5241B"/>
    <w:rsid w:val="70F133F4"/>
    <w:rsid w:val="710533F8"/>
    <w:rsid w:val="71060245"/>
    <w:rsid w:val="71111579"/>
    <w:rsid w:val="71215615"/>
    <w:rsid w:val="71234CA7"/>
    <w:rsid w:val="712B2CEC"/>
    <w:rsid w:val="71335356"/>
    <w:rsid w:val="71500A63"/>
    <w:rsid w:val="7156589A"/>
    <w:rsid w:val="71597917"/>
    <w:rsid w:val="715B5300"/>
    <w:rsid w:val="715E722F"/>
    <w:rsid w:val="716144FC"/>
    <w:rsid w:val="716A38D3"/>
    <w:rsid w:val="716A52DB"/>
    <w:rsid w:val="716A585F"/>
    <w:rsid w:val="717835AD"/>
    <w:rsid w:val="717B6263"/>
    <w:rsid w:val="717C53B4"/>
    <w:rsid w:val="717C6E02"/>
    <w:rsid w:val="71825E1F"/>
    <w:rsid w:val="71864485"/>
    <w:rsid w:val="719B29DE"/>
    <w:rsid w:val="71A243E3"/>
    <w:rsid w:val="71BD6397"/>
    <w:rsid w:val="71C13C86"/>
    <w:rsid w:val="71D06B01"/>
    <w:rsid w:val="71D27F8A"/>
    <w:rsid w:val="71D36A8E"/>
    <w:rsid w:val="71DD357F"/>
    <w:rsid w:val="71E75E1F"/>
    <w:rsid w:val="71EF13A5"/>
    <w:rsid w:val="71F047CF"/>
    <w:rsid w:val="71F92EA9"/>
    <w:rsid w:val="71FB09CF"/>
    <w:rsid w:val="72071122"/>
    <w:rsid w:val="72077373"/>
    <w:rsid w:val="72086C48"/>
    <w:rsid w:val="720C4E16"/>
    <w:rsid w:val="72200435"/>
    <w:rsid w:val="722A3530"/>
    <w:rsid w:val="722C7F38"/>
    <w:rsid w:val="723932A5"/>
    <w:rsid w:val="72416A78"/>
    <w:rsid w:val="7242215A"/>
    <w:rsid w:val="724F1864"/>
    <w:rsid w:val="72553024"/>
    <w:rsid w:val="72584B51"/>
    <w:rsid w:val="725A1210"/>
    <w:rsid w:val="725F0F5E"/>
    <w:rsid w:val="726220D2"/>
    <w:rsid w:val="726245AA"/>
    <w:rsid w:val="726B1A7B"/>
    <w:rsid w:val="727C634F"/>
    <w:rsid w:val="728704B4"/>
    <w:rsid w:val="728C71E0"/>
    <w:rsid w:val="728E1843"/>
    <w:rsid w:val="729D55E2"/>
    <w:rsid w:val="72A062A7"/>
    <w:rsid w:val="72A11576"/>
    <w:rsid w:val="72A13B81"/>
    <w:rsid w:val="72A3248D"/>
    <w:rsid w:val="72A5093A"/>
    <w:rsid w:val="72AF78FD"/>
    <w:rsid w:val="72C54B39"/>
    <w:rsid w:val="72D6369E"/>
    <w:rsid w:val="72D84E94"/>
    <w:rsid w:val="72E41CA5"/>
    <w:rsid w:val="72E91529"/>
    <w:rsid w:val="72E935EC"/>
    <w:rsid w:val="72F13B80"/>
    <w:rsid w:val="72F21DD2"/>
    <w:rsid w:val="72FE742F"/>
    <w:rsid w:val="73002E44"/>
    <w:rsid w:val="73122968"/>
    <w:rsid w:val="73124222"/>
    <w:rsid w:val="7318735E"/>
    <w:rsid w:val="731C48E6"/>
    <w:rsid w:val="731F249B"/>
    <w:rsid w:val="731F5D5E"/>
    <w:rsid w:val="73234369"/>
    <w:rsid w:val="732B0777"/>
    <w:rsid w:val="7332541F"/>
    <w:rsid w:val="73375A36"/>
    <w:rsid w:val="733C0072"/>
    <w:rsid w:val="733E0A28"/>
    <w:rsid w:val="73440153"/>
    <w:rsid w:val="73447B9E"/>
    <w:rsid w:val="73467A28"/>
    <w:rsid w:val="734E3FF8"/>
    <w:rsid w:val="734F6DDC"/>
    <w:rsid w:val="73520AC2"/>
    <w:rsid w:val="735A7977"/>
    <w:rsid w:val="73613DC2"/>
    <w:rsid w:val="73634A7D"/>
    <w:rsid w:val="736762F1"/>
    <w:rsid w:val="736B56E0"/>
    <w:rsid w:val="736F3422"/>
    <w:rsid w:val="7375655F"/>
    <w:rsid w:val="73817793"/>
    <w:rsid w:val="73853936"/>
    <w:rsid w:val="738621B6"/>
    <w:rsid w:val="73974883"/>
    <w:rsid w:val="73A2714D"/>
    <w:rsid w:val="73AA445A"/>
    <w:rsid w:val="73AC0CC9"/>
    <w:rsid w:val="73AD05F4"/>
    <w:rsid w:val="73C35D2F"/>
    <w:rsid w:val="73C4605B"/>
    <w:rsid w:val="73C51AD5"/>
    <w:rsid w:val="73D96AEE"/>
    <w:rsid w:val="73DA4614"/>
    <w:rsid w:val="73E105F6"/>
    <w:rsid w:val="73E5795C"/>
    <w:rsid w:val="73EA4857"/>
    <w:rsid w:val="73FE6554"/>
    <w:rsid w:val="74046656"/>
    <w:rsid w:val="740D76B9"/>
    <w:rsid w:val="7414228D"/>
    <w:rsid w:val="741E793C"/>
    <w:rsid w:val="741F6F6D"/>
    <w:rsid w:val="742F5706"/>
    <w:rsid w:val="743106D8"/>
    <w:rsid w:val="743A5E62"/>
    <w:rsid w:val="743D52CE"/>
    <w:rsid w:val="7447614D"/>
    <w:rsid w:val="745443C6"/>
    <w:rsid w:val="74575C64"/>
    <w:rsid w:val="745E3944"/>
    <w:rsid w:val="746F1200"/>
    <w:rsid w:val="746F2FAE"/>
    <w:rsid w:val="74752573"/>
    <w:rsid w:val="7478374B"/>
    <w:rsid w:val="747E48A1"/>
    <w:rsid w:val="747F58E7"/>
    <w:rsid w:val="7485720B"/>
    <w:rsid w:val="74862FA0"/>
    <w:rsid w:val="748A3418"/>
    <w:rsid w:val="74915353"/>
    <w:rsid w:val="749F1AE5"/>
    <w:rsid w:val="74A04566"/>
    <w:rsid w:val="74AF2DA2"/>
    <w:rsid w:val="74D20BB4"/>
    <w:rsid w:val="74D53759"/>
    <w:rsid w:val="74E06816"/>
    <w:rsid w:val="74E160F8"/>
    <w:rsid w:val="74EB4D2A"/>
    <w:rsid w:val="74F811F5"/>
    <w:rsid w:val="7501454E"/>
    <w:rsid w:val="752045BD"/>
    <w:rsid w:val="752A572D"/>
    <w:rsid w:val="753B2897"/>
    <w:rsid w:val="754461E9"/>
    <w:rsid w:val="75482501"/>
    <w:rsid w:val="754E49DF"/>
    <w:rsid w:val="75580732"/>
    <w:rsid w:val="75583A65"/>
    <w:rsid w:val="755B3E9C"/>
    <w:rsid w:val="75641D86"/>
    <w:rsid w:val="75654242"/>
    <w:rsid w:val="75680129"/>
    <w:rsid w:val="756E7601"/>
    <w:rsid w:val="757A60AE"/>
    <w:rsid w:val="759360EB"/>
    <w:rsid w:val="75B443BF"/>
    <w:rsid w:val="75B62221"/>
    <w:rsid w:val="75C15A8B"/>
    <w:rsid w:val="75D6388D"/>
    <w:rsid w:val="75D8547D"/>
    <w:rsid w:val="75D93D9C"/>
    <w:rsid w:val="75DF5F11"/>
    <w:rsid w:val="75E35A02"/>
    <w:rsid w:val="75ED7121"/>
    <w:rsid w:val="75F1685F"/>
    <w:rsid w:val="76004806"/>
    <w:rsid w:val="760616F0"/>
    <w:rsid w:val="760836BA"/>
    <w:rsid w:val="760A5684"/>
    <w:rsid w:val="760B1D0D"/>
    <w:rsid w:val="76124539"/>
    <w:rsid w:val="7614205F"/>
    <w:rsid w:val="7614785E"/>
    <w:rsid w:val="761B1161"/>
    <w:rsid w:val="7625601A"/>
    <w:rsid w:val="7627010D"/>
    <w:rsid w:val="762A3631"/>
    <w:rsid w:val="762B1157"/>
    <w:rsid w:val="762E27A2"/>
    <w:rsid w:val="76333DCC"/>
    <w:rsid w:val="7635099D"/>
    <w:rsid w:val="76366479"/>
    <w:rsid w:val="76397BC7"/>
    <w:rsid w:val="76404C02"/>
    <w:rsid w:val="76655B13"/>
    <w:rsid w:val="76685F07"/>
    <w:rsid w:val="766D176F"/>
    <w:rsid w:val="766E02D0"/>
    <w:rsid w:val="766F6197"/>
    <w:rsid w:val="767157A3"/>
    <w:rsid w:val="76791435"/>
    <w:rsid w:val="767D58EF"/>
    <w:rsid w:val="768260DE"/>
    <w:rsid w:val="76853969"/>
    <w:rsid w:val="76867FD0"/>
    <w:rsid w:val="768A5632"/>
    <w:rsid w:val="76991658"/>
    <w:rsid w:val="76A01B45"/>
    <w:rsid w:val="76A2766B"/>
    <w:rsid w:val="76A50F09"/>
    <w:rsid w:val="76D014ED"/>
    <w:rsid w:val="76D36023"/>
    <w:rsid w:val="76D449B1"/>
    <w:rsid w:val="76D67314"/>
    <w:rsid w:val="76D761BB"/>
    <w:rsid w:val="76EA2DC0"/>
    <w:rsid w:val="76F65C09"/>
    <w:rsid w:val="76FF4ABD"/>
    <w:rsid w:val="76FF686B"/>
    <w:rsid w:val="77020E3B"/>
    <w:rsid w:val="7709246F"/>
    <w:rsid w:val="772D421A"/>
    <w:rsid w:val="773951D1"/>
    <w:rsid w:val="7745629E"/>
    <w:rsid w:val="77560455"/>
    <w:rsid w:val="775F08B4"/>
    <w:rsid w:val="776402C0"/>
    <w:rsid w:val="77650F4D"/>
    <w:rsid w:val="776C3BF4"/>
    <w:rsid w:val="77710A2F"/>
    <w:rsid w:val="77762421"/>
    <w:rsid w:val="778525A0"/>
    <w:rsid w:val="77894387"/>
    <w:rsid w:val="77AE203F"/>
    <w:rsid w:val="77B238DE"/>
    <w:rsid w:val="77B56B1F"/>
    <w:rsid w:val="77B63CFE"/>
    <w:rsid w:val="77D75DD4"/>
    <w:rsid w:val="77E15F71"/>
    <w:rsid w:val="77EF0A88"/>
    <w:rsid w:val="77F21009"/>
    <w:rsid w:val="780600CD"/>
    <w:rsid w:val="780F09F4"/>
    <w:rsid w:val="78105023"/>
    <w:rsid w:val="78280B5E"/>
    <w:rsid w:val="782B2C12"/>
    <w:rsid w:val="78366D5B"/>
    <w:rsid w:val="78370287"/>
    <w:rsid w:val="784A7FBA"/>
    <w:rsid w:val="78574485"/>
    <w:rsid w:val="78654A01"/>
    <w:rsid w:val="786D1EFA"/>
    <w:rsid w:val="787768D5"/>
    <w:rsid w:val="78792F4F"/>
    <w:rsid w:val="7883171E"/>
    <w:rsid w:val="788334CC"/>
    <w:rsid w:val="788A485A"/>
    <w:rsid w:val="788E43F7"/>
    <w:rsid w:val="78A5543C"/>
    <w:rsid w:val="78A90480"/>
    <w:rsid w:val="78AD22F7"/>
    <w:rsid w:val="78B16E7F"/>
    <w:rsid w:val="78C87131"/>
    <w:rsid w:val="78CE0BEB"/>
    <w:rsid w:val="78CF32EB"/>
    <w:rsid w:val="78E026CC"/>
    <w:rsid w:val="78F604A7"/>
    <w:rsid w:val="78F9553C"/>
    <w:rsid w:val="79017606"/>
    <w:rsid w:val="79093BDF"/>
    <w:rsid w:val="791178EF"/>
    <w:rsid w:val="7916561B"/>
    <w:rsid w:val="792D35F1"/>
    <w:rsid w:val="792F0F5E"/>
    <w:rsid w:val="793A002E"/>
    <w:rsid w:val="79440EAD"/>
    <w:rsid w:val="794C5FB4"/>
    <w:rsid w:val="7958276C"/>
    <w:rsid w:val="795D275F"/>
    <w:rsid w:val="79766B8D"/>
    <w:rsid w:val="798B088A"/>
    <w:rsid w:val="798E3ED6"/>
    <w:rsid w:val="79927E6B"/>
    <w:rsid w:val="79960FDD"/>
    <w:rsid w:val="79A74F98"/>
    <w:rsid w:val="79AB4DB8"/>
    <w:rsid w:val="79B75266"/>
    <w:rsid w:val="79C21DD2"/>
    <w:rsid w:val="79C731EB"/>
    <w:rsid w:val="79CA2D89"/>
    <w:rsid w:val="79D0629D"/>
    <w:rsid w:val="79E9072F"/>
    <w:rsid w:val="79F833BF"/>
    <w:rsid w:val="7A124B07"/>
    <w:rsid w:val="7A1268B5"/>
    <w:rsid w:val="7A290957"/>
    <w:rsid w:val="7A364017"/>
    <w:rsid w:val="7A3945A5"/>
    <w:rsid w:val="7A3A5F21"/>
    <w:rsid w:val="7A3B4BE8"/>
    <w:rsid w:val="7A3E7A22"/>
    <w:rsid w:val="7A5113F9"/>
    <w:rsid w:val="7A573C31"/>
    <w:rsid w:val="7A5A75CE"/>
    <w:rsid w:val="7A5B0612"/>
    <w:rsid w:val="7A620C8B"/>
    <w:rsid w:val="7A633442"/>
    <w:rsid w:val="7A644042"/>
    <w:rsid w:val="7A6A732E"/>
    <w:rsid w:val="7A7274B4"/>
    <w:rsid w:val="7A7A0605"/>
    <w:rsid w:val="7A8265E1"/>
    <w:rsid w:val="7A922712"/>
    <w:rsid w:val="7A925C48"/>
    <w:rsid w:val="7A9E53BF"/>
    <w:rsid w:val="7A9F2B51"/>
    <w:rsid w:val="7AA53BCD"/>
    <w:rsid w:val="7AA5597C"/>
    <w:rsid w:val="7AA5772A"/>
    <w:rsid w:val="7AD33013"/>
    <w:rsid w:val="7AD718AD"/>
    <w:rsid w:val="7AE2272C"/>
    <w:rsid w:val="7B083277"/>
    <w:rsid w:val="7B167B29"/>
    <w:rsid w:val="7B1C5214"/>
    <w:rsid w:val="7B236446"/>
    <w:rsid w:val="7B340AAD"/>
    <w:rsid w:val="7B346CFF"/>
    <w:rsid w:val="7B3542EB"/>
    <w:rsid w:val="7B533629"/>
    <w:rsid w:val="7B554D94"/>
    <w:rsid w:val="7B5D1DB2"/>
    <w:rsid w:val="7B686D42"/>
    <w:rsid w:val="7B707D38"/>
    <w:rsid w:val="7B762E74"/>
    <w:rsid w:val="7B767318"/>
    <w:rsid w:val="7B8374D3"/>
    <w:rsid w:val="7B841746"/>
    <w:rsid w:val="7B852BD7"/>
    <w:rsid w:val="7B871525"/>
    <w:rsid w:val="7B98728E"/>
    <w:rsid w:val="7B9960D0"/>
    <w:rsid w:val="7BAE0860"/>
    <w:rsid w:val="7BB91E6F"/>
    <w:rsid w:val="7BBA7205"/>
    <w:rsid w:val="7BC92E03"/>
    <w:rsid w:val="7BE218B5"/>
    <w:rsid w:val="7BF5311A"/>
    <w:rsid w:val="7BF7530E"/>
    <w:rsid w:val="7C042B76"/>
    <w:rsid w:val="7C0C417E"/>
    <w:rsid w:val="7C1903CF"/>
    <w:rsid w:val="7C1E54B2"/>
    <w:rsid w:val="7C2B1EB0"/>
    <w:rsid w:val="7C2F5E6F"/>
    <w:rsid w:val="7C333D17"/>
    <w:rsid w:val="7C356D7F"/>
    <w:rsid w:val="7C3A20F4"/>
    <w:rsid w:val="7C423A90"/>
    <w:rsid w:val="7C4D0B76"/>
    <w:rsid w:val="7C4F62A5"/>
    <w:rsid w:val="7C5036C5"/>
    <w:rsid w:val="7C5B649E"/>
    <w:rsid w:val="7C686CEB"/>
    <w:rsid w:val="7C694787"/>
    <w:rsid w:val="7C6C5AC7"/>
    <w:rsid w:val="7C765821"/>
    <w:rsid w:val="7C7A7938"/>
    <w:rsid w:val="7C7B6E0D"/>
    <w:rsid w:val="7C7F1784"/>
    <w:rsid w:val="7C864605"/>
    <w:rsid w:val="7C891E80"/>
    <w:rsid w:val="7C8A307B"/>
    <w:rsid w:val="7C8A415F"/>
    <w:rsid w:val="7C8F68E3"/>
    <w:rsid w:val="7C913580"/>
    <w:rsid w:val="7C980289"/>
    <w:rsid w:val="7CA37C99"/>
    <w:rsid w:val="7CA70377"/>
    <w:rsid w:val="7CA852AF"/>
    <w:rsid w:val="7CB77BE8"/>
    <w:rsid w:val="7CC52305"/>
    <w:rsid w:val="7CC6544B"/>
    <w:rsid w:val="7CCC5C03"/>
    <w:rsid w:val="7CD04806"/>
    <w:rsid w:val="7CD638E3"/>
    <w:rsid w:val="7CDD3D46"/>
    <w:rsid w:val="7CED0C9B"/>
    <w:rsid w:val="7CF84488"/>
    <w:rsid w:val="7D0239FF"/>
    <w:rsid w:val="7D0A2F1A"/>
    <w:rsid w:val="7D0B4F7B"/>
    <w:rsid w:val="7D171B39"/>
    <w:rsid w:val="7D172435"/>
    <w:rsid w:val="7D1757E8"/>
    <w:rsid w:val="7D1E4198"/>
    <w:rsid w:val="7D207BED"/>
    <w:rsid w:val="7D3354C1"/>
    <w:rsid w:val="7D347496"/>
    <w:rsid w:val="7D425704"/>
    <w:rsid w:val="7D454D0B"/>
    <w:rsid w:val="7D463234"/>
    <w:rsid w:val="7D4A45B8"/>
    <w:rsid w:val="7D4C01C7"/>
    <w:rsid w:val="7D592A4D"/>
    <w:rsid w:val="7D5E40CD"/>
    <w:rsid w:val="7D692A50"/>
    <w:rsid w:val="7D6A5099"/>
    <w:rsid w:val="7D750F9F"/>
    <w:rsid w:val="7D8E6B9B"/>
    <w:rsid w:val="7D952693"/>
    <w:rsid w:val="7D957F29"/>
    <w:rsid w:val="7D99109C"/>
    <w:rsid w:val="7D996517"/>
    <w:rsid w:val="7DA37546"/>
    <w:rsid w:val="7DCC5F8D"/>
    <w:rsid w:val="7DCD56F2"/>
    <w:rsid w:val="7DCD5918"/>
    <w:rsid w:val="7DD24CD9"/>
    <w:rsid w:val="7DD6409E"/>
    <w:rsid w:val="7DD70390"/>
    <w:rsid w:val="7DD8697E"/>
    <w:rsid w:val="7DDC0553"/>
    <w:rsid w:val="7DE26BE4"/>
    <w:rsid w:val="7DE653F9"/>
    <w:rsid w:val="7DEF2297"/>
    <w:rsid w:val="7DF9570E"/>
    <w:rsid w:val="7DFB58B2"/>
    <w:rsid w:val="7E026C41"/>
    <w:rsid w:val="7E062BD5"/>
    <w:rsid w:val="7E10135E"/>
    <w:rsid w:val="7E1F2630"/>
    <w:rsid w:val="7E2120A9"/>
    <w:rsid w:val="7E265B09"/>
    <w:rsid w:val="7E2712AA"/>
    <w:rsid w:val="7E2B70ED"/>
    <w:rsid w:val="7E2D0162"/>
    <w:rsid w:val="7E543765"/>
    <w:rsid w:val="7E5C27F5"/>
    <w:rsid w:val="7E7208AE"/>
    <w:rsid w:val="7E8D29AE"/>
    <w:rsid w:val="7E8D310A"/>
    <w:rsid w:val="7E9452F7"/>
    <w:rsid w:val="7E973746"/>
    <w:rsid w:val="7E9A4479"/>
    <w:rsid w:val="7EA36E3C"/>
    <w:rsid w:val="7EC00FD6"/>
    <w:rsid w:val="7EC3036F"/>
    <w:rsid w:val="7EC34419"/>
    <w:rsid w:val="7EC9775F"/>
    <w:rsid w:val="7ED056F7"/>
    <w:rsid w:val="7EDC687C"/>
    <w:rsid w:val="7EF769D4"/>
    <w:rsid w:val="7EFD18A2"/>
    <w:rsid w:val="7F001CE7"/>
    <w:rsid w:val="7F0F7359"/>
    <w:rsid w:val="7F1D6663"/>
    <w:rsid w:val="7F2C21C7"/>
    <w:rsid w:val="7F2C663B"/>
    <w:rsid w:val="7F406F56"/>
    <w:rsid w:val="7F413164"/>
    <w:rsid w:val="7F431CAA"/>
    <w:rsid w:val="7F5E5A33"/>
    <w:rsid w:val="7F602EDD"/>
    <w:rsid w:val="7F6578FB"/>
    <w:rsid w:val="7F6F55D3"/>
    <w:rsid w:val="7F7E1653"/>
    <w:rsid w:val="7F8B2ADE"/>
    <w:rsid w:val="7F904F24"/>
    <w:rsid w:val="7F9B559F"/>
    <w:rsid w:val="7FA06711"/>
    <w:rsid w:val="7FB3342B"/>
    <w:rsid w:val="7FC86992"/>
    <w:rsid w:val="7FCB5DB7"/>
    <w:rsid w:val="7FD44AD8"/>
    <w:rsid w:val="7FD940B0"/>
    <w:rsid w:val="7FE47E50"/>
    <w:rsid w:val="7FEE3921"/>
    <w:rsid w:val="7FFD3B6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FF0000" startarrow="open" endarrow="open"/>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nhideWhenUsed="0"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qFormat="1"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qFormat="1"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qFormat="1" w:unhideWhenUsed="0" w:uiPriority="99"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5">
    <w:name w:val="heading 3"/>
    <w:basedOn w:val="1"/>
    <w:next w:val="1"/>
    <w:qFormat/>
    <w:uiPriority w:val="0"/>
    <w:pPr>
      <w:keepNext/>
      <w:keepLines/>
      <w:adjustRightInd w:val="0"/>
      <w:spacing w:line="360" w:lineRule="auto"/>
      <w:ind w:firstLine="482" w:firstLineChars="200"/>
      <w:outlineLvl w:val="2"/>
    </w:pPr>
    <w:rPr>
      <w:b/>
      <w:bCs/>
      <w:kern w:val="0"/>
      <w:sz w:val="24"/>
      <w:szCs w:val="20"/>
    </w:rPr>
  </w:style>
  <w:style w:type="paragraph" w:styleId="6">
    <w:name w:val="heading 4"/>
    <w:basedOn w:val="1"/>
    <w:next w:val="1"/>
    <w:link w:val="60"/>
    <w:qFormat/>
    <w:uiPriority w:val="0"/>
    <w:pPr>
      <w:keepNext/>
      <w:keepLines/>
      <w:spacing w:before="280" w:after="290" w:line="376" w:lineRule="auto"/>
      <w:outlineLvl w:val="3"/>
    </w:pPr>
    <w:rPr>
      <w:rFonts w:ascii="Cambria" w:hAnsi="Cambria"/>
      <w:b/>
      <w:bCs/>
      <w:sz w:val="28"/>
      <w:szCs w:val="28"/>
    </w:rPr>
  </w:style>
  <w:style w:type="paragraph" w:styleId="7">
    <w:name w:val="heading 7"/>
    <w:basedOn w:val="1"/>
    <w:next w:val="1"/>
    <w:link w:val="61"/>
    <w:qFormat/>
    <w:uiPriority w:val="0"/>
    <w:pPr>
      <w:keepNext/>
      <w:keepLines/>
      <w:spacing w:before="240" w:after="64" w:line="320" w:lineRule="auto"/>
      <w:outlineLvl w:val="6"/>
    </w:pPr>
    <w:rPr>
      <w:b/>
      <w:bCs/>
      <w:sz w:val="24"/>
    </w:rPr>
  </w:style>
  <w:style w:type="character" w:default="1" w:styleId="43">
    <w:name w:val="Default Paragraph Font"/>
    <w:semiHidden/>
    <w:qFormat/>
    <w:uiPriority w:val="0"/>
  </w:style>
  <w:style w:type="table" w:default="1" w:styleId="41">
    <w:name w:val="Normal Tabl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Plain Text"/>
    <w:basedOn w:val="1"/>
    <w:next w:val="3"/>
    <w:qFormat/>
    <w:uiPriority w:val="0"/>
    <w:rPr>
      <w:rFonts w:ascii="宋体" w:hAnsi="Courier New"/>
      <w:sz w:val="15"/>
      <w:szCs w:val="21"/>
    </w:rPr>
  </w:style>
  <w:style w:type="paragraph" w:styleId="3">
    <w:name w:val="toc 1"/>
    <w:basedOn w:val="1"/>
    <w:next w:val="1"/>
    <w:qFormat/>
    <w:uiPriority w:val="0"/>
    <w:pPr>
      <w:tabs>
        <w:tab w:val="right" w:leader="dot" w:pos="8606"/>
      </w:tabs>
      <w:spacing w:line="300" w:lineRule="auto"/>
    </w:pPr>
    <w:rPr>
      <w:b/>
      <w:szCs w:val="44"/>
    </w:rPr>
  </w:style>
  <w:style w:type="paragraph" w:styleId="8">
    <w:name w:val="List 3"/>
    <w:basedOn w:val="1"/>
    <w:next w:val="1"/>
    <w:qFormat/>
    <w:uiPriority w:val="0"/>
    <w:pPr>
      <w:autoSpaceDE w:val="0"/>
      <w:autoSpaceDN w:val="0"/>
      <w:adjustRightInd w:val="0"/>
      <w:spacing w:line="288" w:lineRule="auto"/>
      <w:ind w:left="1260" w:hanging="420"/>
      <w:jc w:val="left"/>
      <w:textAlignment w:val="baseline"/>
    </w:pPr>
    <w:rPr>
      <w:kern w:val="0"/>
      <w:sz w:val="24"/>
      <w:szCs w:val="20"/>
    </w:rPr>
  </w:style>
  <w:style w:type="paragraph" w:styleId="9">
    <w:name w:val="E-mail Signature"/>
    <w:basedOn w:val="1"/>
    <w:next w:val="10"/>
    <w:qFormat/>
    <w:uiPriority w:val="0"/>
    <w:pPr>
      <w:widowControl/>
      <w:spacing w:line="360" w:lineRule="auto"/>
      <w:ind w:firstLine="420"/>
      <w:jc w:val="left"/>
    </w:pPr>
    <w:rPr>
      <w:rFonts w:ascii="Times New Roman" w:hAnsi="Times New Roman"/>
      <w:sz w:val="24"/>
      <w:szCs w:val="24"/>
    </w:rPr>
  </w:style>
  <w:style w:type="paragraph" w:customStyle="1" w:styleId="10">
    <w:name w:val="文章"/>
    <w:basedOn w:val="11"/>
    <w:next w:val="12"/>
    <w:qFormat/>
    <w:uiPriority w:val="0"/>
    <w:pPr>
      <w:widowControl/>
      <w:ind w:firstLine="480"/>
      <w:jc w:val="center"/>
    </w:pPr>
    <w:rPr>
      <w:sz w:val="26"/>
    </w:rPr>
  </w:style>
  <w:style w:type="paragraph" w:styleId="11">
    <w:name w:val="Body Text Indent"/>
    <w:basedOn w:val="1"/>
    <w:link w:val="62"/>
    <w:qFormat/>
    <w:uiPriority w:val="0"/>
    <w:pPr>
      <w:spacing w:after="120"/>
      <w:ind w:left="420" w:leftChars="200"/>
    </w:pPr>
    <w:rPr>
      <w:kern w:val="0"/>
      <w:sz w:val="24"/>
      <w:szCs w:val="20"/>
    </w:rPr>
  </w:style>
  <w:style w:type="paragraph" w:styleId="12">
    <w:name w:val="List"/>
    <w:basedOn w:val="1"/>
    <w:next w:val="1"/>
    <w:qFormat/>
    <w:uiPriority w:val="0"/>
    <w:pPr>
      <w:ind w:left="200" w:hanging="200" w:hangingChars="200"/>
      <w:contextualSpacing/>
    </w:pPr>
  </w:style>
  <w:style w:type="paragraph" w:styleId="13">
    <w:name w:val="Normal Indent"/>
    <w:basedOn w:val="1"/>
    <w:next w:val="1"/>
    <w:qFormat/>
    <w:uiPriority w:val="0"/>
    <w:pPr>
      <w:ind w:firstLine="420"/>
    </w:pPr>
    <w:rPr>
      <w:szCs w:val="20"/>
    </w:rPr>
  </w:style>
  <w:style w:type="paragraph" w:styleId="14">
    <w:name w:val="caption"/>
    <w:basedOn w:val="1"/>
    <w:next w:val="1"/>
    <w:link w:val="63"/>
    <w:qFormat/>
    <w:uiPriority w:val="0"/>
    <w:pPr>
      <w:spacing w:before="152" w:after="160"/>
    </w:pPr>
    <w:rPr>
      <w:rFonts w:ascii="Arial" w:hAnsi="Arial" w:eastAsia="黑体"/>
      <w:kern w:val="0"/>
      <w:sz w:val="22"/>
      <w:szCs w:val="22"/>
      <w:lang w:eastAsia="en-US"/>
    </w:rPr>
  </w:style>
  <w:style w:type="paragraph" w:styleId="15">
    <w:name w:val="List Bullet"/>
    <w:basedOn w:val="1"/>
    <w:qFormat/>
    <w:uiPriority w:val="0"/>
    <w:pPr>
      <w:numPr>
        <w:ilvl w:val="0"/>
        <w:numId w:val="1"/>
      </w:numPr>
    </w:pPr>
  </w:style>
  <w:style w:type="paragraph" w:styleId="16">
    <w:name w:val="annotation text"/>
    <w:basedOn w:val="1"/>
    <w:link w:val="64"/>
    <w:semiHidden/>
    <w:qFormat/>
    <w:uiPriority w:val="0"/>
    <w:pPr>
      <w:jc w:val="left"/>
    </w:pPr>
    <w:rPr>
      <w:kern w:val="0"/>
      <w:sz w:val="24"/>
      <w:szCs w:val="20"/>
    </w:rPr>
  </w:style>
  <w:style w:type="paragraph" w:styleId="17">
    <w:name w:val="index 6"/>
    <w:basedOn w:val="1"/>
    <w:next w:val="1"/>
    <w:qFormat/>
    <w:uiPriority w:val="0"/>
    <w:pPr>
      <w:spacing w:line="360" w:lineRule="auto"/>
      <w:ind w:left="1000" w:leftChars="1000" w:firstLine="456" w:firstLineChars="190"/>
    </w:pPr>
    <w:rPr>
      <w:rFonts w:ascii="Times New Roman" w:hAnsi="Times New Roman" w:eastAsia="宋体" w:cs="Times New Roman"/>
      <w:sz w:val="24"/>
    </w:rPr>
  </w:style>
  <w:style w:type="paragraph" w:styleId="18">
    <w:name w:val="Body Text"/>
    <w:basedOn w:val="1"/>
    <w:next w:val="19"/>
    <w:link w:val="65"/>
    <w:qFormat/>
    <w:uiPriority w:val="0"/>
    <w:pPr>
      <w:widowControl/>
      <w:snapToGrid w:val="0"/>
      <w:spacing w:before="60" w:after="160" w:line="259" w:lineRule="auto"/>
      <w:ind w:right="113"/>
    </w:pPr>
    <w:rPr>
      <w:kern w:val="0"/>
      <w:sz w:val="18"/>
      <w:szCs w:val="20"/>
    </w:rPr>
  </w:style>
  <w:style w:type="paragraph" w:customStyle="1" w:styleId="19">
    <w:name w:val="xl27"/>
    <w:basedOn w:val="1"/>
    <w:next w:val="1"/>
    <w:qFormat/>
    <w:uiPriority w:val="0"/>
    <w:pPr>
      <w:widowControl/>
      <w:pBdr>
        <w:bottom w:val="single" w:color="auto" w:sz="4" w:space="0"/>
        <w:right w:val="single" w:color="auto" w:sz="4" w:space="0"/>
      </w:pBdr>
      <w:spacing w:beforeAutospacing="1" w:afterAutospacing="1"/>
      <w:jc w:val="center"/>
    </w:pPr>
    <w:rPr>
      <w:kern w:val="0"/>
      <w:szCs w:val="21"/>
    </w:rPr>
  </w:style>
  <w:style w:type="paragraph" w:styleId="20">
    <w:name w:val="List Bullet 2"/>
    <w:basedOn w:val="1"/>
    <w:next w:val="21"/>
    <w:qFormat/>
    <w:uiPriority w:val="0"/>
    <w:pPr>
      <w:tabs>
        <w:tab w:val="left" w:pos="780"/>
      </w:tabs>
      <w:ind w:left="780" w:hanging="360"/>
    </w:pPr>
  </w:style>
  <w:style w:type="paragraph" w:customStyle="1" w:styleId="21">
    <w:name w:val="xl70"/>
    <w:basedOn w:val="1"/>
    <w:next w:val="22"/>
    <w:qFormat/>
    <w:uiPriority w:val="0"/>
    <w:pPr>
      <w:widowControl/>
      <w:spacing w:before="280" w:after="280"/>
    </w:pPr>
    <w:rPr>
      <w:rFonts w:ascii="宋体" w:cs="宋体"/>
      <w:szCs w:val="21"/>
    </w:rPr>
  </w:style>
  <w:style w:type="paragraph" w:customStyle="1" w:styleId="22">
    <w:name w:val="正文缩进1"/>
    <w:basedOn w:val="1"/>
    <w:next w:val="23"/>
    <w:qFormat/>
    <w:uiPriority w:val="0"/>
    <w:pPr>
      <w:ind w:firstLine="420"/>
    </w:pPr>
    <w:rPr>
      <w:szCs w:val="20"/>
    </w:rPr>
  </w:style>
  <w:style w:type="paragraph" w:customStyle="1" w:styleId="23">
    <w:name w:val="td1"/>
    <w:basedOn w:val="1"/>
    <w:next w:val="1"/>
    <w:qFormat/>
    <w:uiPriority w:val="0"/>
    <w:pPr>
      <w:widowControl/>
      <w:spacing w:before="280" w:after="280" w:line="300" w:lineRule="atLeast"/>
      <w:ind w:firstLine="200"/>
    </w:pPr>
    <w:rPr>
      <w:color w:val="000000"/>
      <w:sz w:val="18"/>
      <w:szCs w:val="18"/>
    </w:rPr>
  </w:style>
  <w:style w:type="paragraph" w:styleId="24">
    <w:name w:val="toc 5"/>
    <w:basedOn w:val="1"/>
    <w:next w:val="1"/>
    <w:qFormat/>
    <w:uiPriority w:val="0"/>
    <w:pPr>
      <w:widowControl w:val="0"/>
      <w:spacing w:line="240" w:lineRule="auto"/>
      <w:ind w:left="1120" w:firstLine="0" w:firstLineChars="0"/>
    </w:pPr>
    <w:rPr>
      <w:rFonts w:ascii="Times New Roman" w:hAnsi="Times New Roman"/>
      <w:sz w:val="18"/>
      <w:szCs w:val="18"/>
    </w:rPr>
  </w:style>
  <w:style w:type="paragraph" w:styleId="25">
    <w:name w:val="Date"/>
    <w:basedOn w:val="1"/>
    <w:next w:val="1"/>
    <w:link w:val="66"/>
    <w:qFormat/>
    <w:uiPriority w:val="0"/>
    <w:pPr>
      <w:ind w:left="100" w:leftChars="2500"/>
    </w:pPr>
    <w:rPr>
      <w:kern w:val="0"/>
      <w:sz w:val="24"/>
      <w:szCs w:val="20"/>
    </w:rPr>
  </w:style>
  <w:style w:type="paragraph" w:styleId="26">
    <w:name w:val="Body Text Indent 2"/>
    <w:basedOn w:val="1"/>
    <w:qFormat/>
    <w:uiPriority w:val="0"/>
    <w:pPr>
      <w:spacing w:after="120" w:line="480" w:lineRule="auto"/>
      <w:ind w:left="420" w:leftChars="200"/>
    </w:pPr>
  </w:style>
  <w:style w:type="paragraph" w:styleId="27">
    <w:name w:val="Balloon Text"/>
    <w:basedOn w:val="1"/>
    <w:link w:val="67"/>
    <w:semiHidden/>
    <w:qFormat/>
    <w:uiPriority w:val="0"/>
    <w:rPr>
      <w:kern w:val="0"/>
      <w:sz w:val="18"/>
      <w:szCs w:val="20"/>
    </w:rPr>
  </w:style>
  <w:style w:type="paragraph" w:styleId="28">
    <w:name w:val="footer"/>
    <w:basedOn w:val="1"/>
    <w:link w:val="68"/>
    <w:qFormat/>
    <w:uiPriority w:val="99"/>
    <w:pPr>
      <w:tabs>
        <w:tab w:val="center" w:pos="4153"/>
        <w:tab w:val="right" w:pos="8306"/>
      </w:tabs>
      <w:snapToGrid w:val="0"/>
      <w:jc w:val="left"/>
    </w:pPr>
    <w:rPr>
      <w:kern w:val="0"/>
      <w:sz w:val="18"/>
      <w:szCs w:val="20"/>
    </w:rPr>
  </w:style>
  <w:style w:type="paragraph" w:styleId="29">
    <w:name w:val="envelope return"/>
    <w:basedOn w:val="1"/>
    <w:qFormat/>
    <w:uiPriority w:val="0"/>
    <w:pPr>
      <w:adjustRightInd/>
      <w:snapToGrid w:val="0"/>
      <w:spacing w:line="360" w:lineRule="auto"/>
      <w:ind w:firstLine="420" w:firstLineChars="200"/>
      <w:textAlignment w:val="auto"/>
    </w:pPr>
    <w:rPr>
      <w:rFonts w:ascii="Arial" w:hAnsi="Arial" w:cs="Arial"/>
      <w:szCs w:val="24"/>
    </w:rPr>
  </w:style>
  <w:style w:type="paragraph" w:styleId="30">
    <w:name w:val="header"/>
    <w:basedOn w:val="1"/>
    <w:next w:val="1"/>
    <w:link w:val="69"/>
    <w:qFormat/>
    <w:uiPriority w:val="0"/>
    <w:pPr>
      <w:pBdr>
        <w:bottom w:val="single" w:color="auto" w:sz="6" w:space="1"/>
      </w:pBdr>
      <w:tabs>
        <w:tab w:val="center" w:pos="4153"/>
        <w:tab w:val="right" w:pos="8306"/>
      </w:tabs>
      <w:snapToGrid w:val="0"/>
      <w:jc w:val="center"/>
    </w:pPr>
    <w:rPr>
      <w:kern w:val="0"/>
      <w:sz w:val="18"/>
      <w:szCs w:val="20"/>
    </w:rPr>
  </w:style>
  <w:style w:type="paragraph" w:styleId="31">
    <w:name w:val="Signature"/>
    <w:basedOn w:val="1"/>
    <w:qFormat/>
    <w:uiPriority w:val="99"/>
    <w:pPr>
      <w:adjustRightInd w:val="0"/>
      <w:snapToGrid w:val="0"/>
      <w:spacing w:line="324" w:lineRule="auto"/>
      <w:ind w:left="100" w:leftChars="2100" w:firstLine="200" w:firstLineChars="200"/>
    </w:pPr>
    <w:rPr>
      <w:rFonts w:ascii="Times New Roman"/>
      <w:kern w:val="2"/>
      <w:sz w:val="24"/>
      <w:szCs w:val="24"/>
    </w:rPr>
  </w:style>
  <w:style w:type="paragraph" w:styleId="32">
    <w:name w:val="List Continue 4"/>
    <w:basedOn w:val="1"/>
    <w:qFormat/>
    <w:uiPriority w:val="0"/>
    <w:pPr>
      <w:adjustRightInd w:val="0"/>
      <w:snapToGrid w:val="0"/>
      <w:spacing w:after="120" w:line="324" w:lineRule="auto"/>
      <w:ind w:left="1680" w:leftChars="800" w:firstLine="200" w:firstLineChars="200"/>
    </w:pPr>
    <w:rPr>
      <w:rFonts w:ascii="Times New Roman" w:hAnsi="Times New Roman"/>
      <w:sz w:val="24"/>
      <w:szCs w:val="24"/>
    </w:rPr>
  </w:style>
  <w:style w:type="paragraph" w:styleId="33">
    <w:name w:val="Body Text Indent 3"/>
    <w:basedOn w:val="1"/>
    <w:link w:val="70"/>
    <w:qFormat/>
    <w:uiPriority w:val="0"/>
    <w:pPr>
      <w:spacing w:after="120"/>
      <w:ind w:left="420" w:leftChars="200"/>
    </w:pPr>
    <w:rPr>
      <w:sz w:val="16"/>
      <w:szCs w:val="16"/>
    </w:rPr>
  </w:style>
  <w:style w:type="paragraph" w:styleId="34">
    <w:name w:val="toc 2"/>
    <w:basedOn w:val="1"/>
    <w:next w:val="9"/>
    <w:qFormat/>
    <w:uiPriority w:val="39"/>
    <w:pPr>
      <w:ind w:left="420" w:leftChars="200"/>
    </w:pPr>
  </w:style>
  <w:style w:type="paragraph" w:styleId="35">
    <w:name w:val="Body Text 2"/>
    <w:basedOn w:val="1"/>
    <w:qFormat/>
    <w:uiPriority w:val="0"/>
    <w:pPr>
      <w:spacing w:after="120" w:line="480" w:lineRule="auto"/>
      <w:ind w:firstLine="425"/>
    </w:pPr>
    <w:rPr>
      <w:sz w:val="24"/>
      <w:szCs w:val="20"/>
    </w:rPr>
  </w:style>
  <w:style w:type="paragraph" w:styleId="36">
    <w:name w:val="List 4"/>
    <w:basedOn w:val="1"/>
    <w:next w:val="2"/>
    <w:qFormat/>
    <w:uiPriority w:val="0"/>
    <w:pPr>
      <w:ind w:left="100" w:leftChars="600" w:hanging="200" w:hangingChars="200"/>
      <w:contextualSpacing/>
    </w:pPr>
  </w:style>
  <w:style w:type="paragraph" w:styleId="37">
    <w:name w:val="Normal (Web)"/>
    <w:basedOn w:val="1"/>
    <w:link w:val="71"/>
    <w:qFormat/>
    <w:uiPriority w:val="0"/>
    <w:pPr>
      <w:widowControl/>
      <w:spacing w:before="100" w:beforeAutospacing="1" w:after="100" w:afterAutospacing="1"/>
      <w:jc w:val="left"/>
    </w:pPr>
    <w:rPr>
      <w:rFonts w:ascii="宋体" w:hAnsi="宋体"/>
      <w:kern w:val="0"/>
      <w:sz w:val="24"/>
      <w:szCs w:val="20"/>
    </w:rPr>
  </w:style>
  <w:style w:type="paragraph" w:styleId="38">
    <w:name w:val="annotation subject"/>
    <w:basedOn w:val="16"/>
    <w:next w:val="16"/>
    <w:link w:val="72"/>
    <w:qFormat/>
    <w:uiPriority w:val="0"/>
    <w:rPr>
      <w:b/>
      <w:kern w:val="2"/>
    </w:rPr>
  </w:style>
  <w:style w:type="paragraph" w:styleId="39">
    <w:name w:val="Body Text First Indent"/>
    <w:basedOn w:val="18"/>
    <w:qFormat/>
    <w:uiPriority w:val="0"/>
    <w:pPr>
      <w:widowControl/>
      <w:snapToGrid w:val="0"/>
      <w:spacing w:line="360" w:lineRule="auto"/>
      <w:ind w:right="0" w:firstLine="1440" w:firstLineChars="200"/>
      <w:jc w:val="both"/>
    </w:pPr>
    <w:rPr>
      <w:kern w:val="2"/>
      <w:sz w:val="21"/>
      <w:szCs w:val="24"/>
    </w:rPr>
  </w:style>
  <w:style w:type="paragraph" w:styleId="40">
    <w:name w:val="Body Text First Indent 2"/>
    <w:basedOn w:val="11"/>
    <w:next w:val="39"/>
    <w:qFormat/>
    <w:uiPriority w:val="0"/>
    <w:pPr>
      <w:widowControl w:val="0"/>
      <w:spacing w:line="360" w:lineRule="auto"/>
      <w:ind w:left="0" w:leftChars="0" w:firstLine="420" w:firstLineChars="200"/>
      <w:jc w:val="both"/>
    </w:pPr>
    <w:rPr>
      <w:kern w:val="2"/>
      <w:szCs w:val="24"/>
    </w:rPr>
  </w:style>
  <w:style w:type="table" w:styleId="42">
    <w:name w:val="Table Grid"/>
    <w:basedOn w:val="41"/>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4">
    <w:name w:val="Strong"/>
    <w:qFormat/>
    <w:uiPriority w:val="22"/>
    <w:rPr>
      <w:b/>
      <w:bCs/>
    </w:rPr>
  </w:style>
  <w:style w:type="character" w:styleId="45">
    <w:name w:val="page number"/>
    <w:qFormat/>
    <w:uiPriority w:val="0"/>
  </w:style>
  <w:style w:type="character" w:styleId="46">
    <w:name w:val="FollowedHyperlink"/>
    <w:qFormat/>
    <w:uiPriority w:val="0"/>
    <w:rPr>
      <w:color w:val="800080"/>
      <w:u w:val="none"/>
    </w:rPr>
  </w:style>
  <w:style w:type="character" w:styleId="47">
    <w:name w:val="Emphasis"/>
    <w:qFormat/>
    <w:uiPriority w:val="0"/>
    <w:rPr>
      <w:i/>
    </w:rPr>
  </w:style>
  <w:style w:type="character" w:styleId="48">
    <w:name w:val="Hyperlink"/>
    <w:qFormat/>
    <w:uiPriority w:val="0"/>
    <w:rPr>
      <w:color w:val="333333"/>
      <w:u w:val="none"/>
    </w:rPr>
  </w:style>
  <w:style w:type="character" w:styleId="49">
    <w:name w:val="annotation reference"/>
    <w:qFormat/>
    <w:uiPriority w:val="0"/>
    <w:rPr>
      <w:sz w:val="21"/>
    </w:rPr>
  </w:style>
  <w:style w:type="paragraph" w:customStyle="1" w:styleId="50">
    <w:name w:val="Default"/>
    <w:basedOn w:val="51"/>
    <w:next w:val="8"/>
    <w:link w:val="74"/>
    <w:qFormat/>
    <w:uiPriority w:val="0"/>
    <w:pPr>
      <w:widowControl w:val="0"/>
      <w:autoSpaceDE w:val="0"/>
      <w:autoSpaceDN w:val="0"/>
      <w:adjustRightInd w:val="0"/>
    </w:pPr>
    <w:rPr>
      <w:rFonts w:hAnsi="Times New Roman"/>
      <w:color w:val="000000"/>
      <w:kern w:val="0"/>
      <w:sz w:val="24"/>
    </w:rPr>
  </w:style>
  <w:style w:type="paragraph" w:customStyle="1" w:styleId="51">
    <w:name w:val="纯文本1"/>
    <w:basedOn w:val="1"/>
    <w:next w:val="2"/>
    <w:qFormat/>
    <w:uiPriority w:val="0"/>
    <w:pPr>
      <w:adjustRightInd w:val="0"/>
      <w:ind w:firstLine="0"/>
      <w:jc w:val="center"/>
      <w:textAlignment w:val="baseline"/>
    </w:pPr>
    <w:rPr>
      <w:rFonts w:ascii="宋体" w:hAnsi="Courier New"/>
    </w:rPr>
  </w:style>
  <w:style w:type="paragraph" w:customStyle="1" w:styleId="52">
    <w:name w:val="样式35"/>
    <w:basedOn w:val="53"/>
    <w:next w:val="58"/>
    <w:qFormat/>
    <w:uiPriority w:val="0"/>
    <w:pPr>
      <w:tabs>
        <w:tab w:val="left" w:pos="0"/>
        <w:tab w:val="left" w:pos="360"/>
        <w:tab w:val="left" w:pos="540"/>
        <w:tab w:val="left" w:pos="567"/>
        <w:tab w:val="left" w:pos="4140"/>
      </w:tabs>
      <w:spacing w:line="312" w:lineRule="auto"/>
      <w:ind w:firstLine="567"/>
    </w:pPr>
    <w:rPr>
      <w:rFonts w:ascii="宋体" w:hAnsi="Arial" w:cs="Arial"/>
      <w:sz w:val="24"/>
    </w:rPr>
  </w:style>
  <w:style w:type="paragraph" w:customStyle="1" w:styleId="53">
    <w:name w:val="样式26"/>
    <w:basedOn w:val="54"/>
    <w:qFormat/>
    <w:uiPriority w:val="0"/>
    <w:pPr>
      <w:tabs>
        <w:tab w:val="left" w:pos="0"/>
        <w:tab w:val="left" w:pos="360"/>
        <w:tab w:val="left" w:pos="540"/>
        <w:tab w:val="left" w:pos="567"/>
        <w:tab w:val="left" w:pos="4140"/>
      </w:tabs>
    </w:pPr>
  </w:style>
  <w:style w:type="paragraph" w:customStyle="1" w:styleId="54">
    <w:name w:val="样式21"/>
    <w:basedOn w:val="55"/>
    <w:qFormat/>
    <w:uiPriority w:val="0"/>
    <w:pPr>
      <w:tabs>
        <w:tab w:val="left" w:pos="0"/>
        <w:tab w:val="left" w:pos="360"/>
        <w:tab w:val="left" w:pos="567"/>
        <w:tab w:val="left" w:pos="4140"/>
      </w:tabs>
      <w:spacing w:before="120" w:beforeLines="0" w:after="120" w:afterLines="0"/>
      <w:ind w:hanging="992"/>
    </w:pPr>
  </w:style>
  <w:style w:type="paragraph" w:customStyle="1" w:styleId="55">
    <w:name w:val="样式5"/>
    <w:basedOn w:val="56"/>
    <w:qFormat/>
    <w:uiPriority w:val="0"/>
    <w:pPr>
      <w:tabs>
        <w:tab w:val="left" w:pos="0"/>
        <w:tab w:val="left" w:pos="360"/>
        <w:tab w:val="left" w:pos="567"/>
        <w:tab w:val="left" w:pos="4140"/>
      </w:tabs>
    </w:pPr>
  </w:style>
  <w:style w:type="paragraph" w:customStyle="1" w:styleId="56">
    <w:name w:val="样式12"/>
    <w:basedOn w:val="57"/>
    <w:qFormat/>
    <w:uiPriority w:val="0"/>
    <w:pPr>
      <w:tabs>
        <w:tab w:val="left" w:pos="0"/>
        <w:tab w:val="left" w:pos="4140"/>
      </w:tabs>
      <w:spacing w:line="360" w:lineRule="auto"/>
    </w:pPr>
    <w:rPr>
      <w:rFonts w:ascii="Arial" w:hAnsi="Arial" w:cs="Arial"/>
      <w:sz w:val="24"/>
      <w:szCs w:val="24"/>
    </w:rPr>
  </w:style>
  <w:style w:type="paragraph" w:customStyle="1" w:styleId="57">
    <w:name w:val="样式17"/>
    <w:basedOn w:val="1"/>
    <w:qFormat/>
    <w:uiPriority w:val="0"/>
    <w:pPr>
      <w:keepNext/>
      <w:keepLines/>
      <w:tabs>
        <w:tab w:val="left" w:pos="0"/>
      </w:tabs>
      <w:spacing w:beforeLines="50"/>
      <w:outlineLvl w:val="0"/>
    </w:pPr>
    <w:rPr>
      <w:rFonts w:ascii="黑体" w:hAnsi="黑体" w:eastAsia="黑体"/>
      <w:kern w:val="44"/>
      <w:sz w:val="30"/>
      <w:szCs w:val="44"/>
      <w:lang w:val="zh-CN"/>
    </w:rPr>
  </w:style>
  <w:style w:type="paragraph" w:customStyle="1" w:styleId="58">
    <w:name w:val="font6"/>
    <w:basedOn w:val="1"/>
    <w:next w:val="34"/>
    <w:qFormat/>
    <w:uiPriority w:val="0"/>
    <w:pPr>
      <w:widowControl/>
      <w:spacing w:before="280" w:after="280"/>
    </w:pPr>
  </w:style>
  <w:style w:type="paragraph" w:customStyle="1" w:styleId="59">
    <w:name w:val="列表1"/>
    <w:basedOn w:val="12"/>
    <w:next w:val="20"/>
    <w:qFormat/>
    <w:uiPriority w:val="0"/>
    <w:pPr>
      <w:ind w:left="200" w:hanging="200" w:hangingChars="200"/>
    </w:pPr>
  </w:style>
  <w:style w:type="character" w:customStyle="1" w:styleId="60">
    <w:name w:val="标题 4 字符"/>
    <w:link w:val="6"/>
    <w:qFormat/>
    <w:uiPriority w:val="0"/>
    <w:rPr>
      <w:rFonts w:ascii="Cambria" w:hAnsi="Cambria"/>
      <w:b/>
      <w:bCs/>
      <w:kern w:val="2"/>
      <w:sz w:val="28"/>
      <w:szCs w:val="28"/>
    </w:rPr>
  </w:style>
  <w:style w:type="character" w:customStyle="1" w:styleId="61">
    <w:name w:val="标题 7 字符"/>
    <w:link w:val="7"/>
    <w:semiHidden/>
    <w:qFormat/>
    <w:uiPriority w:val="0"/>
    <w:rPr>
      <w:b/>
      <w:bCs/>
      <w:kern w:val="2"/>
      <w:sz w:val="24"/>
      <w:szCs w:val="24"/>
    </w:rPr>
  </w:style>
  <w:style w:type="character" w:customStyle="1" w:styleId="62">
    <w:name w:val="正文文本缩进 字符"/>
    <w:link w:val="11"/>
    <w:semiHidden/>
    <w:qFormat/>
    <w:uiPriority w:val="0"/>
    <w:rPr>
      <w:rFonts w:ascii="Times New Roman" w:hAnsi="Times New Roman" w:eastAsia="宋体"/>
      <w:sz w:val="24"/>
    </w:rPr>
  </w:style>
  <w:style w:type="character" w:customStyle="1" w:styleId="63">
    <w:name w:val="题注 字符"/>
    <w:link w:val="14"/>
    <w:qFormat/>
    <w:uiPriority w:val="0"/>
    <w:rPr>
      <w:rFonts w:ascii="Arial" w:hAnsi="Arial" w:eastAsia="黑体"/>
      <w:sz w:val="22"/>
      <w:szCs w:val="22"/>
      <w:lang w:eastAsia="en-US"/>
    </w:rPr>
  </w:style>
  <w:style w:type="character" w:customStyle="1" w:styleId="64">
    <w:name w:val="批注文字 字符"/>
    <w:link w:val="16"/>
    <w:qFormat/>
    <w:uiPriority w:val="0"/>
    <w:rPr>
      <w:rFonts w:ascii="Times New Roman" w:hAnsi="Times New Roman" w:eastAsia="宋体"/>
      <w:sz w:val="24"/>
    </w:rPr>
  </w:style>
  <w:style w:type="character" w:customStyle="1" w:styleId="65">
    <w:name w:val="正文文本 字符"/>
    <w:link w:val="18"/>
    <w:qFormat/>
    <w:uiPriority w:val="0"/>
    <w:rPr>
      <w:sz w:val="18"/>
    </w:rPr>
  </w:style>
  <w:style w:type="character" w:customStyle="1" w:styleId="66">
    <w:name w:val="日期 字符1"/>
    <w:link w:val="25"/>
    <w:qFormat/>
    <w:uiPriority w:val="0"/>
    <w:rPr>
      <w:rFonts w:ascii="Times New Roman" w:hAnsi="Times New Roman" w:eastAsia="宋体"/>
      <w:sz w:val="24"/>
    </w:rPr>
  </w:style>
  <w:style w:type="character" w:customStyle="1" w:styleId="67">
    <w:name w:val="批注框文本 字符"/>
    <w:link w:val="27"/>
    <w:semiHidden/>
    <w:qFormat/>
    <w:uiPriority w:val="0"/>
    <w:rPr>
      <w:rFonts w:ascii="Times New Roman" w:hAnsi="Times New Roman" w:eastAsia="宋体"/>
      <w:sz w:val="18"/>
    </w:rPr>
  </w:style>
  <w:style w:type="character" w:customStyle="1" w:styleId="68">
    <w:name w:val="页脚 字符1"/>
    <w:link w:val="28"/>
    <w:qFormat/>
    <w:uiPriority w:val="99"/>
    <w:rPr>
      <w:sz w:val="18"/>
    </w:rPr>
  </w:style>
  <w:style w:type="character" w:customStyle="1" w:styleId="69">
    <w:name w:val="页眉 字符"/>
    <w:link w:val="30"/>
    <w:qFormat/>
    <w:uiPriority w:val="0"/>
    <w:rPr>
      <w:sz w:val="18"/>
    </w:rPr>
  </w:style>
  <w:style w:type="character" w:customStyle="1" w:styleId="70">
    <w:name w:val="正文文本缩进 3 字符"/>
    <w:link w:val="33"/>
    <w:qFormat/>
    <w:uiPriority w:val="0"/>
    <w:rPr>
      <w:kern w:val="2"/>
      <w:sz w:val="16"/>
      <w:szCs w:val="16"/>
    </w:rPr>
  </w:style>
  <w:style w:type="character" w:customStyle="1" w:styleId="71">
    <w:name w:val="普通(网站) 字符"/>
    <w:link w:val="37"/>
    <w:qFormat/>
    <w:uiPriority w:val="0"/>
    <w:rPr>
      <w:rFonts w:ascii="宋体" w:hAnsi="宋体" w:eastAsia="宋体"/>
      <w:sz w:val="24"/>
    </w:rPr>
  </w:style>
  <w:style w:type="character" w:customStyle="1" w:styleId="72">
    <w:name w:val="批注主题 字符"/>
    <w:link w:val="38"/>
    <w:semiHidden/>
    <w:qFormat/>
    <w:uiPriority w:val="0"/>
    <w:rPr>
      <w:rFonts w:ascii="Times New Roman" w:hAnsi="Times New Roman" w:eastAsia="宋体"/>
      <w:b/>
      <w:kern w:val="2"/>
      <w:sz w:val="24"/>
    </w:rPr>
  </w:style>
  <w:style w:type="paragraph" w:customStyle="1" w:styleId="73">
    <w:name w:val="正文文字 6"/>
    <w:next w:val="1"/>
    <w:unhideWhenUsed/>
    <w:qFormat/>
    <w:uiPriority w:val="0"/>
    <w:pPr>
      <w:widowControl w:val="0"/>
      <w:ind w:left="240"/>
      <w:jc w:val="both"/>
    </w:pPr>
    <w:rPr>
      <w:rFonts w:hint="eastAsia" w:ascii="宋体" w:hAnsi="Calibri" w:eastAsia="宋体" w:cs="Times New Roman"/>
      <w:b/>
      <w:kern w:val="2"/>
      <w:sz w:val="32"/>
      <w:lang w:val="en-US" w:eastAsia="zh-CN" w:bidi="ar-SA"/>
    </w:rPr>
  </w:style>
  <w:style w:type="character" w:customStyle="1" w:styleId="74">
    <w:name w:val="Default Char Char"/>
    <w:link w:val="50"/>
    <w:qFormat/>
    <w:uiPriority w:val="0"/>
    <w:rPr>
      <w:rFonts w:ascii="宋体" w:cs="宋体"/>
      <w:color w:val="000000"/>
      <w:sz w:val="24"/>
      <w:szCs w:val="24"/>
    </w:rPr>
  </w:style>
  <w:style w:type="paragraph" w:customStyle="1" w:styleId="75">
    <w:name w:val="正文 首行缩进:  2 字符"/>
    <w:basedOn w:val="1"/>
    <w:qFormat/>
    <w:uiPriority w:val="0"/>
    <w:pPr>
      <w:suppressAutoHyphens/>
      <w:ind w:firstLine="579"/>
    </w:pPr>
    <w:rPr>
      <w:rFonts w:cs="宋体"/>
      <w:kern w:val="1"/>
      <w:lang w:eastAsia="ar-SA"/>
    </w:rPr>
  </w:style>
  <w:style w:type="paragraph" w:customStyle="1" w:styleId="76">
    <w:name w:val="正文文本缩进 21"/>
    <w:basedOn w:val="1"/>
    <w:next w:val="77"/>
    <w:qFormat/>
    <w:uiPriority w:val="0"/>
    <w:pPr>
      <w:spacing w:after="120" w:line="480" w:lineRule="auto"/>
      <w:ind w:left="420"/>
    </w:pPr>
  </w:style>
  <w:style w:type="paragraph" w:customStyle="1" w:styleId="77">
    <w:name w:val="样式 正文文本缩进 3 + 12 磅 左侧:  2 字符"/>
    <w:next w:val="16"/>
    <w:qFormat/>
    <w:uiPriority w:val="0"/>
    <w:pPr>
      <w:spacing w:after="120" w:line="360" w:lineRule="auto"/>
      <w:ind w:left="200" w:firstLine="3784"/>
    </w:pPr>
    <w:rPr>
      <w:rFonts w:ascii="Times New Roman" w:hAnsi="Times New Roman" w:eastAsia="宋体" w:cs="Times New Roman"/>
      <w:lang w:val="en-US" w:eastAsia="zh-CN" w:bidi="ar-SA"/>
    </w:rPr>
  </w:style>
  <w:style w:type="paragraph" w:customStyle="1" w:styleId="78">
    <w:name w:val="Normal Indent1"/>
    <w:basedOn w:val="1"/>
    <w:qFormat/>
    <w:uiPriority w:val="0"/>
    <w:pPr>
      <w:ind w:firstLine="420"/>
    </w:pPr>
    <w:rPr>
      <w:rFonts w:ascii="Calibri" w:hAnsi="Calibri"/>
    </w:rPr>
  </w:style>
  <w:style w:type="paragraph" w:customStyle="1" w:styleId="79">
    <w:name w:val="电子邮件签名1"/>
    <w:basedOn w:val="1"/>
    <w:next w:val="10"/>
    <w:qFormat/>
    <w:uiPriority w:val="0"/>
    <w:pPr>
      <w:spacing w:line="460" w:lineRule="exact"/>
      <w:ind w:firstLine="200"/>
    </w:pPr>
  </w:style>
  <w:style w:type="paragraph" w:customStyle="1" w:styleId="80">
    <w:name w:val="纯文本11"/>
    <w:basedOn w:val="1"/>
    <w:qFormat/>
    <w:uiPriority w:val="0"/>
    <w:pPr>
      <w:adjustRightInd w:val="0"/>
    </w:pPr>
    <w:rPr>
      <w:rFonts w:ascii="宋体" w:hAnsi="Courier New"/>
    </w:rPr>
  </w:style>
  <w:style w:type="paragraph" w:customStyle="1" w:styleId="81">
    <w:name w:val="样式 标题 3标题 3 Char标题3H3h33rd level第二层条三级标题ReHead 3 WSA头..."/>
    <w:basedOn w:val="5"/>
    <w:qFormat/>
    <w:uiPriority w:val="0"/>
    <w:pPr>
      <w:numPr>
        <w:ilvl w:val="0"/>
        <w:numId w:val="0"/>
      </w:numPr>
      <w:tabs>
        <w:tab w:val="left" w:pos="4140"/>
      </w:tabs>
      <w:spacing w:before="260" w:beforeAutospacing="0" w:after="260" w:afterAutospacing="0" w:line="416" w:lineRule="auto"/>
      <w:ind w:left="4140" w:hanging="720"/>
    </w:pPr>
    <w:rPr>
      <w:rFonts w:eastAsia="黑体"/>
      <w:color w:val="FF0000"/>
    </w:rPr>
  </w:style>
  <w:style w:type="paragraph" w:styleId="82">
    <w:name w:val="List Paragraph"/>
    <w:basedOn w:val="1"/>
    <w:qFormat/>
    <w:uiPriority w:val="34"/>
    <w:pPr>
      <w:ind w:firstLine="420" w:firstLineChars="200"/>
    </w:pPr>
    <w:rPr>
      <w:rFonts w:ascii="Calibri" w:hAnsi="Calibri"/>
      <w:szCs w:val="22"/>
    </w:rPr>
  </w:style>
  <w:style w:type="character" w:customStyle="1" w:styleId="83">
    <w:name w:val="font41"/>
    <w:qFormat/>
    <w:uiPriority w:val="0"/>
    <w:rPr>
      <w:rFonts w:hint="eastAsia" w:ascii="宋体" w:hAnsi="宋体" w:eastAsia="宋体" w:cs="宋体"/>
      <w:color w:val="000000"/>
      <w:sz w:val="18"/>
      <w:szCs w:val="18"/>
      <w:u w:val="none"/>
    </w:rPr>
  </w:style>
  <w:style w:type="character" w:customStyle="1" w:styleId="84">
    <w:name w:val="表格 Char"/>
    <w:link w:val="85"/>
    <w:qFormat/>
    <w:uiPriority w:val="0"/>
    <w:rPr>
      <w:rFonts w:ascii="宋体"/>
      <w:sz w:val="21"/>
    </w:rPr>
  </w:style>
  <w:style w:type="paragraph" w:customStyle="1" w:styleId="85">
    <w:name w:val="表格"/>
    <w:basedOn w:val="1"/>
    <w:next w:val="1"/>
    <w:link w:val="84"/>
    <w:qFormat/>
    <w:uiPriority w:val="0"/>
    <w:pPr>
      <w:adjustRightInd w:val="0"/>
      <w:snapToGrid w:val="0"/>
      <w:spacing w:beforeLines="10" w:afterLines="10" w:line="259" w:lineRule="auto"/>
      <w:jc w:val="center"/>
    </w:pPr>
    <w:rPr>
      <w:rFonts w:ascii="宋体"/>
      <w:kern w:val="0"/>
      <w:szCs w:val="20"/>
    </w:rPr>
  </w:style>
  <w:style w:type="character" w:customStyle="1" w:styleId="86">
    <w:name w:val="font31"/>
    <w:qFormat/>
    <w:uiPriority w:val="0"/>
    <w:rPr>
      <w:rFonts w:hint="default" w:ascii="Times New Roman" w:hAnsi="Times New Roman" w:cs="Times New Roman"/>
      <w:color w:val="000000"/>
      <w:sz w:val="18"/>
      <w:szCs w:val="18"/>
      <w:u w:val="none"/>
      <w:vertAlign w:val="subscript"/>
    </w:rPr>
  </w:style>
  <w:style w:type="character" w:customStyle="1" w:styleId="87">
    <w:name w:val="表 内容 Char"/>
    <w:link w:val="88"/>
    <w:qFormat/>
    <w:uiPriority w:val="0"/>
    <w:rPr>
      <w:kern w:val="2"/>
      <w:sz w:val="21"/>
      <w:szCs w:val="21"/>
    </w:rPr>
  </w:style>
  <w:style w:type="paragraph" w:customStyle="1" w:styleId="88">
    <w:name w:val="表 内容"/>
    <w:basedOn w:val="1"/>
    <w:link w:val="87"/>
    <w:qFormat/>
    <w:uiPriority w:val="0"/>
    <w:pPr>
      <w:adjustRightInd w:val="0"/>
      <w:snapToGrid w:val="0"/>
      <w:spacing w:beforeLines="10" w:afterLines="10"/>
      <w:jc w:val="center"/>
    </w:pPr>
    <w:rPr>
      <w:szCs w:val="21"/>
    </w:rPr>
  </w:style>
  <w:style w:type="character" w:customStyle="1" w:styleId="89">
    <w:name w:val="font11"/>
    <w:qFormat/>
    <w:uiPriority w:val="0"/>
    <w:rPr>
      <w:rFonts w:hint="eastAsia" w:ascii="宋体" w:hAnsi="宋体" w:eastAsia="宋体" w:cs="宋体"/>
      <w:color w:val="000000"/>
      <w:sz w:val="18"/>
      <w:szCs w:val="18"/>
      <w:u w:val="none"/>
    </w:rPr>
  </w:style>
  <w:style w:type="character" w:customStyle="1" w:styleId="90">
    <w:name w:val="日期 字符"/>
    <w:semiHidden/>
    <w:qFormat/>
    <w:uiPriority w:val="0"/>
    <w:rPr>
      <w:rFonts w:ascii="Times New Roman" w:hAnsi="Times New Roman" w:eastAsia="宋体"/>
      <w:sz w:val="24"/>
    </w:rPr>
  </w:style>
  <w:style w:type="character" w:customStyle="1" w:styleId="91">
    <w:name w:val="font61"/>
    <w:qFormat/>
    <w:uiPriority w:val="0"/>
    <w:rPr>
      <w:rFonts w:hint="default" w:ascii="Times New Roman" w:hAnsi="Times New Roman" w:cs="Times New Roman"/>
      <w:color w:val="000000"/>
      <w:sz w:val="18"/>
      <w:szCs w:val="18"/>
      <w:u w:val="none"/>
      <w:vertAlign w:val="superscript"/>
    </w:rPr>
  </w:style>
  <w:style w:type="character" w:customStyle="1" w:styleId="92">
    <w:name w:val="font51"/>
    <w:qFormat/>
    <w:uiPriority w:val="0"/>
    <w:rPr>
      <w:rFonts w:hint="default" w:ascii="Times New Roman" w:hAnsi="Times New Roman" w:cs="Times New Roman"/>
      <w:color w:val="000000"/>
      <w:sz w:val="18"/>
      <w:szCs w:val="18"/>
      <w:u w:val="none"/>
    </w:rPr>
  </w:style>
  <w:style w:type="character" w:customStyle="1" w:styleId="93">
    <w:name w:val="font81"/>
    <w:qFormat/>
    <w:uiPriority w:val="0"/>
    <w:rPr>
      <w:rFonts w:hint="default" w:ascii="Times New Roman" w:hAnsi="Times New Roman" w:cs="Times New Roman"/>
      <w:color w:val="000000"/>
      <w:sz w:val="18"/>
      <w:szCs w:val="18"/>
      <w:u w:val="none"/>
      <w:vertAlign w:val="superscript"/>
    </w:rPr>
  </w:style>
  <w:style w:type="character" w:customStyle="1" w:styleId="94">
    <w:name w:val="font71"/>
    <w:qFormat/>
    <w:uiPriority w:val="0"/>
    <w:rPr>
      <w:rFonts w:hint="eastAsia" w:ascii="宋体" w:hAnsi="宋体" w:eastAsia="宋体" w:cs="宋体"/>
      <w:color w:val="000000"/>
      <w:sz w:val="18"/>
      <w:szCs w:val="18"/>
      <w:u w:val="none"/>
    </w:rPr>
  </w:style>
  <w:style w:type="character" w:customStyle="1" w:styleId="95">
    <w:name w:val="正文文本 字符1"/>
    <w:semiHidden/>
    <w:qFormat/>
    <w:uiPriority w:val="0"/>
    <w:rPr>
      <w:rFonts w:ascii="Times New Roman" w:hAnsi="Times New Roman" w:eastAsia="宋体"/>
      <w:sz w:val="24"/>
    </w:rPr>
  </w:style>
  <w:style w:type="character" w:customStyle="1" w:styleId="96">
    <w:name w:val="font21"/>
    <w:qFormat/>
    <w:uiPriority w:val="0"/>
    <w:rPr>
      <w:rFonts w:hint="default" w:ascii="Times New Roman" w:hAnsi="Times New Roman" w:cs="Times New Roman"/>
      <w:color w:val="000000"/>
      <w:sz w:val="18"/>
      <w:szCs w:val="18"/>
      <w:u w:val="none"/>
    </w:rPr>
  </w:style>
  <w:style w:type="character" w:customStyle="1" w:styleId="97">
    <w:name w:val="批注文字 字符1"/>
    <w:semiHidden/>
    <w:qFormat/>
    <w:uiPriority w:val="0"/>
    <w:rPr>
      <w:rFonts w:ascii="Times New Roman" w:hAnsi="Times New Roman" w:eastAsia="宋体"/>
      <w:sz w:val="24"/>
    </w:rPr>
  </w:style>
  <w:style w:type="character" w:customStyle="1" w:styleId="98">
    <w:name w:val="font91"/>
    <w:qFormat/>
    <w:uiPriority w:val="0"/>
    <w:rPr>
      <w:rFonts w:hint="default" w:ascii="Times New Roman" w:hAnsi="Times New Roman" w:cs="Times New Roman"/>
      <w:color w:val="000000"/>
      <w:sz w:val="18"/>
      <w:szCs w:val="18"/>
      <w:u w:val="none"/>
      <w:vertAlign w:val="superscript"/>
    </w:rPr>
  </w:style>
  <w:style w:type="character" w:customStyle="1" w:styleId="99">
    <w:name w:val="font01"/>
    <w:qFormat/>
    <w:uiPriority w:val="0"/>
    <w:rPr>
      <w:rFonts w:hint="default" w:ascii="Times New Roman" w:hAnsi="Times New Roman" w:cs="Times New Roman"/>
      <w:color w:val="000000"/>
      <w:sz w:val="16"/>
      <w:szCs w:val="16"/>
      <w:u w:val="none"/>
    </w:rPr>
  </w:style>
  <w:style w:type="character" w:customStyle="1" w:styleId="100">
    <w:name w:val="正文文本缩进 3 Char1"/>
    <w:qFormat/>
    <w:uiPriority w:val="0"/>
    <w:rPr>
      <w:kern w:val="2"/>
      <w:sz w:val="16"/>
      <w:szCs w:val="16"/>
    </w:rPr>
  </w:style>
  <w:style w:type="character" w:customStyle="1" w:styleId="101">
    <w:name w:val="页脚 字符"/>
    <w:qFormat/>
    <w:uiPriority w:val="99"/>
  </w:style>
  <w:style w:type="paragraph" w:customStyle="1" w:styleId="102">
    <w:name w:val="表头文字"/>
    <w:basedOn w:val="1"/>
    <w:qFormat/>
    <w:uiPriority w:val="0"/>
    <w:pPr>
      <w:tabs>
        <w:tab w:val="left" w:pos="0"/>
      </w:tabs>
      <w:adjustRightInd w:val="0"/>
      <w:spacing w:line="360" w:lineRule="auto"/>
      <w:ind w:firstLine="0"/>
      <w:jc w:val="center"/>
    </w:pPr>
    <w:rPr>
      <w:b/>
      <w:bCs/>
      <w:sz w:val="21"/>
      <w:szCs w:val="21"/>
    </w:rPr>
  </w:style>
  <w:style w:type="paragraph" w:customStyle="1" w:styleId="103">
    <w:name w:val="报告表  段"/>
    <w:basedOn w:val="1"/>
    <w:qFormat/>
    <w:uiPriority w:val="0"/>
    <w:pPr>
      <w:adjustRightInd w:val="0"/>
      <w:spacing w:line="360" w:lineRule="auto"/>
      <w:ind w:firstLine="505"/>
      <w:textAlignment w:val="baseline"/>
    </w:pPr>
    <w:rPr>
      <w:rFonts w:ascii="宋体"/>
      <w:kern w:val="0"/>
      <w:sz w:val="24"/>
      <w:szCs w:val="20"/>
    </w:rPr>
  </w:style>
  <w:style w:type="paragraph" w:customStyle="1" w:styleId="104">
    <w:name w:val="我表内文字"/>
    <w:basedOn w:val="1"/>
    <w:qFormat/>
    <w:uiPriority w:val="0"/>
    <w:pPr>
      <w:spacing w:before="10" w:beforeLines="10" w:after="10" w:afterLines="10"/>
      <w:jc w:val="center"/>
    </w:pPr>
    <w:rPr>
      <w:rFonts w:cs="Times New Roman"/>
      <w:szCs w:val="21"/>
    </w:rPr>
  </w:style>
  <w:style w:type="paragraph" w:customStyle="1" w:styleId="105">
    <w:name w:val="A正文"/>
    <w:basedOn w:val="1"/>
    <w:next w:val="18"/>
    <w:qFormat/>
    <w:uiPriority w:val="0"/>
    <w:pPr>
      <w:spacing w:line="360" w:lineRule="auto"/>
      <w:ind w:firstLine="200" w:firstLineChars="200"/>
    </w:pPr>
    <w:rPr>
      <w:sz w:val="24"/>
    </w:rPr>
  </w:style>
  <w:style w:type="paragraph" w:customStyle="1" w:styleId="106">
    <w:name w:val="表格 32"/>
    <w:basedOn w:val="1"/>
    <w:qFormat/>
    <w:uiPriority w:val="0"/>
    <w:pPr>
      <w:autoSpaceDE w:val="0"/>
      <w:autoSpaceDN w:val="0"/>
      <w:adjustRightInd w:val="0"/>
      <w:jc w:val="center"/>
      <w:textAlignment w:val="baseline"/>
    </w:pPr>
    <w:rPr>
      <w:rFonts w:ascii="宋体" w:hAnsi="Impact" w:cs="宋体"/>
      <w:kern w:val="24"/>
      <w:sz w:val="24"/>
    </w:rPr>
  </w:style>
  <w:style w:type="paragraph" w:customStyle="1" w:styleId="107">
    <w:name w:val="表格1"/>
    <w:basedOn w:val="1"/>
    <w:next w:val="1"/>
    <w:qFormat/>
    <w:uiPriority w:val="0"/>
    <w:pPr>
      <w:topLinePunct/>
      <w:autoSpaceDE w:val="0"/>
      <w:autoSpaceDN w:val="0"/>
      <w:adjustRightInd w:val="0"/>
      <w:jc w:val="center"/>
      <w:textAlignment w:val="baseline"/>
    </w:pPr>
    <w:rPr>
      <w:rFonts w:ascii="宋体" w:hAnsi="Impact"/>
      <w:kern w:val="24"/>
      <w:sz w:val="28"/>
      <w:szCs w:val="20"/>
    </w:rPr>
  </w:style>
  <w:style w:type="paragraph" w:styleId="108">
    <w:name w:val="No Spacing"/>
    <w:basedOn w:val="1"/>
    <w:qFormat/>
    <w:uiPriority w:val="1"/>
    <w:rPr>
      <w:rFonts w:ascii="Calibri" w:hAnsi="Calibri"/>
      <w:sz w:val="24"/>
    </w:rPr>
  </w:style>
  <w:style w:type="paragraph" w:customStyle="1" w:styleId="109">
    <w:name w:val="列表(L)"/>
    <w:basedOn w:val="12"/>
    <w:qFormat/>
    <w:uiPriority w:val="0"/>
    <w:pPr>
      <w:widowControl/>
      <w:snapToGrid w:val="0"/>
      <w:ind w:left="0" w:firstLine="0" w:firstLineChars="0"/>
      <w:jc w:val="left"/>
    </w:pPr>
    <w:rPr>
      <w:rFonts w:cs="宋体"/>
      <w:szCs w:val="20"/>
    </w:rPr>
  </w:style>
  <w:style w:type="paragraph" w:customStyle="1" w:styleId="110">
    <w:name w:val="！表格文字"/>
    <w:basedOn w:val="1"/>
    <w:qFormat/>
    <w:uiPriority w:val="0"/>
    <w:pPr>
      <w:widowControl/>
      <w:spacing w:line="240" w:lineRule="auto"/>
      <w:ind w:firstLine="0" w:firstLineChars="0"/>
      <w:jc w:val="center"/>
    </w:pPr>
    <w:rPr>
      <w:rFonts w:cs="宋体"/>
      <w:kern w:val="0"/>
      <w:sz w:val="21"/>
      <w:szCs w:val="21"/>
    </w:rPr>
  </w:style>
  <w:style w:type="paragraph" w:customStyle="1" w:styleId="111">
    <w:name w:val="Huo 正文 小四缩进2"/>
    <w:basedOn w:val="1"/>
    <w:qFormat/>
    <w:uiPriority w:val="0"/>
    <w:pPr>
      <w:spacing w:line="360" w:lineRule="auto"/>
      <w:ind w:firstLine="200" w:firstLineChars="200"/>
    </w:pPr>
    <w:rPr>
      <w:rFonts w:cs="仿宋_GB2312"/>
      <w:sz w:val="24"/>
    </w:rPr>
  </w:style>
  <w:style w:type="paragraph" w:customStyle="1" w:styleId="112">
    <w:name w:val="_Style 110"/>
    <w:unhideWhenUsed/>
    <w:qFormat/>
    <w:uiPriority w:val="99"/>
    <w:rPr>
      <w:rFonts w:ascii="Times New Roman" w:hAnsi="Times New Roman" w:eastAsia="宋体" w:cs="Times New Roman"/>
      <w:kern w:val="2"/>
      <w:sz w:val="21"/>
      <w:szCs w:val="24"/>
      <w:lang w:val="en-US" w:eastAsia="zh-CN" w:bidi="ar-SA"/>
    </w:rPr>
  </w:style>
  <w:style w:type="paragraph" w:customStyle="1" w:styleId="113">
    <w:name w:val="正 文"/>
    <w:basedOn w:val="1"/>
    <w:next w:val="1"/>
    <w:qFormat/>
    <w:uiPriority w:val="0"/>
    <w:rPr>
      <w:rFonts w:cs="Times New Roman"/>
      <w:snapToGrid w:val="0"/>
      <w:szCs w:val="21"/>
    </w:rPr>
  </w:style>
  <w:style w:type="paragraph" w:customStyle="1" w:styleId="114">
    <w:name w:val="缩进"/>
    <w:basedOn w:val="1"/>
    <w:qFormat/>
    <w:uiPriority w:val="0"/>
    <w:pPr>
      <w:autoSpaceDE w:val="0"/>
      <w:autoSpaceDN w:val="0"/>
      <w:adjustRightInd w:val="0"/>
      <w:spacing w:line="400" w:lineRule="atLeast"/>
      <w:ind w:firstLine="425"/>
      <w:textAlignment w:val="baseline"/>
    </w:pPr>
    <w:rPr>
      <w:rFonts w:ascii="Calibri" w:hAnsi="Calibri"/>
      <w:kern w:val="0"/>
      <w:sz w:val="24"/>
      <w:szCs w:val="20"/>
    </w:rPr>
  </w:style>
  <w:style w:type="paragraph" w:customStyle="1" w:styleId="115">
    <w:name w:val="表标题"/>
    <w:basedOn w:val="116"/>
    <w:qFormat/>
    <w:uiPriority w:val="0"/>
    <w:pPr>
      <w:widowControl/>
      <w:numPr>
        <w:ilvl w:val="4"/>
        <w:numId w:val="2"/>
      </w:numPr>
      <w:adjustRightInd w:val="0"/>
      <w:ind w:firstLine="0" w:firstLineChars="0"/>
      <w:jc w:val="center"/>
      <w:textAlignment w:val="baseline"/>
    </w:pPr>
    <w:rPr>
      <w:rFonts w:cs="宋体"/>
      <w:b/>
      <w:snapToGrid w:val="0"/>
      <w:kern w:val="0"/>
      <w:sz w:val="21"/>
    </w:rPr>
  </w:style>
  <w:style w:type="paragraph" w:customStyle="1" w:styleId="116">
    <w:name w:val="正文内容"/>
    <w:basedOn w:val="1"/>
    <w:qFormat/>
    <w:uiPriority w:val="0"/>
    <w:pPr>
      <w:ind w:firstLine="200" w:firstLineChars="200"/>
    </w:pPr>
    <w:rPr>
      <w:kern w:val="0"/>
      <w:sz w:val="24"/>
    </w:rPr>
  </w:style>
  <w:style w:type="paragraph" w:customStyle="1" w:styleId="117">
    <w:name w:val="BT字体"/>
    <w:basedOn w:val="1"/>
    <w:qFormat/>
    <w:uiPriority w:val="0"/>
    <w:pPr>
      <w:spacing w:before="50" w:beforeLines="50" w:line="0" w:lineRule="atLeast"/>
      <w:ind w:firstLine="0" w:firstLineChars="0"/>
      <w:jc w:val="center"/>
    </w:pPr>
    <w:rPr>
      <w:rFonts w:ascii="Times New Roman" w:hAnsi="Times New Roman"/>
      <w:b/>
    </w:rPr>
  </w:style>
  <w:style w:type="paragraph" w:customStyle="1" w:styleId="118">
    <w:name w:val="TT表格文字"/>
    <w:basedOn w:val="1"/>
    <w:qFormat/>
    <w:uiPriority w:val="0"/>
    <w:pPr>
      <w:jc w:val="center"/>
    </w:pPr>
    <w:rPr>
      <w:rFonts w:cs="宋体"/>
      <w:szCs w:val="20"/>
    </w:rPr>
  </w:style>
  <w:style w:type="paragraph" w:customStyle="1" w:styleId="119">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20">
    <w:name w:val="LUX 报告表"/>
    <w:basedOn w:val="1"/>
    <w:qFormat/>
    <w:uiPriority w:val="0"/>
    <w:pPr>
      <w:widowControl/>
      <w:snapToGrid w:val="0"/>
      <w:spacing w:line="500" w:lineRule="exact"/>
      <w:ind w:firstLine="480" w:firstLineChars="200"/>
    </w:pPr>
    <w:rPr>
      <w:rFonts w:ascii="宋体" w:hAnsi="宋体"/>
      <w:sz w:val="24"/>
      <w:szCs w:val="24"/>
    </w:rPr>
  </w:style>
  <w:style w:type="paragraph" w:customStyle="1" w:styleId="121">
    <w:name w:val="Table Paragraph"/>
    <w:basedOn w:val="1"/>
    <w:qFormat/>
    <w:uiPriority w:val="0"/>
    <w:pPr>
      <w:autoSpaceDE w:val="0"/>
      <w:autoSpaceDN w:val="0"/>
      <w:adjustRightInd w:val="0"/>
      <w:jc w:val="left"/>
    </w:pPr>
    <w:rPr>
      <w:kern w:val="0"/>
      <w:sz w:val="24"/>
      <w:szCs w:val="20"/>
    </w:rPr>
  </w:style>
  <w:style w:type="paragraph" w:customStyle="1" w:styleId="122">
    <w:name w:val="报告表正文"/>
    <w:basedOn w:val="13"/>
    <w:qFormat/>
    <w:uiPriority w:val="0"/>
    <w:pPr>
      <w:spacing w:line="440" w:lineRule="exact"/>
    </w:pPr>
    <w:rPr>
      <w:kern w:val="2"/>
    </w:rPr>
  </w:style>
  <w:style w:type="paragraph" w:customStyle="1" w:styleId="123">
    <w:name w:val="p0"/>
    <w:basedOn w:val="1"/>
    <w:qFormat/>
    <w:uiPriority w:val="0"/>
    <w:pPr>
      <w:widowControl/>
      <w:spacing w:before="100" w:beforeAutospacing="1" w:after="100" w:afterAutospacing="1"/>
      <w:jc w:val="left"/>
    </w:pPr>
    <w:rPr>
      <w:rFonts w:ascii="宋体" w:hAnsi="宋体"/>
      <w:kern w:val="0"/>
      <w:sz w:val="24"/>
    </w:rPr>
  </w:style>
  <w:style w:type="paragraph" w:customStyle="1" w:styleId="124">
    <w:name w:val="正文 32"/>
    <w:basedOn w:val="1"/>
    <w:qFormat/>
    <w:uiPriority w:val="0"/>
    <w:pPr>
      <w:autoSpaceDE w:val="0"/>
      <w:autoSpaceDN w:val="0"/>
      <w:adjustRightInd w:val="0"/>
      <w:spacing w:line="360" w:lineRule="auto"/>
      <w:ind w:firstLine="567"/>
      <w:textAlignment w:val="baseline"/>
    </w:pPr>
    <w:rPr>
      <w:rFonts w:ascii="Calibri" w:hAnsi="Calibri"/>
      <w:kern w:val="0"/>
      <w:sz w:val="24"/>
      <w:szCs w:val="20"/>
    </w:rPr>
  </w:style>
  <w:style w:type="paragraph" w:customStyle="1" w:styleId="125">
    <w:name w:val="Default1"/>
    <w:basedOn w:val="126"/>
    <w:next w:val="8"/>
    <w:qFormat/>
    <w:uiPriority w:val="0"/>
    <w:pPr>
      <w:widowControl w:val="0"/>
      <w:autoSpaceDE w:val="0"/>
      <w:autoSpaceDN w:val="0"/>
      <w:adjustRightInd w:val="0"/>
    </w:pPr>
    <w:rPr>
      <w:rFonts w:ascii="宋体" w:cs="宋体"/>
      <w:color w:val="000000"/>
      <w:sz w:val="24"/>
      <w:szCs w:val="24"/>
      <w:lang w:val="en-US" w:eastAsia="zh-CN" w:bidi="ar-SA"/>
    </w:rPr>
  </w:style>
  <w:style w:type="paragraph" w:customStyle="1" w:styleId="126">
    <w:name w:val="表格文字01"/>
    <w:basedOn w:val="1"/>
    <w:qFormat/>
    <w:uiPriority w:val="0"/>
    <w:pPr>
      <w:widowControl w:val="0"/>
      <w:wordWrap w:val="0"/>
      <w:overflowPunct w:val="0"/>
      <w:topLinePunct/>
      <w:spacing w:line="240" w:lineRule="auto"/>
      <w:ind w:firstLine="0" w:firstLineChars="0"/>
      <w:jc w:val="center"/>
    </w:pPr>
    <w:rPr>
      <w:rFonts w:ascii="Arial" w:hAnsi="Arial"/>
      <w:snapToGrid w:val="0"/>
      <w:color w:val="000000"/>
      <w:szCs w:val="24"/>
    </w:rPr>
  </w:style>
  <w:style w:type="paragraph" w:customStyle="1" w:styleId="127">
    <w:name w:val="正文样式1"/>
    <w:basedOn w:val="1"/>
    <w:next w:val="1"/>
    <w:qFormat/>
    <w:uiPriority w:val="0"/>
    <w:pPr>
      <w:widowControl w:val="0"/>
      <w:adjustRightInd w:val="0"/>
      <w:spacing w:line="288" w:lineRule="auto"/>
      <w:ind w:firstLine="360" w:firstLineChars="150"/>
      <w:jc w:val="both"/>
      <w:textAlignment w:val="baseline"/>
    </w:pPr>
    <w:rPr>
      <w:rFonts w:ascii="Times New Roman" w:hAnsi="Times New Roman"/>
      <w:kern w:val="0"/>
      <w:sz w:val="24"/>
      <w:szCs w:val="20"/>
    </w:rPr>
  </w:style>
  <w:style w:type="paragraph" w:customStyle="1" w:styleId="128">
    <w:name w:val="表格2"/>
    <w:basedOn w:val="107"/>
    <w:next w:val="1"/>
    <w:qFormat/>
    <w:uiPriority w:val="0"/>
    <w:pPr>
      <w:topLinePunct/>
      <w:autoSpaceDE w:val="0"/>
      <w:autoSpaceDN w:val="0"/>
      <w:adjustRightInd w:val="0"/>
      <w:jc w:val="center"/>
      <w:textAlignment w:val="baseline"/>
    </w:pPr>
    <w:rPr>
      <w:rFonts w:ascii="宋体" w:hAnsi="Impact" w:cs="宋体"/>
      <w:kern w:val="24"/>
      <w:position w:val="-28"/>
      <w:szCs w:val="21"/>
    </w:rPr>
  </w:style>
  <w:style w:type="paragraph" w:customStyle="1" w:styleId="129">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130">
    <w:name w:val="_Style 48"/>
    <w:basedOn w:val="1"/>
    <w:next w:val="82"/>
    <w:qFormat/>
    <w:uiPriority w:val="34"/>
    <w:pPr>
      <w:ind w:firstLine="420" w:firstLineChars="200"/>
    </w:pPr>
    <w:rPr>
      <w:rFonts w:ascii="Calibri" w:hAnsi="Calibri"/>
      <w:szCs w:val="22"/>
    </w:rPr>
  </w:style>
  <w:style w:type="paragraph" w:customStyle="1" w:styleId="131">
    <w:name w:val="段落A"/>
    <w:basedOn w:val="1"/>
    <w:qFormat/>
    <w:uiPriority w:val="0"/>
    <w:pPr>
      <w:spacing w:line="400" w:lineRule="exact"/>
      <w:ind w:firstLine="480" w:firstLineChars="200"/>
    </w:pPr>
    <w:rPr>
      <w:sz w:val="24"/>
    </w:rPr>
  </w:style>
  <w:style w:type="paragraph" w:customStyle="1" w:styleId="132">
    <w:name w:val="Char Char Char Char Char Char Char Char Char Char"/>
    <w:basedOn w:val="1"/>
    <w:qFormat/>
    <w:uiPriority w:val="0"/>
    <w:pPr>
      <w:adjustRightInd w:val="0"/>
      <w:spacing w:line="360" w:lineRule="auto"/>
    </w:pPr>
    <w:rPr>
      <w:kern w:val="0"/>
      <w:sz w:val="24"/>
      <w:szCs w:val="20"/>
    </w:rPr>
  </w:style>
  <w:style w:type="paragraph" w:customStyle="1" w:styleId="133">
    <w:name w:val="！正文"/>
    <w:qFormat/>
    <w:uiPriority w:val="0"/>
    <w:pPr>
      <w:ind w:firstLine="480"/>
    </w:pPr>
    <w:rPr>
      <w:rFonts w:ascii="Times New Roman" w:hAnsi="Times New Roman" w:eastAsia="宋体" w:cs="宋体"/>
      <w:sz w:val="21"/>
      <w:szCs w:val="22"/>
      <w:lang w:val="en-US" w:eastAsia="zh-CN" w:bidi="ar-SA"/>
    </w:rPr>
  </w:style>
  <w:style w:type="paragraph" w:customStyle="1" w:styleId="13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35">
    <w:name w:val="表格填充1"/>
    <w:basedOn w:val="1"/>
    <w:qFormat/>
    <w:uiPriority w:val="0"/>
    <w:pPr>
      <w:adjustRightInd w:val="0"/>
      <w:snapToGrid w:val="0"/>
      <w:spacing w:line="400" w:lineRule="exact"/>
      <w:jc w:val="center"/>
    </w:pPr>
    <w:rPr>
      <w:snapToGrid/>
      <w:kern w:val="0"/>
      <w:szCs w:val="18"/>
    </w:rPr>
  </w:style>
  <w:style w:type="paragraph" w:customStyle="1" w:styleId="136">
    <w:name w:val="表内文字"/>
    <w:basedOn w:val="1"/>
    <w:next w:val="1"/>
    <w:qFormat/>
    <w:uiPriority w:val="0"/>
    <w:pPr>
      <w:keepNext w:val="0"/>
      <w:keepLines w:val="0"/>
      <w:widowControl w:val="0"/>
      <w:suppressLineNumbers w:val="0"/>
      <w:spacing w:before="0" w:beforeAutospacing="0" w:after="0" w:afterAutospacing="0" w:line="360" w:lineRule="exact"/>
      <w:ind w:left="0" w:right="0"/>
      <w:jc w:val="center"/>
    </w:pPr>
    <w:rPr>
      <w:rFonts w:hint="default" w:ascii="Times New Roman" w:hAnsi="Times New Roman" w:cs="Times New Roman"/>
      <w:kern w:val="2"/>
      <w:sz w:val="21"/>
      <w:szCs w:val="21"/>
      <w:lang w:val="en-US" w:eastAsia="zh-CN" w:bidi="ar"/>
    </w:rPr>
  </w:style>
  <w:style w:type="paragraph" w:customStyle="1" w:styleId="137">
    <w:name w:val="蓝森表格内容"/>
    <w:basedOn w:val="1"/>
    <w:qFormat/>
    <w:uiPriority w:val="0"/>
    <w:pPr>
      <w:spacing w:line="360" w:lineRule="exact"/>
      <w:ind w:firstLine="0"/>
      <w:jc w:val="center"/>
    </w:pPr>
    <w:rPr>
      <w:bCs/>
      <w:sz w:val="21"/>
      <w:szCs w:val="21"/>
    </w:rPr>
  </w:style>
  <w:style w:type="paragraph" w:customStyle="1" w:styleId="138">
    <w:name w:val="四级 冯"/>
    <w:basedOn w:val="6"/>
    <w:qFormat/>
    <w:uiPriority w:val="0"/>
    <w:pPr>
      <w:tabs>
        <w:tab w:val="left" w:pos="864"/>
      </w:tabs>
      <w:spacing w:line="372" w:lineRule="auto"/>
    </w:pPr>
    <w:rPr>
      <w:rFonts w:ascii="Times New Roman" w:hAnsi="Times New Roman"/>
      <w:szCs w:val="20"/>
    </w:rPr>
  </w:style>
  <w:style w:type="paragraph" w:customStyle="1" w:styleId="139">
    <w:name w:val="表格文字"/>
    <w:basedOn w:val="13"/>
    <w:next w:val="140"/>
    <w:qFormat/>
    <w:uiPriority w:val="0"/>
    <w:pPr>
      <w:adjustRightInd w:val="0"/>
      <w:snapToGrid w:val="0"/>
      <w:spacing w:line="300" w:lineRule="auto"/>
      <w:ind w:firstLine="0"/>
      <w:jc w:val="center"/>
    </w:pPr>
    <w:rPr>
      <w:rFonts w:ascii="宋体" w:hAnsi="宋体"/>
      <w:color w:val="000000"/>
      <w:kern w:val="0"/>
      <w:sz w:val="18"/>
      <w:szCs w:val="21"/>
    </w:rPr>
  </w:style>
  <w:style w:type="paragraph" w:customStyle="1" w:styleId="140">
    <w:name w:val="表格标题"/>
    <w:basedOn w:val="14"/>
    <w:qFormat/>
    <w:uiPriority w:val="0"/>
    <w:pPr>
      <w:keepNext/>
      <w:spacing w:line="440" w:lineRule="exact"/>
      <w:jc w:val="center"/>
    </w:pPr>
    <w:rPr>
      <w:rFonts w:ascii="Times New Roman" w:hAnsi="宋体" w:eastAsia="Times New Roman" w:cs="Times New Roman"/>
      <w:sz w:val="24"/>
      <w:szCs w:val="21"/>
    </w:rPr>
  </w:style>
  <w:style w:type="paragraph" w:customStyle="1" w:styleId="141">
    <w:name w:val="[正文格式]"/>
    <w:basedOn w:val="1"/>
    <w:qFormat/>
    <w:uiPriority w:val="0"/>
    <w:pPr>
      <w:ind w:firstLine="200"/>
    </w:pPr>
  </w:style>
  <w:style w:type="paragraph" w:customStyle="1" w:styleId="142">
    <w:name w:val="电镀表"/>
    <w:basedOn w:val="1"/>
    <w:semiHidden/>
    <w:qFormat/>
    <w:uiPriority w:val="0"/>
    <w:pPr>
      <w:autoSpaceDE w:val="0"/>
      <w:autoSpaceDN w:val="0"/>
      <w:adjustRightInd w:val="0"/>
      <w:spacing w:line="0" w:lineRule="atLeast"/>
      <w:ind w:firstLine="0" w:firstLineChars="0"/>
      <w:jc w:val="center"/>
      <w:textAlignment w:val="center"/>
    </w:pPr>
    <w:rPr>
      <w:rFonts w:ascii="宋体" w:hAnsi="宋体" w:cs="Arial Unicode MS"/>
      <w:color w:val="000000"/>
      <w:kern w:val="0"/>
      <w:sz w:val="21"/>
      <w:szCs w:val="21"/>
    </w:rPr>
  </w:style>
  <w:style w:type="paragraph" w:customStyle="1" w:styleId="143">
    <w:name w:val="报告正文"/>
    <w:basedOn w:val="1"/>
    <w:qFormat/>
    <w:uiPriority w:val="0"/>
    <w:pPr>
      <w:adjustRightInd w:val="0"/>
      <w:snapToGrid w:val="0"/>
      <w:ind w:left="0" w:firstLine="480" w:firstLineChars="200"/>
    </w:pPr>
    <w:rPr>
      <w:sz w:val="24"/>
      <w:szCs w:val="20"/>
    </w:rPr>
  </w:style>
  <w:style w:type="paragraph" w:customStyle="1" w:styleId="144">
    <w:name w:val="列表段落5"/>
    <w:basedOn w:val="1"/>
    <w:qFormat/>
    <w:uiPriority w:val="0"/>
    <w:pPr>
      <w:spacing w:line="360" w:lineRule="auto"/>
      <w:ind w:firstLine="420" w:firstLineChars="200"/>
    </w:pPr>
    <w:rPr>
      <w:rFonts w:ascii="Times New Roman" w:hAnsi="Times New Roman" w:eastAsia="仿宋_GB2312" w:cs="Times New Roman"/>
      <w:sz w:val="30"/>
      <w:szCs w:val="30"/>
    </w:rPr>
  </w:style>
  <w:style w:type="table" w:customStyle="1" w:styleId="145">
    <w:name w:val="Table Normal"/>
    <w:unhideWhenUsed/>
    <w:qFormat/>
    <w:uiPriority w:val="0"/>
    <w:rPr>
      <w:lang w:val="en-US" w:eastAsia="zh-CN" w:bidi="ar-SA"/>
    </w:rPr>
    <w:tblPr>
      <w:tblCellMar>
        <w:top w:w="0" w:type="dxa"/>
        <w:left w:w="0" w:type="dxa"/>
        <w:bottom w:w="0" w:type="dxa"/>
        <w:right w:w="0" w:type="dxa"/>
      </w:tblCellMar>
    </w:tblPr>
  </w:style>
  <w:style w:type="paragraph" w:customStyle="1" w:styleId="146">
    <w:name w:val="a正文"/>
    <w:basedOn w:val="1"/>
    <w:qFormat/>
    <w:uiPriority w:val="0"/>
    <w:pPr>
      <w:spacing w:line="360" w:lineRule="auto"/>
      <w:ind w:firstLine="200" w:firstLineChars="200"/>
    </w:pPr>
    <w:rPr>
      <w:kern w:val="0"/>
    </w:rPr>
  </w:style>
  <w:style w:type="paragraph" w:customStyle="1" w:styleId="147">
    <w:name w:val="table"/>
    <w:basedOn w:val="1"/>
    <w:qFormat/>
    <w:uiPriority w:val="0"/>
    <w:pPr>
      <w:spacing w:line="240" w:lineRule="auto"/>
      <w:ind w:firstLine="0" w:firstLineChars="0"/>
      <w:jc w:val="center"/>
    </w:pPr>
    <w:rPr>
      <w:color w:val="000000"/>
      <w:sz w:val="21"/>
      <w:szCs w:val="21"/>
    </w:rPr>
  </w:style>
  <w:style w:type="paragraph" w:customStyle="1" w:styleId="148">
    <w:name w:val="Body Text Indent 3"/>
    <w:basedOn w:val="1"/>
    <w:qFormat/>
    <w:uiPriority w:val="0"/>
    <w:pPr>
      <w:adjustRightInd w:val="0"/>
      <w:spacing w:before="120" w:line="360" w:lineRule="auto"/>
      <w:ind w:firstLine="573"/>
    </w:pPr>
    <w:rPr>
      <w:sz w:val="24"/>
    </w:rPr>
  </w:style>
  <w:style w:type="character" w:customStyle="1" w:styleId="149">
    <w:name w:val="fontstyle01"/>
    <w:qFormat/>
    <w:uiPriority w:val="0"/>
    <w:rPr>
      <w:rFonts w:hint="eastAsia" w:ascii="宋体" w:hAnsi="宋体" w:eastAsia="宋体" w:cs="Times New Roman"/>
      <w:color w:val="000000"/>
      <w:sz w:val="18"/>
      <w:szCs w:val="18"/>
    </w:rPr>
  </w:style>
  <w:style w:type="character" w:customStyle="1" w:styleId="150">
    <w:name w:val="fontstyle11"/>
    <w:qFormat/>
    <w:uiPriority w:val="0"/>
    <w:rPr>
      <w:rFonts w:hint="default" w:ascii="TimesNewRomanPSMT" w:hAnsi="TimesNewRomanPSMT" w:eastAsia="宋体" w:cs="Times New Roman"/>
      <w:color w:val="000000"/>
      <w:sz w:val="18"/>
      <w:szCs w:val="18"/>
    </w:rPr>
  </w:style>
  <w:style w:type="paragraph" w:customStyle="1" w:styleId="151">
    <w:name w:val="_Style 5"/>
    <w:next w:val="17"/>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paragraph" w:customStyle="1" w:styleId="152">
    <w:name w:val="表题、图题"/>
    <w:basedOn w:val="153"/>
    <w:next w:val="139"/>
    <w:qFormat/>
    <w:uiPriority w:val="0"/>
    <w:pPr>
      <w:spacing w:line="240" w:lineRule="auto"/>
      <w:ind w:firstLine="0" w:firstLineChars="0"/>
      <w:jc w:val="center"/>
    </w:pPr>
    <w:rPr>
      <w:b/>
      <w:szCs w:val="21"/>
    </w:rPr>
  </w:style>
  <w:style w:type="paragraph" w:customStyle="1" w:styleId="153">
    <w:name w:val="正文！"/>
    <w:basedOn w:val="1"/>
    <w:qFormat/>
    <w:uiPriority w:val="0"/>
    <w:pPr>
      <w:adjustRightInd w:val="0"/>
      <w:snapToGrid w:val="0"/>
      <w:spacing w:line="360" w:lineRule="auto"/>
      <w:ind w:firstLine="200" w:firstLineChars="200"/>
    </w:pPr>
    <w:rPr>
      <w:szCs w:val="22"/>
    </w:rPr>
  </w:style>
  <w:style w:type="paragraph" w:customStyle="1" w:styleId="154">
    <w:name w:val="Table Text"/>
    <w:basedOn w:val="1"/>
    <w:semiHidden/>
    <w:qFormat/>
    <w:uiPriority w:val="0"/>
    <w:rPr>
      <w:rFonts w:ascii="宋体" w:hAnsi="宋体" w:eastAsia="宋体" w:cs="宋体"/>
      <w:sz w:val="24"/>
      <w:szCs w:val="24"/>
      <w:lang w:val="en-US" w:eastAsia="en-US" w:bidi="ar-SA"/>
    </w:rPr>
  </w:style>
  <w:style w:type="paragraph" w:customStyle="1" w:styleId="155">
    <w:name w:val="文章正文"/>
    <w:basedOn w:val="1"/>
    <w:qFormat/>
    <w:uiPriority w:val="0"/>
    <w:pPr>
      <w:spacing w:beforeLines="50" w:afterLines="50" w:line="360" w:lineRule="auto"/>
      <w:ind w:firstLine="480" w:firstLineChars="200"/>
    </w:pPr>
    <w:rPr>
      <w:rFonts w:hAnsi="宋体"/>
      <w:kern w:val="2"/>
      <w:sz w:val="24"/>
      <w:szCs w:val="24"/>
    </w:rPr>
  </w:style>
  <w:style w:type="character" w:customStyle="1" w:styleId="156">
    <w:name w:val="font101"/>
    <w:qFormat/>
    <w:uiPriority w:val="0"/>
    <w:rPr>
      <w:rFonts w:hint="eastAsia" w:ascii="宋体" w:hAnsi="宋体" w:eastAsia="宋体" w:cs="宋体"/>
      <w:color w:val="0000FF"/>
      <w:sz w:val="21"/>
      <w:szCs w:val="21"/>
      <w:u w:val="none"/>
    </w:rPr>
  </w:style>
  <w:style w:type="character" w:customStyle="1" w:styleId="157">
    <w:name w:val="font112"/>
    <w:qFormat/>
    <w:uiPriority w:val="0"/>
    <w:rPr>
      <w:rFonts w:hint="eastAsia" w:ascii="宋体" w:hAnsi="宋体" w:eastAsia="宋体" w:cs="宋体"/>
      <w:color w:val="000000"/>
      <w:sz w:val="21"/>
      <w:szCs w:val="21"/>
      <w:u w:val="none"/>
    </w:rPr>
  </w:style>
  <w:style w:type="paragraph" w:customStyle="1" w:styleId="158">
    <w:name w:val="小四缩进2"/>
    <w:basedOn w:val="1"/>
    <w:qFormat/>
    <w:uiPriority w:val="0"/>
    <w:pPr>
      <w:spacing w:line="360" w:lineRule="auto"/>
      <w:ind w:firstLine="200" w:firstLineChars="200"/>
    </w:pPr>
    <w:rPr>
      <w:sz w:val="24"/>
    </w:rPr>
  </w:style>
  <w:style w:type="paragraph" w:customStyle="1" w:styleId="159">
    <w:name w:val="表格正文"/>
    <w:next w:val="1"/>
    <w:qFormat/>
    <w:uiPriority w:val="0"/>
    <w:pPr>
      <w:jc w:val="center"/>
    </w:pPr>
    <w:rPr>
      <w:rFonts w:ascii="Times New Roman" w:hAnsi="Times New Roman" w:eastAsia="宋体" w:cs="Times New Roman"/>
      <w:sz w:val="21"/>
      <w:szCs w:val="24"/>
      <w:lang w:val="en-US" w:eastAsia="zh-CN" w:bidi="ar-SA"/>
    </w:rPr>
  </w:style>
  <w:style w:type="paragraph" w:customStyle="1" w:styleId="160">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1">
    <w:name w:val="正文表格标题"/>
    <w:basedOn w:val="162"/>
    <w:qFormat/>
    <w:uiPriority w:val="0"/>
    <w:rPr>
      <w:b/>
    </w:rPr>
  </w:style>
  <w:style w:type="paragraph" w:customStyle="1" w:styleId="162">
    <w:name w:val="环评表格内容"/>
    <w:basedOn w:val="1"/>
    <w:qFormat/>
    <w:uiPriority w:val="0"/>
    <w:pPr>
      <w:jc w:val="center"/>
      <w:textAlignment w:val="center"/>
    </w:pPr>
    <w:rPr>
      <w:rFonts w:ascii="Times New Roman" w:hAnsi="Times New Roman"/>
      <w:sz w:val="21"/>
    </w:rPr>
  </w:style>
  <w:style w:type="character" w:customStyle="1" w:styleId="163">
    <w:name w:val="a表格内容 Char"/>
    <w:link w:val="164"/>
    <w:qFormat/>
    <w:uiPriority w:val="0"/>
    <w:rPr>
      <w:kern w:val="0"/>
      <w:sz w:val="21"/>
      <w:szCs w:val="21"/>
    </w:rPr>
  </w:style>
  <w:style w:type="paragraph" w:customStyle="1" w:styleId="164">
    <w:name w:val="a表格内容"/>
    <w:basedOn w:val="1"/>
    <w:link w:val="163"/>
    <w:qFormat/>
    <w:uiPriority w:val="0"/>
    <w:pPr>
      <w:widowControl/>
      <w:jc w:val="center"/>
    </w:pPr>
    <w:rPr>
      <w:kern w:val="0"/>
      <w:sz w:val="21"/>
      <w:szCs w:val="21"/>
    </w:rPr>
  </w:style>
  <w:style w:type="paragraph" w:customStyle="1" w:styleId="165">
    <w:name w:val="表格填充内容"/>
    <w:basedOn w:val="16"/>
    <w:qFormat/>
    <w:uiPriority w:val="0"/>
    <w:rPr>
      <w:color w:val="FF0000"/>
    </w:rPr>
  </w:style>
  <w:style w:type="paragraph" w:customStyle="1" w:styleId="166">
    <w:name w:val="正文首行缩进 21"/>
    <w:basedOn w:val="11"/>
    <w:qFormat/>
    <w:uiPriority w:val="0"/>
    <w:pPr>
      <w:spacing w:before="100" w:beforeAutospacing="1"/>
      <w:ind w:firstLine="420" w:firstLineChars="200"/>
    </w:pPr>
    <w:rPr>
      <w:szCs w:val="24"/>
    </w:rPr>
  </w:style>
  <w:style w:type="paragraph" w:customStyle="1" w:styleId="167">
    <w:name w:val="Body Text 22"/>
    <w:basedOn w:val="1"/>
    <w:qFormat/>
    <w:uiPriority w:val="0"/>
    <w:pPr>
      <w:adjustRightInd w:val="0"/>
      <w:spacing w:line="440" w:lineRule="atLeast"/>
      <w:ind w:firstLine="480"/>
    </w:pPr>
    <w:rPr>
      <w:rFonts w:eastAsia="仿宋_GB2312"/>
      <w:sz w:val="24"/>
      <w:szCs w:val="20"/>
    </w:rPr>
  </w:style>
  <w:style w:type="paragraph" w:customStyle="1" w:styleId="168">
    <w:name w:val="小四 间距1.5 缩进2"/>
    <w:basedOn w:val="1"/>
    <w:qFormat/>
    <w:uiPriority w:val="0"/>
    <w:pPr>
      <w:spacing w:line="360" w:lineRule="auto"/>
      <w:ind w:firstLine="415" w:firstLineChars="173"/>
    </w:pPr>
    <w:rPr>
      <w:rFonts w:ascii="Calibri" w:hAnsi="Calibri"/>
      <w:sz w:val="24"/>
    </w:rPr>
  </w:style>
  <w:style w:type="paragraph" w:customStyle="1" w:styleId="169">
    <w:name w:val="样式1"/>
    <w:qFormat/>
    <w:uiPriority w:val="0"/>
    <w:pPr>
      <w:widowControl w:val="0"/>
      <w:autoSpaceDE w:val="0"/>
      <w:autoSpaceDN w:val="0"/>
      <w:adjustRightInd w:val="0"/>
      <w:spacing w:after="200" w:line="276" w:lineRule="auto"/>
      <w:jc w:val="both"/>
    </w:pPr>
    <w:rPr>
      <w:rFonts w:ascii="Times New Roman" w:hAnsi="Roman" w:eastAsia="宋体" w:cs="Times New Roman"/>
      <w:color w:val="000000"/>
      <w:spacing w:val="-1"/>
      <w:kern w:val="30"/>
      <w:position w:val="-1"/>
      <w:sz w:val="30"/>
      <w:lang w:val="en-US" w:eastAsia="zh-CN" w:bidi="ar-SA"/>
    </w:rPr>
  </w:style>
  <w:style w:type="paragraph" w:customStyle="1" w:styleId="170">
    <w:name w:val="正文2"/>
    <w:qFormat/>
    <w:uiPriority w:val="0"/>
    <w:pPr>
      <w:jc w:val="both"/>
    </w:pPr>
    <w:rPr>
      <w:rFonts w:ascii="Times New Roman" w:hAnsi="Times New Roman" w:eastAsia="宋体" w:cs="Times New Roman"/>
      <w:kern w:val="2"/>
      <w:sz w:val="21"/>
      <w:szCs w:val="21"/>
      <w:lang w:val="en-US" w:eastAsia="zh-CN" w:bidi="ar-SA"/>
    </w:rPr>
  </w:style>
  <w:style w:type="paragraph" w:customStyle="1" w:styleId="171">
    <w:name w:val="ENFI正文"/>
    <w:basedOn w:val="1"/>
    <w:qFormat/>
    <w:uiPriority w:val="0"/>
    <w:pPr>
      <w:adjustRightInd w:val="0"/>
      <w:snapToGrid w:val="0"/>
      <w:spacing w:line="500" w:lineRule="exact"/>
      <w:ind w:firstLine="567"/>
    </w:pPr>
    <w:rPr>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0" Type="http://schemas.openxmlformats.org/officeDocument/2006/relationships/fontTable" Target="fontTable.xml"/><Relationship Id="rId3" Type="http://schemas.openxmlformats.org/officeDocument/2006/relationships/header" Target="head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17.wmf"/><Relationship Id="rId26" Type="http://schemas.openxmlformats.org/officeDocument/2006/relationships/oleObject" Target="embeddings/oleObject2.bin"/><Relationship Id="rId25" Type="http://schemas.openxmlformats.org/officeDocument/2006/relationships/image" Target="media/image16.wmf"/><Relationship Id="rId24" Type="http://schemas.openxmlformats.org/officeDocument/2006/relationships/image" Target="media/image15.wmf"/><Relationship Id="rId23" Type="http://schemas.openxmlformats.org/officeDocument/2006/relationships/image" Target="media/image14.wmf"/><Relationship Id="rId22" Type="http://schemas.openxmlformats.org/officeDocument/2006/relationships/image" Target="media/image13.wmf"/><Relationship Id="rId21" Type="http://schemas.openxmlformats.org/officeDocument/2006/relationships/image" Target="media/image12.wmf"/><Relationship Id="rId20" Type="http://schemas.openxmlformats.org/officeDocument/2006/relationships/image" Target="media/image11.wmf"/><Relationship Id="rId2" Type="http://schemas.openxmlformats.org/officeDocument/2006/relationships/settings" Target="settings.xml"/><Relationship Id="rId19" Type="http://schemas.openxmlformats.org/officeDocument/2006/relationships/image" Target="media/image10.wmf"/><Relationship Id="rId18" Type="http://schemas.openxmlformats.org/officeDocument/2006/relationships/image" Target="media/image9.wmf"/><Relationship Id="rId17" Type="http://schemas.openxmlformats.org/officeDocument/2006/relationships/oleObject" Target="embeddings/oleObject1.bin"/><Relationship Id="rId16" Type="http://schemas.openxmlformats.org/officeDocument/2006/relationships/image" Target="media/image8.png"/><Relationship Id="rId15" Type="http://schemas.openxmlformats.org/officeDocument/2006/relationships/image" Target="media/image7.wmf"/><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77</Pages>
  <Words>55987</Words>
  <Characters>65212</Characters>
  <Lines>688</Lines>
  <Paragraphs>193</Paragraphs>
  <TotalTime>9</TotalTime>
  <ScaleCrop>false</ScaleCrop>
  <LinksUpToDate>false</LinksUpToDate>
  <CharactersWithSpaces>65295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2024-08-14T00:51:00Z</dcterms:created>
  <dc:creator>lhj</dc:creator>
  <cp:lastModifiedBy>蓝</cp:lastModifiedBy>
  <cp:lastPrinted>2021-09-16T07:57:00Z</cp:lastPrinted>
  <dcterms:modified xsi:type="dcterms:W3CDTF">2025-06-04T07:51:44Z</dcterms:modified>
  <dc:title>附件2</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9B035A0C23B647C4A3AF44A56C471693_13</vt:lpwstr>
  </property>
  <property fmtid="{D5CDD505-2E9C-101B-9397-08002B2CF9AE}" pid="4" name="commondata">
    <vt:lpwstr>eyJoZGlkIjoiZjcyNjA0ZDhlMmRmZDU2ZDVmOWU2M2VlYTc3MmY0ZDAifQ==</vt:lpwstr>
  </property>
  <property fmtid="{D5CDD505-2E9C-101B-9397-08002B2CF9AE}" pid="5" name="KSOTemplateDocerSaveRecord">
    <vt:lpwstr>eyJoZGlkIjoiMDJjYjBhNTMyN2YzYWI1NDNkMjc0Y2RmYzQzN2EwNDUiLCJ1c2VySWQiOiI0NTAzNzc2NDkifQ==</vt:lpwstr>
  </property>
</Properties>
</file>