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9C1C3">
      <w:pPr>
        <w:jc w:val="center"/>
        <w:rPr>
          <w:rFonts w:hint="eastAsia" w:ascii="仿宋_GB2312" w:hAnsi="仿宋_GB2312" w:eastAsia="仿宋_GB2312" w:cs="仿宋_GB2312"/>
          <w:b/>
          <w:sz w:val="72"/>
          <w:szCs w:val="72"/>
        </w:rPr>
      </w:pPr>
      <w:bookmarkStart w:id="0" w:name="_Hlk57883707"/>
    </w:p>
    <w:p w14:paraId="372F30A5">
      <w:pPr>
        <w:keepNext w:val="0"/>
        <w:keepLines w:val="0"/>
        <w:widowControl w:val="0"/>
        <w:suppressLineNumbers w:val="0"/>
        <w:adjustRightInd w:val="0"/>
        <w:snapToGrid w:val="0"/>
        <w:spacing w:before="0" w:beforeAutospacing="0" w:after="0" w:afterAutospacing="0"/>
        <w:ind w:left="0" w:right="0"/>
        <w:jc w:val="center"/>
        <w:outlineLvl w:val="0"/>
        <w:rPr>
          <w:rFonts w:hint="eastAsia" w:ascii="方正小标宋_GBK" w:hAnsi="方正小标宋_GBK" w:eastAsia="方正小标宋_GBK" w:cs="方正小标宋_GBK"/>
          <w:bCs/>
          <w:color w:val="000000"/>
          <w:sz w:val="72"/>
          <w:szCs w:val="72"/>
          <w:lang w:val="en-US"/>
        </w:rPr>
      </w:pPr>
      <w:r>
        <w:rPr>
          <w:rFonts w:hint="eastAsia" w:ascii="方正小标宋_GBK" w:hAnsi="方正小标宋_GBK" w:eastAsia="方正小标宋_GBK" w:cs="方正小标宋_GBK"/>
          <w:bCs/>
          <w:color w:val="000000"/>
          <w:kern w:val="2"/>
          <w:sz w:val="72"/>
          <w:szCs w:val="72"/>
          <w:lang w:val="en-US" w:eastAsia="zh-CN" w:bidi="ar"/>
        </w:rPr>
        <w:t>建设项目环境影响报告表</w:t>
      </w:r>
    </w:p>
    <w:p w14:paraId="7B77B449">
      <w:pPr>
        <w:keepNext w:val="0"/>
        <w:keepLines w:val="0"/>
        <w:widowControl w:val="0"/>
        <w:suppressLineNumbers w:val="0"/>
        <w:adjustRightInd w:val="0"/>
        <w:snapToGrid w:val="0"/>
        <w:spacing w:before="192" w:beforeLines="80" w:beforeAutospacing="0" w:after="0" w:afterAutospacing="0"/>
        <w:ind w:left="0" w:right="0"/>
        <w:jc w:val="center"/>
        <w:rPr>
          <w:rFonts w:hint="eastAsia" w:ascii="楷体_GB2312" w:eastAsia="楷体_GB2312" w:cs="楷体_GB2312"/>
          <w:bCs/>
          <w:color w:val="000000"/>
          <w:sz w:val="48"/>
          <w:szCs w:val="48"/>
          <w:lang w:val="en-US"/>
        </w:rPr>
      </w:pPr>
      <w:r>
        <w:rPr>
          <w:rFonts w:hint="eastAsia" w:ascii="楷体_GB2312" w:hAnsi="Times New Roman" w:eastAsia="楷体_GB2312" w:cs="楷体_GB2312"/>
          <w:bCs/>
          <w:color w:val="000000"/>
          <w:kern w:val="2"/>
          <w:sz w:val="48"/>
          <w:szCs w:val="48"/>
          <w:lang w:val="en-US" w:eastAsia="zh-CN" w:bidi="ar"/>
        </w:rPr>
        <w:t>（生态影响类）</w:t>
      </w:r>
    </w:p>
    <w:p w14:paraId="6A9021D4">
      <w:pPr>
        <w:keepNext w:val="0"/>
        <w:keepLines w:val="0"/>
        <w:widowControl w:val="0"/>
        <w:suppressLineNumbers w:val="0"/>
        <w:spacing w:before="0" w:beforeAutospacing="0" w:after="0" w:afterAutospacing="0"/>
        <w:ind w:left="0" w:right="0"/>
        <w:jc w:val="center"/>
        <w:rPr>
          <w:rFonts w:eastAsia="仿宋"/>
          <w:color w:val="000000"/>
          <w:sz w:val="52"/>
          <w:szCs w:val="52"/>
          <w:lang w:val="en-US"/>
        </w:rPr>
      </w:pPr>
      <w:bookmarkStart w:id="1" w:name="_Hlk57883728"/>
    </w:p>
    <w:p w14:paraId="37836F82">
      <w:pPr>
        <w:keepNext w:val="0"/>
        <w:keepLines w:val="0"/>
        <w:widowControl w:val="0"/>
        <w:suppressLineNumbers w:val="0"/>
        <w:spacing w:before="0" w:beforeAutospacing="0" w:after="0" w:afterAutospacing="0"/>
        <w:ind w:left="0" w:right="0" w:firstLine="1040"/>
        <w:jc w:val="both"/>
        <w:rPr>
          <w:rFonts w:eastAsia="仿宋"/>
          <w:color w:val="000000"/>
          <w:sz w:val="44"/>
          <w:szCs w:val="44"/>
          <w:lang w:val="en-US"/>
        </w:rPr>
      </w:pPr>
    </w:p>
    <w:p w14:paraId="6B87B5C6">
      <w:pPr>
        <w:keepNext w:val="0"/>
        <w:keepLines w:val="0"/>
        <w:widowControl w:val="0"/>
        <w:suppressLineNumbers w:val="0"/>
        <w:spacing w:before="0" w:beforeAutospacing="0" w:after="0" w:afterAutospacing="0"/>
        <w:ind w:left="0" w:right="0" w:firstLine="1040"/>
        <w:jc w:val="both"/>
        <w:rPr>
          <w:rFonts w:eastAsia="仿宋"/>
          <w:color w:val="000000"/>
          <w:sz w:val="44"/>
          <w:szCs w:val="44"/>
          <w:lang w:val="en-US"/>
        </w:rPr>
      </w:pPr>
    </w:p>
    <w:p w14:paraId="54F0A5D8">
      <w:pPr>
        <w:keepNext w:val="0"/>
        <w:keepLines w:val="0"/>
        <w:widowControl w:val="0"/>
        <w:suppressLineNumbers w:val="0"/>
        <w:spacing w:before="0" w:beforeAutospacing="0" w:after="0" w:afterAutospacing="0"/>
        <w:ind w:right="0"/>
        <w:jc w:val="both"/>
        <w:rPr>
          <w:rFonts w:eastAsia="仿宋"/>
          <w:color w:val="000000"/>
          <w:sz w:val="44"/>
          <w:szCs w:val="44"/>
          <w:lang w:val="en-US"/>
        </w:rPr>
      </w:pPr>
    </w:p>
    <w:p w14:paraId="4C990583">
      <w:pPr>
        <w:keepNext w:val="0"/>
        <w:keepLines w:val="0"/>
        <w:widowControl w:val="0"/>
        <w:suppressLineNumbers w:val="0"/>
        <w:spacing w:before="0" w:beforeAutospacing="0" w:after="0" w:afterAutospacing="0"/>
        <w:ind w:left="0" w:right="0" w:firstLine="1040"/>
        <w:jc w:val="both"/>
        <w:rPr>
          <w:rFonts w:eastAsia="仿宋"/>
          <w:color w:val="000000"/>
          <w:sz w:val="30"/>
          <w:szCs w:val="30"/>
          <w:lang w:val="en-US"/>
        </w:rPr>
      </w:pPr>
    </w:p>
    <w:bookmarkEnd w:id="1"/>
    <w:p w14:paraId="70F149A8">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仿宋_GB2312" w:eastAsia="仿宋_GB2312" w:cs="仿宋_GB2312"/>
          <w:color w:val="000000"/>
          <w:sz w:val="30"/>
          <w:szCs w:val="30"/>
          <w:u w:val="single"/>
          <w:lang w:val="en-US"/>
        </w:rPr>
      </w:pPr>
      <w:r>
        <w:rPr>
          <w:rFonts w:hint="eastAsia" w:ascii="仿宋_GB2312" w:hAnsi="Times New Roman" w:eastAsia="仿宋_GB2312" w:cs="仿宋_GB2312"/>
          <w:color w:val="000000"/>
          <w:kern w:val="2"/>
          <w:sz w:val="30"/>
          <w:szCs w:val="30"/>
          <w:lang w:val="en-US" w:eastAsia="zh-CN" w:bidi="ar"/>
        </w:rPr>
        <w:t>项目名称：</w:t>
      </w:r>
      <w:r>
        <w:rPr>
          <w:rFonts w:hint="eastAsia" w:ascii="仿宋_GB2312" w:hAnsi="Times New Roman" w:eastAsia="仿宋_GB2312" w:cs="仿宋_GB2312"/>
          <w:color w:val="000000"/>
          <w:kern w:val="2"/>
          <w:sz w:val="30"/>
          <w:szCs w:val="30"/>
          <w:u w:val="single"/>
          <w:lang w:val="en-US" w:eastAsia="zh-CN" w:bidi="ar"/>
        </w:rPr>
        <w:t>博罗县城体育大道东延段建设工程(K0+878.712</w:t>
      </w:r>
      <w:r>
        <w:rPr>
          <w:rFonts w:hint="eastAsia" w:ascii="宋体" w:hAnsi="宋体" w:eastAsia="宋体" w:cs="宋体"/>
          <w:color w:val="000000"/>
          <w:kern w:val="2"/>
          <w:sz w:val="30"/>
          <w:szCs w:val="30"/>
          <w:u w:val="single"/>
          <w:lang w:val="en-US" w:eastAsia="zh-CN" w:bidi="ar"/>
        </w:rPr>
        <w:t>～</w:t>
      </w:r>
      <w:r>
        <w:rPr>
          <w:rFonts w:hint="eastAsia" w:ascii="仿宋_GB2312" w:hAnsi="Times New Roman" w:eastAsia="仿宋_GB2312" w:cs="仿宋_GB2312"/>
          <w:color w:val="000000"/>
          <w:kern w:val="2"/>
          <w:sz w:val="30"/>
          <w:szCs w:val="30"/>
          <w:u w:val="single"/>
          <w:lang w:val="en-US" w:eastAsia="zh-CN" w:bidi="ar"/>
        </w:rPr>
        <w:t>K1+210.007)</w:t>
      </w:r>
    </w:p>
    <w:p w14:paraId="3BBC0102">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仿宋_GB2312" w:eastAsia="仿宋_GB2312" w:cs="仿宋_GB2312"/>
          <w:color w:val="000000"/>
          <w:sz w:val="30"/>
          <w:szCs w:val="30"/>
          <w:u w:val="single"/>
          <w:lang w:val="en-US"/>
        </w:rPr>
      </w:pPr>
      <w:r>
        <w:rPr>
          <w:rFonts w:hint="eastAsia" w:ascii="仿宋_GB2312" w:hAnsi="Times New Roman" w:eastAsia="仿宋_GB2312" w:cs="仿宋_GB2312"/>
          <w:color w:val="000000"/>
          <w:kern w:val="2"/>
          <w:sz w:val="30"/>
          <w:szCs w:val="30"/>
          <w:lang w:val="en-US" w:eastAsia="zh-CN" w:bidi="ar"/>
        </w:rPr>
        <w:t>建设单位（盖章）：</w:t>
      </w:r>
      <w:r>
        <w:rPr>
          <w:rFonts w:hint="eastAsia" w:ascii="仿宋_GB2312" w:hAnsi="Times New Roman" w:eastAsia="仿宋_GB2312" w:cs="仿宋_GB2312"/>
          <w:color w:val="000000"/>
          <w:kern w:val="2"/>
          <w:sz w:val="30"/>
          <w:szCs w:val="30"/>
          <w:u w:val="single"/>
          <w:lang w:val="en-US" w:eastAsia="zh-CN" w:bidi="ar"/>
        </w:rPr>
        <w:t>博罗县市政园林事务中心</w:t>
      </w:r>
    </w:p>
    <w:p w14:paraId="0BCEC8CA">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仿宋_GB2312" w:eastAsia="仿宋_GB2312" w:cs="仿宋_GB2312"/>
          <w:color w:val="000000"/>
          <w:sz w:val="30"/>
          <w:szCs w:val="30"/>
          <w:u w:val="single"/>
          <w:lang w:val="en-US"/>
        </w:rPr>
      </w:pPr>
      <w:r>
        <w:rPr>
          <w:rFonts w:hint="eastAsia" w:ascii="仿宋_GB2312" w:hAnsi="Times New Roman" w:eastAsia="仿宋_GB2312" w:cs="仿宋_GB2312"/>
          <w:color w:val="000000"/>
          <w:kern w:val="2"/>
          <w:sz w:val="30"/>
          <w:szCs w:val="30"/>
          <w:lang w:val="en-US" w:eastAsia="zh-CN" w:bidi="ar"/>
        </w:rPr>
        <w:t>编制日期：</w:t>
      </w:r>
      <w:r>
        <w:rPr>
          <w:rFonts w:hint="eastAsia" w:ascii="仿宋_GB2312" w:hAnsi="Times New Roman" w:eastAsia="仿宋_GB2312" w:cs="仿宋_GB2312"/>
          <w:color w:val="000000"/>
          <w:kern w:val="2"/>
          <w:sz w:val="30"/>
          <w:szCs w:val="30"/>
          <w:u w:val="single"/>
          <w:lang w:val="en-US" w:eastAsia="zh-CN" w:bidi="ar"/>
        </w:rPr>
        <w:t>2025年5月</w:t>
      </w:r>
    </w:p>
    <w:p w14:paraId="264EA206">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sz w:val="36"/>
          <w:szCs w:val="36"/>
          <w:u w:val="single"/>
          <w:lang w:val="en-US"/>
        </w:rPr>
      </w:pPr>
    </w:p>
    <w:p w14:paraId="6490B748">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sz w:val="36"/>
          <w:szCs w:val="36"/>
          <w:lang w:val="en-US"/>
        </w:rPr>
      </w:pPr>
    </w:p>
    <w:p w14:paraId="4BD4E49E">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sz w:val="36"/>
          <w:szCs w:val="36"/>
          <w:lang w:val="en-US"/>
        </w:rPr>
      </w:pPr>
    </w:p>
    <w:p w14:paraId="48FAF082">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sz w:val="36"/>
          <w:szCs w:val="36"/>
          <w:lang w:val="en-US"/>
        </w:rPr>
      </w:pPr>
    </w:p>
    <w:p w14:paraId="169CDB6D">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sz w:val="36"/>
          <w:szCs w:val="36"/>
          <w:lang w:val="en-US"/>
        </w:rPr>
      </w:pPr>
    </w:p>
    <w:p w14:paraId="771B3879">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楷体_GB2312" w:eastAsia="楷体_GB2312" w:cs="楷体_GB2312"/>
          <w:color w:val="000000"/>
          <w:sz w:val="36"/>
          <w:szCs w:val="36"/>
          <w:lang w:val="en-US"/>
        </w:rPr>
      </w:pPr>
      <w:r>
        <w:rPr>
          <w:rFonts w:hint="eastAsia" w:ascii="楷体_GB2312" w:hAnsi="Times New Roman" w:eastAsia="楷体_GB2312" w:cs="楷体_GB2312"/>
          <w:color w:val="000000"/>
          <w:kern w:val="2"/>
          <w:sz w:val="36"/>
          <w:szCs w:val="36"/>
          <w:lang w:val="en-US" w:eastAsia="zh-CN" w:bidi="ar"/>
        </w:rPr>
        <w:t>中华人民共和国生态环境部制</w:t>
      </w:r>
    </w:p>
    <w:p w14:paraId="69776384">
      <w:pPr>
        <w:rPr>
          <w:rFonts w:hint="eastAsia" w:ascii="仿宋_GB2312" w:hAnsi="仿宋_GB2312" w:eastAsia="仿宋_GB2312" w:cs="仿宋_GB2312"/>
          <w:sz w:val="36"/>
          <w:szCs w:val="36"/>
        </w:rPr>
      </w:pPr>
      <w:bookmarkStart w:id="178" w:name="_GoBack"/>
      <w:bookmarkEnd w:id="178"/>
    </w:p>
    <w:bookmarkEnd w:id="0"/>
    <w:p w14:paraId="094584E6">
      <w:pPr>
        <w:adjustRightInd w:val="0"/>
        <w:snapToGrid w:val="0"/>
        <w:spacing w:line="288" w:lineRule="auto"/>
        <w:jc w:val="center"/>
        <w:rPr>
          <w:rFonts w:ascii="楷体_GB2312" w:eastAsia="楷体_GB2312"/>
          <w:sz w:val="36"/>
          <w:szCs w:val="36"/>
        </w:rPr>
      </w:pPr>
    </w:p>
    <w:p w14:paraId="0FD4652E">
      <w:pPr>
        <w:adjustRightInd w:val="0"/>
        <w:snapToGrid w:val="0"/>
        <w:spacing w:line="288" w:lineRule="auto"/>
        <w:ind w:firstLine="1040"/>
        <w:rPr>
          <w:rFonts w:ascii="仿宋_GB2312" w:eastAsia="仿宋_GB2312"/>
          <w:sz w:val="36"/>
          <w:szCs w:val="36"/>
        </w:rPr>
        <w:sectPr>
          <w:footerReference r:id="rId3" w:type="default"/>
          <w:footerReference r:id="rId4" w:type="even"/>
          <w:pgSz w:w="11906" w:h="16838"/>
          <w:pgMar w:top="1701" w:right="1531" w:bottom="1701" w:left="1531" w:header="851" w:footer="567" w:gutter="0"/>
          <w:pgNumType w:start="1"/>
          <w:cols w:space="720" w:num="1"/>
          <w:docGrid w:linePitch="312" w:charSpace="0"/>
        </w:sectPr>
      </w:pPr>
    </w:p>
    <w:p w14:paraId="4C7BCD37">
      <w:pPr>
        <w:pStyle w:val="30"/>
        <w:jc w:val="center"/>
        <w:outlineLvl w:val="0"/>
        <w:rPr>
          <w:rFonts w:hint="eastAsia" w:ascii="黑体" w:hAnsi="黑体" w:eastAsia="黑体"/>
          <w:snapToGrid w:val="0"/>
          <w:sz w:val="30"/>
          <w:szCs w:val="30"/>
        </w:rPr>
      </w:pPr>
      <w:bookmarkStart w:id="2" w:name="_Toc187243654"/>
      <w:bookmarkStart w:id="3" w:name="_Toc16999"/>
      <w:bookmarkStart w:id="4" w:name="_Toc185523891"/>
      <w:bookmarkStart w:id="5" w:name="_Toc185523999"/>
      <w:bookmarkStart w:id="6" w:name="_Toc191907541"/>
      <w:r>
        <w:rPr>
          <w:rFonts w:hint="eastAsia" w:ascii="黑体" w:hAnsi="黑体" w:eastAsia="黑体"/>
          <w:snapToGrid w:val="0"/>
          <w:sz w:val="30"/>
          <w:szCs w:val="30"/>
        </w:rPr>
        <w:t>一、建设项目基本情况</w:t>
      </w:r>
      <w:bookmarkEnd w:id="2"/>
      <w:bookmarkEnd w:id="3"/>
      <w:bookmarkEnd w:id="4"/>
      <w:bookmarkEnd w:id="5"/>
      <w:bookmarkEnd w:id="6"/>
    </w:p>
    <w:tbl>
      <w:tblPr>
        <w:tblStyle w:val="33"/>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698"/>
        <w:gridCol w:w="19"/>
        <w:gridCol w:w="3238"/>
        <w:gridCol w:w="2575"/>
        <w:gridCol w:w="10"/>
        <w:gridCol w:w="2952"/>
      </w:tblGrid>
      <w:tr w14:paraId="67720C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2" w:hRule="atLeast"/>
        </w:trPr>
        <w:tc>
          <w:tcPr>
            <w:tcW w:w="818" w:type="pct"/>
            <w:gridSpan w:val="2"/>
            <w:tcMar>
              <w:top w:w="16" w:type="dxa"/>
              <w:left w:w="16" w:type="dxa"/>
              <w:right w:w="16" w:type="dxa"/>
            </w:tcMar>
            <w:vAlign w:val="center"/>
          </w:tcPr>
          <w:p w14:paraId="46FAFA5F">
            <w:pPr>
              <w:adjustRightInd w:val="0"/>
              <w:snapToGrid w:val="0"/>
              <w:jc w:val="center"/>
              <w:rPr>
                <w:rFonts w:hint="eastAsia" w:ascii="宋体" w:hAnsi="宋体" w:cs="宋体"/>
                <w:szCs w:val="21"/>
              </w:rPr>
            </w:pPr>
            <w:r>
              <w:rPr>
                <w:rFonts w:hint="eastAsia" w:ascii="宋体" w:hAnsi="宋体" w:cs="宋体"/>
                <w:szCs w:val="21"/>
              </w:rPr>
              <w:t>建设项目名称</w:t>
            </w:r>
          </w:p>
        </w:tc>
        <w:tc>
          <w:tcPr>
            <w:tcW w:w="4182" w:type="pct"/>
            <w:gridSpan w:val="4"/>
            <w:vAlign w:val="center"/>
          </w:tcPr>
          <w:p w14:paraId="3CDBB455">
            <w:pPr>
              <w:adjustRightInd w:val="0"/>
              <w:snapToGrid w:val="0"/>
              <w:jc w:val="center"/>
              <w:rPr>
                <w:rFonts w:hint="eastAsia" w:ascii="宋体" w:hAnsi="宋体" w:cs="宋体"/>
                <w:szCs w:val="21"/>
              </w:rPr>
            </w:pPr>
            <w:bookmarkStart w:id="7" w:name="OLE_LINK120"/>
            <w:bookmarkStart w:id="8" w:name="OLE_LINK4"/>
            <w:r>
              <w:rPr>
                <w:rFonts w:hint="eastAsia" w:ascii="宋体" w:hAnsi="宋体" w:cs="宋体"/>
                <w:szCs w:val="21"/>
              </w:rPr>
              <w:t>博罗县城体育大道东延段建设工程</w:t>
            </w:r>
            <w:bookmarkEnd w:id="7"/>
            <w:r>
              <w:rPr>
                <w:rFonts w:hint="eastAsia" w:ascii="宋体" w:hAnsi="宋体" w:cs="宋体"/>
                <w:szCs w:val="21"/>
              </w:rPr>
              <w:t>(K0+878.712～K1+210.007)</w:t>
            </w:r>
            <w:bookmarkEnd w:id="8"/>
          </w:p>
        </w:tc>
      </w:tr>
      <w:tr w14:paraId="4513F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818" w:type="pct"/>
            <w:gridSpan w:val="2"/>
            <w:tcMar>
              <w:top w:w="16" w:type="dxa"/>
              <w:left w:w="16" w:type="dxa"/>
              <w:right w:w="16" w:type="dxa"/>
            </w:tcMar>
            <w:vAlign w:val="center"/>
          </w:tcPr>
          <w:p w14:paraId="6B0B48CF">
            <w:pPr>
              <w:adjustRightInd w:val="0"/>
              <w:snapToGrid w:val="0"/>
              <w:jc w:val="center"/>
              <w:rPr>
                <w:rFonts w:hint="eastAsia" w:ascii="宋体" w:hAnsi="宋体" w:cs="宋体"/>
                <w:szCs w:val="21"/>
              </w:rPr>
            </w:pPr>
            <w:r>
              <w:rPr>
                <w:rFonts w:hint="eastAsia" w:ascii="宋体" w:hAnsi="宋体" w:cs="宋体"/>
                <w:szCs w:val="21"/>
              </w:rPr>
              <w:t>项目代码</w:t>
            </w:r>
          </w:p>
        </w:tc>
        <w:tc>
          <w:tcPr>
            <w:tcW w:w="4182" w:type="pct"/>
            <w:gridSpan w:val="4"/>
            <w:vAlign w:val="center"/>
          </w:tcPr>
          <w:p w14:paraId="381747CC">
            <w:pPr>
              <w:adjustRightInd w:val="0"/>
              <w:snapToGrid w:val="0"/>
              <w:jc w:val="center"/>
              <w:rPr>
                <w:szCs w:val="21"/>
              </w:rPr>
            </w:pPr>
            <w:r>
              <w:rPr>
                <w:szCs w:val="21"/>
              </w:rPr>
              <w:t>2306-441322-04-01-</w:t>
            </w:r>
            <w:r>
              <w:rPr>
                <w:rFonts w:hint="eastAsia"/>
                <w:szCs w:val="21"/>
              </w:rPr>
              <w:t>******</w:t>
            </w:r>
          </w:p>
        </w:tc>
      </w:tr>
      <w:tr w14:paraId="70954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2" w:hRule="atLeast"/>
        </w:trPr>
        <w:tc>
          <w:tcPr>
            <w:tcW w:w="818" w:type="pct"/>
            <w:gridSpan w:val="2"/>
            <w:tcMar>
              <w:top w:w="16" w:type="dxa"/>
              <w:left w:w="16" w:type="dxa"/>
              <w:right w:w="16" w:type="dxa"/>
            </w:tcMar>
            <w:vAlign w:val="center"/>
          </w:tcPr>
          <w:p w14:paraId="486C0768">
            <w:pPr>
              <w:adjustRightInd w:val="0"/>
              <w:snapToGrid w:val="0"/>
              <w:jc w:val="center"/>
              <w:rPr>
                <w:rFonts w:hint="eastAsia" w:ascii="宋体" w:hAnsi="宋体" w:cs="宋体"/>
                <w:szCs w:val="21"/>
              </w:rPr>
            </w:pPr>
            <w:r>
              <w:rPr>
                <w:rFonts w:hint="eastAsia" w:ascii="宋体" w:hAnsi="宋体" w:cs="宋体"/>
                <w:szCs w:val="21"/>
              </w:rPr>
              <w:t>建设单位联系人</w:t>
            </w:r>
          </w:p>
        </w:tc>
        <w:tc>
          <w:tcPr>
            <w:tcW w:w="1543" w:type="pct"/>
            <w:vAlign w:val="center"/>
          </w:tcPr>
          <w:p w14:paraId="40C23144">
            <w:pPr>
              <w:adjustRightInd w:val="0"/>
              <w:snapToGrid w:val="0"/>
              <w:jc w:val="center"/>
              <w:rPr>
                <w:rFonts w:hint="eastAsia" w:ascii="宋体" w:hAnsi="宋体" w:cs="宋体"/>
                <w:szCs w:val="21"/>
              </w:rPr>
            </w:pPr>
            <w:r>
              <w:rPr>
                <w:rFonts w:hint="eastAsia" w:ascii="宋体" w:hAnsi="宋体" w:cs="宋体"/>
                <w:szCs w:val="21"/>
              </w:rPr>
              <w:t>何**</w:t>
            </w:r>
          </w:p>
        </w:tc>
        <w:tc>
          <w:tcPr>
            <w:tcW w:w="1232" w:type="pct"/>
            <w:gridSpan w:val="2"/>
            <w:vAlign w:val="center"/>
          </w:tcPr>
          <w:p w14:paraId="25354BF6">
            <w:pPr>
              <w:adjustRightInd w:val="0"/>
              <w:snapToGrid w:val="0"/>
              <w:jc w:val="center"/>
              <w:rPr>
                <w:rFonts w:hint="eastAsia" w:ascii="宋体" w:hAnsi="宋体" w:cs="宋体"/>
                <w:szCs w:val="21"/>
              </w:rPr>
            </w:pPr>
            <w:r>
              <w:rPr>
                <w:rFonts w:hint="eastAsia" w:ascii="宋体" w:hAnsi="宋体" w:cs="宋体"/>
                <w:szCs w:val="21"/>
              </w:rPr>
              <w:t>联系方式</w:t>
            </w:r>
          </w:p>
        </w:tc>
        <w:tc>
          <w:tcPr>
            <w:tcW w:w="1407" w:type="pct"/>
            <w:vAlign w:val="center"/>
          </w:tcPr>
          <w:p w14:paraId="6B650B95">
            <w:pPr>
              <w:adjustRightInd w:val="0"/>
              <w:snapToGrid w:val="0"/>
              <w:jc w:val="center"/>
              <w:rPr>
                <w:rFonts w:hint="eastAsia" w:ascii="宋体" w:hAnsi="宋体" w:cs="宋体"/>
                <w:szCs w:val="21"/>
              </w:rPr>
            </w:pPr>
            <w:r>
              <w:rPr>
                <w:szCs w:val="21"/>
              </w:rPr>
              <w:t>135</w:t>
            </w:r>
            <w:r>
              <w:rPr>
                <w:rFonts w:hint="eastAsia"/>
                <w:szCs w:val="21"/>
              </w:rPr>
              <w:t>********</w:t>
            </w:r>
          </w:p>
        </w:tc>
      </w:tr>
      <w:tr w14:paraId="3F8DD3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2" w:hRule="atLeast"/>
        </w:trPr>
        <w:tc>
          <w:tcPr>
            <w:tcW w:w="818" w:type="pct"/>
            <w:gridSpan w:val="2"/>
            <w:tcMar>
              <w:top w:w="16" w:type="dxa"/>
              <w:left w:w="16" w:type="dxa"/>
              <w:right w:w="16" w:type="dxa"/>
            </w:tcMar>
            <w:vAlign w:val="center"/>
          </w:tcPr>
          <w:p w14:paraId="771B3383">
            <w:pPr>
              <w:adjustRightInd w:val="0"/>
              <w:snapToGrid w:val="0"/>
              <w:jc w:val="center"/>
              <w:rPr>
                <w:rFonts w:hint="eastAsia" w:ascii="宋体" w:hAnsi="宋体" w:cs="宋体"/>
                <w:szCs w:val="21"/>
              </w:rPr>
            </w:pPr>
            <w:r>
              <w:rPr>
                <w:rFonts w:hint="eastAsia" w:ascii="宋体" w:hAnsi="宋体" w:cs="宋体"/>
                <w:szCs w:val="21"/>
              </w:rPr>
              <w:t>建设地点</w:t>
            </w:r>
          </w:p>
        </w:tc>
        <w:tc>
          <w:tcPr>
            <w:tcW w:w="4182" w:type="pct"/>
            <w:gridSpan w:val="4"/>
            <w:vAlign w:val="center"/>
          </w:tcPr>
          <w:p w14:paraId="46CCAD36">
            <w:pPr>
              <w:adjustRightInd w:val="0"/>
              <w:snapToGrid w:val="0"/>
              <w:jc w:val="center"/>
              <w:rPr>
                <w:rFonts w:hint="eastAsia" w:ascii="宋体" w:hAnsi="宋体" w:cs="宋体"/>
                <w:szCs w:val="21"/>
              </w:rPr>
            </w:pPr>
            <w:bookmarkStart w:id="9" w:name="_Hlk195024618"/>
            <w:r>
              <w:rPr>
                <w:rFonts w:hint="eastAsia" w:ascii="宋体" w:hAnsi="宋体" w:cs="宋体"/>
                <w:szCs w:val="21"/>
              </w:rPr>
              <w:t>惠州市博罗县城东片区，惠博大道以东片区</w:t>
            </w:r>
            <w:bookmarkEnd w:id="9"/>
            <w:r>
              <w:rPr>
                <w:rFonts w:hint="eastAsia" w:ascii="宋体" w:hAnsi="宋体" w:cs="宋体"/>
                <w:szCs w:val="21"/>
              </w:rPr>
              <w:t>。</w:t>
            </w:r>
          </w:p>
        </w:tc>
      </w:tr>
      <w:tr w14:paraId="36707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818" w:type="pct"/>
            <w:gridSpan w:val="2"/>
            <w:tcMar>
              <w:top w:w="16" w:type="dxa"/>
              <w:left w:w="16" w:type="dxa"/>
              <w:right w:w="16" w:type="dxa"/>
            </w:tcMar>
            <w:vAlign w:val="center"/>
          </w:tcPr>
          <w:p w14:paraId="5A3CE622">
            <w:pPr>
              <w:adjustRightInd w:val="0"/>
              <w:snapToGrid w:val="0"/>
              <w:jc w:val="center"/>
              <w:rPr>
                <w:rFonts w:hint="eastAsia" w:ascii="宋体" w:hAnsi="宋体" w:cs="宋体"/>
                <w:szCs w:val="21"/>
              </w:rPr>
            </w:pPr>
            <w:r>
              <w:rPr>
                <w:rFonts w:hint="eastAsia" w:ascii="宋体" w:hAnsi="宋体" w:cs="宋体"/>
                <w:szCs w:val="21"/>
              </w:rPr>
              <w:t>地理坐标</w:t>
            </w:r>
          </w:p>
        </w:tc>
        <w:tc>
          <w:tcPr>
            <w:tcW w:w="4182" w:type="pct"/>
            <w:gridSpan w:val="4"/>
            <w:vAlign w:val="center"/>
          </w:tcPr>
          <w:p w14:paraId="17108F26">
            <w:pPr>
              <w:adjustRightInd w:val="0"/>
              <w:snapToGrid w:val="0"/>
              <w:jc w:val="center"/>
              <w:rPr>
                <w:kern w:val="0"/>
                <w:szCs w:val="21"/>
              </w:rPr>
            </w:pPr>
            <w:bookmarkStart w:id="10" w:name="_Hlk195024951"/>
            <w:r>
              <w:rPr>
                <w:rFonts w:hint="eastAsia"/>
                <w:kern w:val="0"/>
                <w:szCs w:val="21"/>
              </w:rPr>
              <w:t>起点坐标：</w:t>
            </w:r>
            <w:bookmarkStart w:id="11" w:name="OLE_LINK5"/>
            <w:r>
              <w:rPr>
                <w:rFonts w:hint="eastAsia"/>
                <w:szCs w:val="21"/>
              </w:rPr>
              <w:t>114°20'47.31"</w:t>
            </w:r>
            <w:bookmarkEnd w:id="11"/>
            <w:r>
              <w:rPr>
                <w:rFonts w:hint="eastAsia"/>
                <w:szCs w:val="21"/>
              </w:rPr>
              <w:t>E，</w:t>
            </w:r>
            <w:bookmarkStart w:id="12" w:name="OLE_LINK6"/>
            <w:r>
              <w:rPr>
                <w:rFonts w:hint="eastAsia"/>
                <w:szCs w:val="21"/>
              </w:rPr>
              <w:t>23°10'54.23"</w:t>
            </w:r>
            <w:bookmarkEnd w:id="12"/>
            <w:r>
              <w:rPr>
                <w:rFonts w:hint="eastAsia"/>
                <w:szCs w:val="21"/>
              </w:rPr>
              <w:t>N</w:t>
            </w:r>
            <w:r>
              <w:rPr>
                <w:rFonts w:hint="eastAsia"/>
                <w:kern w:val="0"/>
                <w:szCs w:val="21"/>
              </w:rPr>
              <w:t>；</w:t>
            </w:r>
          </w:p>
          <w:p w14:paraId="5CF0E13E">
            <w:pPr>
              <w:adjustRightInd w:val="0"/>
              <w:snapToGrid w:val="0"/>
              <w:jc w:val="center"/>
              <w:rPr>
                <w:kern w:val="0"/>
                <w:szCs w:val="21"/>
              </w:rPr>
            </w:pPr>
            <w:r>
              <w:rPr>
                <w:kern w:val="0"/>
                <w:szCs w:val="21"/>
              </w:rPr>
              <w:t>终点坐标：</w:t>
            </w:r>
            <w:bookmarkStart w:id="13" w:name="OLE_LINK7"/>
            <w:r>
              <w:rPr>
                <w:rFonts w:hint="eastAsia"/>
                <w:szCs w:val="21"/>
              </w:rPr>
              <w:t>114°20'58.13"</w:t>
            </w:r>
            <w:bookmarkEnd w:id="13"/>
            <w:r>
              <w:rPr>
                <w:rFonts w:hint="eastAsia"/>
                <w:szCs w:val="21"/>
              </w:rPr>
              <w:t>E，</w:t>
            </w:r>
            <w:bookmarkStart w:id="14" w:name="OLE_LINK8"/>
            <w:r>
              <w:rPr>
                <w:rFonts w:hint="eastAsia"/>
                <w:szCs w:val="21"/>
              </w:rPr>
              <w:t>23°10'58.36"</w:t>
            </w:r>
            <w:bookmarkEnd w:id="14"/>
            <w:r>
              <w:rPr>
                <w:rFonts w:hint="eastAsia"/>
                <w:szCs w:val="21"/>
              </w:rPr>
              <w:t>N</w:t>
            </w:r>
            <w:r>
              <w:rPr>
                <w:rFonts w:hint="eastAsia"/>
                <w:kern w:val="0"/>
                <w:szCs w:val="21"/>
              </w:rPr>
              <w:t>；</w:t>
            </w:r>
            <w:bookmarkEnd w:id="10"/>
          </w:p>
        </w:tc>
      </w:tr>
      <w:tr w14:paraId="31A49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17" w:hRule="atLeast"/>
        </w:trPr>
        <w:tc>
          <w:tcPr>
            <w:tcW w:w="818" w:type="pct"/>
            <w:gridSpan w:val="2"/>
            <w:tcMar>
              <w:top w:w="16" w:type="dxa"/>
              <w:left w:w="16" w:type="dxa"/>
              <w:right w:w="16" w:type="dxa"/>
            </w:tcMar>
            <w:vAlign w:val="center"/>
          </w:tcPr>
          <w:p w14:paraId="28D31FE6">
            <w:pPr>
              <w:adjustRightInd w:val="0"/>
              <w:snapToGrid w:val="0"/>
              <w:jc w:val="center"/>
              <w:rPr>
                <w:rFonts w:hint="eastAsia" w:ascii="宋体" w:hAnsi="宋体" w:cs="宋体"/>
                <w:szCs w:val="21"/>
              </w:rPr>
            </w:pPr>
            <w:r>
              <w:rPr>
                <w:rFonts w:hint="eastAsia" w:ascii="宋体" w:hAnsi="宋体" w:cs="宋体"/>
                <w:szCs w:val="21"/>
              </w:rPr>
              <w:t>建设项目</w:t>
            </w:r>
          </w:p>
          <w:p w14:paraId="6BF27DB2">
            <w:pPr>
              <w:adjustRightInd w:val="0"/>
              <w:snapToGrid w:val="0"/>
              <w:jc w:val="center"/>
              <w:rPr>
                <w:rFonts w:hint="eastAsia" w:ascii="宋体" w:hAnsi="宋体" w:cs="宋体"/>
                <w:szCs w:val="21"/>
              </w:rPr>
            </w:pPr>
            <w:r>
              <w:rPr>
                <w:rFonts w:hint="eastAsia" w:ascii="宋体" w:hAnsi="宋体" w:cs="宋体"/>
                <w:szCs w:val="21"/>
              </w:rPr>
              <w:t>行业类别</w:t>
            </w:r>
          </w:p>
        </w:tc>
        <w:tc>
          <w:tcPr>
            <w:tcW w:w="1543" w:type="pct"/>
            <w:vAlign w:val="center"/>
          </w:tcPr>
          <w:p w14:paraId="3A98E164">
            <w:pPr>
              <w:adjustRightInd w:val="0"/>
              <w:snapToGrid w:val="0"/>
              <w:jc w:val="center"/>
              <w:rPr>
                <w:szCs w:val="21"/>
              </w:rPr>
            </w:pPr>
            <w:r>
              <w:rPr>
                <w:szCs w:val="21"/>
              </w:rPr>
              <w:t>52-131 城市道路（不含维护；不含支路、人行天桥、人行地道）</w:t>
            </w:r>
            <w:r>
              <w:rPr>
                <w:rFonts w:hint="eastAsia"/>
                <w:szCs w:val="21"/>
              </w:rPr>
              <w:t>-新建快速路、主干路</w:t>
            </w:r>
          </w:p>
        </w:tc>
        <w:tc>
          <w:tcPr>
            <w:tcW w:w="1227" w:type="pct"/>
            <w:vAlign w:val="center"/>
          </w:tcPr>
          <w:p w14:paraId="5A64F703">
            <w:pPr>
              <w:adjustRightInd w:val="0"/>
              <w:snapToGrid w:val="0"/>
              <w:jc w:val="center"/>
              <w:rPr>
                <w:szCs w:val="21"/>
              </w:rPr>
            </w:pPr>
            <w:r>
              <w:rPr>
                <w:szCs w:val="21"/>
              </w:rPr>
              <w:t>用地（用海）面积（m</w:t>
            </w:r>
            <w:r>
              <w:rPr>
                <w:szCs w:val="21"/>
                <w:vertAlign w:val="superscript"/>
              </w:rPr>
              <w:t>2</w:t>
            </w:r>
            <w:r>
              <w:rPr>
                <w:szCs w:val="21"/>
              </w:rPr>
              <w:t>）/长度（km）</w:t>
            </w:r>
          </w:p>
        </w:tc>
        <w:tc>
          <w:tcPr>
            <w:tcW w:w="1412" w:type="pct"/>
            <w:gridSpan w:val="2"/>
            <w:vAlign w:val="center"/>
          </w:tcPr>
          <w:p w14:paraId="08DDC28F">
            <w:pPr>
              <w:autoSpaceDE w:val="0"/>
              <w:autoSpaceDN w:val="0"/>
              <w:adjustRightInd w:val="0"/>
              <w:jc w:val="center"/>
              <w:rPr>
                <w:kern w:val="0"/>
                <w:szCs w:val="21"/>
              </w:rPr>
            </w:pPr>
            <w:r>
              <w:rPr>
                <w:kern w:val="0"/>
                <w:szCs w:val="21"/>
              </w:rPr>
              <w:t>道路长度</w:t>
            </w:r>
            <w:r>
              <w:rPr>
                <w:rFonts w:hint="eastAsia" w:eastAsia="TimesNewRomanPSMT"/>
                <w:kern w:val="0"/>
                <w:szCs w:val="21"/>
              </w:rPr>
              <w:t>332</w:t>
            </w:r>
            <w:r>
              <w:rPr>
                <w:rFonts w:eastAsia="TimesNewRomanPSMT"/>
                <w:kern w:val="0"/>
                <w:szCs w:val="21"/>
              </w:rPr>
              <w:t>m</w:t>
            </w:r>
            <w:r>
              <w:rPr>
                <w:kern w:val="0"/>
                <w:szCs w:val="21"/>
              </w:rPr>
              <w:t>，</w:t>
            </w:r>
            <w:r>
              <w:rPr>
                <w:rFonts w:hint="eastAsia"/>
                <w:kern w:val="0"/>
                <w:szCs w:val="21"/>
              </w:rPr>
              <w:t>红线</w:t>
            </w:r>
            <w:r>
              <w:rPr>
                <w:kern w:val="0"/>
                <w:szCs w:val="21"/>
              </w:rPr>
              <w:t>宽</w:t>
            </w:r>
            <w:r>
              <w:rPr>
                <w:rFonts w:hint="eastAsia"/>
                <w:kern w:val="0"/>
                <w:szCs w:val="21"/>
              </w:rPr>
              <w:t>34.5</w:t>
            </w:r>
            <w:r>
              <w:rPr>
                <w:kern w:val="0"/>
                <w:szCs w:val="21"/>
              </w:rPr>
              <w:t>m</w:t>
            </w:r>
            <w:r>
              <w:rPr>
                <w:rFonts w:hint="eastAsia"/>
                <w:kern w:val="0"/>
                <w:szCs w:val="21"/>
              </w:rPr>
              <w:t>，</w:t>
            </w:r>
            <w:r>
              <w:rPr>
                <w:kern w:val="0"/>
                <w:szCs w:val="21"/>
              </w:rPr>
              <w:t>总</w:t>
            </w:r>
            <w:r>
              <w:rPr>
                <w:rFonts w:hint="eastAsia"/>
                <w:kern w:val="0"/>
                <w:szCs w:val="21"/>
              </w:rPr>
              <w:t>占地</w:t>
            </w:r>
            <w:r>
              <w:rPr>
                <w:kern w:val="0"/>
                <w:szCs w:val="21"/>
              </w:rPr>
              <w:t>面积</w:t>
            </w:r>
            <w:r>
              <w:rPr>
                <w:rFonts w:hint="eastAsia"/>
                <w:kern w:val="0"/>
                <w:szCs w:val="21"/>
              </w:rPr>
              <w:t>3.43hm</w:t>
            </w:r>
            <w:r>
              <w:rPr>
                <w:rFonts w:hint="eastAsia"/>
                <w:kern w:val="0"/>
                <w:szCs w:val="21"/>
                <w:vertAlign w:val="superscript"/>
              </w:rPr>
              <w:t>2</w:t>
            </w:r>
            <w:r>
              <w:rPr>
                <w:kern w:val="0"/>
                <w:szCs w:val="21"/>
              </w:rPr>
              <w:t>，</w:t>
            </w:r>
            <w:r>
              <w:rPr>
                <w:rFonts w:hint="eastAsia"/>
                <w:kern w:val="0"/>
                <w:szCs w:val="21"/>
              </w:rPr>
              <w:t>均为永久占地</w:t>
            </w:r>
          </w:p>
        </w:tc>
      </w:tr>
      <w:tr w14:paraId="2501A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4" w:hRule="atLeast"/>
        </w:trPr>
        <w:tc>
          <w:tcPr>
            <w:tcW w:w="818" w:type="pct"/>
            <w:gridSpan w:val="2"/>
            <w:tcMar>
              <w:top w:w="16" w:type="dxa"/>
              <w:left w:w="16" w:type="dxa"/>
              <w:right w:w="16" w:type="dxa"/>
            </w:tcMar>
            <w:vAlign w:val="center"/>
          </w:tcPr>
          <w:p w14:paraId="1211D857">
            <w:pPr>
              <w:adjustRightInd w:val="0"/>
              <w:snapToGrid w:val="0"/>
              <w:jc w:val="center"/>
              <w:rPr>
                <w:rFonts w:hint="eastAsia" w:ascii="宋体" w:hAnsi="宋体" w:cs="宋体"/>
                <w:szCs w:val="21"/>
              </w:rPr>
            </w:pPr>
            <w:r>
              <w:rPr>
                <w:rFonts w:hint="eastAsia" w:ascii="宋体" w:hAnsi="宋体" w:cs="宋体"/>
                <w:szCs w:val="21"/>
              </w:rPr>
              <w:t>建设性质</w:t>
            </w:r>
          </w:p>
        </w:tc>
        <w:tc>
          <w:tcPr>
            <w:tcW w:w="1543" w:type="pct"/>
            <w:vAlign w:val="center"/>
          </w:tcPr>
          <w:p w14:paraId="0EA8DC51">
            <w:pPr>
              <w:adjustRightInd w:val="0"/>
              <w:snapToGrid w:val="0"/>
              <w:jc w:val="left"/>
              <w:rPr>
                <w:rFonts w:hint="eastAsia" w:ascii="宋体" w:hAnsi="宋体" w:cs="宋体"/>
                <w:szCs w:val="21"/>
              </w:rPr>
            </w:pPr>
            <w:r>
              <w:rPr>
                <w:szCs w:val="21"/>
              </w:rPr>
              <w:sym w:font="Wingdings 2" w:char="0052"/>
            </w:r>
            <w:r>
              <w:rPr>
                <w:rFonts w:hint="eastAsia" w:ascii="宋体" w:hAnsi="宋体" w:cs="宋体"/>
                <w:szCs w:val="21"/>
              </w:rPr>
              <w:t>新建（迁建）</w:t>
            </w:r>
          </w:p>
          <w:p w14:paraId="5A070766">
            <w:pPr>
              <w:adjustRightInd w:val="0"/>
              <w:snapToGrid w:val="0"/>
              <w:jc w:val="left"/>
              <w:rPr>
                <w:rFonts w:hint="eastAsia" w:ascii="宋体" w:hAnsi="宋体" w:cs="宋体"/>
                <w:szCs w:val="21"/>
              </w:rPr>
            </w:pPr>
            <w:r>
              <w:rPr>
                <w:rFonts w:hint="eastAsia" w:ascii="宋体" w:hAnsi="宋体" w:cs="宋体"/>
                <w:szCs w:val="21"/>
              </w:rPr>
              <w:t>□改建</w:t>
            </w:r>
          </w:p>
          <w:p w14:paraId="4E3CBFC5">
            <w:pPr>
              <w:adjustRightInd w:val="0"/>
              <w:snapToGrid w:val="0"/>
              <w:jc w:val="left"/>
              <w:rPr>
                <w:rFonts w:hint="eastAsia" w:ascii="宋体" w:hAnsi="宋体" w:cs="宋体"/>
                <w:szCs w:val="21"/>
              </w:rPr>
            </w:pPr>
            <w:r>
              <w:rPr>
                <w:rFonts w:hint="eastAsia" w:ascii="宋体" w:hAnsi="宋体" w:cs="宋体"/>
                <w:szCs w:val="21"/>
              </w:rPr>
              <w:t>□扩建</w:t>
            </w:r>
          </w:p>
          <w:p w14:paraId="790A0A2D">
            <w:pPr>
              <w:adjustRightInd w:val="0"/>
              <w:snapToGrid w:val="0"/>
              <w:jc w:val="left"/>
              <w:rPr>
                <w:rFonts w:hint="eastAsia" w:ascii="宋体" w:hAnsi="宋体" w:cs="宋体"/>
                <w:szCs w:val="21"/>
              </w:rPr>
            </w:pPr>
            <w:r>
              <w:rPr>
                <w:rFonts w:hint="eastAsia" w:ascii="宋体" w:hAnsi="宋体" w:cs="宋体"/>
                <w:szCs w:val="21"/>
              </w:rPr>
              <w:t>□技术改造</w:t>
            </w:r>
          </w:p>
        </w:tc>
        <w:tc>
          <w:tcPr>
            <w:tcW w:w="1227" w:type="pct"/>
            <w:vAlign w:val="center"/>
          </w:tcPr>
          <w:p w14:paraId="499A8CDD">
            <w:pPr>
              <w:adjustRightInd w:val="0"/>
              <w:snapToGrid w:val="0"/>
              <w:jc w:val="center"/>
              <w:rPr>
                <w:rFonts w:hint="eastAsia" w:ascii="宋体" w:hAnsi="宋体" w:cs="宋体"/>
                <w:szCs w:val="21"/>
              </w:rPr>
            </w:pPr>
            <w:r>
              <w:rPr>
                <w:rFonts w:hint="eastAsia" w:ascii="宋体" w:hAnsi="宋体" w:cs="宋体"/>
                <w:szCs w:val="21"/>
              </w:rPr>
              <w:t>建设项目</w:t>
            </w:r>
          </w:p>
          <w:p w14:paraId="07297AB5">
            <w:pPr>
              <w:adjustRightInd w:val="0"/>
              <w:snapToGrid w:val="0"/>
              <w:jc w:val="center"/>
              <w:rPr>
                <w:rFonts w:hint="eastAsia" w:ascii="宋体" w:hAnsi="宋体" w:cs="宋体"/>
                <w:szCs w:val="21"/>
              </w:rPr>
            </w:pPr>
            <w:r>
              <w:rPr>
                <w:rFonts w:hint="eastAsia" w:ascii="宋体" w:hAnsi="宋体" w:cs="宋体"/>
                <w:szCs w:val="21"/>
              </w:rPr>
              <w:t>申报情形</w:t>
            </w:r>
          </w:p>
        </w:tc>
        <w:tc>
          <w:tcPr>
            <w:tcW w:w="1412" w:type="pct"/>
            <w:gridSpan w:val="2"/>
            <w:vAlign w:val="center"/>
          </w:tcPr>
          <w:p w14:paraId="496987D6">
            <w:pPr>
              <w:adjustRightInd w:val="0"/>
              <w:snapToGrid w:val="0"/>
              <w:jc w:val="left"/>
              <w:rPr>
                <w:rFonts w:hint="eastAsia" w:ascii="宋体" w:hAnsi="宋体" w:cs="宋体"/>
                <w:szCs w:val="21"/>
              </w:rPr>
            </w:pPr>
            <w:r>
              <w:rPr>
                <w:szCs w:val="21"/>
              </w:rPr>
              <w:sym w:font="Wingdings 2" w:char="0052"/>
            </w:r>
            <w:r>
              <w:rPr>
                <w:rFonts w:hint="eastAsia" w:ascii="宋体" w:hAnsi="宋体" w:cs="宋体"/>
                <w:szCs w:val="21"/>
              </w:rPr>
              <w:t>首次申报项目</w:t>
            </w:r>
          </w:p>
          <w:p w14:paraId="5F8A8344">
            <w:pPr>
              <w:adjustRightInd w:val="0"/>
              <w:snapToGrid w:val="0"/>
              <w:jc w:val="left"/>
              <w:rPr>
                <w:rFonts w:hint="eastAsia" w:ascii="宋体" w:hAnsi="宋体" w:cs="宋体"/>
                <w:szCs w:val="21"/>
              </w:rPr>
            </w:pPr>
            <w:r>
              <w:rPr>
                <w:rFonts w:hint="eastAsia" w:ascii="宋体" w:hAnsi="宋体" w:cs="宋体"/>
                <w:szCs w:val="21"/>
              </w:rPr>
              <w:t>□不予批准后再次申报项目</w:t>
            </w:r>
          </w:p>
          <w:p w14:paraId="6CAE63FD">
            <w:pPr>
              <w:adjustRightInd w:val="0"/>
              <w:snapToGrid w:val="0"/>
              <w:jc w:val="left"/>
              <w:rPr>
                <w:rFonts w:hint="eastAsia" w:ascii="宋体" w:hAnsi="宋体" w:cs="宋体"/>
                <w:szCs w:val="21"/>
              </w:rPr>
            </w:pPr>
            <w:r>
              <w:rPr>
                <w:rFonts w:hint="eastAsia" w:ascii="宋体" w:hAnsi="宋体" w:cs="宋体"/>
                <w:szCs w:val="21"/>
              </w:rPr>
              <w:t>□超五年重新审核项目</w:t>
            </w:r>
          </w:p>
          <w:p w14:paraId="3147E3BC">
            <w:pPr>
              <w:adjustRightInd w:val="0"/>
              <w:snapToGrid w:val="0"/>
              <w:rPr>
                <w:rFonts w:hint="eastAsia" w:ascii="宋体" w:hAnsi="宋体" w:cs="宋体"/>
                <w:szCs w:val="21"/>
              </w:rPr>
            </w:pPr>
            <w:r>
              <w:rPr>
                <w:rFonts w:hint="eastAsia" w:ascii="宋体" w:hAnsi="宋体" w:cs="宋体"/>
                <w:szCs w:val="21"/>
              </w:rPr>
              <w:t>□重大变动重新报批项目</w:t>
            </w:r>
          </w:p>
        </w:tc>
      </w:tr>
      <w:tr w14:paraId="6EB47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62" w:hRule="atLeast"/>
        </w:trPr>
        <w:tc>
          <w:tcPr>
            <w:tcW w:w="818" w:type="pct"/>
            <w:gridSpan w:val="2"/>
            <w:tcMar>
              <w:top w:w="16" w:type="dxa"/>
              <w:left w:w="16" w:type="dxa"/>
              <w:right w:w="16" w:type="dxa"/>
            </w:tcMar>
            <w:vAlign w:val="center"/>
          </w:tcPr>
          <w:p w14:paraId="45C9741E">
            <w:pPr>
              <w:adjustRightInd w:val="0"/>
              <w:snapToGrid w:val="0"/>
              <w:jc w:val="center"/>
              <w:rPr>
                <w:rFonts w:hint="eastAsia" w:ascii="宋体" w:hAnsi="宋体" w:cs="宋体"/>
                <w:szCs w:val="21"/>
              </w:rPr>
            </w:pPr>
            <w:r>
              <w:rPr>
                <w:rFonts w:hint="eastAsia" w:ascii="宋体" w:hAnsi="宋体" w:cs="宋体"/>
                <w:szCs w:val="21"/>
              </w:rPr>
              <w:t>项目审批（核准</w:t>
            </w:r>
            <w:r>
              <w:rPr>
                <w:rFonts w:ascii="宋体" w:hAnsi="宋体" w:cs="宋体"/>
                <w:szCs w:val="21"/>
              </w:rPr>
              <w:t>/</w:t>
            </w:r>
          </w:p>
          <w:p w14:paraId="03E3C09F">
            <w:pPr>
              <w:adjustRightInd w:val="0"/>
              <w:snapToGrid w:val="0"/>
              <w:jc w:val="center"/>
              <w:rPr>
                <w:rFonts w:hint="eastAsia" w:ascii="宋体" w:hAnsi="宋体" w:cs="宋体"/>
                <w:szCs w:val="21"/>
              </w:rPr>
            </w:pPr>
            <w:r>
              <w:rPr>
                <w:rFonts w:hint="eastAsia" w:ascii="宋体" w:hAnsi="宋体" w:cs="宋体"/>
                <w:szCs w:val="21"/>
              </w:rPr>
              <w:t>备案）部门（选填）</w:t>
            </w:r>
          </w:p>
        </w:tc>
        <w:tc>
          <w:tcPr>
            <w:tcW w:w="1543" w:type="pct"/>
            <w:vAlign w:val="center"/>
          </w:tcPr>
          <w:p w14:paraId="1131170F">
            <w:pPr>
              <w:adjustRightInd w:val="0"/>
              <w:snapToGrid w:val="0"/>
              <w:jc w:val="center"/>
              <w:rPr>
                <w:rFonts w:hint="eastAsia" w:ascii="宋体" w:hAnsi="宋体" w:cs="宋体"/>
                <w:szCs w:val="21"/>
              </w:rPr>
            </w:pPr>
            <w:r>
              <w:rPr>
                <w:rFonts w:hint="eastAsia" w:ascii="宋体" w:hAnsi="宋体" w:cs="宋体"/>
                <w:szCs w:val="21"/>
              </w:rPr>
              <w:t>/</w:t>
            </w:r>
          </w:p>
        </w:tc>
        <w:tc>
          <w:tcPr>
            <w:tcW w:w="1227" w:type="pct"/>
            <w:vAlign w:val="center"/>
          </w:tcPr>
          <w:p w14:paraId="543C8C69">
            <w:pPr>
              <w:adjustRightInd w:val="0"/>
              <w:snapToGrid w:val="0"/>
              <w:jc w:val="center"/>
              <w:rPr>
                <w:rFonts w:hint="eastAsia" w:ascii="宋体" w:hAnsi="宋体" w:cs="宋体"/>
                <w:szCs w:val="21"/>
              </w:rPr>
            </w:pPr>
            <w:r>
              <w:rPr>
                <w:rFonts w:hint="eastAsia" w:ascii="宋体" w:hAnsi="宋体" w:cs="宋体"/>
                <w:szCs w:val="21"/>
              </w:rPr>
              <w:t>项目审批（核准</w:t>
            </w:r>
            <w:r>
              <w:rPr>
                <w:rFonts w:ascii="宋体" w:hAnsi="宋体" w:cs="宋体"/>
                <w:szCs w:val="21"/>
              </w:rPr>
              <w:t>/</w:t>
            </w:r>
          </w:p>
          <w:p w14:paraId="568B78DA">
            <w:pPr>
              <w:adjustRightInd w:val="0"/>
              <w:snapToGrid w:val="0"/>
              <w:jc w:val="center"/>
              <w:rPr>
                <w:rFonts w:hint="eastAsia" w:ascii="宋体" w:hAnsi="宋体" w:cs="宋体"/>
                <w:szCs w:val="21"/>
              </w:rPr>
            </w:pPr>
            <w:r>
              <w:rPr>
                <w:rFonts w:hint="eastAsia" w:ascii="宋体" w:hAnsi="宋体" w:cs="宋体"/>
                <w:szCs w:val="21"/>
              </w:rPr>
              <w:t>备案）文号（选填）</w:t>
            </w:r>
          </w:p>
        </w:tc>
        <w:tc>
          <w:tcPr>
            <w:tcW w:w="1412" w:type="pct"/>
            <w:gridSpan w:val="2"/>
            <w:vAlign w:val="center"/>
          </w:tcPr>
          <w:p w14:paraId="12E511D1">
            <w:pPr>
              <w:adjustRightInd w:val="0"/>
              <w:snapToGrid w:val="0"/>
              <w:jc w:val="center"/>
              <w:rPr>
                <w:rFonts w:hint="eastAsia" w:ascii="宋体" w:hAnsi="宋体" w:cs="宋体"/>
                <w:szCs w:val="21"/>
              </w:rPr>
            </w:pPr>
            <w:r>
              <w:rPr>
                <w:rFonts w:hint="eastAsia" w:ascii="宋体" w:hAnsi="宋体" w:cs="宋体"/>
                <w:szCs w:val="21"/>
              </w:rPr>
              <w:t>/</w:t>
            </w:r>
          </w:p>
        </w:tc>
      </w:tr>
      <w:tr w14:paraId="7E8A8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818" w:type="pct"/>
            <w:gridSpan w:val="2"/>
            <w:tcMar>
              <w:top w:w="16" w:type="dxa"/>
              <w:left w:w="16" w:type="dxa"/>
              <w:right w:w="16" w:type="dxa"/>
            </w:tcMar>
            <w:vAlign w:val="center"/>
          </w:tcPr>
          <w:p w14:paraId="743BF1E4">
            <w:pPr>
              <w:adjustRightInd w:val="0"/>
              <w:snapToGrid w:val="0"/>
              <w:jc w:val="center"/>
              <w:rPr>
                <w:rFonts w:hint="eastAsia" w:ascii="宋体" w:hAnsi="宋体" w:cs="宋体"/>
                <w:szCs w:val="21"/>
              </w:rPr>
            </w:pPr>
            <w:r>
              <w:rPr>
                <w:rFonts w:hint="eastAsia" w:ascii="宋体" w:hAnsi="宋体" w:cs="宋体"/>
                <w:szCs w:val="21"/>
              </w:rPr>
              <w:t>总投资（万元）</w:t>
            </w:r>
          </w:p>
        </w:tc>
        <w:tc>
          <w:tcPr>
            <w:tcW w:w="1543" w:type="pct"/>
            <w:vAlign w:val="center"/>
          </w:tcPr>
          <w:p w14:paraId="700AFDB4">
            <w:pPr>
              <w:adjustRightInd w:val="0"/>
              <w:snapToGrid w:val="0"/>
              <w:jc w:val="center"/>
              <w:rPr>
                <w:szCs w:val="21"/>
              </w:rPr>
            </w:pPr>
            <w:r>
              <w:rPr>
                <w:rFonts w:hint="eastAsia"/>
                <w:szCs w:val="21"/>
              </w:rPr>
              <w:t>4883.04</w:t>
            </w:r>
          </w:p>
        </w:tc>
        <w:tc>
          <w:tcPr>
            <w:tcW w:w="1227" w:type="pct"/>
            <w:tcMar>
              <w:top w:w="16" w:type="dxa"/>
              <w:left w:w="16" w:type="dxa"/>
              <w:right w:w="16" w:type="dxa"/>
            </w:tcMar>
            <w:vAlign w:val="center"/>
          </w:tcPr>
          <w:p w14:paraId="0886A0A2">
            <w:pPr>
              <w:adjustRightInd w:val="0"/>
              <w:snapToGrid w:val="0"/>
              <w:jc w:val="center"/>
              <w:rPr>
                <w:rFonts w:hint="eastAsia" w:ascii="宋体" w:hAnsi="宋体" w:cs="宋体"/>
                <w:szCs w:val="21"/>
              </w:rPr>
            </w:pPr>
            <w:r>
              <w:rPr>
                <w:rFonts w:hint="eastAsia" w:ascii="宋体" w:hAnsi="宋体" w:cs="宋体"/>
                <w:szCs w:val="21"/>
              </w:rPr>
              <w:t>环保投资（万元）</w:t>
            </w:r>
          </w:p>
        </w:tc>
        <w:tc>
          <w:tcPr>
            <w:tcW w:w="1412" w:type="pct"/>
            <w:gridSpan w:val="2"/>
            <w:vAlign w:val="center"/>
          </w:tcPr>
          <w:p w14:paraId="459EDF5C">
            <w:pPr>
              <w:adjustRightInd w:val="0"/>
              <w:snapToGrid w:val="0"/>
              <w:jc w:val="center"/>
              <w:rPr>
                <w:rFonts w:hint="eastAsia" w:ascii="宋体" w:hAnsi="宋体" w:cs="宋体"/>
                <w:szCs w:val="21"/>
              </w:rPr>
            </w:pPr>
            <w:r>
              <w:rPr>
                <w:rFonts w:hint="eastAsia"/>
                <w:kern w:val="0"/>
                <w:szCs w:val="21"/>
                <w:lang w:bidi="ar"/>
              </w:rPr>
              <w:t>218</w:t>
            </w:r>
          </w:p>
        </w:tc>
      </w:tr>
      <w:tr w14:paraId="425111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4" w:hRule="atLeast"/>
        </w:trPr>
        <w:tc>
          <w:tcPr>
            <w:tcW w:w="818" w:type="pct"/>
            <w:gridSpan w:val="2"/>
            <w:tcMar>
              <w:top w:w="16" w:type="dxa"/>
              <w:left w:w="16" w:type="dxa"/>
              <w:right w:w="16" w:type="dxa"/>
            </w:tcMar>
            <w:vAlign w:val="center"/>
          </w:tcPr>
          <w:p w14:paraId="763AF38E">
            <w:pPr>
              <w:adjustRightInd w:val="0"/>
              <w:snapToGrid w:val="0"/>
              <w:jc w:val="center"/>
              <w:rPr>
                <w:rFonts w:hint="eastAsia" w:ascii="宋体" w:hAnsi="宋体" w:cs="宋体"/>
                <w:szCs w:val="21"/>
              </w:rPr>
            </w:pPr>
            <w:r>
              <w:rPr>
                <w:rFonts w:hint="eastAsia" w:ascii="宋体" w:hAnsi="宋体" w:cs="宋体"/>
                <w:szCs w:val="21"/>
              </w:rPr>
              <w:t>环保投资占比（</w:t>
            </w:r>
            <w:r>
              <w:rPr>
                <w:rFonts w:ascii="宋体" w:hAnsi="宋体" w:cs="宋体"/>
                <w:szCs w:val="21"/>
              </w:rPr>
              <w:t>%</w:t>
            </w:r>
            <w:r>
              <w:rPr>
                <w:rFonts w:hint="eastAsia" w:ascii="宋体" w:hAnsi="宋体" w:cs="宋体"/>
                <w:szCs w:val="21"/>
              </w:rPr>
              <w:t>）</w:t>
            </w:r>
          </w:p>
        </w:tc>
        <w:tc>
          <w:tcPr>
            <w:tcW w:w="1543" w:type="pct"/>
            <w:vAlign w:val="center"/>
          </w:tcPr>
          <w:p w14:paraId="456AE401">
            <w:pPr>
              <w:adjustRightInd w:val="0"/>
              <w:snapToGrid w:val="0"/>
              <w:jc w:val="center"/>
              <w:rPr>
                <w:rFonts w:hint="eastAsia" w:ascii="宋体" w:hAnsi="宋体" w:cs="宋体"/>
                <w:szCs w:val="21"/>
              </w:rPr>
            </w:pPr>
            <w:r>
              <w:rPr>
                <w:rFonts w:hint="eastAsia"/>
                <w:szCs w:val="21"/>
              </w:rPr>
              <w:t>4.46</w:t>
            </w:r>
            <w:r>
              <w:rPr>
                <w:szCs w:val="21"/>
              </w:rPr>
              <w:t>%</w:t>
            </w:r>
          </w:p>
        </w:tc>
        <w:tc>
          <w:tcPr>
            <w:tcW w:w="1227" w:type="pct"/>
            <w:tcMar>
              <w:top w:w="16" w:type="dxa"/>
              <w:left w:w="16" w:type="dxa"/>
              <w:right w:w="16" w:type="dxa"/>
            </w:tcMar>
            <w:vAlign w:val="center"/>
          </w:tcPr>
          <w:p w14:paraId="10884037">
            <w:pPr>
              <w:adjustRightInd w:val="0"/>
              <w:snapToGrid w:val="0"/>
              <w:jc w:val="center"/>
              <w:rPr>
                <w:rFonts w:hint="eastAsia" w:ascii="宋体" w:hAnsi="宋体" w:cs="宋体"/>
                <w:szCs w:val="21"/>
              </w:rPr>
            </w:pPr>
            <w:r>
              <w:rPr>
                <w:rFonts w:hint="eastAsia" w:ascii="宋体" w:hAnsi="宋体" w:cs="宋体"/>
                <w:szCs w:val="21"/>
              </w:rPr>
              <w:t>施工工期</w:t>
            </w:r>
          </w:p>
        </w:tc>
        <w:tc>
          <w:tcPr>
            <w:tcW w:w="1412" w:type="pct"/>
            <w:gridSpan w:val="2"/>
            <w:vAlign w:val="center"/>
          </w:tcPr>
          <w:p w14:paraId="2C3C9ACD">
            <w:pPr>
              <w:adjustRightInd w:val="0"/>
              <w:snapToGrid w:val="0"/>
              <w:jc w:val="center"/>
              <w:rPr>
                <w:rFonts w:hint="eastAsia" w:ascii="宋体" w:hAnsi="宋体" w:cs="宋体"/>
                <w:szCs w:val="21"/>
              </w:rPr>
            </w:pPr>
            <w:r>
              <w:rPr>
                <w:rFonts w:hint="eastAsia"/>
                <w:kern w:val="0"/>
                <w:szCs w:val="21"/>
                <w:lang w:bidi="ar"/>
              </w:rPr>
              <w:t>12个月</w:t>
            </w:r>
          </w:p>
        </w:tc>
      </w:tr>
      <w:tr w14:paraId="44036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11" w:hRule="atLeast"/>
        </w:trPr>
        <w:tc>
          <w:tcPr>
            <w:tcW w:w="818" w:type="pct"/>
            <w:gridSpan w:val="2"/>
            <w:tcMar>
              <w:top w:w="16" w:type="dxa"/>
              <w:left w:w="16" w:type="dxa"/>
              <w:right w:w="16" w:type="dxa"/>
            </w:tcMar>
            <w:vAlign w:val="center"/>
          </w:tcPr>
          <w:p w14:paraId="72ACD442">
            <w:pPr>
              <w:adjustRightInd w:val="0"/>
              <w:snapToGrid w:val="0"/>
              <w:jc w:val="center"/>
              <w:rPr>
                <w:rFonts w:hint="eastAsia" w:ascii="宋体" w:hAnsi="宋体" w:cs="宋体"/>
                <w:szCs w:val="21"/>
              </w:rPr>
            </w:pPr>
            <w:r>
              <w:rPr>
                <w:rFonts w:hint="eastAsia" w:ascii="宋体" w:hAnsi="宋体" w:cs="宋体"/>
                <w:szCs w:val="21"/>
              </w:rPr>
              <w:t>是否开工建设</w:t>
            </w:r>
          </w:p>
        </w:tc>
        <w:tc>
          <w:tcPr>
            <w:tcW w:w="4182" w:type="pct"/>
            <w:gridSpan w:val="4"/>
            <w:vAlign w:val="center"/>
          </w:tcPr>
          <w:p w14:paraId="0F9FF2AB">
            <w:pPr>
              <w:adjustRightInd w:val="0"/>
              <w:snapToGrid w:val="0"/>
              <w:ind w:firstLine="105"/>
              <w:jc w:val="left"/>
              <w:rPr>
                <w:rFonts w:hint="eastAsia" w:ascii="宋体" w:hAnsi="宋体" w:cs="宋体"/>
                <w:szCs w:val="21"/>
              </w:rPr>
            </w:pPr>
            <w:r>
              <w:rPr>
                <w:szCs w:val="21"/>
              </w:rPr>
              <w:sym w:font="Wingdings 2" w:char="0052"/>
            </w:r>
            <w:r>
              <w:rPr>
                <w:rFonts w:hint="eastAsia" w:ascii="宋体" w:hAnsi="宋体" w:cs="宋体"/>
                <w:szCs w:val="21"/>
              </w:rPr>
              <w:t>否</w:t>
            </w:r>
          </w:p>
          <w:p w14:paraId="3E2B33AB">
            <w:pPr>
              <w:adjustRightInd w:val="0"/>
              <w:snapToGrid w:val="0"/>
              <w:ind w:firstLine="92"/>
              <w:jc w:val="left"/>
              <w:rPr>
                <w:rFonts w:hint="eastAsia" w:ascii="宋体" w:hAnsi="宋体" w:cs="宋体"/>
                <w:szCs w:val="21"/>
              </w:rPr>
            </w:pPr>
            <w:r>
              <w:rPr>
                <w:rFonts w:hint="eastAsia" w:ascii="宋体" w:hAnsi="宋体" w:cs="宋体"/>
                <w:szCs w:val="21"/>
              </w:rPr>
              <w:t>□是：</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p>
        </w:tc>
      </w:tr>
      <w:tr w14:paraId="343BE6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11" w:hRule="atLeast"/>
        </w:trPr>
        <w:tc>
          <w:tcPr>
            <w:tcW w:w="818" w:type="pct"/>
            <w:gridSpan w:val="2"/>
            <w:tcMar>
              <w:top w:w="16" w:type="dxa"/>
              <w:left w:w="16" w:type="dxa"/>
              <w:right w:w="16" w:type="dxa"/>
            </w:tcMar>
            <w:vAlign w:val="center"/>
          </w:tcPr>
          <w:p w14:paraId="5FB08A22">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专项评价设置情况</w:t>
            </w:r>
          </w:p>
        </w:tc>
        <w:tc>
          <w:tcPr>
            <w:tcW w:w="4182" w:type="pct"/>
            <w:gridSpan w:val="4"/>
            <w:tcMar>
              <w:top w:w="16" w:type="dxa"/>
              <w:left w:w="16" w:type="dxa"/>
              <w:right w:w="16" w:type="dxa"/>
            </w:tcMar>
            <w:vAlign w:val="center"/>
          </w:tcPr>
          <w:p w14:paraId="497CE4B7">
            <w:pPr>
              <w:autoSpaceDE w:val="0"/>
              <w:autoSpaceDN w:val="0"/>
              <w:adjustRightInd w:val="0"/>
              <w:snapToGrid w:val="0"/>
              <w:spacing w:before="120" w:beforeLines="50" w:line="360" w:lineRule="auto"/>
              <w:jc w:val="center"/>
              <w:rPr>
                <w:b/>
                <w:bCs/>
                <w:kern w:val="0"/>
                <w:szCs w:val="21"/>
              </w:rPr>
            </w:pPr>
            <w:r>
              <w:rPr>
                <w:b/>
                <w:bCs/>
                <w:kern w:val="0"/>
                <w:szCs w:val="21"/>
              </w:rPr>
              <w:t>表1-1  专项评价设置情况</w:t>
            </w:r>
          </w:p>
          <w:tbl>
            <w:tblPr>
              <w:tblStyle w:val="33"/>
              <w:tblW w:w="4919"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4526"/>
              <w:gridCol w:w="2865"/>
            </w:tblGrid>
            <w:tr w14:paraId="74EB7B1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2711D088">
                  <w:pPr>
                    <w:adjustRightInd w:val="0"/>
                    <w:snapToGrid w:val="0"/>
                    <w:jc w:val="center"/>
                    <w:rPr>
                      <w:rStyle w:val="41"/>
                      <w:b/>
                      <w:bCs/>
                      <w:kern w:val="0"/>
                      <w:szCs w:val="21"/>
                    </w:rPr>
                  </w:pPr>
                  <w:r>
                    <w:rPr>
                      <w:rStyle w:val="41"/>
                      <w:b/>
                      <w:bCs/>
                      <w:kern w:val="0"/>
                      <w:szCs w:val="21"/>
                    </w:rPr>
                    <w:t>专项评价的类别</w:t>
                  </w:r>
                </w:p>
              </w:tc>
              <w:tc>
                <w:tcPr>
                  <w:tcW w:w="2633" w:type="pct"/>
                  <w:shd w:val="clear" w:color="auto" w:fill="auto"/>
                  <w:vAlign w:val="center"/>
                </w:tcPr>
                <w:p w14:paraId="105BB8BF">
                  <w:pPr>
                    <w:adjustRightInd w:val="0"/>
                    <w:snapToGrid w:val="0"/>
                    <w:jc w:val="center"/>
                    <w:rPr>
                      <w:rStyle w:val="41"/>
                      <w:b/>
                      <w:bCs/>
                      <w:kern w:val="0"/>
                      <w:szCs w:val="21"/>
                    </w:rPr>
                  </w:pPr>
                  <w:r>
                    <w:rPr>
                      <w:rStyle w:val="41"/>
                      <w:b/>
                      <w:bCs/>
                      <w:kern w:val="0"/>
                      <w:szCs w:val="21"/>
                    </w:rPr>
                    <w:t>设置原则</w:t>
                  </w:r>
                </w:p>
              </w:tc>
              <w:tc>
                <w:tcPr>
                  <w:tcW w:w="1667" w:type="pct"/>
                  <w:shd w:val="clear" w:color="auto" w:fill="auto"/>
                  <w:vAlign w:val="center"/>
                </w:tcPr>
                <w:p w14:paraId="2E12F1CB">
                  <w:pPr>
                    <w:adjustRightInd w:val="0"/>
                    <w:snapToGrid w:val="0"/>
                    <w:jc w:val="center"/>
                    <w:rPr>
                      <w:rStyle w:val="41"/>
                      <w:b/>
                      <w:bCs/>
                      <w:kern w:val="0"/>
                      <w:szCs w:val="21"/>
                    </w:rPr>
                  </w:pPr>
                  <w:r>
                    <w:rPr>
                      <w:rStyle w:val="41"/>
                      <w:b/>
                      <w:bCs/>
                      <w:kern w:val="0"/>
                      <w:szCs w:val="21"/>
                    </w:rPr>
                    <w:t>项目情况</w:t>
                  </w:r>
                </w:p>
              </w:tc>
            </w:tr>
            <w:tr w14:paraId="69069BB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4197F043">
                  <w:pPr>
                    <w:adjustRightInd w:val="0"/>
                    <w:snapToGrid w:val="0"/>
                    <w:jc w:val="center"/>
                    <w:rPr>
                      <w:rStyle w:val="41"/>
                      <w:kern w:val="0"/>
                      <w:szCs w:val="21"/>
                    </w:rPr>
                  </w:pPr>
                  <w:r>
                    <w:rPr>
                      <w:rStyle w:val="41"/>
                      <w:kern w:val="0"/>
                      <w:szCs w:val="21"/>
                    </w:rPr>
                    <w:t>大气</w:t>
                  </w:r>
                </w:p>
              </w:tc>
              <w:tc>
                <w:tcPr>
                  <w:tcW w:w="2633" w:type="pct"/>
                  <w:shd w:val="clear" w:color="auto" w:fill="auto"/>
                  <w:vAlign w:val="center"/>
                </w:tcPr>
                <w:p w14:paraId="11D4C3DC">
                  <w:pPr>
                    <w:adjustRightInd w:val="0"/>
                    <w:snapToGrid w:val="0"/>
                    <w:jc w:val="center"/>
                    <w:rPr>
                      <w:rStyle w:val="41"/>
                      <w:kern w:val="0"/>
                      <w:szCs w:val="21"/>
                    </w:rPr>
                  </w:pPr>
                  <w:r>
                    <w:rPr>
                      <w:rStyle w:val="41"/>
                      <w:kern w:val="0"/>
                      <w:szCs w:val="21"/>
                    </w:rPr>
                    <w:t>油气、液体化工码头：全部；</w:t>
                  </w:r>
                </w:p>
                <w:p w14:paraId="26E68EFD">
                  <w:pPr>
                    <w:adjustRightInd w:val="0"/>
                    <w:snapToGrid w:val="0"/>
                    <w:jc w:val="center"/>
                    <w:rPr>
                      <w:rStyle w:val="41"/>
                      <w:kern w:val="0"/>
                      <w:szCs w:val="21"/>
                    </w:rPr>
                  </w:pPr>
                  <w:r>
                    <w:rPr>
                      <w:rStyle w:val="41"/>
                      <w:kern w:val="0"/>
                      <w:szCs w:val="21"/>
                    </w:rPr>
                    <w:t>干散货（含煤炭、矿石）、件杂、多用途、通用码头：涉及粉尘、挥发性有机物排放的项目</w:t>
                  </w:r>
                </w:p>
              </w:tc>
              <w:tc>
                <w:tcPr>
                  <w:tcW w:w="1667" w:type="pct"/>
                  <w:shd w:val="clear" w:color="auto" w:fill="auto"/>
                  <w:vAlign w:val="center"/>
                </w:tcPr>
                <w:p w14:paraId="5AA42CC7">
                  <w:pPr>
                    <w:adjustRightInd w:val="0"/>
                    <w:snapToGrid w:val="0"/>
                    <w:jc w:val="center"/>
                    <w:rPr>
                      <w:rStyle w:val="41"/>
                      <w:kern w:val="0"/>
                      <w:szCs w:val="21"/>
                    </w:rPr>
                  </w:pPr>
                  <w:r>
                    <w:rPr>
                      <w:kern w:val="0"/>
                      <w:szCs w:val="21"/>
                    </w:rPr>
                    <w:t>本项目为</w:t>
                  </w:r>
                  <w:r>
                    <w:rPr>
                      <w:rFonts w:hint="eastAsia" w:ascii="宋体" w:cs="宋体"/>
                      <w:kern w:val="0"/>
                      <w:szCs w:val="21"/>
                    </w:rPr>
                    <w:t>新建主干路</w:t>
                  </w:r>
                  <w:r>
                    <w:rPr>
                      <w:kern w:val="0"/>
                      <w:szCs w:val="21"/>
                    </w:rPr>
                    <w:t>建设项目，</w:t>
                  </w:r>
                  <w:r>
                    <w:rPr>
                      <w:rStyle w:val="41"/>
                      <w:kern w:val="0"/>
                      <w:szCs w:val="21"/>
                    </w:rPr>
                    <w:t>因此不需设置大气专项评价</w:t>
                  </w:r>
                </w:p>
              </w:tc>
            </w:tr>
            <w:tr w14:paraId="188CD95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27650010">
                  <w:pPr>
                    <w:adjustRightInd w:val="0"/>
                    <w:snapToGrid w:val="0"/>
                    <w:jc w:val="center"/>
                    <w:rPr>
                      <w:rStyle w:val="41"/>
                      <w:kern w:val="0"/>
                      <w:szCs w:val="21"/>
                    </w:rPr>
                  </w:pPr>
                  <w:r>
                    <w:rPr>
                      <w:rStyle w:val="41"/>
                      <w:kern w:val="0"/>
                      <w:szCs w:val="21"/>
                    </w:rPr>
                    <w:t>地表水</w:t>
                  </w:r>
                </w:p>
              </w:tc>
              <w:tc>
                <w:tcPr>
                  <w:tcW w:w="2633" w:type="pct"/>
                  <w:shd w:val="clear" w:color="auto" w:fill="auto"/>
                  <w:vAlign w:val="center"/>
                </w:tcPr>
                <w:p w14:paraId="0D120C10">
                  <w:pPr>
                    <w:adjustRightInd w:val="0"/>
                    <w:snapToGrid w:val="0"/>
                    <w:jc w:val="center"/>
                    <w:rPr>
                      <w:rStyle w:val="41"/>
                      <w:kern w:val="0"/>
                      <w:szCs w:val="21"/>
                    </w:rPr>
                  </w:pPr>
                  <w:r>
                    <w:rPr>
                      <w:rStyle w:val="41"/>
                      <w:kern w:val="0"/>
                      <w:szCs w:val="21"/>
                    </w:rPr>
                    <w:t>水力发电：引水式发电、涉及调峰发电的项目；</w:t>
                  </w:r>
                </w:p>
                <w:p w14:paraId="791239B2">
                  <w:pPr>
                    <w:adjustRightInd w:val="0"/>
                    <w:snapToGrid w:val="0"/>
                    <w:jc w:val="center"/>
                    <w:rPr>
                      <w:rStyle w:val="41"/>
                      <w:kern w:val="0"/>
                      <w:szCs w:val="21"/>
                    </w:rPr>
                  </w:pPr>
                  <w:r>
                    <w:rPr>
                      <w:rStyle w:val="41"/>
                      <w:kern w:val="0"/>
                      <w:szCs w:val="21"/>
                    </w:rPr>
                    <w:t>人工湖、人工湿地：全部；</w:t>
                  </w:r>
                </w:p>
                <w:p w14:paraId="16DCC4B1">
                  <w:pPr>
                    <w:adjustRightInd w:val="0"/>
                    <w:snapToGrid w:val="0"/>
                    <w:jc w:val="center"/>
                    <w:rPr>
                      <w:rStyle w:val="41"/>
                      <w:kern w:val="0"/>
                      <w:szCs w:val="21"/>
                    </w:rPr>
                  </w:pPr>
                  <w:r>
                    <w:rPr>
                      <w:rStyle w:val="41"/>
                      <w:kern w:val="0"/>
                      <w:szCs w:val="21"/>
                    </w:rPr>
                    <w:t>水库：全部；</w:t>
                  </w:r>
                </w:p>
                <w:p w14:paraId="4AB178FA">
                  <w:pPr>
                    <w:adjustRightInd w:val="0"/>
                    <w:snapToGrid w:val="0"/>
                    <w:jc w:val="center"/>
                    <w:rPr>
                      <w:rStyle w:val="41"/>
                      <w:kern w:val="0"/>
                      <w:szCs w:val="21"/>
                    </w:rPr>
                  </w:pPr>
                  <w:r>
                    <w:rPr>
                      <w:rStyle w:val="41"/>
                      <w:kern w:val="0"/>
                      <w:szCs w:val="21"/>
                    </w:rPr>
                    <w:t>引水工程：全部（配套的管线工程等除外）；</w:t>
                  </w:r>
                </w:p>
                <w:p w14:paraId="0FFA6F7E">
                  <w:pPr>
                    <w:adjustRightInd w:val="0"/>
                    <w:snapToGrid w:val="0"/>
                    <w:jc w:val="center"/>
                    <w:rPr>
                      <w:rStyle w:val="41"/>
                      <w:kern w:val="0"/>
                      <w:szCs w:val="21"/>
                    </w:rPr>
                  </w:pPr>
                  <w:r>
                    <w:rPr>
                      <w:rStyle w:val="41"/>
                      <w:kern w:val="0"/>
                      <w:szCs w:val="21"/>
                    </w:rPr>
                    <w:t>防洪除涝工程：包含水库的项目；</w:t>
                  </w:r>
                </w:p>
                <w:p w14:paraId="7C452627">
                  <w:pPr>
                    <w:adjustRightInd w:val="0"/>
                    <w:snapToGrid w:val="0"/>
                    <w:jc w:val="center"/>
                    <w:rPr>
                      <w:rStyle w:val="41"/>
                      <w:kern w:val="0"/>
                      <w:szCs w:val="21"/>
                    </w:rPr>
                  </w:pPr>
                  <w:r>
                    <w:rPr>
                      <w:rStyle w:val="41"/>
                      <w:kern w:val="0"/>
                      <w:szCs w:val="21"/>
                    </w:rPr>
                    <w:t>河湖整治：涉及清淤且底泥存在重金属污染的项目</w:t>
                  </w:r>
                </w:p>
              </w:tc>
              <w:tc>
                <w:tcPr>
                  <w:tcW w:w="1667" w:type="pct"/>
                  <w:shd w:val="clear" w:color="auto" w:fill="auto"/>
                  <w:vAlign w:val="center"/>
                </w:tcPr>
                <w:p w14:paraId="75490BDC">
                  <w:pPr>
                    <w:adjustRightInd w:val="0"/>
                    <w:snapToGrid w:val="0"/>
                    <w:jc w:val="center"/>
                    <w:rPr>
                      <w:rStyle w:val="41"/>
                      <w:kern w:val="0"/>
                      <w:szCs w:val="21"/>
                    </w:rPr>
                  </w:pPr>
                  <w:r>
                    <w:rPr>
                      <w:kern w:val="0"/>
                      <w:szCs w:val="21"/>
                    </w:rPr>
                    <w:t>本项目为</w:t>
                  </w:r>
                  <w:r>
                    <w:rPr>
                      <w:rFonts w:hint="eastAsia" w:ascii="宋体" w:cs="宋体"/>
                      <w:kern w:val="0"/>
                      <w:szCs w:val="21"/>
                    </w:rPr>
                    <w:t>新建主干路</w:t>
                  </w:r>
                  <w:r>
                    <w:rPr>
                      <w:kern w:val="0"/>
                      <w:szCs w:val="21"/>
                    </w:rPr>
                    <w:t>建设项目，</w:t>
                  </w:r>
                  <w:r>
                    <w:rPr>
                      <w:rStyle w:val="41"/>
                      <w:kern w:val="0"/>
                      <w:szCs w:val="21"/>
                    </w:rPr>
                    <w:t>因此不需设置地表水专项评价</w:t>
                  </w:r>
                </w:p>
              </w:tc>
            </w:tr>
            <w:tr w14:paraId="1E9AD12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45B9E958">
                  <w:pPr>
                    <w:adjustRightInd w:val="0"/>
                    <w:snapToGrid w:val="0"/>
                    <w:jc w:val="center"/>
                    <w:rPr>
                      <w:rStyle w:val="41"/>
                      <w:kern w:val="0"/>
                      <w:szCs w:val="21"/>
                    </w:rPr>
                  </w:pPr>
                  <w:r>
                    <w:rPr>
                      <w:rStyle w:val="41"/>
                      <w:kern w:val="0"/>
                      <w:szCs w:val="21"/>
                    </w:rPr>
                    <w:t>地下水</w:t>
                  </w:r>
                </w:p>
              </w:tc>
              <w:tc>
                <w:tcPr>
                  <w:tcW w:w="2633" w:type="pct"/>
                  <w:shd w:val="clear" w:color="auto" w:fill="auto"/>
                  <w:vAlign w:val="center"/>
                </w:tcPr>
                <w:p w14:paraId="4B6EE2E0">
                  <w:pPr>
                    <w:adjustRightInd w:val="0"/>
                    <w:snapToGrid w:val="0"/>
                    <w:jc w:val="center"/>
                    <w:rPr>
                      <w:rStyle w:val="41"/>
                      <w:kern w:val="0"/>
                      <w:szCs w:val="21"/>
                    </w:rPr>
                  </w:pPr>
                  <w:r>
                    <w:rPr>
                      <w:rStyle w:val="41"/>
                      <w:kern w:val="0"/>
                      <w:szCs w:val="21"/>
                    </w:rPr>
                    <w:t>陆地石油和天然气开采：全部；</w:t>
                  </w:r>
                </w:p>
                <w:p w14:paraId="1336301A">
                  <w:pPr>
                    <w:adjustRightInd w:val="0"/>
                    <w:snapToGrid w:val="0"/>
                    <w:jc w:val="center"/>
                    <w:rPr>
                      <w:rStyle w:val="41"/>
                      <w:kern w:val="0"/>
                      <w:szCs w:val="21"/>
                    </w:rPr>
                  </w:pPr>
                  <w:r>
                    <w:rPr>
                      <w:rStyle w:val="41"/>
                      <w:kern w:val="0"/>
                      <w:szCs w:val="21"/>
                    </w:rPr>
                    <w:t>地下水（含矿泉水）开采：全部；</w:t>
                  </w:r>
                </w:p>
                <w:p w14:paraId="70911610">
                  <w:pPr>
                    <w:adjustRightInd w:val="0"/>
                    <w:snapToGrid w:val="0"/>
                    <w:jc w:val="center"/>
                    <w:rPr>
                      <w:rStyle w:val="41"/>
                      <w:kern w:val="0"/>
                      <w:szCs w:val="21"/>
                    </w:rPr>
                  </w:pPr>
                  <w:r>
                    <w:rPr>
                      <w:rStyle w:val="41"/>
                      <w:kern w:val="0"/>
                      <w:szCs w:val="21"/>
                    </w:rPr>
                    <w:t>水利、水电、交通等：含穿越可溶岩地层隧道的项目</w:t>
                  </w:r>
                </w:p>
              </w:tc>
              <w:tc>
                <w:tcPr>
                  <w:tcW w:w="1667" w:type="pct"/>
                  <w:shd w:val="clear" w:color="auto" w:fill="auto"/>
                  <w:vAlign w:val="center"/>
                </w:tcPr>
                <w:p w14:paraId="2D1E8216">
                  <w:pPr>
                    <w:adjustRightInd w:val="0"/>
                    <w:snapToGrid w:val="0"/>
                    <w:jc w:val="center"/>
                    <w:rPr>
                      <w:rStyle w:val="41"/>
                      <w:kern w:val="0"/>
                      <w:szCs w:val="21"/>
                    </w:rPr>
                  </w:pPr>
                  <w:r>
                    <w:rPr>
                      <w:kern w:val="0"/>
                      <w:szCs w:val="21"/>
                    </w:rPr>
                    <w:t>本项目为</w:t>
                  </w:r>
                  <w:r>
                    <w:rPr>
                      <w:rFonts w:hint="eastAsia" w:ascii="宋体" w:cs="宋体"/>
                      <w:kern w:val="0"/>
                      <w:szCs w:val="21"/>
                    </w:rPr>
                    <w:t>新建主干路</w:t>
                  </w:r>
                  <w:r>
                    <w:rPr>
                      <w:kern w:val="0"/>
                      <w:szCs w:val="21"/>
                    </w:rPr>
                    <w:t>项目，</w:t>
                  </w:r>
                  <w:r>
                    <w:rPr>
                      <w:rStyle w:val="41"/>
                      <w:kern w:val="0"/>
                      <w:szCs w:val="21"/>
                    </w:rPr>
                    <w:t>因此不需设置地下水专项评价</w:t>
                  </w:r>
                </w:p>
              </w:tc>
            </w:tr>
            <w:tr w14:paraId="4C2992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4880A989">
                  <w:pPr>
                    <w:adjustRightInd w:val="0"/>
                    <w:snapToGrid w:val="0"/>
                    <w:jc w:val="center"/>
                    <w:rPr>
                      <w:rStyle w:val="41"/>
                      <w:kern w:val="0"/>
                      <w:szCs w:val="21"/>
                    </w:rPr>
                  </w:pPr>
                  <w:r>
                    <w:rPr>
                      <w:rStyle w:val="41"/>
                      <w:kern w:val="0"/>
                      <w:szCs w:val="21"/>
                    </w:rPr>
                    <w:t>生态</w:t>
                  </w:r>
                </w:p>
              </w:tc>
              <w:tc>
                <w:tcPr>
                  <w:tcW w:w="2633" w:type="pct"/>
                  <w:shd w:val="clear" w:color="auto" w:fill="auto"/>
                  <w:vAlign w:val="center"/>
                </w:tcPr>
                <w:p w14:paraId="08035AB8">
                  <w:pPr>
                    <w:adjustRightInd w:val="0"/>
                    <w:snapToGrid w:val="0"/>
                    <w:jc w:val="center"/>
                    <w:rPr>
                      <w:rStyle w:val="41"/>
                      <w:kern w:val="0"/>
                      <w:szCs w:val="21"/>
                    </w:rPr>
                  </w:pPr>
                  <w:r>
                    <w:rPr>
                      <w:rStyle w:val="41"/>
                      <w:kern w:val="0"/>
                      <w:szCs w:val="21"/>
                    </w:rPr>
                    <w:t>涉及环境敏感区（不包括饮用水水源保护区，以居住、医疗卫生、文化教育、科研、行政办公为主要功能的区域，以及文物保护单位）的项目</w:t>
                  </w:r>
                </w:p>
              </w:tc>
              <w:tc>
                <w:tcPr>
                  <w:tcW w:w="1667" w:type="pct"/>
                  <w:shd w:val="clear" w:color="auto" w:fill="auto"/>
                  <w:vAlign w:val="center"/>
                </w:tcPr>
                <w:p w14:paraId="48EBFBE9">
                  <w:pPr>
                    <w:adjustRightInd w:val="0"/>
                    <w:snapToGrid w:val="0"/>
                    <w:jc w:val="center"/>
                    <w:rPr>
                      <w:rStyle w:val="41"/>
                      <w:kern w:val="0"/>
                      <w:szCs w:val="21"/>
                    </w:rPr>
                  </w:pPr>
                  <w:r>
                    <w:rPr>
                      <w:rStyle w:val="41"/>
                      <w:rFonts w:hint="eastAsia"/>
                      <w:kern w:val="0"/>
                      <w:szCs w:val="21"/>
                    </w:rPr>
                    <w:t>本项目不</w:t>
                  </w:r>
                  <w:r>
                    <w:rPr>
                      <w:rStyle w:val="41"/>
                      <w:kern w:val="0"/>
                      <w:szCs w:val="21"/>
                    </w:rPr>
                    <w:t>涉及环境敏感区</w:t>
                  </w:r>
                  <w:r>
                    <w:rPr>
                      <w:rStyle w:val="41"/>
                      <w:rFonts w:hint="eastAsia"/>
                      <w:kern w:val="0"/>
                      <w:szCs w:val="21"/>
                    </w:rPr>
                    <w:t>，</w:t>
                  </w:r>
                  <w:r>
                    <w:rPr>
                      <w:rStyle w:val="41"/>
                      <w:kern w:val="0"/>
                      <w:szCs w:val="21"/>
                    </w:rPr>
                    <w:t>因此不需设置生态专项评价。</w:t>
                  </w:r>
                </w:p>
              </w:tc>
            </w:tr>
            <w:tr w14:paraId="5A4DAAD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1F2CC9AC">
                  <w:pPr>
                    <w:adjustRightInd w:val="0"/>
                    <w:snapToGrid w:val="0"/>
                    <w:jc w:val="center"/>
                    <w:rPr>
                      <w:rStyle w:val="41"/>
                      <w:kern w:val="0"/>
                      <w:szCs w:val="21"/>
                    </w:rPr>
                  </w:pPr>
                  <w:r>
                    <w:rPr>
                      <w:rStyle w:val="41"/>
                      <w:kern w:val="0"/>
                      <w:szCs w:val="21"/>
                    </w:rPr>
                    <w:t>噪声</w:t>
                  </w:r>
                </w:p>
              </w:tc>
              <w:tc>
                <w:tcPr>
                  <w:tcW w:w="2633" w:type="pct"/>
                  <w:shd w:val="clear" w:color="auto" w:fill="auto"/>
                  <w:vAlign w:val="center"/>
                </w:tcPr>
                <w:p w14:paraId="2DF4C806">
                  <w:pPr>
                    <w:adjustRightInd w:val="0"/>
                    <w:snapToGrid w:val="0"/>
                    <w:jc w:val="center"/>
                    <w:rPr>
                      <w:rStyle w:val="41"/>
                      <w:kern w:val="0"/>
                      <w:szCs w:val="21"/>
                    </w:rPr>
                  </w:pPr>
                  <w:r>
                    <w:rPr>
                      <w:rStyle w:val="41"/>
                      <w:kern w:val="0"/>
                      <w:szCs w:val="21"/>
                    </w:rPr>
                    <w:t>公路、铁路、机场等交通运输业涉及环境敏感区（以居住、医疗卫生、文化教育、科研、行政办公为主要功能的区域）的项目；</w:t>
                  </w:r>
                </w:p>
                <w:p w14:paraId="3D438F66">
                  <w:pPr>
                    <w:adjustRightInd w:val="0"/>
                    <w:snapToGrid w:val="0"/>
                    <w:jc w:val="center"/>
                    <w:rPr>
                      <w:rStyle w:val="41"/>
                      <w:kern w:val="0"/>
                      <w:szCs w:val="21"/>
                    </w:rPr>
                  </w:pPr>
                  <w:r>
                    <w:rPr>
                      <w:rStyle w:val="41"/>
                      <w:kern w:val="0"/>
                      <w:szCs w:val="21"/>
                    </w:rPr>
                    <w:t>城市道路（不含维护，不含支路、人行天桥、人行地道）：全部</w:t>
                  </w:r>
                </w:p>
              </w:tc>
              <w:tc>
                <w:tcPr>
                  <w:tcW w:w="1667" w:type="pct"/>
                  <w:shd w:val="clear" w:color="auto" w:fill="auto"/>
                  <w:vAlign w:val="center"/>
                </w:tcPr>
                <w:p w14:paraId="115922C8">
                  <w:pPr>
                    <w:adjustRightInd w:val="0"/>
                    <w:snapToGrid w:val="0"/>
                    <w:jc w:val="center"/>
                    <w:rPr>
                      <w:rStyle w:val="41"/>
                      <w:kern w:val="0"/>
                      <w:szCs w:val="21"/>
                    </w:rPr>
                  </w:pPr>
                  <w:r>
                    <w:rPr>
                      <w:rStyle w:val="41"/>
                      <w:kern w:val="0"/>
                      <w:szCs w:val="21"/>
                    </w:rPr>
                    <w:t>本项目为</w:t>
                  </w:r>
                  <w:r>
                    <w:rPr>
                      <w:rStyle w:val="41"/>
                      <w:rFonts w:hint="eastAsia"/>
                      <w:kern w:val="0"/>
                      <w:szCs w:val="21"/>
                    </w:rPr>
                    <w:t>新建主干路</w:t>
                  </w:r>
                  <w:r>
                    <w:rPr>
                      <w:rStyle w:val="41"/>
                      <w:kern w:val="0"/>
                      <w:szCs w:val="21"/>
                    </w:rPr>
                    <w:t>项目，</w:t>
                  </w:r>
                  <w:r>
                    <w:rPr>
                      <w:rStyle w:val="41"/>
                      <w:b/>
                      <w:bCs/>
                      <w:kern w:val="0"/>
                      <w:szCs w:val="21"/>
                    </w:rPr>
                    <w:t>故本环评设置噪声专项评价。</w:t>
                  </w:r>
                </w:p>
              </w:tc>
            </w:tr>
            <w:tr w14:paraId="63302B8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99" w:type="pct"/>
                  <w:shd w:val="clear" w:color="auto" w:fill="auto"/>
                  <w:vAlign w:val="center"/>
                </w:tcPr>
                <w:p w14:paraId="4C5B9215">
                  <w:pPr>
                    <w:adjustRightInd w:val="0"/>
                    <w:snapToGrid w:val="0"/>
                    <w:jc w:val="center"/>
                    <w:rPr>
                      <w:rStyle w:val="41"/>
                      <w:kern w:val="0"/>
                      <w:szCs w:val="21"/>
                    </w:rPr>
                  </w:pPr>
                  <w:r>
                    <w:rPr>
                      <w:rStyle w:val="41"/>
                      <w:kern w:val="0"/>
                      <w:szCs w:val="21"/>
                    </w:rPr>
                    <w:t>环境风险</w:t>
                  </w:r>
                </w:p>
              </w:tc>
              <w:tc>
                <w:tcPr>
                  <w:tcW w:w="2633" w:type="pct"/>
                  <w:shd w:val="clear" w:color="auto" w:fill="auto"/>
                  <w:vAlign w:val="center"/>
                </w:tcPr>
                <w:p w14:paraId="37D1E6B3">
                  <w:pPr>
                    <w:adjustRightInd w:val="0"/>
                    <w:snapToGrid w:val="0"/>
                    <w:jc w:val="center"/>
                    <w:rPr>
                      <w:rStyle w:val="41"/>
                      <w:kern w:val="0"/>
                      <w:szCs w:val="21"/>
                    </w:rPr>
                  </w:pPr>
                  <w:r>
                    <w:rPr>
                      <w:rStyle w:val="41"/>
                      <w:kern w:val="0"/>
                      <w:szCs w:val="21"/>
                    </w:rPr>
                    <w:t>石油和天然气开采：全部；</w:t>
                  </w:r>
                </w:p>
                <w:p w14:paraId="3FCFA3A2">
                  <w:pPr>
                    <w:adjustRightInd w:val="0"/>
                    <w:snapToGrid w:val="0"/>
                    <w:jc w:val="center"/>
                    <w:rPr>
                      <w:rStyle w:val="41"/>
                      <w:kern w:val="0"/>
                      <w:szCs w:val="21"/>
                    </w:rPr>
                  </w:pPr>
                  <w:r>
                    <w:rPr>
                      <w:rStyle w:val="41"/>
                      <w:kern w:val="0"/>
                      <w:szCs w:val="21"/>
                    </w:rPr>
                    <w:t>油气、液体化工码头：全部；</w:t>
                  </w:r>
                </w:p>
                <w:p w14:paraId="2CAC2856">
                  <w:pPr>
                    <w:adjustRightInd w:val="0"/>
                    <w:snapToGrid w:val="0"/>
                    <w:jc w:val="center"/>
                    <w:rPr>
                      <w:rStyle w:val="41"/>
                      <w:kern w:val="0"/>
                      <w:szCs w:val="21"/>
                    </w:rPr>
                  </w:pPr>
                  <w:r>
                    <w:rPr>
                      <w:rStyle w:val="41"/>
                      <w:kern w:val="0"/>
                      <w:szCs w:val="21"/>
                    </w:rPr>
                    <w:t>原油、成品油、天然气管线（不含城镇天然气管线、企业厂区内管线），危险化学品输送管线（不含企业厂区内管线）：全部</w:t>
                  </w:r>
                </w:p>
              </w:tc>
              <w:tc>
                <w:tcPr>
                  <w:tcW w:w="1667" w:type="pct"/>
                  <w:shd w:val="clear" w:color="auto" w:fill="auto"/>
                  <w:vAlign w:val="center"/>
                </w:tcPr>
                <w:p w14:paraId="738C63A6">
                  <w:pPr>
                    <w:adjustRightInd w:val="0"/>
                    <w:snapToGrid w:val="0"/>
                    <w:jc w:val="center"/>
                    <w:rPr>
                      <w:rStyle w:val="41"/>
                      <w:kern w:val="0"/>
                      <w:szCs w:val="21"/>
                    </w:rPr>
                  </w:pPr>
                  <w:r>
                    <w:rPr>
                      <w:rStyle w:val="41"/>
                      <w:kern w:val="0"/>
                      <w:szCs w:val="21"/>
                    </w:rPr>
                    <w:t>本项目为</w:t>
                  </w:r>
                  <w:r>
                    <w:rPr>
                      <w:rStyle w:val="41"/>
                      <w:rFonts w:hint="eastAsia"/>
                      <w:kern w:val="0"/>
                      <w:szCs w:val="21"/>
                    </w:rPr>
                    <w:t>新建主干路</w:t>
                  </w:r>
                  <w:r>
                    <w:rPr>
                      <w:rStyle w:val="41"/>
                      <w:kern w:val="0"/>
                      <w:szCs w:val="21"/>
                    </w:rPr>
                    <w:t>项目，故不需设置环境风险专项评价</w:t>
                  </w:r>
                </w:p>
              </w:tc>
            </w:tr>
          </w:tbl>
          <w:p w14:paraId="58FA639D">
            <w:pPr>
              <w:autoSpaceDE w:val="0"/>
              <w:autoSpaceDN w:val="0"/>
              <w:adjustRightInd w:val="0"/>
              <w:snapToGrid w:val="0"/>
              <w:rPr>
                <w:rFonts w:hint="eastAsia" w:ascii="宋体" w:hAnsi="宋体" w:cs="宋体"/>
                <w:kern w:val="0"/>
                <w:szCs w:val="21"/>
              </w:rPr>
            </w:pPr>
          </w:p>
        </w:tc>
      </w:tr>
      <w:tr w14:paraId="3E1D89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11" w:hRule="atLeast"/>
        </w:trPr>
        <w:tc>
          <w:tcPr>
            <w:tcW w:w="809" w:type="pct"/>
            <w:tcMar>
              <w:top w:w="16" w:type="dxa"/>
              <w:left w:w="16" w:type="dxa"/>
              <w:right w:w="16" w:type="dxa"/>
            </w:tcMar>
            <w:vAlign w:val="center"/>
          </w:tcPr>
          <w:p w14:paraId="4EBD7F7F">
            <w:pPr>
              <w:autoSpaceDE w:val="0"/>
              <w:autoSpaceDN w:val="0"/>
              <w:adjustRightInd w:val="0"/>
              <w:snapToGrid w:val="0"/>
              <w:jc w:val="center"/>
              <w:rPr>
                <w:rFonts w:hint="eastAsia" w:ascii="宋体" w:hAnsi="宋体" w:cs="宋体"/>
                <w:kern w:val="0"/>
                <w:szCs w:val="21"/>
              </w:rPr>
            </w:pPr>
            <w:r>
              <w:rPr>
                <w:rFonts w:hint="eastAsia" w:ascii="宋体" w:hAnsi="宋体" w:cs="宋体"/>
                <w:szCs w:val="21"/>
              </w:rPr>
              <w:t>规划情况</w:t>
            </w:r>
          </w:p>
        </w:tc>
        <w:tc>
          <w:tcPr>
            <w:tcW w:w="4191" w:type="pct"/>
            <w:gridSpan w:val="5"/>
            <w:tcMar>
              <w:top w:w="16" w:type="dxa"/>
              <w:left w:w="16" w:type="dxa"/>
              <w:right w:w="16" w:type="dxa"/>
            </w:tcMar>
            <w:vAlign w:val="center"/>
          </w:tcPr>
          <w:p w14:paraId="680BF8A0">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无</w:t>
            </w:r>
          </w:p>
        </w:tc>
      </w:tr>
      <w:tr w14:paraId="5183B8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11" w:hRule="atLeast"/>
        </w:trPr>
        <w:tc>
          <w:tcPr>
            <w:tcW w:w="809" w:type="pct"/>
            <w:tcMar>
              <w:top w:w="16" w:type="dxa"/>
              <w:left w:w="16" w:type="dxa"/>
              <w:right w:w="16" w:type="dxa"/>
            </w:tcMar>
            <w:vAlign w:val="center"/>
          </w:tcPr>
          <w:p w14:paraId="454ADB46">
            <w:pPr>
              <w:autoSpaceDE w:val="0"/>
              <w:autoSpaceDN w:val="0"/>
              <w:adjustRightInd w:val="0"/>
              <w:snapToGrid w:val="0"/>
              <w:jc w:val="center"/>
              <w:rPr>
                <w:rFonts w:hint="eastAsia" w:ascii="宋体" w:hAnsi="宋体" w:cs="宋体"/>
                <w:szCs w:val="21"/>
              </w:rPr>
            </w:pPr>
            <w:r>
              <w:rPr>
                <w:rFonts w:hint="eastAsia" w:ascii="宋体" w:hAnsi="宋体" w:cs="宋体"/>
                <w:szCs w:val="21"/>
              </w:rPr>
              <w:t>规划环境影响</w:t>
            </w:r>
          </w:p>
          <w:p w14:paraId="5584A98E">
            <w:pPr>
              <w:autoSpaceDE w:val="0"/>
              <w:autoSpaceDN w:val="0"/>
              <w:adjustRightInd w:val="0"/>
              <w:snapToGrid w:val="0"/>
              <w:jc w:val="center"/>
              <w:rPr>
                <w:rFonts w:hint="eastAsia" w:ascii="宋体" w:hAnsi="宋体" w:cs="宋体"/>
                <w:kern w:val="0"/>
                <w:szCs w:val="21"/>
              </w:rPr>
            </w:pPr>
            <w:r>
              <w:rPr>
                <w:rFonts w:hint="eastAsia" w:ascii="宋体" w:hAnsi="宋体" w:cs="宋体"/>
                <w:szCs w:val="21"/>
              </w:rPr>
              <w:t>评价情况</w:t>
            </w:r>
          </w:p>
        </w:tc>
        <w:tc>
          <w:tcPr>
            <w:tcW w:w="4191" w:type="pct"/>
            <w:gridSpan w:val="5"/>
            <w:tcMar>
              <w:top w:w="16" w:type="dxa"/>
              <w:left w:w="16" w:type="dxa"/>
              <w:right w:w="16" w:type="dxa"/>
            </w:tcMar>
            <w:vAlign w:val="center"/>
          </w:tcPr>
          <w:p w14:paraId="4D3F9064">
            <w:pPr>
              <w:adjustRightInd w:val="0"/>
              <w:snapToGrid w:val="0"/>
              <w:jc w:val="center"/>
              <w:rPr>
                <w:rFonts w:hint="eastAsia" w:ascii="宋体" w:hAnsi="宋体" w:cs="宋体"/>
                <w:kern w:val="0"/>
                <w:szCs w:val="21"/>
              </w:rPr>
            </w:pPr>
            <w:r>
              <w:rPr>
                <w:rFonts w:hint="eastAsia" w:ascii="宋体" w:hAnsi="宋体" w:cs="宋体"/>
                <w:kern w:val="0"/>
                <w:szCs w:val="21"/>
              </w:rPr>
              <w:t>无</w:t>
            </w:r>
          </w:p>
        </w:tc>
      </w:tr>
      <w:tr w14:paraId="6CA1D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46" w:hRule="atLeast"/>
        </w:trPr>
        <w:tc>
          <w:tcPr>
            <w:tcW w:w="809" w:type="pct"/>
            <w:tcMar>
              <w:top w:w="16" w:type="dxa"/>
              <w:left w:w="16" w:type="dxa"/>
              <w:right w:w="16" w:type="dxa"/>
            </w:tcMar>
            <w:vAlign w:val="center"/>
          </w:tcPr>
          <w:p w14:paraId="436EE518">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规划及</w:t>
            </w:r>
            <w:r>
              <w:rPr>
                <w:rFonts w:hint="eastAsia" w:ascii="宋体" w:hAnsi="宋体" w:cs="宋体"/>
                <w:szCs w:val="21"/>
              </w:rPr>
              <w:t>规划环境影响评价</w:t>
            </w:r>
            <w:r>
              <w:rPr>
                <w:rFonts w:hint="eastAsia" w:ascii="宋体" w:hAnsi="宋体" w:cs="宋体"/>
                <w:kern w:val="0"/>
                <w:szCs w:val="21"/>
              </w:rPr>
              <w:t>符合性分析</w:t>
            </w:r>
          </w:p>
        </w:tc>
        <w:tc>
          <w:tcPr>
            <w:tcW w:w="4191" w:type="pct"/>
            <w:gridSpan w:val="5"/>
            <w:tcMar>
              <w:top w:w="16" w:type="dxa"/>
              <w:left w:w="16" w:type="dxa"/>
              <w:right w:w="16" w:type="dxa"/>
            </w:tcMar>
            <w:vAlign w:val="center"/>
          </w:tcPr>
          <w:p w14:paraId="4549F414">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无</w:t>
            </w:r>
          </w:p>
        </w:tc>
      </w:tr>
      <w:tr w14:paraId="4468B8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1" w:hRule="atLeast"/>
        </w:trPr>
        <w:tc>
          <w:tcPr>
            <w:tcW w:w="809" w:type="pct"/>
            <w:tcMar>
              <w:top w:w="16" w:type="dxa"/>
              <w:left w:w="16" w:type="dxa"/>
              <w:right w:w="16" w:type="dxa"/>
            </w:tcMar>
            <w:vAlign w:val="center"/>
          </w:tcPr>
          <w:p w14:paraId="64A51A2D">
            <w:pPr>
              <w:autoSpaceDE w:val="0"/>
              <w:autoSpaceDN w:val="0"/>
              <w:adjustRightInd w:val="0"/>
              <w:snapToGrid w:val="0"/>
              <w:jc w:val="center"/>
              <w:rPr>
                <w:rFonts w:hint="eastAsia" w:ascii="宋体" w:hAnsi="宋体" w:cs="宋体"/>
                <w:kern w:val="0"/>
                <w:szCs w:val="21"/>
              </w:rPr>
            </w:pPr>
            <w:bookmarkStart w:id="15" w:name="_Hlk56690880"/>
            <w:r>
              <w:rPr>
                <w:rFonts w:hint="eastAsia" w:ascii="宋体" w:hAnsi="宋体" w:cs="宋体"/>
                <w:kern w:val="0"/>
                <w:szCs w:val="21"/>
              </w:rPr>
              <w:t>其他符合性分析</w:t>
            </w:r>
            <w:bookmarkEnd w:id="15"/>
          </w:p>
        </w:tc>
        <w:tc>
          <w:tcPr>
            <w:tcW w:w="4191" w:type="pct"/>
            <w:gridSpan w:val="5"/>
            <w:tcMar>
              <w:top w:w="16" w:type="dxa"/>
              <w:left w:w="16" w:type="dxa"/>
              <w:right w:w="16" w:type="dxa"/>
            </w:tcMar>
            <w:vAlign w:val="center"/>
          </w:tcPr>
          <w:p w14:paraId="619CC138">
            <w:pPr>
              <w:autoSpaceDE w:val="0"/>
              <w:autoSpaceDN w:val="0"/>
              <w:adjustRightInd w:val="0"/>
              <w:snapToGrid w:val="0"/>
              <w:spacing w:line="500" w:lineRule="exact"/>
              <w:ind w:firstLine="422" w:firstLineChars="200"/>
              <w:jc w:val="left"/>
              <w:rPr>
                <w:b/>
                <w:bCs/>
                <w:kern w:val="0"/>
                <w:szCs w:val="21"/>
              </w:rPr>
            </w:pPr>
            <w:r>
              <w:rPr>
                <w:b/>
                <w:bCs/>
                <w:kern w:val="0"/>
                <w:szCs w:val="21"/>
              </w:rPr>
              <w:t>一、产业政策符合性分析</w:t>
            </w:r>
          </w:p>
          <w:p w14:paraId="07BC7033">
            <w:pPr>
              <w:autoSpaceDE w:val="0"/>
              <w:autoSpaceDN w:val="0"/>
              <w:adjustRightInd w:val="0"/>
              <w:snapToGrid w:val="0"/>
              <w:spacing w:line="500" w:lineRule="exact"/>
              <w:ind w:firstLine="420" w:firstLineChars="200"/>
              <w:jc w:val="left"/>
              <w:rPr>
                <w:kern w:val="0"/>
                <w:szCs w:val="21"/>
              </w:rPr>
            </w:pPr>
            <w:r>
              <w:rPr>
                <w:kern w:val="0"/>
                <w:szCs w:val="21"/>
              </w:rPr>
              <w:t>本项目为新建市政道路工程，属于《国民经济行业分类与代码》（GB/T4754-2017）中的“E4813市政道路工程建筑”，且根据《产业结构调整指导目录（</w:t>
            </w:r>
            <w:r>
              <w:rPr>
                <w:rFonts w:hint="eastAsia"/>
                <w:kern w:val="0"/>
                <w:szCs w:val="21"/>
              </w:rPr>
              <w:t>2024</w:t>
            </w:r>
            <w:r>
              <w:rPr>
                <w:kern w:val="0"/>
                <w:szCs w:val="21"/>
              </w:rPr>
              <w:t xml:space="preserve"> 年本）》，本项目属于“第二十二类城市基础设施”中的“4、城市道路及智能交通体系建设”类别的建设类别，为“鼓励类”项目。同时，项目不属于国家发展改革委商务部关于印发《市场准入负面清单（202</w:t>
            </w:r>
            <w:r>
              <w:rPr>
                <w:rFonts w:hint="eastAsia"/>
                <w:kern w:val="0"/>
                <w:szCs w:val="21"/>
              </w:rPr>
              <w:t>5</w:t>
            </w:r>
            <w:r>
              <w:rPr>
                <w:kern w:val="0"/>
                <w:szCs w:val="21"/>
              </w:rPr>
              <w:t>年版）》中负面清单项目，符合国家相关产业政策。综上，项目的建设符合国家和地方的相关产业政策。</w:t>
            </w:r>
          </w:p>
          <w:p w14:paraId="3B330200">
            <w:pPr>
              <w:autoSpaceDE w:val="0"/>
              <w:autoSpaceDN w:val="0"/>
              <w:adjustRightInd w:val="0"/>
              <w:snapToGrid w:val="0"/>
              <w:spacing w:line="500" w:lineRule="exact"/>
              <w:ind w:firstLine="422" w:firstLineChars="200"/>
              <w:jc w:val="left"/>
              <w:rPr>
                <w:b/>
                <w:bCs/>
                <w:kern w:val="0"/>
                <w:szCs w:val="21"/>
              </w:rPr>
            </w:pPr>
            <w:r>
              <w:rPr>
                <w:b/>
                <w:bCs/>
                <w:kern w:val="0"/>
                <w:szCs w:val="21"/>
              </w:rPr>
              <w:t>二、环境功能区规划符合性分析</w:t>
            </w:r>
          </w:p>
          <w:p w14:paraId="65B605FF">
            <w:pPr>
              <w:autoSpaceDE w:val="0"/>
              <w:autoSpaceDN w:val="0"/>
              <w:adjustRightInd w:val="0"/>
              <w:snapToGrid w:val="0"/>
              <w:spacing w:line="500" w:lineRule="exact"/>
              <w:ind w:firstLine="420" w:firstLineChars="200"/>
              <w:jc w:val="left"/>
              <w:rPr>
                <w:kern w:val="0"/>
                <w:szCs w:val="21"/>
              </w:rPr>
            </w:pPr>
            <w:r>
              <w:rPr>
                <w:kern w:val="0"/>
                <w:szCs w:val="21"/>
              </w:rPr>
              <w:t>项目所在区域为环境空气质量二类功能区，环境空气质量比较好；项目所在区域声环境功能区规划为2类区和4a类区，声环境比较好；项目所在区域河流为</w:t>
            </w:r>
            <w:r>
              <w:rPr>
                <w:rFonts w:hint="eastAsia"/>
                <w:kern w:val="0"/>
                <w:szCs w:val="21"/>
              </w:rPr>
              <w:t>白石排洪渠，白石渠（博罗段）2024年水质目标为V类。</w:t>
            </w:r>
            <w:r>
              <w:rPr>
                <w:kern w:val="0"/>
                <w:szCs w:val="21"/>
              </w:rPr>
              <w:t>根据《惠州市饮用水源保护区划调整方案》（粤府函[2014]188号）、《广东省人民政府关于调整惠州市部分饮用水水源保护区的批复》（粤府函[2019]270号）以及《关于惠州市乡镇级及以下集中式饮用水源保护区划定（调整）方案的批复》（惠府函[2020]317号），项目不在饮用水源保护区内。项目施工期产生的废水经处理后回用于施工中，对周边水体环境无不良影响产生。</w:t>
            </w:r>
          </w:p>
          <w:p w14:paraId="5106972D">
            <w:pPr>
              <w:autoSpaceDE w:val="0"/>
              <w:autoSpaceDN w:val="0"/>
              <w:adjustRightInd w:val="0"/>
              <w:snapToGrid w:val="0"/>
              <w:spacing w:line="500" w:lineRule="exact"/>
              <w:ind w:firstLine="422" w:firstLineChars="200"/>
              <w:jc w:val="left"/>
              <w:rPr>
                <w:b/>
                <w:bCs/>
                <w:kern w:val="0"/>
                <w:szCs w:val="21"/>
              </w:rPr>
            </w:pPr>
            <w:r>
              <w:rPr>
                <w:b/>
                <w:bCs/>
                <w:kern w:val="0"/>
                <w:szCs w:val="21"/>
              </w:rPr>
              <w:t>三、与土地利用规划的相符性分析</w:t>
            </w:r>
          </w:p>
          <w:p w14:paraId="6806ECFF">
            <w:pPr>
              <w:pStyle w:val="78"/>
              <w:spacing w:line="500" w:lineRule="exact"/>
              <w:ind w:firstLine="420"/>
              <w:jc w:val="left"/>
              <w:rPr>
                <w:rFonts w:cs="Times New Roman"/>
                <w:color w:val="auto"/>
                <w:kern w:val="0"/>
                <w:szCs w:val="21"/>
              </w:rPr>
            </w:pPr>
            <w:r>
              <w:rPr>
                <w:rFonts w:cs="Times New Roman"/>
                <w:color w:val="auto"/>
                <w:kern w:val="0"/>
                <w:szCs w:val="21"/>
              </w:rPr>
              <w:t>根据《</w:t>
            </w:r>
            <w:r>
              <w:rPr>
                <w:rFonts w:hint="eastAsia" w:cs="Times New Roman"/>
                <w:color w:val="auto"/>
                <w:kern w:val="0"/>
                <w:szCs w:val="21"/>
              </w:rPr>
              <w:t>博罗县城东区控制性详细规划</w:t>
            </w:r>
            <w:r>
              <w:rPr>
                <w:rFonts w:cs="Times New Roman"/>
                <w:color w:val="auto"/>
                <w:kern w:val="0"/>
                <w:szCs w:val="21"/>
              </w:rPr>
              <w:t>》（</w:t>
            </w:r>
            <w:r>
              <w:rPr>
                <w:rFonts w:cs="Times New Roman"/>
                <w:b/>
                <w:bCs/>
                <w:color w:val="auto"/>
                <w:kern w:val="0"/>
                <w:szCs w:val="21"/>
              </w:rPr>
              <w:t>见附图1</w:t>
            </w:r>
            <w:r>
              <w:rPr>
                <w:rFonts w:hint="eastAsia" w:cs="Times New Roman"/>
                <w:b/>
                <w:bCs/>
                <w:color w:val="auto"/>
                <w:kern w:val="0"/>
                <w:szCs w:val="21"/>
              </w:rPr>
              <w:t>6</w:t>
            </w:r>
            <w:r>
              <w:rPr>
                <w:rFonts w:cs="Times New Roman"/>
                <w:color w:val="auto"/>
                <w:kern w:val="0"/>
                <w:szCs w:val="21"/>
              </w:rPr>
              <w:t>）可知，项目用地为城市道路</w:t>
            </w:r>
            <w:r>
              <w:rPr>
                <w:rStyle w:val="41"/>
                <w:rFonts w:cs="Times New Roman"/>
                <w:color w:val="auto"/>
                <w:kern w:val="0"/>
                <w:szCs w:val="21"/>
              </w:rPr>
              <w:t>，</w:t>
            </w:r>
            <w:r>
              <w:rPr>
                <w:rFonts w:hint="eastAsia" w:cs="Times New Roman"/>
                <w:color w:val="auto"/>
                <w:kern w:val="0"/>
                <w:szCs w:val="21"/>
              </w:rPr>
              <w:t>道路沿线以公园绿地为主</w:t>
            </w:r>
            <w:r>
              <w:rPr>
                <w:rFonts w:cs="Times New Roman"/>
                <w:color w:val="auto"/>
                <w:kern w:val="0"/>
                <w:szCs w:val="21"/>
              </w:rPr>
              <w:t>，</w:t>
            </w:r>
            <w:r>
              <w:rPr>
                <w:rFonts w:hint="eastAsia" w:cs="Times New Roman"/>
                <w:color w:val="auto"/>
                <w:kern w:val="0"/>
                <w:szCs w:val="21"/>
              </w:rPr>
              <w:t>根据博罗县自然资源局关于本项目用地预审及规划选址意见的复函（</w:t>
            </w:r>
            <w:r>
              <w:rPr>
                <w:rFonts w:hint="eastAsia" w:cs="Times New Roman"/>
                <w:b/>
                <w:bCs/>
                <w:color w:val="auto"/>
                <w:kern w:val="0"/>
                <w:szCs w:val="21"/>
              </w:rPr>
              <w:t>附件8</w:t>
            </w:r>
            <w:r>
              <w:rPr>
                <w:rFonts w:hint="eastAsia" w:cs="Times New Roman"/>
                <w:color w:val="auto"/>
                <w:kern w:val="0"/>
                <w:szCs w:val="21"/>
              </w:rPr>
              <w:t>）项目占地范围</w:t>
            </w:r>
            <w:r>
              <w:rPr>
                <w:rStyle w:val="41"/>
                <w:rFonts w:cs="Times New Roman"/>
                <w:color w:val="auto"/>
                <w:kern w:val="0"/>
                <w:szCs w:val="21"/>
              </w:rPr>
              <w:t>不涉及基本农田保护区、</w:t>
            </w:r>
            <w:r>
              <w:rPr>
                <w:rStyle w:val="41"/>
                <w:rFonts w:hint="eastAsia" w:cs="Times New Roman"/>
                <w:color w:val="auto"/>
                <w:kern w:val="0"/>
                <w:szCs w:val="21"/>
              </w:rPr>
              <w:t>生态保护红线、</w:t>
            </w:r>
            <w:r>
              <w:rPr>
                <w:rStyle w:val="41"/>
                <w:rFonts w:cs="Times New Roman"/>
                <w:color w:val="auto"/>
                <w:kern w:val="0"/>
                <w:szCs w:val="21"/>
              </w:rPr>
              <w:t>生态环境安全控制区、自然与文化遗产保护区等需要特别保护的区域</w:t>
            </w:r>
            <w:r>
              <w:rPr>
                <w:rFonts w:cs="Times New Roman"/>
                <w:color w:val="auto"/>
                <w:kern w:val="0"/>
                <w:szCs w:val="21"/>
              </w:rPr>
              <w:t>。项目用地符合当地片区规划。</w:t>
            </w:r>
          </w:p>
          <w:p w14:paraId="27152DF5">
            <w:pPr>
              <w:autoSpaceDE w:val="0"/>
              <w:autoSpaceDN w:val="0"/>
              <w:adjustRightInd w:val="0"/>
              <w:snapToGrid w:val="0"/>
              <w:spacing w:line="500" w:lineRule="exact"/>
              <w:ind w:firstLine="422" w:firstLineChars="200"/>
              <w:jc w:val="left"/>
              <w:rPr>
                <w:b/>
                <w:bCs/>
                <w:kern w:val="0"/>
                <w:szCs w:val="21"/>
              </w:rPr>
            </w:pPr>
            <w:r>
              <w:rPr>
                <w:b/>
                <w:bCs/>
                <w:kern w:val="0"/>
                <w:szCs w:val="21"/>
              </w:rPr>
              <w:t>四、</w:t>
            </w:r>
            <w:r>
              <w:rPr>
                <w:b/>
                <w:bCs/>
              </w:rPr>
              <w:t>与《博罗县生态保护红线、环境质量底线、资源利用上线和环境准入清单研究报告》的相符性分析</w:t>
            </w:r>
          </w:p>
          <w:p w14:paraId="691F82AF">
            <w:pPr>
              <w:pStyle w:val="78"/>
              <w:spacing w:line="500" w:lineRule="exact"/>
              <w:ind w:firstLine="420"/>
              <w:rPr>
                <w:rFonts w:cs="Times New Roman"/>
                <w:color w:val="auto"/>
                <w:szCs w:val="21"/>
              </w:rPr>
            </w:pPr>
            <w:r>
              <w:rPr>
                <w:rFonts w:cs="Times New Roman"/>
                <w:color w:val="auto"/>
                <w:szCs w:val="21"/>
              </w:rPr>
              <w:t>根据《博罗县生态保护红线、环境质量底线、资源利用上线和环境准入清单研究报告》，以下简称《报告》，“三线一单”即生态保护红线及一般生态空间、环境质量底线、资源利用上线、生态环境准入清单。项目“三线一单”管理要求的符合性分析见下表：</w:t>
            </w:r>
          </w:p>
          <w:p w14:paraId="5E242EE2">
            <w:pPr>
              <w:pStyle w:val="78"/>
              <w:spacing w:line="500" w:lineRule="exact"/>
              <w:ind w:firstLine="420"/>
              <w:rPr>
                <w:rFonts w:hint="eastAsia" w:ascii="宋体" w:hAnsi="宋体" w:cs="宋体"/>
                <w:color w:val="auto"/>
                <w:kern w:val="0"/>
                <w:szCs w:val="21"/>
              </w:rPr>
            </w:pPr>
          </w:p>
        </w:tc>
      </w:tr>
    </w:tbl>
    <w:p w14:paraId="0F3FA0EE">
      <w:pPr>
        <w:sectPr>
          <w:footerReference r:id="rId5" w:type="default"/>
          <w:pgSz w:w="11906" w:h="16838"/>
          <w:pgMar w:top="720" w:right="720" w:bottom="720" w:left="720" w:header="851" w:footer="567" w:gutter="0"/>
          <w:pgNumType w:start="1"/>
          <w:cols w:space="720" w:num="1"/>
          <w:docGrid w:linePitch="312" w:charSpace="0"/>
        </w:sectPr>
      </w:pPr>
      <w:r>
        <w:tab/>
      </w:r>
    </w:p>
    <w:tbl>
      <w:tblPr>
        <w:tblStyle w:val="33"/>
        <w:tblW w:w="492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14439"/>
      </w:tblGrid>
      <w:tr w14:paraId="3189D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302" w:type="pct"/>
            <w:tcBorders>
              <w:top w:val="single" w:color="auto" w:sz="8" w:space="0"/>
              <w:left w:val="single" w:color="auto" w:sz="8" w:space="0"/>
              <w:bottom w:val="single" w:color="auto" w:sz="8" w:space="0"/>
              <w:right w:val="single" w:color="auto" w:sz="4" w:space="0"/>
            </w:tcBorders>
            <w:vAlign w:val="center"/>
          </w:tcPr>
          <w:p w14:paraId="02ECE905">
            <w:pPr>
              <w:autoSpaceDE w:val="0"/>
              <w:autoSpaceDN w:val="0"/>
              <w:adjustRightInd w:val="0"/>
              <w:snapToGrid w:val="0"/>
              <w:jc w:val="center"/>
              <w:rPr>
                <w:rFonts w:hint="eastAsia" w:ascii="宋体" w:hAnsi="宋体"/>
                <w:b/>
                <w:kern w:val="0"/>
                <w:szCs w:val="21"/>
              </w:rPr>
            </w:pPr>
            <w:r>
              <w:rPr>
                <w:rFonts w:ascii="宋体" w:hAnsi="宋体"/>
                <w:b/>
                <w:kern w:val="0"/>
                <w:szCs w:val="21"/>
              </w:rPr>
              <w:t>其他符合性分析</w:t>
            </w:r>
          </w:p>
        </w:tc>
        <w:tc>
          <w:tcPr>
            <w:tcW w:w="4698" w:type="pct"/>
            <w:tcBorders>
              <w:top w:val="single" w:color="auto" w:sz="8" w:space="0"/>
              <w:left w:val="single" w:color="auto" w:sz="4" w:space="0"/>
              <w:bottom w:val="single" w:color="auto" w:sz="8" w:space="0"/>
              <w:right w:val="single" w:color="auto" w:sz="8" w:space="0"/>
            </w:tcBorders>
            <w:vAlign w:val="center"/>
          </w:tcPr>
          <w:p w14:paraId="516C4DF5">
            <w:pPr>
              <w:spacing w:line="360" w:lineRule="auto"/>
              <w:ind w:firstLine="422" w:firstLineChars="200"/>
              <w:jc w:val="center"/>
              <w:rPr>
                <w:b/>
                <w:bCs/>
                <w:kern w:val="0"/>
                <w:szCs w:val="21"/>
              </w:rPr>
            </w:pPr>
            <w:r>
              <w:rPr>
                <w:b/>
                <w:bCs/>
                <w:kern w:val="0"/>
                <w:szCs w:val="21"/>
              </w:rPr>
              <w:t>表1-</w:t>
            </w:r>
            <w:r>
              <w:rPr>
                <w:rFonts w:hint="eastAsia"/>
                <w:b/>
                <w:bCs/>
                <w:kern w:val="0"/>
                <w:szCs w:val="21"/>
              </w:rPr>
              <w:t>2</w:t>
            </w:r>
            <w:r>
              <w:rPr>
                <w:b/>
                <w:bCs/>
                <w:kern w:val="0"/>
                <w:szCs w:val="21"/>
              </w:rPr>
              <w:t xml:space="preserve">  与《博罗县生态保护红线、环境质量底线、资源利用上线和环境准入清单研究报告》相符性分析一览表</w:t>
            </w:r>
          </w:p>
          <w:tbl>
            <w:tblPr>
              <w:tblStyle w:val="33"/>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8012"/>
              <w:gridCol w:w="4714"/>
              <w:gridCol w:w="722"/>
            </w:tblGrid>
            <w:tr w14:paraId="65981F10">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7" w:type="pct"/>
                  <w:gridSpan w:val="2"/>
                  <w:vAlign w:val="center"/>
                </w:tcPr>
                <w:p w14:paraId="4A8DAF58">
                  <w:pPr>
                    <w:pStyle w:val="22"/>
                    <w:spacing w:line="240" w:lineRule="auto"/>
                    <w:ind w:left="0" w:leftChars="0" w:firstLine="0" w:firstLineChars="0"/>
                    <w:rPr>
                      <w:rFonts w:ascii="Times New Roman" w:hAnsi="Times New Roman"/>
                      <w:b/>
                      <w:bCs/>
                    </w:rPr>
                  </w:pPr>
                  <w:r>
                    <w:rPr>
                      <w:rFonts w:ascii="Times New Roman" w:hAnsi="Times New Roman"/>
                      <w:b/>
                      <w:bCs/>
                    </w:rPr>
                    <w:t>管控要求</w:t>
                  </w:r>
                </w:p>
              </w:tc>
              <w:tc>
                <w:tcPr>
                  <w:tcW w:w="1658" w:type="pct"/>
                  <w:vAlign w:val="center"/>
                </w:tcPr>
                <w:p w14:paraId="2A2EFDF2">
                  <w:pPr>
                    <w:pStyle w:val="22"/>
                    <w:spacing w:line="240" w:lineRule="auto"/>
                    <w:ind w:left="0" w:leftChars="0" w:firstLine="0" w:firstLineChars="0"/>
                    <w:rPr>
                      <w:rFonts w:ascii="Times New Roman" w:hAnsi="Times New Roman"/>
                      <w:b/>
                      <w:bCs/>
                    </w:rPr>
                  </w:pPr>
                  <w:r>
                    <w:rPr>
                      <w:rFonts w:ascii="Times New Roman" w:hAnsi="Times New Roman"/>
                      <w:b/>
                      <w:bCs/>
                    </w:rPr>
                    <w:t>本项目情况</w:t>
                  </w:r>
                </w:p>
              </w:tc>
              <w:tc>
                <w:tcPr>
                  <w:tcW w:w="254" w:type="pct"/>
                  <w:vAlign w:val="center"/>
                </w:tcPr>
                <w:p w14:paraId="644D65D7">
                  <w:pPr>
                    <w:pStyle w:val="22"/>
                    <w:spacing w:line="240" w:lineRule="auto"/>
                    <w:ind w:left="0" w:leftChars="0" w:firstLine="0" w:firstLineChars="0"/>
                    <w:jc w:val="center"/>
                    <w:rPr>
                      <w:rFonts w:ascii="Times New Roman" w:hAnsi="Times New Roman"/>
                      <w:b/>
                      <w:bCs/>
                    </w:rPr>
                  </w:pPr>
                  <w:r>
                    <w:rPr>
                      <w:rFonts w:ascii="Times New Roman" w:hAnsi="Times New Roman"/>
                      <w:b/>
                      <w:bCs/>
                    </w:rPr>
                    <w:t>是否相符</w:t>
                  </w:r>
                </w:p>
              </w:tc>
            </w:tr>
            <w:tr w14:paraId="358A1129">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Align w:val="center"/>
                </w:tcPr>
                <w:p w14:paraId="5BA17E14">
                  <w:pPr>
                    <w:pStyle w:val="22"/>
                    <w:spacing w:line="240" w:lineRule="auto"/>
                    <w:ind w:left="0" w:leftChars="0" w:firstLine="0" w:firstLineChars="0"/>
                    <w:jc w:val="center"/>
                    <w:rPr>
                      <w:rFonts w:ascii="Times New Roman" w:hAnsi="Times New Roman"/>
                      <w:b/>
                      <w:bCs/>
                    </w:rPr>
                  </w:pPr>
                  <w:r>
                    <w:rPr>
                      <w:rFonts w:ascii="Times New Roman" w:hAnsi="Times New Roman"/>
                    </w:rPr>
                    <w:t>生态保护红线</w:t>
                  </w:r>
                </w:p>
              </w:tc>
              <w:tc>
                <w:tcPr>
                  <w:tcW w:w="2817" w:type="pct"/>
                  <w:vAlign w:val="center"/>
                </w:tcPr>
                <w:p w14:paraId="0A779D16">
                  <w:pPr>
                    <w:pStyle w:val="15"/>
                    <w:jc w:val="center"/>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1</w:t>
                  </w:r>
                  <w:r>
                    <w:rPr>
                      <w:rFonts w:ascii="Times New Roman" w:hAnsi="Times New Roman" w:eastAsia="宋体"/>
                    </w:rPr>
                    <w:fldChar w:fldCharType="end"/>
                  </w:r>
                  <w:r>
                    <w:rPr>
                      <w:rFonts w:ascii="Times New Roman" w:hAnsi="Times New Roman" w:eastAsia="宋体"/>
                    </w:rPr>
                    <w:t xml:space="preserve">  罗阳镇生态空间管控分区面积（平方公里）</w:t>
                  </w:r>
                </w:p>
                <w:tbl>
                  <w:tblPr>
                    <w:tblStyle w:val="3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6"/>
                    <w:gridCol w:w="2328"/>
                  </w:tblGrid>
                  <w:tr w14:paraId="526B9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04" w:type="pct"/>
                        <w:vAlign w:val="center"/>
                      </w:tcPr>
                      <w:p w14:paraId="547D146A">
                        <w:pPr>
                          <w:pStyle w:val="22"/>
                          <w:spacing w:line="240" w:lineRule="auto"/>
                          <w:ind w:left="0" w:leftChars="0" w:firstLine="0" w:firstLineChars="0"/>
                          <w:rPr>
                            <w:rFonts w:ascii="Times New Roman" w:hAnsi="Times New Roman"/>
                          </w:rPr>
                        </w:pPr>
                        <w:r>
                          <w:rPr>
                            <w:rFonts w:ascii="Times New Roman" w:hAnsi="Times New Roman"/>
                          </w:rPr>
                          <w:t>生态保护红线</w:t>
                        </w:r>
                      </w:p>
                    </w:tc>
                    <w:tc>
                      <w:tcPr>
                        <w:tcW w:w="1495" w:type="pct"/>
                        <w:vAlign w:val="center"/>
                      </w:tcPr>
                      <w:p w14:paraId="2931D22A">
                        <w:pPr>
                          <w:pStyle w:val="22"/>
                          <w:spacing w:line="240" w:lineRule="auto"/>
                          <w:ind w:left="0" w:leftChars="0" w:firstLine="0" w:firstLineChars="0"/>
                          <w:rPr>
                            <w:rFonts w:ascii="Times New Roman" w:hAnsi="Times New Roman"/>
                          </w:rPr>
                        </w:pPr>
                        <w:r>
                          <w:rPr>
                            <w:rFonts w:ascii="Times New Roman" w:hAnsi="Times New Roman"/>
                          </w:rPr>
                          <w:t>33.864</w:t>
                        </w:r>
                      </w:p>
                    </w:tc>
                  </w:tr>
                  <w:tr w14:paraId="049A6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04" w:type="pct"/>
                        <w:vAlign w:val="center"/>
                      </w:tcPr>
                      <w:p w14:paraId="70F95C4E">
                        <w:pPr>
                          <w:pStyle w:val="22"/>
                          <w:spacing w:line="240" w:lineRule="auto"/>
                          <w:ind w:left="0" w:leftChars="0" w:firstLine="0" w:firstLineChars="0"/>
                          <w:rPr>
                            <w:rFonts w:ascii="Times New Roman" w:hAnsi="Times New Roman"/>
                          </w:rPr>
                        </w:pPr>
                        <w:r>
                          <w:rPr>
                            <w:rFonts w:ascii="Times New Roman" w:hAnsi="Times New Roman"/>
                          </w:rPr>
                          <w:t>一般生态空间</w:t>
                        </w:r>
                      </w:p>
                    </w:tc>
                    <w:tc>
                      <w:tcPr>
                        <w:tcW w:w="1495" w:type="pct"/>
                        <w:vAlign w:val="center"/>
                      </w:tcPr>
                      <w:p w14:paraId="022630A3">
                        <w:pPr>
                          <w:pStyle w:val="22"/>
                          <w:spacing w:line="240" w:lineRule="auto"/>
                          <w:ind w:left="0" w:leftChars="0" w:firstLine="0" w:firstLineChars="0"/>
                          <w:rPr>
                            <w:rFonts w:ascii="Times New Roman" w:hAnsi="Times New Roman"/>
                          </w:rPr>
                        </w:pPr>
                        <w:r>
                          <w:rPr>
                            <w:rFonts w:ascii="Times New Roman" w:hAnsi="Times New Roman"/>
                          </w:rPr>
                          <w:t>24.444</w:t>
                        </w:r>
                      </w:p>
                    </w:tc>
                  </w:tr>
                  <w:tr w14:paraId="337E4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04" w:type="pct"/>
                        <w:vAlign w:val="center"/>
                      </w:tcPr>
                      <w:p w14:paraId="5A966D16">
                        <w:pPr>
                          <w:pStyle w:val="22"/>
                          <w:spacing w:line="240" w:lineRule="auto"/>
                          <w:ind w:left="0" w:leftChars="0" w:firstLine="0" w:firstLineChars="0"/>
                          <w:rPr>
                            <w:rFonts w:ascii="Times New Roman" w:hAnsi="Times New Roman"/>
                          </w:rPr>
                        </w:pPr>
                        <w:r>
                          <w:rPr>
                            <w:rFonts w:ascii="Times New Roman" w:hAnsi="Times New Roman"/>
                          </w:rPr>
                          <w:t>生态空间一般管控区</w:t>
                        </w:r>
                      </w:p>
                    </w:tc>
                    <w:tc>
                      <w:tcPr>
                        <w:tcW w:w="1495" w:type="pct"/>
                        <w:vAlign w:val="center"/>
                      </w:tcPr>
                      <w:p w14:paraId="59E9A010">
                        <w:pPr>
                          <w:pStyle w:val="22"/>
                          <w:spacing w:line="240" w:lineRule="auto"/>
                          <w:ind w:left="0" w:leftChars="0" w:firstLine="0" w:firstLineChars="0"/>
                          <w:rPr>
                            <w:rFonts w:ascii="Times New Roman" w:hAnsi="Times New Roman"/>
                          </w:rPr>
                        </w:pPr>
                        <w:r>
                          <w:rPr>
                            <w:rFonts w:ascii="Times New Roman" w:hAnsi="Times New Roman"/>
                          </w:rPr>
                          <w:t>193.318</w:t>
                        </w:r>
                      </w:p>
                    </w:tc>
                  </w:tr>
                </w:tbl>
                <w:p w14:paraId="1DF5CC48">
                  <w:pPr>
                    <w:pStyle w:val="22"/>
                    <w:spacing w:line="240" w:lineRule="auto"/>
                    <w:ind w:left="0" w:leftChars="0" w:firstLine="0" w:firstLineChars="0"/>
                    <w:rPr>
                      <w:rFonts w:ascii="Times New Roman" w:hAnsi="Times New Roman"/>
                      <w:spacing w:val="2"/>
                    </w:rPr>
                  </w:pPr>
                </w:p>
              </w:tc>
              <w:tc>
                <w:tcPr>
                  <w:tcW w:w="1658" w:type="pct"/>
                  <w:vAlign w:val="center"/>
                </w:tcPr>
                <w:p w14:paraId="7CFC568F">
                  <w:pPr>
                    <w:pStyle w:val="22"/>
                    <w:spacing w:line="240" w:lineRule="auto"/>
                    <w:ind w:left="0" w:leftChars="0" w:firstLine="0" w:firstLineChars="0"/>
                    <w:jc w:val="left"/>
                    <w:rPr>
                      <w:rFonts w:ascii="Times New Roman" w:hAnsi="Times New Roman"/>
                      <w:b/>
                      <w:bCs/>
                    </w:rPr>
                  </w:pPr>
                  <w:r>
                    <w:rPr>
                      <w:rFonts w:ascii="Times New Roman" w:hAnsi="Times New Roman"/>
                    </w:rPr>
                    <w:t>根据《博罗县“三线一单”生态环境分区管控图集》中博罗县生态空间最终划定情况，本项目占地不在生态保护红线和一般生态空间内，属于生态空间一般管控区。</w:t>
                  </w:r>
                </w:p>
              </w:tc>
              <w:tc>
                <w:tcPr>
                  <w:tcW w:w="254" w:type="pct"/>
                  <w:vAlign w:val="center"/>
                </w:tcPr>
                <w:p w14:paraId="14D30ECC">
                  <w:pPr>
                    <w:pStyle w:val="22"/>
                    <w:spacing w:line="240" w:lineRule="auto"/>
                    <w:ind w:left="0" w:leftChars="0" w:firstLine="0" w:firstLineChars="0"/>
                    <w:rPr>
                      <w:rFonts w:ascii="Times New Roman" w:hAnsi="Times New Roman"/>
                      <w:b/>
                      <w:bCs/>
                    </w:rPr>
                  </w:pPr>
                  <w:r>
                    <w:rPr>
                      <w:rFonts w:ascii="Times New Roman" w:hAnsi="Times New Roman"/>
                    </w:rPr>
                    <w:t>是</w:t>
                  </w:r>
                </w:p>
              </w:tc>
            </w:tr>
            <w:tr w14:paraId="28F650C0">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restart"/>
                  <w:vAlign w:val="center"/>
                </w:tcPr>
                <w:p w14:paraId="7DBABA4F">
                  <w:pPr>
                    <w:pStyle w:val="22"/>
                    <w:spacing w:line="240" w:lineRule="auto"/>
                    <w:ind w:left="0" w:leftChars="0" w:firstLine="0" w:firstLineChars="0"/>
                    <w:jc w:val="center"/>
                    <w:rPr>
                      <w:rFonts w:ascii="Times New Roman" w:hAnsi="Times New Roman"/>
                    </w:rPr>
                  </w:pPr>
                  <w:r>
                    <w:rPr>
                      <w:rFonts w:ascii="Times New Roman" w:hAnsi="Times New Roman"/>
                    </w:rPr>
                    <w:t>环境质量底线</w:t>
                  </w:r>
                </w:p>
              </w:tc>
              <w:tc>
                <w:tcPr>
                  <w:tcW w:w="2817" w:type="pct"/>
                  <w:vAlign w:val="center"/>
                </w:tcPr>
                <w:p w14:paraId="7C938361">
                  <w:pPr>
                    <w:pStyle w:val="15"/>
                    <w:jc w:val="center"/>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2</w:t>
                  </w:r>
                  <w:r>
                    <w:rPr>
                      <w:rFonts w:ascii="Times New Roman" w:hAnsi="Times New Roman" w:eastAsia="宋体"/>
                    </w:rPr>
                    <w:fldChar w:fldCharType="end"/>
                  </w:r>
                  <w:r>
                    <w:rPr>
                      <w:rFonts w:ascii="Times New Roman" w:hAnsi="Times New Roman" w:eastAsia="宋体"/>
                    </w:rPr>
                    <w:t xml:space="preserve">  罗阳镇水环境质量底线（平方公里）</w:t>
                  </w:r>
                </w:p>
                <w:tbl>
                  <w:tblPr>
                    <w:tblStyle w:val="33"/>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6313"/>
                    <w:gridCol w:w="1476"/>
                  </w:tblGrid>
                  <w:tr w14:paraId="43540D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052" w:type="pct"/>
                        <w:vAlign w:val="center"/>
                      </w:tcPr>
                      <w:p w14:paraId="2FB62A9A">
                        <w:pPr>
                          <w:pStyle w:val="22"/>
                          <w:spacing w:line="240" w:lineRule="auto"/>
                          <w:ind w:left="0" w:leftChars="0" w:firstLine="0" w:firstLineChars="0"/>
                          <w:rPr>
                            <w:rFonts w:ascii="Times New Roman" w:hAnsi="Times New Roman"/>
                          </w:rPr>
                        </w:pPr>
                        <w:r>
                          <w:rPr>
                            <w:rFonts w:ascii="Times New Roman" w:hAnsi="Times New Roman"/>
                          </w:rPr>
                          <w:t>水环境优先保护区面积</w:t>
                        </w:r>
                      </w:p>
                    </w:tc>
                    <w:tc>
                      <w:tcPr>
                        <w:tcW w:w="947" w:type="pct"/>
                        <w:vAlign w:val="center"/>
                      </w:tcPr>
                      <w:p w14:paraId="6FCE17AC">
                        <w:pPr>
                          <w:pStyle w:val="22"/>
                          <w:spacing w:line="240" w:lineRule="auto"/>
                          <w:ind w:left="0" w:leftChars="0" w:firstLine="0" w:firstLineChars="0"/>
                          <w:rPr>
                            <w:rFonts w:ascii="Times New Roman" w:hAnsi="Times New Roman"/>
                          </w:rPr>
                        </w:pPr>
                        <w:r>
                          <w:rPr>
                            <w:rFonts w:ascii="Times New Roman" w:hAnsi="Times New Roman"/>
                          </w:rPr>
                          <w:t>36.547</w:t>
                        </w:r>
                      </w:p>
                    </w:tc>
                  </w:tr>
                  <w:tr w14:paraId="7A2807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052" w:type="pct"/>
                        <w:vAlign w:val="center"/>
                      </w:tcPr>
                      <w:p w14:paraId="6AB2F6A2">
                        <w:pPr>
                          <w:pStyle w:val="22"/>
                          <w:spacing w:line="240" w:lineRule="auto"/>
                          <w:ind w:left="0" w:leftChars="0" w:firstLine="0" w:firstLineChars="0"/>
                          <w:rPr>
                            <w:rFonts w:ascii="Times New Roman" w:hAnsi="Times New Roman"/>
                          </w:rPr>
                        </w:pPr>
                        <w:r>
                          <w:rPr>
                            <w:rFonts w:ascii="Times New Roman" w:hAnsi="Times New Roman"/>
                          </w:rPr>
                          <w:t>水环境生活污染重点管控区面积</w:t>
                        </w:r>
                      </w:p>
                    </w:tc>
                    <w:tc>
                      <w:tcPr>
                        <w:tcW w:w="947" w:type="pct"/>
                        <w:vAlign w:val="center"/>
                      </w:tcPr>
                      <w:p w14:paraId="33BFD5C8">
                        <w:pPr>
                          <w:pStyle w:val="22"/>
                          <w:spacing w:line="240" w:lineRule="auto"/>
                          <w:ind w:left="0" w:leftChars="0" w:firstLine="0" w:firstLineChars="0"/>
                          <w:rPr>
                            <w:rFonts w:ascii="Times New Roman" w:hAnsi="Times New Roman"/>
                          </w:rPr>
                        </w:pPr>
                        <w:r>
                          <w:rPr>
                            <w:rFonts w:ascii="Times New Roman" w:hAnsi="Times New Roman"/>
                          </w:rPr>
                          <w:t>136.947</w:t>
                        </w:r>
                      </w:p>
                    </w:tc>
                  </w:tr>
                  <w:tr w14:paraId="5D56E4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052" w:type="pct"/>
                        <w:vAlign w:val="center"/>
                      </w:tcPr>
                      <w:p w14:paraId="38E9F6BF">
                        <w:pPr>
                          <w:pStyle w:val="22"/>
                          <w:spacing w:line="240" w:lineRule="auto"/>
                          <w:ind w:left="0" w:leftChars="0" w:firstLine="0" w:firstLineChars="0"/>
                          <w:rPr>
                            <w:rFonts w:ascii="Times New Roman" w:hAnsi="Times New Roman"/>
                          </w:rPr>
                        </w:pPr>
                        <w:r>
                          <w:rPr>
                            <w:rFonts w:ascii="Times New Roman" w:hAnsi="Times New Roman"/>
                          </w:rPr>
                          <w:t>水环境工业污染重点管控区面积</w:t>
                        </w:r>
                      </w:p>
                    </w:tc>
                    <w:tc>
                      <w:tcPr>
                        <w:tcW w:w="947" w:type="pct"/>
                        <w:vAlign w:val="center"/>
                      </w:tcPr>
                      <w:p w14:paraId="0CC78108">
                        <w:pPr>
                          <w:pStyle w:val="22"/>
                          <w:spacing w:line="240" w:lineRule="auto"/>
                          <w:ind w:left="0" w:leftChars="0" w:firstLine="0" w:firstLineChars="0"/>
                          <w:rPr>
                            <w:rFonts w:ascii="Times New Roman" w:hAnsi="Times New Roman"/>
                          </w:rPr>
                        </w:pPr>
                        <w:r>
                          <w:rPr>
                            <w:rFonts w:ascii="Times New Roman" w:hAnsi="Times New Roman"/>
                          </w:rPr>
                          <w:t>61.335</w:t>
                        </w:r>
                      </w:p>
                    </w:tc>
                  </w:tr>
                  <w:tr w14:paraId="1BE5F3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052" w:type="pct"/>
                        <w:vAlign w:val="center"/>
                      </w:tcPr>
                      <w:p w14:paraId="603EBA64">
                        <w:pPr>
                          <w:pStyle w:val="22"/>
                          <w:spacing w:line="240" w:lineRule="auto"/>
                          <w:ind w:left="0" w:leftChars="0" w:firstLine="0" w:firstLineChars="0"/>
                          <w:rPr>
                            <w:rFonts w:ascii="Times New Roman" w:hAnsi="Times New Roman"/>
                          </w:rPr>
                        </w:pPr>
                        <w:r>
                          <w:rPr>
                            <w:rFonts w:ascii="Times New Roman" w:hAnsi="Times New Roman"/>
                          </w:rPr>
                          <w:t>水环境一般管控区面积</w:t>
                        </w:r>
                      </w:p>
                    </w:tc>
                    <w:tc>
                      <w:tcPr>
                        <w:tcW w:w="947" w:type="pct"/>
                        <w:vAlign w:val="center"/>
                      </w:tcPr>
                      <w:p w14:paraId="56BA578E">
                        <w:pPr>
                          <w:pStyle w:val="22"/>
                          <w:spacing w:line="240" w:lineRule="auto"/>
                          <w:ind w:left="0" w:leftChars="0" w:firstLine="0" w:firstLineChars="0"/>
                          <w:rPr>
                            <w:rFonts w:ascii="Times New Roman" w:hAnsi="Times New Roman"/>
                          </w:rPr>
                        </w:pPr>
                        <w:r>
                          <w:rPr>
                            <w:rFonts w:ascii="Times New Roman" w:hAnsi="Times New Roman"/>
                          </w:rPr>
                          <w:t>16.799</w:t>
                        </w:r>
                      </w:p>
                    </w:tc>
                  </w:tr>
                </w:tbl>
                <w:p w14:paraId="53D66649">
                  <w:pPr>
                    <w:pStyle w:val="22"/>
                    <w:spacing w:line="240" w:lineRule="auto"/>
                    <w:ind w:left="0" w:leftChars="0" w:firstLine="0" w:firstLineChars="0"/>
                    <w:jc w:val="left"/>
                    <w:rPr>
                      <w:rFonts w:ascii="Times New Roman" w:hAnsi="Times New Roman"/>
                      <w:b/>
                      <w:bCs/>
                    </w:rPr>
                  </w:pPr>
                  <w:r>
                    <w:rPr>
                      <w:rFonts w:ascii="Times New Roman" w:hAnsi="Times New Roman"/>
                      <w:b/>
                      <w:bCs/>
                    </w:rPr>
                    <w:t>水环境管控分区管控要求：</w:t>
                  </w:r>
                </w:p>
                <w:p w14:paraId="528E6829">
                  <w:pPr>
                    <w:pStyle w:val="22"/>
                    <w:spacing w:line="240" w:lineRule="auto"/>
                    <w:ind w:left="0" w:leftChars="0" w:firstLine="0" w:firstLineChars="0"/>
                    <w:jc w:val="left"/>
                    <w:rPr>
                      <w:rFonts w:ascii="Times New Roman" w:hAnsi="Times New Roman"/>
                    </w:rPr>
                  </w:pPr>
                  <w:r>
                    <w:rPr>
                      <w:rFonts w:ascii="Times New Roman" w:hAnsi="Times New Roman"/>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tc>
              <w:tc>
                <w:tcPr>
                  <w:tcW w:w="1658" w:type="pct"/>
                  <w:vAlign w:val="center"/>
                </w:tcPr>
                <w:p w14:paraId="265BF606">
                  <w:pPr>
                    <w:pStyle w:val="22"/>
                    <w:spacing w:line="240" w:lineRule="auto"/>
                    <w:ind w:left="0" w:leftChars="0" w:firstLine="0" w:firstLineChars="0"/>
                    <w:jc w:val="left"/>
                    <w:rPr>
                      <w:rFonts w:ascii="Times New Roman" w:hAnsi="Times New Roman"/>
                    </w:rPr>
                  </w:pPr>
                  <w:r>
                    <w:rPr>
                      <w:rFonts w:ascii="Times New Roman" w:hAnsi="Times New Roman"/>
                    </w:rPr>
                    <w:t>根据《博罗县“三线一单”生态环境分区管控图集》中博罗县水环境质量底线管控分区划定情况，本项目位于水环境生活污染重点管控区内，本项目</w:t>
                  </w:r>
                  <w:r>
                    <w:rPr>
                      <w:rFonts w:hint="eastAsia" w:ascii="Times New Roman" w:hAnsi="Times New Roman"/>
                    </w:rPr>
                    <w:t>属于城市道路建设项目，项目不设施工营地、不设住宿饭堂，项目内不产生生活污水。</w:t>
                  </w:r>
                </w:p>
              </w:tc>
              <w:tc>
                <w:tcPr>
                  <w:tcW w:w="254" w:type="pct"/>
                  <w:vAlign w:val="center"/>
                </w:tcPr>
                <w:p w14:paraId="084F7EB9">
                  <w:pPr>
                    <w:pStyle w:val="22"/>
                    <w:spacing w:line="240" w:lineRule="auto"/>
                    <w:ind w:left="0" w:leftChars="0" w:firstLine="0" w:firstLineChars="0"/>
                    <w:rPr>
                      <w:rFonts w:ascii="Times New Roman" w:hAnsi="Times New Roman"/>
                    </w:rPr>
                  </w:pPr>
                  <w:r>
                    <w:rPr>
                      <w:rFonts w:ascii="Times New Roman" w:hAnsi="Times New Roman"/>
                    </w:rPr>
                    <w:t>是</w:t>
                  </w:r>
                </w:p>
              </w:tc>
            </w:tr>
            <w:tr w14:paraId="4B7F0DCD">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14:paraId="4B71C6A1">
                  <w:pPr>
                    <w:pStyle w:val="22"/>
                    <w:spacing w:line="240" w:lineRule="auto"/>
                    <w:ind w:left="0" w:leftChars="0" w:firstLine="0" w:firstLineChars="0"/>
                    <w:rPr>
                      <w:rFonts w:ascii="Times New Roman" w:hAnsi="Times New Roman"/>
                    </w:rPr>
                  </w:pPr>
                </w:p>
              </w:tc>
              <w:tc>
                <w:tcPr>
                  <w:tcW w:w="2817" w:type="pct"/>
                  <w:vAlign w:val="center"/>
                </w:tcPr>
                <w:p w14:paraId="0F121C89">
                  <w:pPr>
                    <w:pStyle w:val="15"/>
                    <w:jc w:val="center"/>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3</w:t>
                  </w:r>
                  <w:r>
                    <w:rPr>
                      <w:rFonts w:ascii="Times New Roman" w:hAnsi="Times New Roman" w:eastAsia="宋体"/>
                    </w:rPr>
                    <w:fldChar w:fldCharType="end"/>
                  </w:r>
                  <w:r>
                    <w:rPr>
                      <w:rFonts w:ascii="Times New Roman" w:hAnsi="Times New Roman" w:eastAsia="宋体"/>
                    </w:rPr>
                    <w:t xml:space="preserve">  罗阳镇大气环境质量底线（平方公里）</w:t>
                  </w:r>
                </w:p>
                <w:tbl>
                  <w:tblPr>
                    <w:tblStyle w:val="33"/>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6395"/>
                    <w:gridCol w:w="1393"/>
                  </w:tblGrid>
                  <w:tr w14:paraId="1F0FA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105" w:type="pct"/>
                        <w:vAlign w:val="center"/>
                      </w:tcPr>
                      <w:p w14:paraId="63D5101B">
                        <w:pPr>
                          <w:pStyle w:val="22"/>
                          <w:spacing w:line="240" w:lineRule="auto"/>
                          <w:ind w:left="0" w:leftChars="0" w:firstLine="0" w:firstLineChars="0"/>
                          <w:rPr>
                            <w:rFonts w:ascii="Times New Roman" w:hAnsi="Times New Roman"/>
                          </w:rPr>
                        </w:pPr>
                        <w:r>
                          <w:rPr>
                            <w:rFonts w:ascii="Times New Roman" w:hAnsi="Times New Roman"/>
                          </w:rPr>
                          <w:t>大气环境优先保护区面积</w:t>
                        </w:r>
                      </w:p>
                    </w:tc>
                    <w:tc>
                      <w:tcPr>
                        <w:tcW w:w="894" w:type="pct"/>
                        <w:vAlign w:val="center"/>
                      </w:tcPr>
                      <w:p w14:paraId="71D9DE1E">
                        <w:pPr>
                          <w:pStyle w:val="22"/>
                          <w:spacing w:line="240" w:lineRule="auto"/>
                          <w:ind w:left="0" w:leftChars="0" w:firstLine="0" w:firstLineChars="0"/>
                          <w:rPr>
                            <w:rFonts w:ascii="Times New Roman" w:hAnsi="Times New Roman"/>
                          </w:rPr>
                        </w:pPr>
                        <w:r>
                          <w:rPr>
                            <w:rFonts w:ascii="Times New Roman" w:hAnsi="Times New Roman"/>
                          </w:rPr>
                          <w:t>40.999</w:t>
                        </w:r>
                      </w:p>
                    </w:tc>
                  </w:tr>
                  <w:tr w14:paraId="0F41FC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105" w:type="pct"/>
                        <w:vAlign w:val="center"/>
                      </w:tcPr>
                      <w:p w14:paraId="2B91630B">
                        <w:pPr>
                          <w:pStyle w:val="22"/>
                          <w:spacing w:line="240" w:lineRule="auto"/>
                          <w:ind w:left="0" w:leftChars="0" w:firstLine="0" w:firstLineChars="0"/>
                          <w:rPr>
                            <w:rFonts w:ascii="Times New Roman" w:hAnsi="Times New Roman"/>
                          </w:rPr>
                        </w:pPr>
                        <w:r>
                          <w:rPr>
                            <w:rFonts w:ascii="Times New Roman" w:hAnsi="Times New Roman"/>
                          </w:rPr>
                          <w:t>大气环境布局敏感重点管控区面积</w:t>
                        </w:r>
                      </w:p>
                    </w:tc>
                    <w:tc>
                      <w:tcPr>
                        <w:tcW w:w="894" w:type="pct"/>
                        <w:vAlign w:val="center"/>
                      </w:tcPr>
                      <w:p w14:paraId="528953A9">
                        <w:pPr>
                          <w:pStyle w:val="22"/>
                          <w:spacing w:line="240" w:lineRule="auto"/>
                          <w:ind w:left="0" w:leftChars="0" w:firstLine="0" w:firstLineChars="0"/>
                          <w:rPr>
                            <w:rFonts w:ascii="Times New Roman" w:hAnsi="Times New Roman"/>
                          </w:rPr>
                        </w:pPr>
                        <w:r>
                          <w:rPr>
                            <w:rFonts w:ascii="Times New Roman" w:hAnsi="Times New Roman"/>
                          </w:rPr>
                          <w:t>0</w:t>
                        </w:r>
                      </w:p>
                    </w:tc>
                  </w:tr>
                  <w:tr w14:paraId="03F15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105" w:type="pct"/>
                        <w:vAlign w:val="center"/>
                      </w:tcPr>
                      <w:p w14:paraId="3AD040A7">
                        <w:pPr>
                          <w:pStyle w:val="22"/>
                          <w:spacing w:line="240" w:lineRule="auto"/>
                          <w:ind w:left="0" w:leftChars="0" w:firstLine="0" w:firstLineChars="0"/>
                          <w:rPr>
                            <w:rFonts w:ascii="Times New Roman" w:hAnsi="Times New Roman"/>
                          </w:rPr>
                        </w:pPr>
                        <w:r>
                          <w:rPr>
                            <w:rFonts w:ascii="Times New Roman" w:hAnsi="Times New Roman"/>
                          </w:rPr>
                          <w:t>大气环境高排放重点管控区面积</w:t>
                        </w:r>
                      </w:p>
                    </w:tc>
                    <w:tc>
                      <w:tcPr>
                        <w:tcW w:w="894" w:type="pct"/>
                        <w:vAlign w:val="center"/>
                      </w:tcPr>
                      <w:p w14:paraId="49B1513B">
                        <w:pPr>
                          <w:pStyle w:val="22"/>
                          <w:spacing w:line="240" w:lineRule="auto"/>
                          <w:ind w:left="0" w:leftChars="0" w:firstLine="0" w:firstLineChars="0"/>
                          <w:rPr>
                            <w:rFonts w:ascii="Times New Roman" w:hAnsi="Times New Roman"/>
                          </w:rPr>
                        </w:pPr>
                        <w:r>
                          <w:rPr>
                            <w:rFonts w:ascii="Times New Roman" w:hAnsi="Times New Roman"/>
                          </w:rPr>
                          <w:t>82.433</w:t>
                        </w:r>
                      </w:p>
                    </w:tc>
                  </w:tr>
                  <w:tr w14:paraId="3716FC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105" w:type="pct"/>
                        <w:vAlign w:val="center"/>
                      </w:tcPr>
                      <w:p w14:paraId="76396416">
                        <w:pPr>
                          <w:pStyle w:val="22"/>
                          <w:spacing w:line="240" w:lineRule="auto"/>
                          <w:ind w:left="0" w:leftChars="0" w:firstLine="0" w:firstLineChars="0"/>
                          <w:rPr>
                            <w:rFonts w:ascii="Times New Roman" w:hAnsi="Times New Roman"/>
                          </w:rPr>
                        </w:pPr>
                        <w:r>
                          <w:rPr>
                            <w:rFonts w:ascii="Times New Roman" w:hAnsi="Times New Roman"/>
                          </w:rPr>
                          <w:t>大气环境弱扩散重点管控区面积</w:t>
                        </w:r>
                      </w:p>
                    </w:tc>
                    <w:tc>
                      <w:tcPr>
                        <w:tcW w:w="894" w:type="pct"/>
                        <w:vAlign w:val="center"/>
                      </w:tcPr>
                      <w:p w14:paraId="08E93BA2">
                        <w:pPr>
                          <w:pStyle w:val="22"/>
                          <w:spacing w:line="240" w:lineRule="auto"/>
                          <w:ind w:left="0" w:leftChars="0" w:firstLine="0" w:firstLineChars="0"/>
                          <w:rPr>
                            <w:rFonts w:ascii="Times New Roman" w:hAnsi="Times New Roman"/>
                          </w:rPr>
                        </w:pPr>
                        <w:r>
                          <w:rPr>
                            <w:rFonts w:ascii="Times New Roman" w:hAnsi="Times New Roman"/>
                          </w:rPr>
                          <w:t>0</w:t>
                        </w:r>
                      </w:p>
                    </w:tc>
                  </w:tr>
                  <w:tr w14:paraId="60F81D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4105" w:type="pct"/>
                        <w:vAlign w:val="center"/>
                      </w:tcPr>
                      <w:p w14:paraId="32CF67EF">
                        <w:pPr>
                          <w:pStyle w:val="22"/>
                          <w:spacing w:line="240" w:lineRule="auto"/>
                          <w:ind w:left="0" w:leftChars="0" w:firstLine="0" w:firstLineChars="0"/>
                          <w:rPr>
                            <w:rFonts w:ascii="Times New Roman" w:hAnsi="Times New Roman"/>
                          </w:rPr>
                        </w:pPr>
                        <w:r>
                          <w:rPr>
                            <w:rFonts w:ascii="Times New Roman" w:hAnsi="Times New Roman"/>
                          </w:rPr>
                          <w:t>大气环境一般管控区面积</w:t>
                        </w:r>
                      </w:p>
                    </w:tc>
                    <w:tc>
                      <w:tcPr>
                        <w:tcW w:w="894" w:type="pct"/>
                        <w:vAlign w:val="center"/>
                      </w:tcPr>
                      <w:p w14:paraId="02AE4628">
                        <w:pPr>
                          <w:pStyle w:val="22"/>
                          <w:spacing w:line="240" w:lineRule="auto"/>
                          <w:ind w:left="0" w:leftChars="0" w:firstLine="0" w:firstLineChars="0"/>
                          <w:rPr>
                            <w:rFonts w:ascii="Times New Roman" w:hAnsi="Times New Roman"/>
                          </w:rPr>
                        </w:pPr>
                        <w:r>
                          <w:rPr>
                            <w:rFonts w:ascii="Times New Roman" w:hAnsi="Times New Roman"/>
                          </w:rPr>
                          <w:t>128.195</w:t>
                        </w:r>
                      </w:p>
                    </w:tc>
                  </w:tr>
                </w:tbl>
                <w:p w14:paraId="289DCA65">
                  <w:pPr>
                    <w:pStyle w:val="22"/>
                    <w:spacing w:line="240" w:lineRule="auto"/>
                    <w:ind w:left="0" w:leftChars="0" w:firstLine="0" w:firstLineChars="0"/>
                    <w:jc w:val="left"/>
                    <w:rPr>
                      <w:rFonts w:ascii="Times New Roman" w:hAnsi="Times New Roman"/>
                      <w:b/>
                      <w:bCs/>
                    </w:rPr>
                  </w:pPr>
                  <w:r>
                    <w:rPr>
                      <w:rFonts w:ascii="Times New Roman" w:hAnsi="Times New Roman"/>
                      <w:b/>
                      <w:bCs/>
                    </w:rPr>
                    <w:t>大气环境管控分区管控要求：</w:t>
                  </w:r>
                </w:p>
                <w:p w14:paraId="0C986A6F">
                  <w:pPr>
                    <w:pStyle w:val="22"/>
                    <w:spacing w:line="240" w:lineRule="auto"/>
                    <w:ind w:left="0" w:leftChars="0" w:firstLine="0" w:firstLineChars="0"/>
                    <w:jc w:val="left"/>
                    <w:rPr>
                      <w:rFonts w:ascii="Times New Roman" w:hAnsi="Times New Roman"/>
                    </w:rPr>
                  </w:pPr>
                  <w:r>
                    <w:rPr>
                      <w:rFonts w:ascii="Times New Roman" w:hAnsi="Times New Roman"/>
                    </w:rPr>
                    <w:t>现有源提标升级改造：</w:t>
                  </w:r>
                </w:p>
                <w:p w14:paraId="1D2DD902">
                  <w:pPr>
                    <w:pStyle w:val="22"/>
                    <w:spacing w:line="240" w:lineRule="auto"/>
                    <w:ind w:left="0" w:leftChars="0" w:firstLine="0" w:firstLineChars="0"/>
                    <w:jc w:val="left"/>
                    <w:rPr>
                      <w:rFonts w:ascii="Times New Roman" w:hAnsi="Times New Roman"/>
                    </w:rPr>
                  </w:pPr>
                  <w:r>
                    <w:rPr>
                      <w:rFonts w:ascii="Cambria Math" w:hAnsi="Cambria Math" w:cs="Cambria Math"/>
                    </w:rPr>
                    <w:t>①</w:t>
                  </w:r>
                  <w:r>
                    <w:rPr>
                      <w:rFonts w:ascii="Times New Roman" w:hAnsi="Times New Roman"/>
                    </w:rPr>
                    <w:t>对大气环境高排放重点管控区进行环保集中整治，限期进行达标改造，减少工业集聚区污染。</w:t>
                  </w:r>
                </w:p>
                <w:p w14:paraId="65E7123A">
                  <w:pPr>
                    <w:pStyle w:val="22"/>
                    <w:spacing w:line="240" w:lineRule="auto"/>
                    <w:ind w:left="0" w:leftChars="0" w:firstLine="0" w:firstLineChars="0"/>
                    <w:jc w:val="left"/>
                    <w:rPr>
                      <w:rFonts w:ascii="Times New Roman" w:hAnsi="Times New Roman"/>
                      <w:b/>
                      <w:bCs/>
                    </w:rPr>
                  </w:pPr>
                  <w:r>
                    <w:rPr>
                      <w:rFonts w:ascii="Cambria Math" w:hAnsi="Cambria Math" w:cs="Cambria Math"/>
                    </w:rPr>
                    <w:t>②</w:t>
                  </w:r>
                  <w:r>
                    <w:rPr>
                      <w:rFonts w:ascii="Times New Roman" w:hAnsi="Times New Roman"/>
                    </w:rPr>
                    <w:t>鼓励大气环境高排放重点管控区建设集中的喷涂工程中心和有机废弃物回收再生利用中心，并配备高效治理设施。</w:t>
                  </w:r>
                </w:p>
              </w:tc>
              <w:tc>
                <w:tcPr>
                  <w:tcW w:w="1658" w:type="pct"/>
                  <w:vAlign w:val="center"/>
                </w:tcPr>
                <w:p w14:paraId="052A0604">
                  <w:pPr>
                    <w:pStyle w:val="22"/>
                    <w:spacing w:line="240" w:lineRule="auto"/>
                    <w:ind w:left="0" w:leftChars="0" w:firstLine="0" w:firstLineChars="0"/>
                    <w:jc w:val="left"/>
                    <w:rPr>
                      <w:rFonts w:ascii="Times New Roman" w:hAnsi="Times New Roman"/>
                    </w:rPr>
                  </w:pPr>
                  <w:r>
                    <w:rPr>
                      <w:rFonts w:ascii="Times New Roman" w:hAnsi="Times New Roman"/>
                    </w:rPr>
                    <w:t>根据《博罗县“三线一单”生态环境分区管控图集》中博罗县大气环境质量底线管控分区划定情况，本项目位于大气环境一般管控区。根据该管控区的管控要求，本项目建设不会突破大气环境质量底线。</w:t>
                  </w:r>
                </w:p>
              </w:tc>
              <w:tc>
                <w:tcPr>
                  <w:tcW w:w="254" w:type="pct"/>
                  <w:vAlign w:val="center"/>
                </w:tcPr>
                <w:p w14:paraId="130C79CD">
                  <w:pPr>
                    <w:pStyle w:val="22"/>
                    <w:spacing w:line="240" w:lineRule="auto"/>
                    <w:ind w:left="0" w:leftChars="0" w:firstLine="0" w:firstLineChars="0"/>
                    <w:rPr>
                      <w:rFonts w:ascii="Times New Roman" w:hAnsi="Times New Roman"/>
                    </w:rPr>
                  </w:pPr>
                  <w:r>
                    <w:rPr>
                      <w:rFonts w:ascii="Times New Roman" w:hAnsi="Times New Roman"/>
                    </w:rPr>
                    <w:t>是</w:t>
                  </w:r>
                </w:p>
              </w:tc>
            </w:tr>
            <w:tr w14:paraId="77EF3B00">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14:paraId="4B91B8C9">
                  <w:pPr>
                    <w:pStyle w:val="22"/>
                    <w:spacing w:line="240" w:lineRule="auto"/>
                    <w:ind w:left="0" w:leftChars="0" w:firstLine="0" w:firstLineChars="0"/>
                    <w:rPr>
                      <w:rFonts w:ascii="Times New Roman" w:hAnsi="Times New Roman"/>
                    </w:rPr>
                  </w:pPr>
                </w:p>
              </w:tc>
              <w:tc>
                <w:tcPr>
                  <w:tcW w:w="2817" w:type="pct"/>
                  <w:vAlign w:val="center"/>
                </w:tcPr>
                <w:p w14:paraId="2EB9A288">
                  <w:pPr>
                    <w:pStyle w:val="15"/>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4</w:t>
                  </w:r>
                  <w:r>
                    <w:rPr>
                      <w:rFonts w:ascii="Times New Roman" w:hAnsi="Times New Roman" w:eastAsia="宋体"/>
                    </w:rPr>
                    <w:fldChar w:fldCharType="end"/>
                  </w:r>
                  <w:r>
                    <w:rPr>
                      <w:rFonts w:ascii="Times New Roman" w:hAnsi="Times New Roman" w:eastAsia="宋体"/>
                    </w:rPr>
                    <w:t xml:space="preserve">  土壤环境管控区（平方公里）</w:t>
                  </w:r>
                </w:p>
                <w:tbl>
                  <w:tblPr>
                    <w:tblStyle w:val="33"/>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5999"/>
                    <w:gridCol w:w="1790"/>
                  </w:tblGrid>
                  <w:tr w14:paraId="61BCF6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3850" w:type="pct"/>
                        <w:vAlign w:val="center"/>
                      </w:tcPr>
                      <w:p w14:paraId="337EC08B">
                        <w:pPr>
                          <w:pStyle w:val="22"/>
                          <w:spacing w:line="240" w:lineRule="auto"/>
                          <w:ind w:left="0" w:leftChars="0" w:firstLine="0" w:firstLineChars="0"/>
                          <w:rPr>
                            <w:rFonts w:ascii="Times New Roman" w:hAnsi="Times New Roman"/>
                          </w:rPr>
                        </w:pPr>
                        <w:r>
                          <w:rPr>
                            <w:rFonts w:ascii="Times New Roman" w:hAnsi="Times New Roman"/>
                          </w:rPr>
                          <w:t>博罗县建设用地土壤污染风险重点管控区面积</w:t>
                        </w:r>
                      </w:p>
                    </w:tc>
                    <w:tc>
                      <w:tcPr>
                        <w:tcW w:w="1149" w:type="pct"/>
                        <w:vAlign w:val="center"/>
                      </w:tcPr>
                      <w:p w14:paraId="7B1232CA">
                        <w:pPr>
                          <w:pStyle w:val="22"/>
                          <w:spacing w:line="240" w:lineRule="auto"/>
                          <w:ind w:left="0" w:leftChars="0" w:firstLine="0" w:firstLineChars="0"/>
                          <w:rPr>
                            <w:rFonts w:ascii="Times New Roman" w:hAnsi="Times New Roman"/>
                          </w:rPr>
                        </w:pPr>
                        <w:r>
                          <w:rPr>
                            <w:rFonts w:ascii="Times New Roman" w:hAnsi="Times New Roman"/>
                          </w:rPr>
                          <w:t>340.8688125</w:t>
                        </w:r>
                      </w:p>
                    </w:tc>
                  </w:tr>
                  <w:tr w14:paraId="73EC5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3850" w:type="pct"/>
                        <w:vAlign w:val="center"/>
                      </w:tcPr>
                      <w:p w14:paraId="41DE941D">
                        <w:pPr>
                          <w:pStyle w:val="22"/>
                          <w:spacing w:line="240" w:lineRule="auto"/>
                          <w:ind w:left="0" w:leftChars="0" w:firstLine="0" w:firstLineChars="0"/>
                          <w:rPr>
                            <w:rFonts w:ascii="Times New Roman" w:hAnsi="Times New Roman"/>
                          </w:rPr>
                        </w:pPr>
                        <w:r>
                          <w:rPr>
                            <w:rFonts w:ascii="Times New Roman" w:hAnsi="Times New Roman"/>
                          </w:rPr>
                          <w:t>罗阳镇建设用地一般管控区面积</w:t>
                        </w:r>
                      </w:p>
                    </w:tc>
                    <w:tc>
                      <w:tcPr>
                        <w:tcW w:w="1149" w:type="pct"/>
                        <w:vAlign w:val="center"/>
                      </w:tcPr>
                      <w:p w14:paraId="6D0D86E0">
                        <w:pPr>
                          <w:pStyle w:val="22"/>
                          <w:spacing w:line="240" w:lineRule="auto"/>
                          <w:ind w:left="0" w:leftChars="0" w:firstLine="0" w:firstLineChars="0"/>
                          <w:rPr>
                            <w:rFonts w:ascii="Times New Roman" w:hAnsi="Times New Roman"/>
                          </w:rPr>
                        </w:pPr>
                        <w:r>
                          <w:rPr>
                            <w:rFonts w:ascii="Times New Roman" w:hAnsi="Times New Roman"/>
                          </w:rPr>
                          <w:t>40.187</w:t>
                        </w:r>
                      </w:p>
                    </w:tc>
                  </w:tr>
                  <w:tr w14:paraId="2D4FEE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3850" w:type="pct"/>
                        <w:vAlign w:val="center"/>
                      </w:tcPr>
                      <w:p w14:paraId="1295B8B5">
                        <w:pPr>
                          <w:pStyle w:val="22"/>
                          <w:spacing w:line="240" w:lineRule="auto"/>
                          <w:ind w:left="0" w:leftChars="0" w:firstLine="0" w:firstLineChars="0"/>
                          <w:rPr>
                            <w:rFonts w:ascii="Times New Roman" w:hAnsi="Times New Roman"/>
                          </w:rPr>
                        </w:pPr>
                        <w:r>
                          <w:rPr>
                            <w:rFonts w:ascii="Times New Roman" w:hAnsi="Times New Roman"/>
                          </w:rPr>
                          <w:t>罗阳镇未利用地一般管控区面积</w:t>
                        </w:r>
                      </w:p>
                    </w:tc>
                    <w:tc>
                      <w:tcPr>
                        <w:tcW w:w="1149" w:type="pct"/>
                        <w:vAlign w:val="center"/>
                      </w:tcPr>
                      <w:p w14:paraId="570183E0">
                        <w:pPr>
                          <w:pStyle w:val="22"/>
                          <w:spacing w:line="240" w:lineRule="auto"/>
                          <w:ind w:left="0" w:leftChars="0" w:firstLine="0" w:firstLineChars="0"/>
                          <w:rPr>
                            <w:rFonts w:ascii="Times New Roman" w:hAnsi="Times New Roman"/>
                          </w:rPr>
                        </w:pPr>
                        <w:r>
                          <w:rPr>
                            <w:rFonts w:ascii="Times New Roman" w:hAnsi="Times New Roman"/>
                          </w:rPr>
                          <w:t>17.406</w:t>
                        </w:r>
                      </w:p>
                    </w:tc>
                  </w:tr>
                  <w:tr w14:paraId="2FF234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3850" w:type="pct"/>
                        <w:vAlign w:val="center"/>
                      </w:tcPr>
                      <w:p w14:paraId="5080FCC1">
                        <w:pPr>
                          <w:pStyle w:val="22"/>
                          <w:spacing w:line="240" w:lineRule="auto"/>
                          <w:ind w:left="0" w:leftChars="0" w:firstLine="0" w:firstLineChars="0"/>
                          <w:rPr>
                            <w:rFonts w:ascii="Times New Roman" w:hAnsi="Times New Roman"/>
                          </w:rPr>
                        </w:pPr>
                        <w:r>
                          <w:rPr>
                            <w:rFonts w:ascii="Times New Roman" w:hAnsi="Times New Roman"/>
                          </w:rPr>
                          <w:t>博罗县土壤环境一般管控区面积</w:t>
                        </w:r>
                      </w:p>
                    </w:tc>
                    <w:tc>
                      <w:tcPr>
                        <w:tcW w:w="1149" w:type="pct"/>
                        <w:vAlign w:val="center"/>
                      </w:tcPr>
                      <w:p w14:paraId="5C90BE18">
                        <w:pPr>
                          <w:pStyle w:val="22"/>
                          <w:spacing w:line="240" w:lineRule="auto"/>
                          <w:ind w:left="0" w:leftChars="0" w:firstLine="0" w:firstLineChars="0"/>
                          <w:rPr>
                            <w:rFonts w:ascii="Times New Roman" w:hAnsi="Times New Roman"/>
                          </w:rPr>
                        </w:pPr>
                        <w:r>
                          <w:rPr>
                            <w:rFonts w:ascii="Times New Roman" w:hAnsi="Times New Roman"/>
                          </w:rPr>
                          <w:t>373.767</w:t>
                        </w:r>
                      </w:p>
                    </w:tc>
                  </w:tr>
                </w:tbl>
                <w:p w14:paraId="77048AF6">
                  <w:pPr>
                    <w:pStyle w:val="22"/>
                    <w:spacing w:line="240" w:lineRule="auto"/>
                    <w:ind w:left="0" w:leftChars="0" w:firstLine="0" w:firstLineChars="0"/>
                    <w:rPr>
                      <w:rFonts w:ascii="Times New Roman" w:hAnsi="Times New Roman"/>
                    </w:rPr>
                  </w:pPr>
                </w:p>
              </w:tc>
              <w:tc>
                <w:tcPr>
                  <w:tcW w:w="1658" w:type="pct"/>
                  <w:vAlign w:val="center"/>
                </w:tcPr>
                <w:p w14:paraId="2364C351">
                  <w:pPr>
                    <w:pStyle w:val="22"/>
                    <w:spacing w:line="240" w:lineRule="auto"/>
                    <w:ind w:left="0" w:leftChars="0" w:firstLine="0" w:firstLineChars="0"/>
                    <w:rPr>
                      <w:rFonts w:ascii="Times New Roman" w:hAnsi="Times New Roman"/>
                    </w:rPr>
                  </w:pPr>
                  <w:r>
                    <w:rPr>
                      <w:rFonts w:ascii="Times New Roman" w:hAnsi="Times New Roman"/>
                    </w:rPr>
                    <w:t>根据《博罗县“三线一单”生态环境分区管控图集》中博罗县建设用地土壤管控分区划定情况，本项目位于博罗县土壤环境一般管控区</w:t>
                  </w:r>
                  <w:r>
                    <w:rPr>
                      <w:rFonts w:hint="eastAsia" w:ascii="Times New Roman" w:hAnsi="Times New Roman"/>
                    </w:rPr>
                    <w:t>，</w:t>
                  </w:r>
                  <w:r>
                    <w:rPr>
                      <w:rFonts w:ascii="Times New Roman" w:hAnsi="Times New Roman"/>
                    </w:rPr>
                    <w:t>不含农用地，</w:t>
                  </w:r>
                  <w:r>
                    <w:rPr>
                      <w:rFonts w:hint="eastAsia" w:ascii="Times New Roman" w:hAnsi="Times New Roman"/>
                    </w:rPr>
                    <w:t>本项目为城市道路建设项目，不涉及</w:t>
                  </w:r>
                  <w:r>
                    <w:rPr>
                      <w:rFonts w:ascii="Times New Roman" w:hAnsi="Times New Roman"/>
                    </w:rPr>
                    <w:t>土壤环境</w:t>
                  </w:r>
                  <w:r>
                    <w:rPr>
                      <w:rFonts w:hint="eastAsia" w:ascii="Times New Roman" w:hAnsi="Times New Roman"/>
                    </w:rPr>
                    <w:t>污染</w:t>
                  </w:r>
                  <w:r>
                    <w:rPr>
                      <w:rFonts w:ascii="Times New Roman" w:hAnsi="Times New Roman"/>
                    </w:rPr>
                    <w:t>。</w:t>
                  </w:r>
                </w:p>
              </w:tc>
              <w:tc>
                <w:tcPr>
                  <w:tcW w:w="254" w:type="pct"/>
                  <w:vAlign w:val="center"/>
                </w:tcPr>
                <w:p w14:paraId="540EB98A">
                  <w:pPr>
                    <w:pStyle w:val="22"/>
                    <w:spacing w:line="240" w:lineRule="auto"/>
                    <w:ind w:left="0" w:leftChars="0" w:firstLine="0" w:firstLineChars="0"/>
                    <w:rPr>
                      <w:rFonts w:ascii="Times New Roman" w:hAnsi="Times New Roman"/>
                    </w:rPr>
                  </w:pPr>
                  <w:r>
                    <w:rPr>
                      <w:rFonts w:ascii="Times New Roman" w:hAnsi="Times New Roman"/>
                    </w:rPr>
                    <w:t>是</w:t>
                  </w:r>
                </w:p>
              </w:tc>
            </w:tr>
            <w:tr w14:paraId="4584DD20">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restart"/>
                  <w:vAlign w:val="center"/>
                </w:tcPr>
                <w:p w14:paraId="17BFA56B">
                  <w:pPr>
                    <w:pStyle w:val="22"/>
                    <w:spacing w:line="240" w:lineRule="auto"/>
                    <w:ind w:left="0" w:leftChars="0" w:firstLine="0" w:firstLineChars="0"/>
                    <w:jc w:val="center"/>
                    <w:rPr>
                      <w:rFonts w:ascii="Times New Roman" w:hAnsi="Times New Roman"/>
                    </w:rPr>
                  </w:pPr>
                  <w:r>
                    <w:rPr>
                      <w:rFonts w:ascii="Times New Roman" w:hAnsi="Times New Roman"/>
                    </w:rPr>
                    <w:t>资源利用上线</w:t>
                  </w:r>
                </w:p>
              </w:tc>
              <w:tc>
                <w:tcPr>
                  <w:tcW w:w="2817" w:type="pct"/>
                  <w:vAlign w:val="center"/>
                </w:tcPr>
                <w:p w14:paraId="40783CCD">
                  <w:pPr>
                    <w:pStyle w:val="15"/>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5</w:t>
                  </w:r>
                  <w:r>
                    <w:rPr>
                      <w:rFonts w:ascii="Times New Roman" w:hAnsi="Times New Roman" w:eastAsia="宋体"/>
                    </w:rPr>
                    <w:fldChar w:fldCharType="end"/>
                  </w:r>
                  <w:r>
                    <w:rPr>
                      <w:rFonts w:ascii="Times New Roman" w:hAnsi="Times New Roman" w:eastAsia="宋体"/>
                    </w:rPr>
                    <w:t xml:space="preserve">  博罗县土地资源优先保护区面积统计（平方公里）</w:t>
                  </w:r>
                </w:p>
                <w:tbl>
                  <w:tblPr>
                    <w:tblStyle w:val="33"/>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5997"/>
                    <w:gridCol w:w="1791"/>
                  </w:tblGrid>
                  <w:tr w14:paraId="0CB7F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922" w:type="dxa"/>
                        <w:vAlign w:val="center"/>
                      </w:tcPr>
                      <w:p w14:paraId="0B16CBDA">
                        <w:pPr>
                          <w:pStyle w:val="22"/>
                          <w:spacing w:line="240" w:lineRule="auto"/>
                          <w:ind w:left="0" w:leftChars="0" w:firstLine="0" w:firstLineChars="0"/>
                          <w:rPr>
                            <w:rFonts w:ascii="Times New Roman" w:hAnsi="Times New Roman"/>
                          </w:rPr>
                        </w:pPr>
                        <w:r>
                          <w:rPr>
                            <w:rFonts w:ascii="Times New Roman" w:hAnsi="Times New Roman"/>
                          </w:rPr>
                          <w:t>土地资源优先保护区面积</w:t>
                        </w:r>
                      </w:p>
                    </w:tc>
                    <w:tc>
                      <w:tcPr>
                        <w:tcW w:w="1768" w:type="dxa"/>
                        <w:vAlign w:val="center"/>
                      </w:tcPr>
                      <w:p w14:paraId="2F5DB668">
                        <w:pPr>
                          <w:pStyle w:val="22"/>
                          <w:spacing w:line="240" w:lineRule="auto"/>
                          <w:ind w:left="0" w:leftChars="0" w:firstLine="0" w:firstLineChars="0"/>
                          <w:rPr>
                            <w:rFonts w:ascii="Times New Roman" w:hAnsi="Times New Roman"/>
                          </w:rPr>
                        </w:pPr>
                        <w:r>
                          <w:rPr>
                            <w:rFonts w:ascii="Times New Roman" w:hAnsi="Times New Roman"/>
                          </w:rPr>
                          <w:t>834.505</w:t>
                        </w:r>
                      </w:p>
                    </w:tc>
                  </w:tr>
                  <w:tr w14:paraId="61444D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922" w:type="dxa"/>
                        <w:vAlign w:val="center"/>
                      </w:tcPr>
                      <w:p w14:paraId="172E8C07">
                        <w:pPr>
                          <w:pStyle w:val="22"/>
                          <w:spacing w:line="240" w:lineRule="auto"/>
                          <w:ind w:left="0" w:leftChars="0" w:firstLine="0" w:firstLineChars="0"/>
                          <w:rPr>
                            <w:rFonts w:ascii="Times New Roman" w:hAnsi="Times New Roman"/>
                          </w:rPr>
                        </w:pPr>
                        <w:r>
                          <w:rPr>
                            <w:rFonts w:ascii="Times New Roman" w:hAnsi="Times New Roman"/>
                          </w:rPr>
                          <w:t>土地资源优先保护区比例</w:t>
                        </w:r>
                      </w:p>
                    </w:tc>
                    <w:tc>
                      <w:tcPr>
                        <w:tcW w:w="1768" w:type="dxa"/>
                        <w:vAlign w:val="center"/>
                      </w:tcPr>
                      <w:p w14:paraId="602BFB82">
                        <w:pPr>
                          <w:pStyle w:val="22"/>
                          <w:spacing w:line="240" w:lineRule="auto"/>
                          <w:ind w:left="0" w:leftChars="0" w:firstLine="0" w:firstLineChars="0"/>
                          <w:rPr>
                            <w:rFonts w:ascii="Times New Roman" w:hAnsi="Times New Roman"/>
                          </w:rPr>
                        </w:pPr>
                        <w:r>
                          <w:rPr>
                            <w:rFonts w:ascii="Times New Roman" w:hAnsi="Times New Roman"/>
                          </w:rPr>
                          <w:t>29.23%</w:t>
                        </w:r>
                      </w:p>
                    </w:tc>
                  </w:tr>
                </w:tbl>
                <w:p w14:paraId="24297B1B">
                  <w:pPr>
                    <w:pStyle w:val="22"/>
                    <w:spacing w:line="240" w:lineRule="auto"/>
                    <w:ind w:left="0" w:leftChars="0" w:firstLine="0" w:firstLineChars="0"/>
                    <w:rPr>
                      <w:rFonts w:ascii="Times New Roman" w:hAnsi="Times New Roman"/>
                    </w:rPr>
                  </w:pPr>
                </w:p>
              </w:tc>
              <w:tc>
                <w:tcPr>
                  <w:tcW w:w="1658" w:type="pct"/>
                  <w:vAlign w:val="center"/>
                </w:tcPr>
                <w:p w14:paraId="38FC549C">
                  <w:pPr>
                    <w:pStyle w:val="22"/>
                    <w:spacing w:line="240" w:lineRule="auto"/>
                    <w:ind w:left="0" w:leftChars="0" w:firstLine="0" w:firstLineChars="0"/>
                    <w:rPr>
                      <w:rFonts w:ascii="Times New Roman" w:hAnsi="Times New Roman"/>
                    </w:rPr>
                  </w:pPr>
                  <w:r>
                    <w:rPr>
                      <w:rFonts w:ascii="Times New Roman" w:hAnsi="Times New Roman"/>
                    </w:rPr>
                    <w:t>根据《博罗县“三线一单”生态环境分区管控图集》中博罗县资源利用上线——土地资源优先保护区划定情况，本项目占地不在土地资源优先保护区。</w:t>
                  </w:r>
                </w:p>
              </w:tc>
              <w:tc>
                <w:tcPr>
                  <w:tcW w:w="254" w:type="pct"/>
                  <w:vAlign w:val="center"/>
                </w:tcPr>
                <w:p w14:paraId="1D052F82">
                  <w:pPr>
                    <w:pStyle w:val="22"/>
                    <w:spacing w:line="240" w:lineRule="auto"/>
                    <w:ind w:left="0" w:leftChars="0" w:firstLine="0" w:firstLineChars="0"/>
                    <w:rPr>
                      <w:rFonts w:ascii="Times New Roman" w:hAnsi="Times New Roman"/>
                    </w:rPr>
                  </w:pPr>
                  <w:r>
                    <w:rPr>
                      <w:rFonts w:ascii="Times New Roman" w:hAnsi="Times New Roman"/>
                    </w:rPr>
                    <w:t>是</w:t>
                  </w:r>
                </w:p>
              </w:tc>
            </w:tr>
            <w:tr w14:paraId="28391B33">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14:paraId="1B42C20D">
                  <w:pPr>
                    <w:pStyle w:val="22"/>
                    <w:spacing w:line="240" w:lineRule="auto"/>
                    <w:ind w:left="0" w:leftChars="0" w:firstLine="0" w:firstLineChars="0"/>
                    <w:rPr>
                      <w:rFonts w:ascii="Times New Roman" w:hAnsi="Times New Roman"/>
                    </w:rPr>
                  </w:pPr>
                </w:p>
              </w:tc>
              <w:tc>
                <w:tcPr>
                  <w:tcW w:w="2817" w:type="pct"/>
                  <w:vAlign w:val="center"/>
                </w:tcPr>
                <w:p w14:paraId="5A1E0210">
                  <w:pPr>
                    <w:pStyle w:val="15"/>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6</w:t>
                  </w:r>
                  <w:r>
                    <w:rPr>
                      <w:rFonts w:ascii="Times New Roman" w:hAnsi="Times New Roman" w:eastAsia="宋体"/>
                    </w:rPr>
                    <w:fldChar w:fldCharType="end"/>
                  </w:r>
                  <w:r>
                    <w:rPr>
                      <w:rFonts w:ascii="Times New Roman" w:hAnsi="Times New Roman" w:eastAsia="宋体"/>
                    </w:rPr>
                    <w:t xml:space="preserve">  博罗县能源（煤炭）重点管控区面积统计（平方公里）</w:t>
                  </w:r>
                </w:p>
                <w:tbl>
                  <w:tblPr>
                    <w:tblStyle w:val="33"/>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5611"/>
                    <w:gridCol w:w="2178"/>
                  </w:tblGrid>
                  <w:tr w14:paraId="397A2F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3601" w:type="pct"/>
                        <w:vAlign w:val="center"/>
                      </w:tcPr>
                      <w:p w14:paraId="1EE0DD8F">
                        <w:pPr>
                          <w:pStyle w:val="22"/>
                          <w:spacing w:line="240" w:lineRule="auto"/>
                          <w:ind w:left="0" w:leftChars="0" w:firstLine="0" w:firstLineChars="0"/>
                          <w:rPr>
                            <w:rFonts w:ascii="Times New Roman" w:hAnsi="Times New Roman"/>
                          </w:rPr>
                        </w:pPr>
                        <w:r>
                          <w:rPr>
                            <w:rFonts w:ascii="Times New Roman" w:hAnsi="Times New Roman"/>
                          </w:rPr>
                          <w:t>高污染燃料禁燃区面积</w:t>
                        </w:r>
                      </w:p>
                    </w:tc>
                    <w:tc>
                      <w:tcPr>
                        <w:tcW w:w="1398" w:type="pct"/>
                        <w:vAlign w:val="center"/>
                      </w:tcPr>
                      <w:p w14:paraId="49BCD0C9">
                        <w:pPr>
                          <w:pStyle w:val="22"/>
                          <w:spacing w:line="240" w:lineRule="auto"/>
                          <w:ind w:left="0" w:leftChars="0" w:firstLine="0" w:firstLineChars="0"/>
                          <w:rPr>
                            <w:rFonts w:ascii="Times New Roman" w:hAnsi="Times New Roman"/>
                          </w:rPr>
                        </w:pPr>
                        <w:r>
                          <w:rPr>
                            <w:rFonts w:ascii="Times New Roman" w:hAnsi="Times New Roman"/>
                          </w:rPr>
                          <w:t>394.927</w:t>
                        </w:r>
                      </w:p>
                    </w:tc>
                  </w:tr>
                  <w:tr w14:paraId="79EC68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3601" w:type="pct"/>
                        <w:vAlign w:val="center"/>
                      </w:tcPr>
                      <w:p w14:paraId="36ABCE0D">
                        <w:pPr>
                          <w:pStyle w:val="22"/>
                          <w:spacing w:line="240" w:lineRule="auto"/>
                          <w:ind w:left="0" w:leftChars="0" w:firstLine="0" w:firstLineChars="0"/>
                          <w:rPr>
                            <w:rFonts w:ascii="Times New Roman" w:hAnsi="Times New Roman"/>
                          </w:rPr>
                        </w:pPr>
                        <w:r>
                          <w:rPr>
                            <w:rFonts w:ascii="Times New Roman" w:hAnsi="Times New Roman"/>
                          </w:rPr>
                          <w:t>高污染燃料禁燃区比例</w:t>
                        </w:r>
                      </w:p>
                    </w:tc>
                    <w:tc>
                      <w:tcPr>
                        <w:tcW w:w="1398" w:type="pct"/>
                        <w:vAlign w:val="center"/>
                      </w:tcPr>
                      <w:p w14:paraId="5F306A17">
                        <w:pPr>
                          <w:pStyle w:val="22"/>
                          <w:spacing w:line="240" w:lineRule="auto"/>
                          <w:ind w:left="0" w:leftChars="0" w:firstLine="0" w:firstLineChars="0"/>
                          <w:rPr>
                            <w:rFonts w:ascii="Times New Roman" w:hAnsi="Times New Roman"/>
                          </w:rPr>
                        </w:pPr>
                        <w:r>
                          <w:rPr>
                            <w:rFonts w:ascii="Times New Roman" w:hAnsi="Times New Roman"/>
                          </w:rPr>
                          <w:t>13.83%</w:t>
                        </w:r>
                      </w:p>
                    </w:tc>
                  </w:tr>
                </w:tbl>
                <w:p w14:paraId="16914559">
                  <w:pPr>
                    <w:pStyle w:val="22"/>
                    <w:spacing w:line="240" w:lineRule="auto"/>
                    <w:ind w:left="0" w:leftChars="0" w:firstLine="0" w:firstLineChars="0"/>
                    <w:rPr>
                      <w:rFonts w:ascii="Times New Roman" w:hAnsi="Times New Roman"/>
                    </w:rPr>
                  </w:pPr>
                </w:p>
              </w:tc>
              <w:tc>
                <w:tcPr>
                  <w:tcW w:w="1658" w:type="pct"/>
                  <w:vAlign w:val="center"/>
                </w:tcPr>
                <w:p w14:paraId="7D48F2ED">
                  <w:pPr>
                    <w:pStyle w:val="22"/>
                    <w:spacing w:line="240" w:lineRule="auto"/>
                    <w:ind w:left="0" w:leftChars="0" w:firstLine="0" w:firstLineChars="0"/>
                    <w:rPr>
                      <w:rFonts w:ascii="Times New Roman" w:hAnsi="Times New Roman"/>
                    </w:rPr>
                  </w:pPr>
                  <w:r>
                    <w:rPr>
                      <w:rFonts w:ascii="Times New Roman" w:hAnsi="Times New Roman"/>
                    </w:rPr>
                    <w:t>根据《博罗县“三线一单”生态环境分区管控图集》中博罗县资源利用上线——高污染燃料禁燃区划定情况，本项目位于博罗县高污染燃料禁燃区，本项目不使用高污染燃料。</w:t>
                  </w:r>
                </w:p>
              </w:tc>
              <w:tc>
                <w:tcPr>
                  <w:tcW w:w="254" w:type="pct"/>
                  <w:vAlign w:val="center"/>
                </w:tcPr>
                <w:p w14:paraId="12AA095E">
                  <w:pPr>
                    <w:pStyle w:val="22"/>
                    <w:spacing w:line="240" w:lineRule="auto"/>
                    <w:ind w:left="0" w:leftChars="0" w:firstLine="0" w:firstLineChars="0"/>
                    <w:rPr>
                      <w:rFonts w:ascii="Times New Roman" w:hAnsi="Times New Roman"/>
                    </w:rPr>
                  </w:pPr>
                  <w:r>
                    <w:rPr>
                      <w:rFonts w:ascii="Times New Roman" w:hAnsi="Times New Roman"/>
                    </w:rPr>
                    <w:t>是</w:t>
                  </w:r>
                </w:p>
              </w:tc>
            </w:tr>
            <w:tr w14:paraId="5D638F0A">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14:paraId="01E4F5B4">
                  <w:pPr>
                    <w:pStyle w:val="22"/>
                    <w:spacing w:line="240" w:lineRule="auto"/>
                    <w:ind w:left="0" w:leftChars="0" w:firstLine="0" w:firstLineChars="0"/>
                    <w:rPr>
                      <w:rFonts w:ascii="Times New Roman" w:hAnsi="Times New Roman"/>
                    </w:rPr>
                  </w:pPr>
                </w:p>
              </w:tc>
              <w:tc>
                <w:tcPr>
                  <w:tcW w:w="2817" w:type="pct"/>
                  <w:vAlign w:val="center"/>
                </w:tcPr>
                <w:p w14:paraId="7F78440C">
                  <w:pPr>
                    <w:pStyle w:val="15"/>
                    <w:rPr>
                      <w:rFonts w:ascii="Times New Roman" w:hAnsi="Times New Roman" w:eastAsia="宋体"/>
                    </w:rPr>
                  </w:pPr>
                  <w:r>
                    <w:rPr>
                      <w:rFonts w:ascii="Times New Roman" w:hAnsi="Times New Roman" w:eastAsia="宋体"/>
                    </w:rPr>
                    <w:t>表</w:t>
                  </w:r>
                  <w:r>
                    <w:rPr>
                      <w:rFonts w:ascii="Times New Roman" w:hAnsi="Times New Roman" w:eastAsia="宋体"/>
                    </w:rPr>
                    <w:fldChar w:fldCharType="begin"/>
                  </w:r>
                  <w:r>
                    <w:rPr>
                      <w:rFonts w:ascii="Times New Roman" w:hAnsi="Times New Roman" w:eastAsia="宋体"/>
                    </w:rPr>
                    <w:instrText xml:space="preserve"> SEQ 表 \* ARABIC </w:instrText>
                  </w:r>
                  <w:r>
                    <w:rPr>
                      <w:rFonts w:ascii="Times New Roman" w:hAnsi="Times New Roman" w:eastAsia="宋体"/>
                    </w:rPr>
                    <w:fldChar w:fldCharType="separate"/>
                  </w:r>
                  <w:r>
                    <w:rPr>
                      <w:rFonts w:ascii="Times New Roman" w:hAnsi="Times New Roman" w:eastAsia="宋体"/>
                    </w:rPr>
                    <w:t>7</w:t>
                  </w:r>
                  <w:r>
                    <w:rPr>
                      <w:rFonts w:ascii="Times New Roman" w:hAnsi="Times New Roman" w:eastAsia="宋体"/>
                    </w:rPr>
                    <w:fldChar w:fldCharType="end"/>
                  </w:r>
                  <w:r>
                    <w:rPr>
                      <w:rFonts w:ascii="Times New Roman" w:hAnsi="Times New Roman" w:eastAsia="宋体"/>
                    </w:rPr>
                    <w:t xml:space="preserve">  博罗县矿产资源开采敏感区面积统计（平方公里）</w:t>
                  </w:r>
                </w:p>
                <w:tbl>
                  <w:tblPr>
                    <w:tblStyle w:val="33"/>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5610"/>
                    <w:gridCol w:w="2179"/>
                  </w:tblGrid>
                  <w:tr w14:paraId="0C105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7" w:hRule="atLeast"/>
                      <w:jc w:val="center"/>
                    </w:trPr>
                    <w:tc>
                      <w:tcPr>
                        <w:tcW w:w="5539" w:type="dxa"/>
                        <w:vAlign w:val="center"/>
                      </w:tcPr>
                      <w:p w14:paraId="55D1117A">
                        <w:pPr>
                          <w:pStyle w:val="22"/>
                          <w:spacing w:line="240" w:lineRule="auto"/>
                          <w:ind w:left="0" w:leftChars="0" w:firstLine="0" w:firstLineChars="0"/>
                          <w:rPr>
                            <w:rFonts w:ascii="Times New Roman" w:hAnsi="Times New Roman"/>
                          </w:rPr>
                        </w:pPr>
                        <w:r>
                          <w:rPr>
                            <w:rFonts w:ascii="Times New Roman" w:hAnsi="Times New Roman"/>
                          </w:rPr>
                          <w:t>矿产资源开采敏感区面积</w:t>
                        </w:r>
                      </w:p>
                    </w:tc>
                    <w:tc>
                      <w:tcPr>
                        <w:tcW w:w="2151" w:type="dxa"/>
                        <w:vAlign w:val="center"/>
                      </w:tcPr>
                      <w:p w14:paraId="2AEF393E">
                        <w:pPr>
                          <w:pStyle w:val="22"/>
                          <w:spacing w:line="240" w:lineRule="auto"/>
                          <w:ind w:left="0" w:leftChars="0" w:firstLine="0" w:firstLineChars="0"/>
                          <w:rPr>
                            <w:rFonts w:ascii="Times New Roman" w:hAnsi="Times New Roman"/>
                          </w:rPr>
                        </w:pPr>
                        <w:r>
                          <w:rPr>
                            <w:rFonts w:ascii="Times New Roman" w:hAnsi="Times New Roman"/>
                          </w:rPr>
                          <w:t>633.776</w:t>
                        </w:r>
                      </w:p>
                    </w:tc>
                  </w:tr>
                  <w:tr w14:paraId="7DB68B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5539" w:type="dxa"/>
                        <w:vAlign w:val="center"/>
                      </w:tcPr>
                      <w:p w14:paraId="505C3756">
                        <w:pPr>
                          <w:pStyle w:val="22"/>
                          <w:spacing w:line="240" w:lineRule="auto"/>
                          <w:ind w:left="0" w:leftChars="0" w:firstLine="0" w:firstLineChars="0"/>
                          <w:rPr>
                            <w:rFonts w:ascii="Times New Roman" w:hAnsi="Times New Roman"/>
                          </w:rPr>
                        </w:pPr>
                        <w:r>
                          <w:rPr>
                            <w:rFonts w:ascii="Times New Roman" w:hAnsi="Times New Roman"/>
                          </w:rPr>
                          <w:t>矿产资源开采敏感区比例</w:t>
                        </w:r>
                      </w:p>
                    </w:tc>
                    <w:tc>
                      <w:tcPr>
                        <w:tcW w:w="2151" w:type="dxa"/>
                        <w:vAlign w:val="center"/>
                      </w:tcPr>
                      <w:p w14:paraId="2F19A2D3">
                        <w:pPr>
                          <w:pStyle w:val="22"/>
                          <w:spacing w:line="240" w:lineRule="auto"/>
                          <w:ind w:left="0" w:leftChars="0" w:firstLine="0" w:firstLineChars="0"/>
                          <w:rPr>
                            <w:rFonts w:ascii="Times New Roman" w:hAnsi="Times New Roman"/>
                          </w:rPr>
                        </w:pPr>
                        <w:r>
                          <w:rPr>
                            <w:rFonts w:ascii="Times New Roman" w:hAnsi="Times New Roman"/>
                          </w:rPr>
                          <w:t>22.20%</w:t>
                        </w:r>
                      </w:p>
                    </w:tc>
                  </w:tr>
                </w:tbl>
                <w:p w14:paraId="6DBA553E">
                  <w:pPr>
                    <w:pStyle w:val="22"/>
                    <w:spacing w:line="240" w:lineRule="auto"/>
                    <w:ind w:left="0" w:leftChars="0" w:firstLine="0" w:firstLineChars="0"/>
                    <w:rPr>
                      <w:rFonts w:ascii="Times New Roman" w:hAnsi="Times New Roman"/>
                    </w:rPr>
                  </w:pPr>
                </w:p>
              </w:tc>
              <w:tc>
                <w:tcPr>
                  <w:tcW w:w="1658" w:type="pct"/>
                  <w:vAlign w:val="center"/>
                </w:tcPr>
                <w:p w14:paraId="2DA840E4">
                  <w:pPr>
                    <w:pStyle w:val="22"/>
                    <w:spacing w:line="240" w:lineRule="auto"/>
                    <w:ind w:left="0" w:leftChars="0" w:firstLine="0" w:firstLineChars="0"/>
                    <w:rPr>
                      <w:rFonts w:ascii="Times New Roman" w:hAnsi="Times New Roman"/>
                    </w:rPr>
                  </w:pPr>
                  <w:r>
                    <w:rPr>
                      <w:rFonts w:ascii="Times New Roman" w:hAnsi="Times New Roman"/>
                    </w:rPr>
                    <w:t>根据《博罗县“三线一单”生态环境分区管控图集》中博罗县资源利用上线——矿产资源开发敏感区划定情况，本项目占地不在博罗县矿产资源开采敏感区。</w:t>
                  </w:r>
                </w:p>
              </w:tc>
              <w:tc>
                <w:tcPr>
                  <w:tcW w:w="254" w:type="pct"/>
                  <w:vAlign w:val="center"/>
                </w:tcPr>
                <w:p w14:paraId="5A3264C9">
                  <w:pPr>
                    <w:pStyle w:val="22"/>
                    <w:spacing w:line="240" w:lineRule="auto"/>
                    <w:ind w:left="0" w:leftChars="0" w:firstLine="0" w:firstLineChars="0"/>
                    <w:rPr>
                      <w:rFonts w:ascii="Times New Roman" w:hAnsi="Times New Roman"/>
                    </w:rPr>
                  </w:pPr>
                  <w:r>
                    <w:rPr>
                      <w:rFonts w:ascii="Times New Roman" w:hAnsi="Times New Roman"/>
                    </w:rPr>
                    <w:t>是</w:t>
                  </w:r>
                </w:p>
              </w:tc>
            </w:tr>
          </w:tbl>
          <w:p w14:paraId="42E09AA4">
            <w:pPr>
              <w:spacing w:line="360" w:lineRule="auto"/>
              <w:ind w:firstLine="422" w:firstLineChars="200"/>
              <w:rPr>
                <w:rFonts w:hint="eastAsia" w:ascii="宋体" w:hAnsi="宋体"/>
                <w:b/>
                <w:bCs/>
                <w:szCs w:val="21"/>
              </w:rPr>
            </w:pPr>
          </w:p>
          <w:p w14:paraId="1F31A1DF">
            <w:pPr>
              <w:spacing w:line="360" w:lineRule="auto"/>
              <w:ind w:firstLine="420" w:firstLineChars="200"/>
              <w:rPr>
                <w:rFonts w:hint="eastAsia" w:ascii="宋体" w:hAnsi="宋体"/>
                <w:b/>
                <w:bCs/>
                <w:szCs w:val="21"/>
              </w:rPr>
            </w:pPr>
            <w:r>
              <w:t>根据《博罗县生态保护红线、环境质量底线、资源利用上线和环境准入清单研究报告》，属于重点管控单元，环境管控单元编码ZH44132220002，环境管控单元名称为博罗东江干流重点管控单元。</w:t>
            </w:r>
          </w:p>
          <w:p w14:paraId="41960B70">
            <w:pPr>
              <w:autoSpaceDE w:val="0"/>
              <w:autoSpaceDN w:val="0"/>
              <w:adjustRightInd w:val="0"/>
              <w:snapToGrid w:val="0"/>
              <w:spacing w:before="120" w:beforeLines="50" w:line="360" w:lineRule="auto"/>
              <w:jc w:val="center"/>
              <w:rPr>
                <w:b/>
                <w:bCs/>
                <w:kern w:val="0"/>
                <w:szCs w:val="21"/>
              </w:rPr>
            </w:pPr>
            <w:r>
              <w:rPr>
                <w:b/>
                <w:bCs/>
                <w:kern w:val="0"/>
                <w:szCs w:val="21"/>
              </w:rPr>
              <w:t>表1-</w:t>
            </w:r>
            <w:r>
              <w:rPr>
                <w:rFonts w:hint="eastAsia"/>
                <w:b/>
                <w:bCs/>
                <w:kern w:val="0"/>
                <w:szCs w:val="21"/>
              </w:rPr>
              <w:t>3</w:t>
            </w:r>
            <w:r>
              <w:rPr>
                <w:b/>
                <w:bCs/>
                <w:kern w:val="0"/>
                <w:szCs w:val="21"/>
              </w:rPr>
              <w:t xml:space="preserve"> 本项目与</w:t>
            </w:r>
            <w:r>
              <w:rPr>
                <w:rFonts w:hint="eastAsia" w:ascii="宋体" w:hAnsi="宋体"/>
                <w:b/>
                <w:bCs/>
                <w:szCs w:val="21"/>
              </w:rPr>
              <w:t>博罗东江干流重点管控单元（单元编码：ZH44132220002）</w:t>
            </w:r>
            <w:r>
              <w:rPr>
                <w:b/>
                <w:bCs/>
                <w:kern w:val="0"/>
                <w:szCs w:val="21"/>
              </w:rPr>
              <w:t>的相符性分析</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705"/>
              <w:gridCol w:w="7872"/>
              <w:gridCol w:w="4010"/>
              <w:gridCol w:w="987"/>
            </w:tblGrid>
            <w:tr w14:paraId="749AF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tcBorders>
                    <w:top w:val="single" w:color="auto" w:sz="18" w:space="0"/>
                  </w:tcBorders>
                  <w:shd w:val="clear" w:color="auto" w:fill="auto"/>
                  <w:vAlign w:val="center"/>
                </w:tcPr>
                <w:p w14:paraId="4AB2F6BD">
                  <w:pPr>
                    <w:jc w:val="center"/>
                    <w:rPr>
                      <w:b/>
                      <w:bCs/>
                      <w:szCs w:val="21"/>
                    </w:rPr>
                  </w:pPr>
                  <w:r>
                    <w:rPr>
                      <w:b/>
                      <w:bCs/>
                      <w:szCs w:val="21"/>
                    </w:rPr>
                    <w:t>要素细类</w:t>
                  </w:r>
                </w:p>
              </w:tc>
              <w:tc>
                <w:tcPr>
                  <w:tcW w:w="3016" w:type="pct"/>
                  <w:gridSpan w:val="2"/>
                  <w:tcBorders>
                    <w:top w:val="single" w:color="auto" w:sz="18" w:space="0"/>
                  </w:tcBorders>
                  <w:shd w:val="clear" w:color="auto" w:fill="auto"/>
                  <w:vAlign w:val="center"/>
                </w:tcPr>
                <w:p w14:paraId="12A4685D">
                  <w:pPr>
                    <w:jc w:val="center"/>
                    <w:rPr>
                      <w:b/>
                      <w:bCs/>
                      <w:szCs w:val="21"/>
                    </w:rPr>
                  </w:pPr>
                  <w:r>
                    <w:rPr>
                      <w:b/>
                      <w:bCs/>
                      <w:szCs w:val="21"/>
                    </w:rPr>
                    <w:t>管控要求</w:t>
                  </w:r>
                </w:p>
              </w:tc>
              <w:tc>
                <w:tcPr>
                  <w:tcW w:w="1410" w:type="pct"/>
                  <w:tcBorders>
                    <w:top w:val="single" w:color="auto" w:sz="18" w:space="0"/>
                  </w:tcBorders>
                  <w:shd w:val="clear" w:color="auto" w:fill="auto"/>
                  <w:vAlign w:val="center"/>
                </w:tcPr>
                <w:p w14:paraId="658B8454">
                  <w:pPr>
                    <w:jc w:val="center"/>
                    <w:rPr>
                      <w:b/>
                      <w:bCs/>
                      <w:szCs w:val="21"/>
                    </w:rPr>
                  </w:pPr>
                  <w:r>
                    <w:rPr>
                      <w:b/>
                      <w:bCs/>
                      <w:szCs w:val="21"/>
                    </w:rPr>
                    <w:t>本项目情况</w:t>
                  </w:r>
                </w:p>
              </w:tc>
              <w:tc>
                <w:tcPr>
                  <w:tcW w:w="347" w:type="pct"/>
                  <w:tcBorders>
                    <w:top w:val="single" w:color="auto" w:sz="18" w:space="0"/>
                  </w:tcBorders>
                  <w:shd w:val="clear" w:color="auto" w:fill="auto"/>
                  <w:vAlign w:val="center"/>
                </w:tcPr>
                <w:p w14:paraId="3588D950">
                  <w:pPr>
                    <w:jc w:val="center"/>
                    <w:rPr>
                      <w:b/>
                      <w:bCs/>
                      <w:szCs w:val="21"/>
                    </w:rPr>
                  </w:pPr>
                  <w:r>
                    <w:rPr>
                      <w:b/>
                      <w:bCs/>
                      <w:kern w:val="0"/>
                      <w:szCs w:val="21"/>
                    </w:rPr>
                    <w:t>符合性结论</w:t>
                  </w:r>
                </w:p>
              </w:tc>
            </w:tr>
            <w:tr w14:paraId="49BF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vAlign w:val="center"/>
                </w:tcPr>
                <w:p w14:paraId="32A2DD6D">
                  <w:pPr>
                    <w:jc w:val="center"/>
                    <w:rPr>
                      <w:szCs w:val="21"/>
                    </w:rPr>
                  </w:pPr>
                  <w:r>
                    <w:rPr>
                      <w:szCs w:val="21"/>
                    </w:rPr>
                    <w:t>生态保护红线、一般生态空间、水环境优先保护区、水环境城镇生活污染重点管控区、大气环境受体敏感重点管控区、高污染燃料禁燃区、建设用地污染风险重点管控区</w:t>
                  </w:r>
                </w:p>
              </w:tc>
              <w:tc>
                <w:tcPr>
                  <w:tcW w:w="248" w:type="pct"/>
                  <w:shd w:val="clear" w:color="auto" w:fill="auto"/>
                  <w:vAlign w:val="center"/>
                </w:tcPr>
                <w:p w14:paraId="5BF97F1E">
                  <w:pPr>
                    <w:jc w:val="center"/>
                    <w:rPr>
                      <w:szCs w:val="21"/>
                    </w:rPr>
                  </w:pPr>
                  <w:r>
                    <w:rPr>
                      <w:szCs w:val="21"/>
                    </w:rPr>
                    <w:t>区域布局管控</w:t>
                  </w:r>
                </w:p>
              </w:tc>
              <w:tc>
                <w:tcPr>
                  <w:tcW w:w="2767" w:type="pct"/>
                  <w:shd w:val="clear" w:color="auto" w:fill="auto"/>
                  <w:vAlign w:val="center"/>
                </w:tcPr>
                <w:p w14:paraId="4057B705">
                  <w:pPr>
                    <w:jc w:val="left"/>
                    <w:rPr>
                      <w:szCs w:val="21"/>
                    </w:rPr>
                  </w:pPr>
                  <w:r>
                    <w:rPr>
                      <w:szCs w:val="21"/>
                    </w:rPr>
                    <w:t xml:space="preserve">1-1.【产业/鼓励引导类】饮用水水源保护区外的区域，重点发展先进制造业、高新技术产业、生态旅游等产业。 </w:t>
                  </w:r>
                </w:p>
                <w:p w14:paraId="1FEB3A07">
                  <w:pPr>
                    <w:jc w:val="left"/>
                    <w:rPr>
                      <w:szCs w:val="21"/>
                    </w:rPr>
                  </w:pPr>
                  <w:r>
                    <w:rPr>
                      <w:szCs w:val="21"/>
                    </w:rPr>
                    <w:t xml:space="preserve">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 </w:t>
                  </w:r>
                </w:p>
                <w:p w14:paraId="0C6CC9BD">
                  <w:pPr>
                    <w:jc w:val="left"/>
                    <w:rPr>
                      <w:szCs w:val="21"/>
                    </w:rPr>
                  </w:pPr>
                  <w:r>
                    <w:rPr>
                      <w:szCs w:val="21"/>
                    </w:rPr>
                    <w:t xml:space="preserve">1-3.【产业/限制类】严格限制化工、包装印刷、工业涂装等高VOCs 排放建设项目。 </w:t>
                  </w:r>
                </w:p>
                <w:p w14:paraId="714DC7CD">
                  <w:pPr>
                    <w:jc w:val="left"/>
                    <w:rPr>
                      <w:szCs w:val="21"/>
                    </w:rPr>
                  </w:pPr>
                  <w:r>
                    <w:rPr>
                      <w:szCs w:val="21"/>
                    </w:rPr>
                    <w:t xml:space="preserve">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 </w:t>
                  </w:r>
                </w:p>
                <w:p w14:paraId="22A258F7">
                  <w:pPr>
                    <w:jc w:val="left"/>
                    <w:rPr>
                      <w:szCs w:val="21"/>
                    </w:rPr>
                  </w:pPr>
                  <w:r>
                    <w:rPr>
                      <w:szCs w:val="21"/>
                    </w:rPr>
                    <w:t xml:space="preserve">1-5.【生态/限制类】一般生态空间内可开展生态保护红线内允许的活动，在不影响主导生态功能的前提下，还可开展国家和省规定不纳入环评管理的项目建设，以及生态旅游、基础设施建设、村庄建设等人为活动。 </w:t>
                  </w:r>
                </w:p>
                <w:p w14:paraId="449D9089">
                  <w:pPr>
                    <w:jc w:val="left"/>
                    <w:rPr>
                      <w:szCs w:val="21"/>
                    </w:rPr>
                  </w:pPr>
                  <w:r>
                    <w:rPr>
                      <w:szCs w:val="21"/>
                    </w:rPr>
                    <w:t xml:space="preserve">1-6.【水/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 </w:t>
                  </w:r>
                </w:p>
                <w:p w14:paraId="1E5E7CBC">
                  <w:pPr>
                    <w:jc w:val="left"/>
                    <w:rPr>
                      <w:szCs w:val="21"/>
                    </w:rPr>
                  </w:pPr>
                  <w:r>
                    <w:rPr>
                      <w:szCs w:val="21"/>
                    </w:rPr>
                    <w:t>1-7.【水/禁止类】禁止在东江干流两岸最高水位线外延五百米范围内新建废弃物堆放场和处理场。已有的堆放场和处理场需采取有效的防治污染措施，危及水体水质安全的，由县级以上人民政府责令限期搬迁。【加 339 号文一级支流管控】</w:t>
                  </w:r>
                </w:p>
                <w:p w14:paraId="4893C630">
                  <w:pPr>
                    <w:jc w:val="left"/>
                    <w:rPr>
                      <w:szCs w:val="21"/>
                    </w:rPr>
                  </w:pPr>
                  <w:r>
                    <w:rPr>
                      <w:szCs w:val="21"/>
                    </w:rPr>
                    <w:t xml:space="preserve">1-8.【水/禁止类】畜禽禁养区内不得从事畜禽养殖业。 </w:t>
                  </w:r>
                </w:p>
                <w:p w14:paraId="0D8ECCA2">
                  <w:pPr>
                    <w:jc w:val="left"/>
                    <w:rPr>
                      <w:szCs w:val="21"/>
                    </w:rPr>
                  </w:pPr>
                  <w:r>
                    <w:rPr>
                      <w:szCs w:val="21"/>
                    </w:rPr>
                    <w:t xml:space="preserve">1-9.【大气/限制类】大气环境受体敏感重点管控区内严格限制新建储油库项目、产生和排放有毒有害大气污染物的建设项目以及使用溶剂型油墨、涂料、清洗剂、胶黏剂等高挥发性有机物原辅材料项目，鼓励现有该类项目搬迁退出。 </w:t>
                  </w:r>
                </w:p>
                <w:p w14:paraId="7FEBD3F6">
                  <w:pPr>
                    <w:jc w:val="left"/>
                    <w:rPr>
                      <w:szCs w:val="21"/>
                    </w:rPr>
                  </w:pPr>
                  <w:r>
                    <w:rPr>
                      <w:szCs w:val="21"/>
                    </w:rPr>
                    <w:t xml:space="preserve">1-10.【大气/鼓励引导类】大气环境高排放重点管控区内，强化达标监管，引导工业项目落地集聚发展，有序推进区域内行业企业提标改造。 </w:t>
                  </w:r>
                </w:p>
                <w:p w14:paraId="16FEA483">
                  <w:pPr>
                    <w:jc w:val="left"/>
                    <w:rPr>
                      <w:szCs w:val="21"/>
                    </w:rPr>
                  </w:pPr>
                  <w:r>
                    <w:rPr>
                      <w:szCs w:val="21"/>
                    </w:rPr>
                    <w:t>1-11.【土壤/</w:t>
                  </w:r>
                  <w:r>
                    <w:rPr>
                      <w:rFonts w:hint="eastAsia"/>
                      <w:szCs w:val="21"/>
                    </w:rPr>
                    <w:t>限制</w:t>
                  </w:r>
                  <w:r>
                    <w:rPr>
                      <w:szCs w:val="21"/>
                    </w:rPr>
                    <w:t>类】严格重金属重点行业企业准入管理，新、改、扩建重点行业建设项目应遵循“等量替代”原则。</w:t>
                  </w:r>
                </w:p>
                <w:p w14:paraId="044A0014">
                  <w:pPr>
                    <w:jc w:val="left"/>
                    <w:rPr>
                      <w:szCs w:val="21"/>
                    </w:rPr>
                  </w:pPr>
                  <w:r>
                    <w:rPr>
                      <w:szCs w:val="21"/>
                    </w:rPr>
                    <w:t>1-12.【土壤/限制类】重金属污染防控非重点区新建、改扩建重金属排放项目，应落实重金属总量替代与削减要求，严格控制重点行业发展规模。强化涉重金属污染行业建设项目环评审批管理，严格执行环保“三同时”制度。</w:t>
                  </w:r>
                </w:p>
                <w:p w14:paraId="7DBE598C">
                  <w:pPr>
                    <w:jc w:val="left"/>
                    <w:rPr>
                      <w:szCs w:val="21"/>
                    </w:rPr>
                  </w:pPr>
                  <w:r>
                    <w:rPr>
                      <w:szCs w:val="21"/>
                    </w:rPr>
                    <w:t>1-13.【岸线/综合类】严格水域岸线用途管制，土地开发利用应按照有关法律法规和技术标准要求，留足河道和湖库的管理和保护范围，非法挤占的应限期退出。</w:t>
                  </w:r>
                </w:p>
                <w:p w14:paraId="5A233650">
                  <w:pPr>
                    <w:jc w:val="left"/>
                    <w:rPr>
                      <w:szCs w:val="21"/>
                    </w:rPr>
                  </w:pPr>
                </w:p>
              </w:tc>
              <w:tc>
                <w:tcPr>
                  <w:tcW w:w="1410" w:type="pct"/>
                  <w:shd w:val="clear" w:color="auto" w:fill="auto"/>
                  <w:vAlign w:val="center"/>
                </w:tcPr>
                <w:p w14:paraId="5B4564FF">
                  <w:pPr>
                    <w:jc w:val="left"/>
                    <w:rPr>
                      <w:bCs/>
                      <w:iCs/>
                      <w:szCs w:val="21"/>
                    </w:rPr>
                  </w:pPr>
                  <w:r>
                    <w:rPr>
                      <w:szCs w:val="21"/>
                    </w:rPr>
                    <w:t>1-1.本项目为市政道路建设项目，属于《产业结构调整指导目录（20</w:t>
                  </w:r>
                  <w:r>
                    <w:rPr>
                      <w:rFonts w:hint="eastAsia"/>
                      <w:szCs w:val="21"/>
                    </w:rPr>
                    <w:t>24</w:t>
                  </w:r>
                  <w:r>
                    <w:rPr>
                      <w:szCs w:val="21"/>
                    </w:rPr>
                    <w:t>年本）》及《国家发展改革委关于修改&lt;产</w:t>
                  </w:r>
                  <w:r>
                    <w:rPr>
                      <w:bCs/>
                      <w:iCs/>
                      <w:szCs w:val="21"/>
                    </w:rPr>
                    <w:t>业结构调整指导目录（2019年本）&gt;有关条款的决定》（中华人民共和国国家发展和改革委员会令 第49 号令）中鼓励类项目。</w:t>
                  </w:r>
                </w:p>
                <w:p w14:paraId="19E75EAF">
                  <w:pPr>
                    <w:jc w:val="left"/>
                    <w:rPr>
                      <w:bCs/>
                      <w:iCs/>
                      <w:szCs w:val="21"/>
                    </w:rPr>
                  </w:pPr>
                  <w:r>
                    <w:rPr>
                      <w:bCs/>
                      <w:iCs/>
                      <w:szCs w:val="21"/>
                    </w:rPr>
                    <w:t>1-2.本项目不属于文件所列禁止类项目，且不属于《市场准入负面清单（202</w:t>
                  </w:r>
                  <w:r>
                    <w:rPr>
                      <w:rFonts w:hint="eastAsia"/>
                      <w:bCs/>
                      <w:iCs/>
                      <w:szCs w:val="21"/>
                    </w:rPr>
                    <w:t>5</w:t>
                  </w:r>
                  <w:r>
                    <w:rPr>
                      <w:bCs/>
                      <w:iCs/>
                      <w:szCs w:val="21"/>
                    </w:rPr>
                    <w:t>年版）》禁止准入类项目。</w:t>
                  </w:r>
                </w:p>
                <w:p w14:paraId="737885DE">
                  <w:pPr>
                    <w:jc w:val="left"/>
                    <w:rPr>
                      <w:bCs/>
                      <w:iCs/>
                      <w:szCs w:val="21"/>
                    </w:rPr>
                  </w:pPr>
                  <w:r>
                    <w:rPr>
                      <w:bCs/>
                      <w:iCs/>
                      <w:szCs w:val="21"/>
                    </w:rPr>
                    <w:t>1-3.本项目不属于化工、包装印刷、工业涂装等高VOCs 排放的限制建设项目。</w:t>
                  </w:r>
                </w:p>
                <w:p w14:paraId="009C2E99">
                  <w:pPr>
                    <w:jc w:val="left"/>
                    <w:rPr>
                      <w:bCs/>
                      <w:iCs/>
                      <w:szCs w:val="21"/>
                    </w:rPr>
                  </w:pPr>
                  <w:r>
                    <w:rPr>
                      <w:bCs/>
                      <w:iCs/>
                      <w:szCs w:val="21"/>
                    </w:rPr>
                    <w:t>1-4.本项目</w:t>
                  </w:r>
                  <w:r>
                    <w:rPr>
                      <w:rFonts w:hint="eastAsia"/>
                      <w:bCs/>
                      <w:iCs/>
                      <w:szCs w:val="21"/>
                    </w:rPr>
                    <w:t>不涉及生态红线。</w:t>
                  </w:r>
                </w:p>
                <w:p w14:paraId="3A8C1927">
                  <w:pPr>
                    <w:jc w:val="left"/>
                    <w:rPr>
                      <w:bCs/>
                      <w:iCs/>
                      <w:szCs w:val="21"/>
                    </w:rPr>
                  </w:pPr>
                  <w:r>
                    <w:rPr>
                      <w:bCs/>
                      <w:iCs/>
                      <w:szCs w:val="21"/>
                    </w:rPr>
                    <w:t>1-5.本项目为市政道路建设项目，为基础设施建设项目，属于文件所述的“在不影响主导生态功能的前提下，可开展建设的项目”。</w:t>
                  </w:r>
                </w:p>
                <w:p w14:paraId="74C22CF7">
                  <w:pPr>
                    <w:jc w:val="left"/>
                    <w:rPr>
                      <w:bCs/>
                      <w:iCs/>
                      <w:szCs w:val="21"/>
                    </w:rPr>
                  </w:pPr>
                  <w:r>
                    <w:rPr>
                      <w:bCs/>
                      <w:iCs/>
                      <w:szCs w:val="21"/>
                    </w:rPr>
                    <w:t>1-6.本项目</w:t>
                  </w:r>
                  <w:r>
                    <w:rPr>
                      <w:rFonts w:hint="eastAsia"/>
                      <w:bCs/>
                      <w:iCs/>
                      <w:szCs w:val="21"/>
                    </w:rPr>
                    <w:t>不涉及饮用水水源保护区。</w:t>
                  </w:r>
                </w:p>
                <w:p w14:paraId="540A0ABD">
                  <w:pPr>
                    <w:pStyle w:val="59"/>
                    <w:autoSpaceDE/>
                    <w:autoSpaceDN/>
                    <w:adjustRightInd/>
                    <w:jc w:val="left"/>
                    <w:rPr>
                      <w:rFonts w:ascii="Times New Roman" w:hAnsi="Times New Roman" w:eastAsia="宋体" w:cs="Times New Roman"/>
                      <w:bCs/>
                      <w:iCs/>
                      <w:color w:val="auto"/>
                      <w:sz w:val="21"/>
                      <w:szCs w:val="21"/>
                    </w:rPr>
                  </w:pPr>
                  <w:r>
                    <w:rPr>
                      <w:rFonts w:ascii="Times New Roman" w:hAnsi="Times New Roman" w:eastAsia="宋体" w:cs="Times New Roman"/>
                      <w:bCs/>
                      <w:iCs/>
                      <w:color w:val="auto"/>
                      <w:sz w:val="21"/>
                      <w:szCs w:val="21"/>
                    </w:rPr>
                    <w:t>1-7.本项目</w:t>
                  </w:r>
                  <w:r>
                    <w:rPr>
                      <w:rFonts w:hint="eastAsia" w:ascii="Times New Roman" w:hAnsi="Times New Roman" w:eastAsia="宋体" w:cs="Times New Roman"/>
                      <w:bCs/>
                      <w:iCs/>
                      <w:color w:val="auto"/>
                      <w:sz w:val="21"/>
                      <w:szCs w:val="21"/>
                    </w:rPr>
                    <w:t>距离东江干流约为3.3km，项目</w:t>
                  </w:r>
                  <w:r>
                    <w:rPr>
                      <w:rFonts w:ascii="Times New Roman" w:hAnsi="Times New Roman" w:eastAsia="宋体" w:cs="Times New Roman"/>
                      <w:bCs/>
                      <w:iCs/>
                      <w:color w:val="auto"/>
                      <w:sz w:val="21"/>
                      <w:szCs w:val="21"/>
                    </w:rPr>
                    <w:t>不设置废弃物堆放和处理场，施工过程中产生的建筑垃圾日产日清，不得堆放。</w:t>
                  </w:r>
                </w:p>
                <w:p w14:paraId="3923D676">
                  <w:pPr>
                    <w:pStyle w:val="59"/>
                    <w:autoSpaceDE/>
                    <w:autoSpaceDN/>
                    <w:adjustRightInd/>
                    <w:jc w:val="left"/>
                    <w:rPr>
                      <w:rFonts w:ascii="Times New Roman" w:hAnsi="Times New Roman" w:eastAsia="宋体" w:cs="Times New Roman"/>
                      <w:bCs/>
                      <w:iCs/>
                      <w:color w:val="auto"/>
                      <w:sz w:val="21"/>
                      <w:szCs w:val="21"/>
                    </w:rPr>
                  </w:pPr>
                  <w:r>
                    <w:rPr>
                      <w:rFonts w:ascii="Times New Roman" w:hAnsi="Times New Roman" w:eastAsia="宋体" w:cs="Times New Roman"/>
                      <w:bCs/>
                      <w:iCs/>
                      <w:color w:val="auto"/>
                      <w:sz w:val="21"/>
                      <w:szCs w:val="21"/>
                    </w:rPr>
                    <w:t>1-8.本项目为市政道路建设项目，不从事畜禽养殖业。</w:t>
                  </w:r>
                </w:p>
                <w:p w14:paraId="397192EF">
                  <w:pPr>
                    <w:pStyle w:val="59"/>
                    <w:autoSpaceDE/>
                    <w:autoSpaceDN/>
                    <w:adjustRightInd/>
                    <w:jc w:val="left"/>
                    <w:rPr>
                      <w:rFonts w:ascii="Times New Roman" w:hAnsi="Times New Roman" w:eastAsia="宋体" w:cs="Times New Roman"/>
                      <w:bCs/>
                      <w:iCs/>
                      <w:color w:val="auto"/>
                      <w:sz w:val="21"/>
                      <w:szCs w:val="21"/>
                    </w:rPr>
                  </w:pPr>
                  <w:r>
                    <w:rPr>
                      <w:rFonts w:ascii="Times New Roman" w:hAnsi="Times New Roman" w:eastAsia="宋体" w:cs="Times New Roman"/>
                      <w:bCs/>
                      <w:iCs/>
                      <w:color w:val="auto"/>
                      <w:sz w:val="21"/>
                      <w:szCs w:val="21"/>
                    </w:rPr>
                    <w:t>1-9.本项目不位于大气环境受体敏感重点管控区，项目为市政道路建设项目，不属于储油库项目、产生和排放有毒有害大气污染物的建设项目以及使用溶剂型油墨、涂料、清洗剂、胶黏剂等高挥发性有机物原辅材料项目。</w:t>
                  </w:r>
                </w:p>
                <w:p w14:paraId="553403C4">
                  <w:pPr>
                    <w:pStyle w:val="59"/>
                    <w:autoSpaceDE/>
                    <w:autoSpaceDN/>
                    <w:adjustRightInd/>
                    <w:jc w:val="left"/>
                    <w:rPr>
                      <w:rFonts w:ascii="Times New Roman" w:hAnsi="Times New Roman" w:eastAsia="宋体" w:cs="Times New Roman"/>
                      <w:bCs/>
                      <w:iCs/>
                      <w:color w:val="auto"/>
                      <w:sz w:val="21"/>
                      <w:szCs w:val="21"/>
                    </w:rPr>
                  </w:pPr>
                  <w:r>
                    <w:rPr>
                      <w:rFonts w:ascii="Times New Roman" w:hAnsi="Times New Roman" w:eastAsia="宋体" w:cs="Times New Roman"/>
                      <w:bCs/>
                      <w:iCs/>
                      <w:color w:val="auto"/>
                      <w:sz w:val="21"/>
                      <w:szCs w:val="21"/>
                    </w:rPr>
                    <w:t>1-10.本项目位于大气环境高排放重点管控区内，项目施工期废气主要为施工扬尘、运输车辆及施工机械的尾气排放，建设单位通过喷淋抑尘、及时清运建筑垃圾、清洗运载汽车车轮底盘污泥等措施有减少施工废气对环境的影响。</w:t>
                  </w:r>
                </w:p>
                <w:p w14:paraId="1CE167A5">
                  <w:pPr>
                    <w:pStyle w:val="59"/>
                    <w:autoSpaceDE/>
                    <w:autoSpaceDN/>
                    <w:adjustRightInd/>
                    <w:jc w:val="left"/>
                    <w:rPr>
                      <w:rFonts w:ascii="Times New Roman" w:hAnsi="Times New Roman" w:eastAsia="宋体" w:cs="Times New Roman"/>
                      <w:bCs/>
                      <w:iCs/>
                      <w:color w:val="auto"/>
                      <w:sz w:val="21"/>
                      <w:szCs w:val="21"/>
                    </w:rPr>
                  </w:pPr>
                  <w:r>
                    <w:rPr>
                      <w:rFonts w:ascii="Times New Roman" w:hAnsi="Times New Roman" w:eastAsia="宋体" w:cs="Times New Roman"/>
                      <w:bCs/>
                      <w:iCs/>
                      <w:color w:val="auto"/>
                      <w:sz w:val="21"/>
                      <w:szCs w:val="21"/>
                    </w:rPr>
                    <w:t>1-11.本项目不属于增加重金属污染物排放总量的建设项目。</w:t>
                  </w:r>
                </w:p>
                <w:p w14:paraId="6627E75C">
                  <w:pPr>
                    <w:pStyle w:val="59"/>
                    <w:autoSpaceDE/>
                    <w:autoSpaceDN/>
                    <w:adjustRightInd/>
                    <w:jc w:val="left"/>
                    <w:rPr>
                      <w:rFonts w:ascii="Times New Roman" w:hAnsi="Times New Roman" w:eastAsia="宋体" w:cs="Times New Roman"/>
                      <w:bCs/>
                      <w:iCs/>
                      <w:color w:val="auto"/>
                      <w:sz w:val="21"/>
                      <w:szCs w:val="21"/>
                    </w:rPr>
                  </w:pPr>
                  <w:r>
                    <w:rPr>
                      <w:rFonts w:ascii="Times New Roman" w:hAnsi="Times New Roman" w:eastAsia="宋体" w:cs="Times New Roman"/>
                      <w:bCs/>
                      <w:iCs/>
                      <w:color w:val="auto"/>
                      <w:sz w:val="21"/>
                      <w:szCs w:val="21"/>
                    </w:rPr>
                    <w:t>1-12.本项目不属于涉重金属污染行业。</w:t>
                  </w:r>
                </w:p>
                <w:p w14:paraId="1EA1DCAA">
                  <w:pPr>
                    <w:pStyle w:val="59"/>
                    <w:autoSpaceDE/>
                    <w:autoSpaceDN/>
                    <w:adjustRightInd/>
                    <w:jc w:val="left"/>
                    <w:rPr>
                      <w:rFonts w:ascii="Times New Roman" w:hAnsi="Times New Roman" w:eastAsia="宋体" w:cs="Times New Roman"/>
                      <w:color w:val="auto"/>
                      <w:sz w:val="21"/>
                      <w:szCs w:val="21"/>
                    </w:rPr>
                  </w:pPr>
                  <w:r>
                    <w:rPr>
                      <w:rFonts w:ascii="Times New Roman" w:hAnsi="Times New Roman" w:eastAsia="宋体" w:cs="Times New Roman"/>
                      <w:bCs/>
                      <w:iCs/>
                      <w:color w:val="auto"/>
                      <w:sz w:val="21"/>
                      <w:szCs w:val="21"/>
                    </w:rPr>
                    <w:t>1-13.本项目</w:t>
                  </w:r>
                  <w:r>
                    <w:rPr>
                      <w:rFonts w:hint="eastAsia" w:ascii="Times New Roman" w:hAnsi="Times New Roman" w:eastAsia="宋体" w:cs="Times New Roman"/>
                      <w:bCs/>
                      <w:iCs/>
                      <w:color w:val="auto"/>
                      <w:sz w:val="21"/>
                      <w:szCs w:val="21"/>
                    </w:rPr>
                    <w:t>不涉及水域岸线。</w:t>
                  </w:r>
                </w:p>
              </w:tc>
              <w:tc>
                <w:tcPr>
                  <w:tcW w:w="347" w:type="pct"/>
                  <w:shd w:val="clear" w:color="auto" w:fill="auto"/>
                  <w:vAlign w:val="center"/>
                </w:tcPr>
                <w:p w14:paraId="38B4B456">
                  <w:pPr>
                    <w:jc w:val="center"/>
                    <w:rPr>
                      <w:szCs w:val="21"/>
                    </w:rPr>
                  </w:pPr>
                  <w:r>
                    <w:rPr>
                      <w:szCs w:val="21"/>
                    </w:rPr>
                    <w:t>相符</w:t>
                  </w:r>
                </w:p>
              </w:tc>
            </w:tr>
            <w:tr w14:paraId="3A7C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shd w:val="clear" w:color="auto" w:fill="auto"/>
                  <w:vAlign w:val="center"/>
                </w:tcPr>
                <w:p w14:paraId="13810643">
                  <w:pPr>
                    <w:jc w:val="center"/>
                    <w:rPr>
                      <w:szCs w:val="21"/>
                    </w:rPr>
                  </w:pPr>
                </w:p>
              </w:tc>
              <w:tc>
                <w:tcPr>
                  <w:tcW w:w="248" w:type="pct"/>
                  <w:shd w:val="clear" w:color="auto" w:fill="auto"/>
                  <w:vAlign w:val="center"/>
                </w:tcPr>
                <w:p w14:paraId="169EC679">
                  <w:pPr>
                    <w:jc w:val="center"/>
                    <w:rPr>
                      <w:szCs w:val="21"/>
                    </w:rPr>
                  </w:pPr>
                  <w:r>
                    <w:rPr>
                      <w:szCs w:val="21"/>
                    </w:rPr>
                    <w:t>能源资源利用</w:t>
                  </w:r>
                </w:p>
              </w:tc>
              <w:tc>
                <w:tcPr>
                  <w:tcW w:w="2767" w:type="pct"/>
                  <w:shd w:val="clear" w:color="auto" w:fill="auto"/>
                  <w:vAlign w:val="center"/>
                </w:tcPr>
                <w:p w14:paraId="33B0D242">
                  <w:pPr>
                    <w:jc w:val="left"/>
                    <w:rPr>
                      <w:szCs w:val="21"/>
                    </w:rPr>
                  </w:pPr>
                  <w:r>
                    <w:rPr>
                      <w:szCs w:val="21"/>
                    </w:rPr>
                    <w:t>2-1.【能源/鼓励引导类】鼓励降低煤炭消耗、能源消耗，引导光伏等多种形式的新能源利用。</w:t>
                  </w:r>
                </w:p>
                <w:p w14:paraId="049EF5CC">
                  <w:pPr>
                    <w:jc w:val="left"/>
                    <w:rPr>
                      <w:szCs w:val="21"/>
                    </w:rPr>
                  </w:pPr>
                  <w:r>
                    <w:rPr>
                      <w:szCs w:val="21"/>
                    </w:rPr>
                    <w:t>2-2.【能源/综合类】根据本地区大气环境质量改善要求逐步扩大高污染燃料禁燃区范围。</w:t>
                  </w:r>
                </w:p>
              </w:tc>
              <w:tc>
                <w:tcPr>
                  <w:tcW w:w="1410" w:type="pct"/>
                  <w:shd w:val="clear" w:color="auto" w:fill="auto"/>
                  <w:vAlign w:val="center"/>
                </w:tcPr>
                <w:p w14:paraId="6DD07560">
                  <w:pPr>
                    <w:jc w:val="left"/>
                    <w:rPr>
                      <w:szCs w:val="21"/>
                    </w:rPr>
                  </w:pPr>
                  <w:r>
                    <w:rPr>
                      <w:szCs w:val="21"/>
                    </w:rPr>
                    <w:t>本项目</w:t>
                  </w:r>
                  <w:r>
                    <w:rPr>
                      <w:bCs/>
                      <w:iCs/>
                      <w:szCs w:val="21"/>
                    </w:rPr>
                    <w:t>所用资源主要为电能等清洁能源。</w:t>
                  </w:r>
                </w:p>
              </w:tc>
              <w:tc>
                <w:tcPr>
                  <w:tcW w:w="347" w:type="pct"/>
                  <w:shd w:val="clear" w:color="auto" w:fill="auto"/>
                  <w:vAlign w:val="center"/>
                </w:tcPr>
                <w:p w14:paraId="76CCFB48">
                  <w:pPr>
                    <w:jc w:val="center"/>
                    <w:rPr>
                      <w:szCs w:val="21"/>
                    </w:rPr>
                  </w:pPr>
                  <w:r>
                    <w:rPr>
                      <w:szCs w:val="21"/>
                    </w:rPr>
                    <w:t>相符</w:t>
                  </w:r>
                </w:p>
              </w:tc>
            </w:tr>
            <w:tr w14:paraId="465CD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shd w:val="clear" w:color="auto" w:fill="auto"/>
                  <w:vAlign w:val="center"/>
                </w:tcPr>
                <w:p w14:paraId="5297267C">
                  <w:pPr>
                    <w:jc w:val="center"/>
                    <w:rPr>
                      <w:szCs w:val="21"/>
                    </w:rPr>
                  </w:pPr>
                </w:p>
              </w:tc>
              <w:tc>
                <w:tcPr>
                  <w:tcW w:w="248" w:type="pct"/>
                  <w:shd w:val="clear" w:color="auto" w:fill="auto"/>
                  <w:vAlign w:val="center"/>
                </w:tcPr>
                <w:p w14:paraId="7650C0ED">
                  <w:pPr>
                    <w:jc w:val="center"/>
                    <w:rPr>
                      <w:szCs w:val="21"/>
                    </w:rPr>
                  </w:pPr>
                  <w:r>
                    <w:rPr>
                      <w:szCs w:val="21"/>
                    </w:rPr>
                    <w:t>污染物排放管控</w:t>
                  </w:r>
                </w:p>
              </w:tc>
              <w:tc>
                <w:tcPr>
                  <w:tcW w:w="2767" w:type="pct"/>
                  <w:shd w:val="clear" w:color="auto" w:fill="auto"/>
                  <w:vAlign w:val="center"/>
                </w:tcPr>
                <w:p w14:paraId="61A87901">
                  <w:pPr>
                    <w:jc w:val="left"/>
                    <w:rPr>
                      <w:szCs w:val="21"/>
                    </w:rPr>
                  </w:pPr>
                  <w:r>
                    <w:rPr>
                      <w:szCs w:val="21"/>
                    </w:rPr>
                    <w:t>3-1.【水/限制类】严格控制稿树下水、马嘶河（龙溪水）、江东、榕溪沥（罗阳）、廖洞等直排东江的排水渠流域内增加水污染物排放或对东江水质、水环境安全构成影响的项目。</w:t>
                  </w:r>
                </w:p>
                <w:p w14:paraId="1B677EAB">
                  <w:pPr>
                    <w:jc w:val="left"/>
                    <w:rPr>
                      <w:szCs w:val="21"/>
                    </w:rPr>
                  </w:pPr>
                  <w:r>
                    <w:rPr>
                      <w:szCs w:val="21"/>
                    </w:rPr>
                    <w:t>3-2.【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5F322186">
                  <w:pPr>
                    <w:jc w:val="left"/>
                    <w:rPr>
                      <w:szCs w:val="21"/>
                    </w:rPr>
                  </w:pPr>
                  <w:r>
                    <w:rPr>
                      <w:szCs w:val="21"/>
                    </w:rPr>
                    <w:t>3-3.【水/限制类】加强流域内涉重金属废水排放企业的管理，减少含重金属废水排放。</w:t>
                  </w:r>
                </w:p>
                <w:p w14:paraId="0508BA14">
                  <w:pPr>
                    <w:jc w:val="left"/>
                    <w:rPr>
                      <w:szCs w:val="21"/>
                    </w:rPr>
                  </w:pPr>
                  <w:r>
                    <w:rPr>
                      <w:szCs w:val="21"/>
                    </w:rPr>
                    <w:t>3-4.【水/综合类】强化农业面源污染治理，控制农药化肥使用量。</w:t>
                  </w:r>
                </w:p>
                <w:p w14:paraId="5799818B">
                  <w:pPr>
                    <w:jc w:val="left"/>
                    <w:rPr>
                      <w:szCs w:val="21"/>
                    </w:rPr>
                  </w:pPr>
                  <w:r>
                    <w:rPr>
                      <w:szCs w:val="21"/>
                    </w:rPr>
                    <w:t>3-5.【大气/限制类】重点行业新建涉VOCs排放的工业企业原则上应入园进区。新建项目 VOCs 实施倍量替代。</w:t>
                  </w:r>
                </w:p>
                <w:p w14:paraId="2DAFC14E">
                  <w:pPr>
                    <w:jc w:val="left"/>
                    <w:rPr>
                      <w:szCs w:val="21"/>
                    </w:rPr>
                  </w:pPr>
                  <w:r>
                    <w:rPr>
                      <w:szCs w:val="21"/>
                    </w:rPr>
                    <w:t>3-6. 【土壤/禁止类】禁止向农用地排放重金属或者其他有毒有害物质含量超标的污水、污泥，以及可能造成土壤污染的清淤底泥、尾矿、矿渣等。</w:t>
                  </w:r>
                </w:p>
              </w:tc>
              <w:tc>
                <w:tcPr>
                  <w:tcW w:w="1410" w:type="pct"/>
                  <w:shd w:val="clear" w:color="auto" w:fill="auto"/>
                  <w:vAlign w:val="center"/>
                </w:tcPr>
                <w:p w14:paraId="3DE1DDA5">
                  <w:pPr>
                    <w:jc w:val="left"/>
                    <w:rPr>
                      <w:szCs w:val="21"/>
                    </w:rPr>
                  </w:pPr>
                  <w:r>
                    <w:rPr>
                      <w:szCs w:val="21"/>
                    </w:rPr>
                    <w:t>3-1.本项目运营期无废水排放，施工期无施工废水外排，项目施工队租用周边居民楼作为施工居住用，生活污水预处理达到《水污染物排放限值》（DB44/26-2001）第二时段三级标准后，排入市政污水管网，本项目的建设对周边环境影响较小。</w:t>
                  </w:r>
                </w:p>
                <w:p w14:paraId="7E46F067">
                  <w:pPr>
                    <w:jc w:val="left"/>
                    <w:rPr>
                      <w:szCs w:val="21"/>
                    </w:rPr>
                  </w:pPr>
                  <w:r>
                    <w:rPr>
                      <w:szCs w:val="21"/>
                    </w:rPr>
                    <w:t>3-2.本项目不属于农村环境基础设施建设。</w:t>
                  </w:r>
                </w:p>
                <w:p w14:paraId="4D56AF2C">
                  <w:pPr>
                    <w:jc w:val="left"/>
                    <w:rPr>
                      <w:szCs w:val="21"/>
                    </w:rPr>
                  </w:pPr>
                  <w:r>
                    <w:rPr>
                      <w:szCs w:val="21"/>
                    </w:rPr>
                    <w:t>3-3.本项目不属于涉重金属废水排放企业。</w:t>
                  </w:r>
                </w:p>
                <w:p w14:paraId="3A2548A2">
                  <w:pPr>
                    <w:jc w:val="left"/>
                    <w:rPr>
                      <w:szCs w:val="21"/>
                    </w:rPr>
                  </w:pPr>
                  <w:r>
                    <w:rPr>
                      <w:szCs w:val="21"/>
                    </w:rPr>
                    <w:t>3-4.本项目不涉及农业面源污染。</w:t>
                  </w:r>
                </w:p>
                <w:p w14:paraId="67DBC8F4">
                  <w:pPr>
                    <w:jc w:val="left"/>
                    <w:rPr>
                      <w:szCs w:val="21"/>
                    </w:rPr>
                  </w:pPr>
                  <w:r>
                    <w:rPr>
                      <w:szCs w:val="21"/>
                    </w:rPr>
                    <w:t>3-5.本项目不涉及涉VOCs排放。</w:t>
                  </w:r>
                </w:p>
                <w:p w14:paraId="041A9110">
                  <w:pPr>
                    <w:jc w:val="left"/>
                    <w:rPr>
                      <w:szCs w:val="21"/>
                    </w:rPr>
                  </w:pPr>
                  <w:r>
                    <w:rPr>
                      <w:szCs w:val="21"/>
                    </w:rPr>
                    <w:t>3-6.本项目不向农用地排放重金属或者其他有毒有害物质含量超标的污水、污泥，以及可能造成土壤污染的清淤底泥、尾矿、矿渣。</w:t>
                  </w:r>
                </w:p>
              </w:tc>
              <w:tc>
                <w:tcPr>
                  <w:tcW w:w="347" w:type="pct"/>
                  <w:shd w:val="clear" w:color="auto" w:fill="auto"/>
                  <w:vAlign w:val="center"/>
                </w:tcPr>
                <w:p w14:paraId="46ED90F5">
                  <w:pPr>
                    <w:jc w:val="center"/>
                    <w:rPr>
                      <w:szCs w:val="21"/>
                    </w:rPr>
                  </w:pPr>
                  <w:r>
                    <w:rPr>
                      <w:szCs w:val="21"/>
                    </w:rPr>
                    <w:t>相符</w:t>
                  </w:r>
                </w:p>
              </w:tc>
            </w:tr>
            <w:tr w14:paraId="6A7E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shd w:val="clear" w:color="auto" w:fill="auto"/>
                  <w:vAlign w:val="center"/>
                </w:tcPr>
                <w:p w14:paraId="5B02DF54">
                  <w:pPr>
                    <w:jc w:val="center"/>
                    <w:rPr>
                      <w:szCs w:val="21"/>
                    </w:rPr>
                  </w:pPr>
                </w:p>
              </w:tc>
              <w:tc>
                <w:tcPr>
                  <w:tcW w:w="248" w:type="pct"/>
                  <w:shd w:val="clear" w:color="auto" w:fill="auto"/>
                  <w:vAlign w:val="center"/>
                </w:tcPr>
                <w:p w14:paraId="26DCAF8E">
                  <w:pPr>
                    <w:jc w:val="center"/>
                    <w:rPr>
                      <w:szCs w:val="21"/>
                    </w:rPr>
                  </w:pPr>
                  <w:r>
                    <w:rPr>
                      <w:szCs w:val="21"/>
                    </w:rPr>
                    <w:t>环境风险防控</w:t>
                  </w:r>
                </w:p>
              </w:tc>
              <w:tc>
                <w:tcPr>
                  <w:tcW w:w="2767" w:type="pct"/>
                  <w:shd w:val="clear" w:color="auto" w:fill="auto"/>
                  <w:vAlign w:val="center"/>
                </w:tcPr>
                <w:p w14:paraId="79E8985D">
                  <w:pPr>
                    <w:jc w:val="left"/>
                    <w:rPr>
                      <w:szCs w:val="21"/>
                    </w:rPr>
                  </w:pPr>
                  <w:r>
                    <w:rPr>
                      <w:szCs w:val="21"/>
                    </w:rPr>
                    <w:t>4-1.【水/综合类】城镇污水处理厂应采取有效措施，防止事故废水直接排入水体。</w:t>
                  </w:r>
                </w:p>
                <w:p w14:paraId="3EC7D113">
                  <w:pPr>
                    <w:jc w:val="left"/>
                    <w:rPr>
                      <w:szCs w:val="21"/>
                    </w:rPr>
                  </w:pPr>
                  <w:r>
                    <w:rPr>
                      <w:szCs w:val="21"/>
                    </w:rPr>
                    <w:t>4-2.【水/综合类】加强饮用水水源保护区内环境风险排查，开展风险评估、水环境预警监测以及水环境应急演练。</w:t>
                  </w:r>
                </w:p>
                <w:p w14:paraId="5484106F">
                  <w:pPr>
                    <w:jc w:val="left"/>
                    <w:rPr>
                      <w:szCs w:val="21"/>
                    </w:rPr>
                  </w:pPr>
                  <w:r>
                    <w:rPr>
                      <w:szCs w:val="21"/>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410" w:type="pct"/>
                  <w:shd w:val="clear" w:color="auto" w:fill="auto"/>
                  <w:vAlign w:val="center"/>
                </w:tcPr>
                <w:p w14:paraId="24774953">
                  <w:pPr>
                    <w:jc w:val="left"/>
                    <w:rPr>
                      <w:szCs w:val="21"/>
                    </w:rPr>
                  </w:pPr>
                  <w:r>
                    <w:rPr>
                      <w:szCs w:val="21"/>
                    </w:rPr>
                    <w:t>本项目不在《关于发布&lt;突发环境事件应急预案备案行业名录（指导性意见）&gt;的通知》（粤环【2018】44号）的范围内，但本项目将采取相应的风险防范措施，防范污染事故发生，避免因发生事故对周围环境造成污染，确保环境安全。</w:t>
                  </w:r>
                </w:p>
              </w:tc>
              <w:tc>
                <w:tcPr>
                  <w:tcW w:w="347" w:type="pct"/>
                  <w:shd w:val="clear" w:color="auto" w:fill="auto"/>
                  <w:vAlign w:val="center"/>
                </w:tcPr>
                <w:p w14:paraId="5EBF3955">
                  <w:pPr>
                    <w:jc w:val="center"/>
                    <w:rPr>
                      <w:szCs w:val="21"/>
                    </w:rPr>
                  </w:pPr>
                  <w:r>
                    <w:rPr>
                      <w:szCs w:val="21"/>
                    </w:rPr>
                    <w:t>相符</w:t>
                  </w:r>
                </w:p>
              </w:tc>
            </w:tr>
          </w:tbl>
          <w:p w14:paraId="2015D2F0">
            <w:pPr>
              <w:spacing w:line="520" w:lineRule="exact"/>
              <w:ind w:firstLine="420" w:firstLineChars="200"/>
              <w:rPr>
                <w:rFonts w:hint="eastAsia" w:ascii="宋体" w:hAnsi="宋体"/>
                <w:b/>
                <w:bCs/>
                <w:kern w:val="0"/>
                <w:szCs w:val="21"/>
              </w:rPr>
            </w:pPr>
            <w:r>
              <w:rPr>
                <w:rFonts w:ascii="宋体" w:hAnsi="宋体"/>
                <w:bCs/>
                <w:iCs/>
                <w:szCs w:val="21"/>
              </w:rPr>
              <w:t>因此，</w:t>
            </w:r>
            <w:r>
              <w:t>本项目建设符合《博罗县生态保护红线、环境质量底线、资源利用上线和环境准入清单研究报告》</w:t>
            </w:r>
            <w:r>
              <w:rPr>
                <w:rFonts w:hint="eastAsia"/>
              </w:rPr>
              <w:t>和《</w:t>
            </w:r>
            <w:r>
              <w:t>惠州市生态环境局关于印发惠州市“三线一单”生态环境分区管控方案2023年度动态更新成果的通知</w:t>
            </w:r>
            <w:r>
              <w:rPr>
                <w:rFonts w:hint="eastAsia"/>
              </w:rPr>
              <w:t>》的要求</w:t>
            </w:r>
            <w:r>
              <w:rPr>
                <w:rFonts w:ascii="宋体" w:hAnsi="宋体"/>
                <w:bCs/>
                <w:szCs w:val="21"/>
              </w:rPr>
              <w:t>。</w:t>
            </w:r>
          </w:p>
        </w:tc>
      </w:tr>
    </w:tbl>
    <w:p w14:paraId="3ECF2283">
      <w:pPr>
        <w:tabs>
          <w:tab w:val="left" w:pos="3369"/>
        </w:tabs>
        <w:spacing w:line="360" w:lineRule="auto"/>
        <w:outlineLvl w:val="0"/>
        <w:rPr>
          <w:rFonts w:hint="eastAsia" w:ascii="宋体" w:hAnsi="宋体" w:cs="宋体"/>
          <w:kern w:val="0"/>
          <w:szCs w:val="21"/>
        </w:rPr>
        <w:sectPr>
          <w:pgSz w:w="16838" w:h="11906" w:orient="landscape"/>
          <w:pgMar w:top="720" w:right="720" w:bottom="720" w:left="720" w:header="851" w:footer="567" w:gutter="0"/>
          <w:cols w:space="720" w:num="1"/>
          <w:docGrid w:linePitch="312" w:charSpace="0"/>
        </w:sectPr>
      </w:pPr>
    </w:p>
    <w:tbl>
      <w:tblPr>
        <w:tblStyle w:val="33"/>
        <w:tblW w:w="492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9878"/>
      </w:tblGrid>
      <w:tr w14:paraId="6B6AC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302" w:type="pct"/>
            <w:tcBorders>
              <w:top w:val="single" w:color="auto" w:sz="8" w:space="0"/>
              <w:left w:val="single" w:color="auto" w:sz="8" w:space="0"/>
              <w:bottom w:val="single" w:color="auto" w:sz="8" w:space="0"/>
              <w:right w:val="single" w:color="auto" w:sz="4" w:space="0"/>
            </w:tcBorders>
            <w:vAlign w:val="center"/>
          </w:tcPr>
          <w:p w14:paraId="72B070F6">
            <w:pPr>
              <w:autoSpaceDE w:val="0"/>
              <w:autoSpaceDN w:val="0"/>
              <w:adjustRightInd w:val="0"/>
              <w:snapToGrid w:val="0"/>
              <w:jc w:val="center"/>
              <w:rPr>
                <w:bCs/>
                <w:kern w:val="0"/>
                <w:szCs w:val="21"/>
              </w:rPr>
            </w:pPr>
            <w:r>
              <w:rPr>
                <w:bCs/>
                <w:kern w:val="0"/>
                <w:szCs w:val="21"/>
              </w:rPr>
              <w:t>其他符合性分析</w:t>
            </w:r>
          </w:p>
        </w:tc>
        <w:tc>
          <w:tcPr>
            <w:tcW w:w="4698" w:type="pct"/>
            <w:tcBorders>
              <w:top w:val="single" w:color="auto" w:sz="8" w:space="0"/>
              <w:left w:val="single" w:color="auto" w:sz="4" w:space="0"/>
              <w:bottom w:val="single" w:color="auto" w:sz="8" w:space="0"/>
              <w:right w:val="single" w:color="auto" w:sz="8" w:space="0"/>
            </w:tcBorders>
            <w:vAlign w:val="center"/>
          </w:tcPr>
          <w:p w14:paraId="1C912569">
            <w:pPr>
              <w:autoSpaceDE w:val="0"/>
              <w:autoSpaceDN w:val="0"/>
              <w:adjustRightInd w:val="0"/>
              <w:snapToGrid w:val="0"/>
              <w:spacing w:line="360" w:lineRule="auto"/>
              <w:rPr>
                <w:b/>
                <w:kern w:val="0"/>
                <w:szCs w:val="21"/>
              </w:rPr>
            </w:pPr>
            <w:r>
              <w:rPr>
                <w:b/>
                <w:kern w:val="0"/>
                <w:szCs w:val="21"/>
              </w:rPr>
              <w:t>五、其他相关环保政策相符性分析</w:t>
            </w:r>
          </w:p>
          <w:p w14:paraId="0A8FC417">
            <w:pPr>
              <w:autoSpaceDE w:val="0"/>
              <w:autoSpaceDN w:val="0"/>
              <w:adjustRightInd w:val="0"/>
              <w:snapToGrid w:val="0"/>
              <w:spacing w:line="360" w:lineRule="auto"/>
              <w:ind w:firstLine="422" w:firstLineChars="200"/>
              <w:rPr>
                <w:b/>
                <w:kern w:val="0"/>
                <w:szCs w:val="21"/>
              </w:rPr>
            </w:pPr>
            <w:r>
              <w:rPr>
                <w:b/>
                <w:kern w:val="0"/>
                <w:szCs w:val="21"/>
              </w:rPr>
              <w:t>1、水方面：</w:t>
            </w:r>
          </w:p>
          <w:p w14:paraId="638166BB">
            <w:pPr>
              <w:adjustRightInd w:val="0"/>
              <w:spacing w:line="360" w:lineRule="auto"/>
              <w:ind w:firstLine="422" w:firstLineChars="200"/>
              <w:jc w:val="left"/>
              <w:rPr>
                <w:b/>
                <w:kern w:val="0"/>
                <w:lang w:bidi="ar"/>
              </w:rPr>
            </w:pPr>
            <w:r>
              <w:rPr>
                <w:b/>
                <w:kern w:val="0"/>
                <w:szCs w:val="21"/>
              </w:rPr>
              <w:t>（1）</w:t>
            </w:r>
            <w:r>
              <w:rPr>
                <w:b/>
                <w:kern w:val="0"/>
                <w:lang w:bidi="ar"/>
              </w:rPr>
              <w:t>与《关于严格限制东江流域水污染项目建设进一步做好东江水质保护工作的通知》（粤府函〔2011〕339号）及《广东省人民政府关于严格限制东江流域水污染项目建设进一步做好东江水质保护工作的补充通知》（粤府函〔2013〕231号）的相关规定的相符性分析</w:t>
            </w:r>
          </w:p>
          <w:p w14:paraId="52426150">
            <w:pPr>
              <w:autoSpaceDE w:val="0"/>
              <w:autoSpaceDN w:val="0"/>
              <w:adjustRightInd w:val="0"/>
              <w:spacing w:line="360" w:lineRule="auto"/>
              <w:ind w:firstLine="420" w:firstLineChars="200"/>
            </w:pPr>
            <w:r>
              <w:t>《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具体如下：</w:t>
            </w:r>
          </w:p>
          <w:p w14:paraId="4C516157">
            <w:pPr>
              <w:autoSpaceDE w:val="0"/>
              <w:autoSpaceDN w:val="0"/>
              <w:adjustRightInd w:val="0"/>
              <w:spacing w:line="360" w:lineRule="auto"/>
              <w:ind w:firstLine="420" w:firstLineChars="200"/>
              <w:rPr>
                <w:kern w:val="0"/>
              </w:rPr>
            </w:pPr>
            <w:r>
              <w:rPr>
                <w:rFonts w:hint="eastAsia" w:ascii="宋体" w:hAnsi="宋体" w:cs="宋体"/>
                <w:kern w:val="0"/>
              </w:rPr>
              <w:t>①</w:t>
            </w:r>
            <w:r>
              <w:rPr>
                <w:kern w:val="0"/>
              </w:rPr>
              <w:t>严格控制重污染项目建设：</w:t>
            </w:r>
            <w:r>
              <w:t>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1D56ECAA">
            <w:pPr>
              <w:autoSpaceDE w:val="0"/>
              <w:autoSpaceDN w:val="0"/>
              <w:adjustRightInd w:val="0"/>
              <w:spacing w:line="360" w:lineRule="auto"/>
              <w:ind w:firstLine="420" w:firstLineChars="200"/>
              <w:rPr>
                <w:kern w:val="0"/>
              </w:rPr>
            </w:pPr>
            <w:r>
              <w:rPr>
                <w:rFonts w:hint="eastAsia" w:ascii="宋体" w:hAnsi="宋体" w:cs="宋体"/>
                <w:kern w:val="0"/>
              </w:rPr>
              <w:t>②</w:t>
            </w:r>
            <w:r>
              <w:rPr>
                <w:kern w:val="0"/>
              </w:rPr>
              <w:t>强化涉重金属污染项目管理：东江流域内停止审批向河流排放汞、砷、镉、铬、铅等重金属污染物和持久性有机污染物的项目。</w:t>
            </w:r>
          </w:p>
          <w:p w14:paraId="49DD1FF5">
            <w:pPr>
              <w:autoSpaceDE w:val="0"/>
              <w:autoSpaceDN w:val="0"/>
              <w:adjustRightInd w:val="0"/>
              <w:spacing w:line="360" w:lineRule="auto"/>
              <w:ind w:firstLine="420" w:firstLineChars="200"/>
            </w:pPr>
            <w:r>
              <w:rPr>
                <w:rFonts w:hint="eastAsia" w:ascii="宋体" w:hAnsi="宋体" w:cs="宋体"/>
                <w:kern w:val="0"/>
              </w:rPr>
              <w:t>③</w:t>
            </w:r>
            <w:r>
              <w:rPr>
                <w:kern w:val="0"/>
              </w:rPr>
              <w:t>严格控制支流污染增量：在淡水河（含龙岗河、坪山河等支流）、石马河（含观澜河、沙河水等支流）、紧水河、稿树下水、马嘶河（龙</w:t>
            </w:r>
            <w:r>
              <w:t>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5331E0E6">
            <w:pPr>
              <w:autoSpaceDE w:val="0"/>
              <w:autoSpaceDN w:val="0"/>
              <w:adjustRightInd w:val="0"/>
              <w:snapToGrid w:val="0"/>
              <w:spacing w:line="360" w:lineRule="auto"/>
              <w:ind w:firstLine="422" w:firstLineChars="200"/>
              <w:rPr>
                <w:kern w:val="0"/>
                <w:szCs w:val="21"/>
              </w:rPr>
            </w:pPr>
            <w:r>
              <w:rPr>
                <w:b/>
                <w:kern w:val="0"/>
                <w:szCs w:val="21"/>
              </w:rPr>
              <w:t>相符性分析：</w:t>
            </w:r>
            <w:r>
              <w:rPr>
                <w:kern w:val="0"/>
                <w:szCs w:val="21"/>
              </w:rPr>
              <w:t>本项目为新建市政道路工程，属于基础设施工程，不属于禁止审批和限值审批的行业，不涉及重金属污染物排放。项目运营期无生产废水产生和排放，施工期施工废水经临时沉砂池、隔油池处理后回用于施工场地及道路洒水，不向外排放，项目不设置临时施工营地，施工人员均在附近场所租赁出租房，项目内不产生生活污水。</w:t>
            </w:r>
          </w:p>
          <w:p w14:paraId="6E32F453">
            <w:pPr>
              <w:autoSpaceDE w:val="0"/>
              <w:autoSpaceDN w:val="0"/>
              <w:adjustRightInd w:val="0"/>
              <w:snapToGrid w:val="0"/>
              <w:spacing w:line="360" w:lineRule="auto"/>
              <w:ind w:firstLine="420" w:firstLineChars="200"/>
              <w:rPr>
                <w:kern w:val="0"/>
                <w:szCs w:val="21"/>
              </w:rPr>
            </w:pPr>
            <w:r>
              <w:rPr>
                <w:kern w:val="0"/>
                <w:szCs w:val="21"/>
              </w:rPr>
              <w:t>因此，本项目与《关于严格限制东江流域水污染项目建设进一步做好东江水质保护工作的通知》（粤府函〔2011〕339号）及《广东省人民政府关于严格限制东江流域水污染项目建设进一步做好东江水质保护工作的补充通知》（粤府函〔2013〕231号）的要求不冲突。</w:t>
            </w:r>
          </w:p>
          <w:p w14:paraId="5E90A591">
            <w:pPr>
              <w:pStyle w:val="79"/>
              <w:spacing w:line="360" w:lineRule="auto"/>
              <w:ind w:firstLine="422"/>
              <w:rPr>
                <w:b/>
                <w:szCs w:val="21"/>
              </w:rPr>
            </w:pPr>
            <w:r>
              <w:rPr>
                <w:b/>
                <w:kern w:val="0"/>
                <w:szCs w:val="21"/>
              </w:rPr>
              <w:t>（2）</w:t>
            </w:r>
            <w:r>
              <w:rPr>
                <w:b/>
                <w:iCs/>
                <w:szCs w:val="21"/>
              </w:rPr>
              <w:t>与</w:t>
            </w:r>
            <w:r>
              <w:rPr>
                <w:b/>
              </w:rPr>
              <w:t>《广东省水污染防治条例》（2021年1月1日实施）的</w:t>
            </w:r>
            <w:r>
              <w:rPr>
                <w:b/>
                <w:szCs w:val="21"/>
              </w:rPr>
              <w:t>相符性分析</w:t>
            </w:r>
          </w:p>
          <w:p w14:paraId="11D5AF4C">
            <w:pPr>
              <w:pStyle w:val="79"/>
              <w:spacing w:line="360" w:lineRule="auto"/>
              <w:ind w:firstLine="420"/>
            </w:pPr>
            <w:r>
              <w:t>根据《广东省水污染防治条例》：</w:t>
            </w:r>
          </w:p>
          <w:p w14:paraId="7899BFA3">
            <w:pPr>
              <w:pStyle w:val="79"/>
              <w:spacing w:line="360" w:lineRule="auto"/>
              <w:ind w:firstLine="420"/>
            </w:pPr>
            <w:r>
              <w:t>第四十九条 禁止在江河、湖泊、运河、渠道、水库最高水位线以下的滩地和岸坡堆放、存贮固体废弃物和其他污染物。</w:t>
            </w:r>
          </w:p>
          <w:p w14:paraId="2EFBBFBF">
            <w:pPr>
              <w:pStyle w:val="79"/>
              <w:spacing w:line="360" w:lineRule="auto"/>
              <w:ind w:firstLine="420"/>
            </w:pPr>
            <w:r>
              <w:t>禁止在东江干流和一级支流两岸最高水位线水平外延五百米范围内新建废弃物堆放场和处理场。</w:t>
            </w:r>
          </w:p>
          <w:p w14:paraId="62C0716C">
            <w:pPr>
              <w:pStyle w:val="79"/>
              <w:spacing w:line="360" w:lineRule="auto"/>
              <w:ind w:firstLine="420"/>
            </w:pPr>
            <w:r>
              <w:t>禁止在西江干流、一级支流两岸及流域内湖泊、水库最高水位线水平外延五百米范围内新建、扩建废弃物堆放场和处理场。</w:t>
            </w:r>
          </w:p>
          <w:p w14:paraId="5151A5DD">
            <w:pPr>
              <w:pStyle w:val="79"/>
              <w:spacing w:line="360" w:lineRule="auto"/>
              <w:ind w:firstLine="420"/>
            </w:pPr>
            <w:r>
              <w:t>禁止在韩江干流和一级、二级支流两岸最高水位线水平外延五百米范围内新建废弃物堆放场和处理场。</w:t>
            </w:r>
          </w:p>
          <w:p w14:paraId="04FFD031">
            <w:pPr>
              <w:pStyle w:val="79"/>
              <w:spacing w:line="360" w:lineRule="auto"/>
              <w:ind w:firstLine="420"/>
            </w:pPr>
            <w:r>
              <w:t>已有的堆放场和处理场应当采取有效的防治污染措施，危及水体水质安全的，由县级以上人民政府责令限期搬迁。</w:t>
            </w:r>
          </w:p>
          <w:p w14:paraId="32918C2A">
            <w:pPr>
              <w:pStyle w:val="79"/>
              <w:spacing w:line="360" w:lineRule="auto"/>
              <w:ind w:firstLine="420"/>
            </w:pPr>
            <w:r>
              <w:t>第五十条  新建、改建、扩建的项目应当符合国家产业政策规定：</w:t>
            </w:r>
          </w:p>
          <w:p w14:paraId="50B999FF">
            <w:pPr>
              <w:pStyle w:val="79"/>
              <w:spacing w:line="360" w:lineRule="auto"/>
              <w:ind w:firstLine="420"/>
            </w:pPr>
            <w: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5E9CB6AB">
            <w:pPr>
              <w:pStyle w:val="79"/>
              <w:spacing w:line="360" w:lineRule="auto"/>
              <w:ind w:firstLine="420"/>
            </w:pPr>
            <w:r>
              <w:t>北江流域实行重金属污染物排放总量控制，严格控制新建涉重金属排放的项目，新建、改建、扩建的项目严格实行重金属等特征污染物排放减量置换。</w:t>
            </w:r>
          </w:p>
          <w:p w14:paraId="2CDC485D">
            <w:pPr>
              <w:autoSpaceDE w:val="0"/>
              <w:autoSpaceDN w:val="0"/>
              <w:adjustRightInd w:val="0"/>
              <w:snapToGrid w:val="0"/>
              <w:spacing w:line="360" w:lineRule="auto"/>
              <w:ind w:firstLine="422" w:firstLineChars="200"/>
              <w:rPr>
                <w:szCs w:val="21"/>
              </w:rPr>
            </w:pPr>
            <w:r>
              <w:rPr>
                <w:b/>
                <w:bCs/>
                <w:iCs/>
                <w:szCs w:val="21"/>
              </w:rPr>
              <w:t>相符性分析：</w:t>
            </w:r>
            <w:r>
              <w:rPr>
                <w:bCs/>
                <w:iCs/>
                <w:szCs w:val="21"/>
              </w:rPr>
              <w:t>本项目为新建市政道路工程，属于基础设施工程，不属于禁止审批和限值审批的行业，不涉及重金属污染物排放。项目运营期无生产废水产生和排放，施工期施工废水经临时沉砂池、隔油池处理后回用于施工场地及道路洒水，不向外排放，项目不设置临时施工营地，施工人员均在附近场所租赁出租房，项目内不产生生活污水；项目</w:t>
            </w:r>
            <w:r>
              <w:rPr>
                <w:szCs w:val="21"/>
              </w:rPr>
              <w:t>不属于废弃物堆放场和处理场项目，施工期产生的拆迁建筑垃圾、弃方等交由专业的处理单位当日及时处理，不设临时弃土堆放场。</w:t>
            </w:r>
          </w:p>
          <w:p w14:paraId="364DF4E7">
            <w:pPr>
              <w:autoSpaceDE w:val="0"/>
              <w:autoSpaceDN w:val="0"/>
              <w:adjustRightInd w:val="0"/>
              <w:snapToGrid w:val="0"/>
              <w:spacing w:line="360" w:lineRule="auto"/>
              <w:ind w:firstLine="420" w:firstLineChars="200"/>
              <w:rPr>
                <w:bCs/>
                <w:iCs/>
                <w:szCs w:val="21"/>
              </w:rPr>
            </w:pPr>
            <w:r>
              <w:rPr>
                <w:szCs w:val="21"/>
              </w:rPr>
              <w:t>因此，本项目</w:t>
            </w:r>
            <w:r>
              <w:rPr>
                <w:szCs w:val="21"/>
                <w:lang w:bidi="ar"/>
              </w:rPr>
              <w:t>符合</w:t>
            </w:r>
            <w:r>
              <w:rPr>
                <w:rFonts w:hint="eastAsia"/>
                <w:szCs w:val="21"/>
                <w:lang w:bidi="ar"/>
              </w:rPr>
              <w:t>《</w:t>
            </w:r>
            <w:r>
              <w:rPr>
                <w:szCs w:val="21"/>
                <w:lang w:bidi="ar"/>
              </w:rPr>
              <w:t>广东省水污染防治条例》（2021年1月1日实施）的要求。</w:t>
            </w:r>
          </w:p>
          <w:p w14:paraId="77C6CCB8">
            <w:pPr>
              <w:autoSpaceDE w:val="0"/>
              <w:autoSpaceDN w:val="0"/>
              <w:adjustRightInd w:val="0"/>
              <w:snapToGrid w:val="0"/>
              <w:spacing w:line="360" w:lineRule="auto"/>
              <w:ind w:firstLine="422" w:firstLineChars="200"/>
              <w:rPr>
                <w:b/>
                <w:kern w:val="0"/>
                <w:szCs w:val="21"/>
              </w:rPr>
            </w:pPr>
            <w:r>
              <w:rPr>
                <w:b/>
                <w:kern w:val="0"/>
                <w:szCs w:val="21"/>
              </w:rPr>
              <w:t>2、大气方面：</w:t>
            </w:r>
          </w:p>
          <w:p w14:paraId="52213FFA">
            <w:pPr>
              <w:spacing w:line="360" w:lineRule="auto"/>
              <w:ind w:firstLine="422" w:firstLineChars="200"/>
              <w:rPr>
                <w:b/>
                <w:kern w:val="0"/>
                <w:szCs w:val="21"/>
              </w:rPr>
            </w:pPr>
            <w:r>
              <w:rPr>
                <w:b/>
                <w:kern w:val="0"/>
                <w:szCs w:val="21"/>
              </w:rPr>
              <w:t>（1）与《广东省大气污染防治条例》的相符性分析</w:t>
            </w:r>
          </w:p>
          <w:p w14:paraId="758FF7A1">
            <w:pPr>
              <w:spacing w:line="360" w:lineRule="auto"/>
              <w:ind w:firstLine="420" w:firstLineChars="200"/>
              <w:rPr>
                <w:kern w:val="0"/>
                <w:szCs w:val="21"/>
              </w:rPr>
            </w:pPr>
            <w:r>
              <w:rPr>
                <w:kern w:val="0"/>
                <w:szCs w:val="21"/>
              </w:rPr>
              <w:t>第五十三条 施工单位应当制定具体的施工扬尘污染防治实施方案，建立扬尘污染防治工作台账，落实扬尘污染防治措施。扬尘污染防治费用应专款专用，不得挪用。</w:t>
            </w:r>
          </w:p>
          <w:p w14:paraId="6C2F411F">
            <w:pPr>
              <w:pStyle w:val="78"/>
              <w:ind w:firstLine="420"/>
              <w:rPr>
                <w:color w:val="auto"/>
              </w:rPr>
            </w:pPr>
            <w:r>
              <w:rPr>
                <w:color w:val="auto"/>
              </w:rPr>
              <w:t>第五十四条 监理单位应当做好扬尘污染防治监理工作；对未按照扬尘污染防治措施施工的，应当要求施工单位立即改正，并及时报告建设单位。</w:t>
            </w:r>
          </w:p>
          <w:p w14:paraId="742C284A">
            <w:pPr>
              <w:pStyle w:val="78"/>
              <w:ind w:firstLine="420"/>
              <w:rPr>
                <w:color w:val="auto"/>
              </w:rPr>
            </w:pPr>
            <w:r>
              <w:rPr>
                <w:color w:val="auto"/>
              </w:rPr>
              <w:t>第五十五条 城市建成区建设项目的施工现场出入口应当安装监控车辆出场冲洗情况及车辆车牌号码视频监控设备；建筑面积在五万平方米以上的，还应当安装颗粒物在线监测系统。</w:t>
            </w:r>
          </w:p>
          <w:p w14:paraId="2F4BC8D9">
            <w:pPr>
              <w:pStyle w:val="78"/>
              <w:ind w:firstLine="420"/>
              <w:rPr>
                <w:color w:val="auto"/>
              </w:rPr>
            </w:pPr>
            <w:r>
              <w:rPr>
                <w:color w:val="auto"/>
              </w:rPr>
              <w:t>第五十六条 道路保洁应当采用低尘作业道路机械化清扫、市政道路机械化高压冲洗、洒水、喷雾等措施，并根据道路扬尘控制实际情况，合理安排作业时间，适时增加作业频次，提高作业质量，降低道路扬尘污染。</w:t>
            </w:r>
          </w:p>
          <w:p w14:paraId="46C04365">
            <w:pPr>
              <w:pStyle w:val="78"/>
              <w:ind w:firstLine="420"/>
              <w:rPr>
                <w:color w:val="auto"/>
              </w:rPr>
            </w:pPr>
            <w:r>
              <w:rPr>
                <w:color w:val="auto"/>
              </w:rPr>
              <w:t>第五十七条 运输煤炭、垃圾、渣土、土方、砂石和灰浆等散装、流体物料的车辆应当密闭运输，配备卫星定位装置，并按照规定的时间、路线行驶。</w:t>
            </w:r>
          </w:p>
          <w:p w14:paraId="49633148">
            <w:pPr>
              <w:pStyle w:val="78"/>
              <w:ind w:firstLine="422"/>
              <w:rPr>
                <w:color w:val="auto"/>
              </w:rPr>
            </w:pPr>
            <w:r>
              <w:rPr>
                <w:b/>
                <w:color w:val="auto"/>
              </w:rPr>
              <w:t>相符性分析：</w:t>
            </w:r>
            <w:r>
              <w:rPr>
                <w:color w:val="auto"/>
              </w:rPr>
              <w:t>本项目在施工工地出入口安装视频监控设备，并采取了施工现场封闭、运输散装、流体物料的车辆密闭运输等抑尘措施。</w:t>
            </w:r>
          </w:p>
          <w:p w14:paraId="20EBC37D">
            <w:pPr>
              <w:spacing w:line="360" w:lineRule="auto"/>
              <w:ind w:firstLine="420" w:firstLineChars="200"/>
              <w:rPr>
                <w:kern w:val="0"/>
                <w:szCs w:val="21"/>
              </w:rPr>
            </w:pPr>
            <w:r>
              <w:rPr>
                <w:kern w:val="0"/>
                <w:szCs w:val="21"/>
              </w:rPr>
              <w:t>因此，本项目符合《广东省大气污染防治条例》的相关要求。</w:t>
            </w:r>
          </w:p>
          <w:p w14:paraId="34D7C4BF">
            <w:pPr>
              <w:spacing w:line="360" w:lineRule="auto"/>
              <w:ind w:firstLine="422" w:firstLineChars="200"/>
              <w:rPr>
                <w:b/>
                <w:iCs/>
                <w:szCs w:val="21"/>
              </w:rPr>
            </w:pPr>
            <w:r>
              <w:rPr>
                <w:b/>
                <w:kern w:val="0"/>
                <w:szCs w:val="21"/>
              </w:rPr>
              <w:t>（2）</w:t>
            </w:r>
            <w:r>
              <w:rPr>
                <w:b/>
                <w:iCs/>
                <w:szCs w:val="21"/>
              </w:rPr>
              <w:t>与《惠州市扬尘污染防治条例》（2021年1月1日起实施）的相符性分析</w:t>
            </w:r>
          </w:p>
          <w:p w14:paraId="22E0C13A">
            <w:pPr>
              <w:spacing w:before="120" w:beforeLines="50" w:line="360" w:lineRule="auto"/>
              <w:jc w:val="center"/>
              <w:rPr>
                <w:b/>
                <w:bCs/>
                <w:iCs/>
                <w:szCs w:val="21"/>
              </w:rPr>
            </w:pPr>
            <w:r>
              <w:rPr>
                <w:b/>
                <w:bCs/>
                <w:szCs w:val="21"/>
              </w:rPr>
              <w:t>表1-</w:t>
            </w:r>
            <w:r>
              <w:rPr>
                <w:rFonts w:hint="eastAsia"/>
                <w:b/>
                <w:bCs/>
                <w:szCs w:val="21"/>
              </w:rPr>
              <w:t>4</w:t>
            </w:r>
            <w:r>
              <w:rPr>
                <w:b/>
                <w:bCs/>
                <w:szCs w:val="21"/>
              </w:rPr>
              <w:t xml:space="preserve">  相符性分析一览表</w:t>
            </w:r>
          </w:p>
          <w:tbl>
            <w:tblPr>
              <w:tblStyle w:val="33"/>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1"/>
              <w:gridCol w:w="4000"/>
              <w:gridCol w:w="1246"/>
            </w:tblGrid>
            <w:tr w14:paraId="577A5A8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5EC5454E">
                  <w:pPr>
                    <w:jc w:val="center"/>
                    <w:rPr>
                      <w:b/>
                      <w:bCs/>
                      <w:iCs/>
                      <w:szCs w:val="21"/>
                    </w:rPr>
                  </w:pPr>
                  <w:r>
                    <w:rPr>
                      <w:b/>
                      <w:bCs/>
                      <w:iCs/>
                      <w:szCs w:val="21"/>
                    </w:rPr>
                    <w:t>防治要求</w:t>
                  </w:r>
                </w:p>
              </w:tc>
              <w:tc>
                <w:tcPr>
                  <w:tcW w:w="4000" w:type="dxa"/>
                  <w:vAlign w:val="center"/>
                </w:tcPr>
                <w:p w14:paraId="7DBD7613">
                  <w:pPr>
                    <w:jc w:val="center"/>
                    <w:rPr>
                      <w:b/>
                      <w:bCs/>
                      <w:iCs/>
                      <w:szCs w:val="21"/>
                    </w:rPr>
                  </w:pPr>
                  <w:r>
                    <w:rPr>
                      <w:b/>
                      <w:bCs/>
                      <w:iCs/>
                      <w:szCs w:val="21"/>
                    </w:rPr>
                    <w:t>拟采取的防治措施</w:t>
                  </w:r>
                </w:p>
              </w:tc>
              <w:tc>
                <w:tcPr>
                  <w:tcW w:w="1246" w:type="dxa"/>
                  <w:vAlign w:val="center"/>
                </w:tcPr>
                <w:p w14:paraId="699A9370">
                  <w:pPr>
                    <w:jc w:val="center"/>
                    <w:rPr>
                      <w:b/>
                      <w:bCs/>
                      <w:iCs/>
                      <w:szCs w:val="21"/>
                    </w:rPr>
                  </w:pPr>
                  <w:r>
                    <w:rPr>
                      <w:b/>
                      <w:bCs/>
                      <w:iCs/>
                      <w:szCs w:val="21"/>
                    </w:rPr>
                    <w:t>是否相符</w:t>
                  </w:r>
                </w:p>
              </w:tc>
            </w:tr>
            <w:tr w14:paraId="44F02CD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4C44BB96">
                  <w:pPr>
                    <w:rPr>
                      <w:bCs/>
                      <w:iCs/>
                      <w:szCs w:val="21"/>
                    </w:rPr>
                  </w:pPr>
                  <w:r>
                    <w:rPr>
                      <w:bCs/>
                      <w:iCs/>
                      <w:szCs w:val="21"/>
                    </w:rPr>
                    <w:t>施工工地围挡外围醒目位置设置公示栏，公示扬尘污染防治措施、负责人、扬尘监督管理主管部门、举报电话、工期等信息</w:t>
                  </w:r>
                </w:p>
              </w:tc>
              <w:tc>
                <w:tcPr>
                  <w:tcW w:w="4000" w:type="dxa"/>
                  <w:vAlign w:val="center"/>
                </w:tcPr>
                <w:p w14:paraId="4D7BFF4C">
                  <w:pPr>
                    <w:rPr>
                      <w:bCs/>
                      <w:iCs/>
                      <w:szCs w:val="21"/>
                    </w:rPr>
                  </w:pPr>
                  <w:r>
                    <w:rPr>
                      <w:bCs/>
                      <w:iCs/>
                      <w:szCs w:val="21"/>
                    </w:rPr>
                    <w:t>项目拟按规定在施工工地围挡外围醒目位置设置公示栏，公示扬尘污染防治措施、负责人、扬尘监督管理主管部门、举报电话、工期等信息</w:t>
                  </w:r>
                </w:p>
              </w:tc>
              <w:tc>
                <w:tcPr>
                  <w:tcW w:w="1246" w:type="dxa"/>
                  <w:vAlign w:val="center"/>
                </w:tcPr>
                <w:p w14:paraId="0A22B100">
                  <w:pPr>
                    <w:jc w:val="center"/>
                    <w:rPr>
                      <w:bCs/>
                      <w:iCs/>
                      <w:szCs w:val="21"/>
                    </w:rPr>
                  </w:pPr>
                  <w:r>
                    <w:rPr>
                      <w:bCs/>
                      <w:iCs/>
                      <w:szCs w:val="21"/>
                    </w:rPr>
                    <w:t>是</w:t>
                  </w:r>
                </w:p>
              </w:tc>
            </w:tr>
            <w:tr w14:paraId="764BE64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2708FE74">
                  <w:pPr>
                    <w:rPr>
                      <w:bCs/>
                      <w:iCs/>
                      <w:szCs w:val="21"/>
                    </w:rPr>
                  </w:pPr>
                  <w:r>
                    <w:rPr>
                      <w:bCs/>
                      <w:iCs/>
                      <w:szCs w:val="21"/>
                    </w:rPr>
                    <w:t>城镇主要路段、一般路段的施工工地分别设置不低于二点五米、一点八米的硬质、连续密闭围挡或者围墙，管线敷设工程施工段的边界设置不低于一点五米的封闭式或者半封闭式围栏；围挡或者围墙底部设置不低于三十厘米的硬质防溢座，顶部均匀设置喷雾、喷淋等有效降尘设施；对于特殊地点无法设置围挡、围栏以及防溢座的，设置警示牌，并采取有效防尘措施</w:t>
                  </w:r>
                </w:p>
              </w:tc>
              <w:tc>
                <w:tcPr>
                  <w:tcW w:w="4000" w:type="dxa"/>
                  <w:vAlign w:val="center"/>
                </w:tcPr>
                <w:p w14:paraId="00DAF12E">
                  <w:pPr>
                    <w:rPr>
                      <w:bCs/>
                      <w:iCs/>
                      <w:szCs w:val="21"/>
                    </w:rPr>
                  </w:pPr>
                  <w:r>
                    <w:rPr>
                      <w:bCs/>
                      <w:iCs/>
                      <w:szCs w:val="21"/>
                    </w:rPr>
                    <w:t>项目施工现场沿四周连续设置高度不低于2.5米的封闭围墙，并在工地围墙上方设置喷淋系统降尘</w:t>
                  </w:r>
                </w:p>
              </w:tc>
              <w:tc>
                <w:tcPr>
                  <w:tcW w:w="1246" w:type="dxa"/>
                  <w:vAlign w:val="center"/>
                </w:tcPr>
                <w:p w14:paraId="69279E57">
                  <w:pPr>
                    <w:jc w:val="center"/>
                    <w:rPr>
                      <w:bCs/>
                      <w:iCs/>
                      <w:szCs w:val="21"/>
                    </w:rPr>
                  </w:pPr>
                  <w:r>
                    <w:rPr>
                      <w:bCs/>
                      <w:iCs/>
                      <w:szCs w:val="21"/>
                    </w:rPr>
                    <w:t>是</w:t>
                  </w:r>
                </w:p>
              </w:tc>
            </w:tr>
            <w:tr w14:paraId="273022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6BE31473">
                  <w:pPr>
                    <w:rPr>
                      <w:bCs/>
                      <w:iCs/>
                      <w:szCs w:val="21"/>
                    </w:rPr>
                  </w:pPr>
                  <w:r>
                    <w:rPr>
                      <w:bCs/>
                      <w:iCs/>
                      <w:szCs w:val="21"/>
                    </w:rPr>
                    <w:t>车辆驶出施工工地前将车轮、车身清洗干净，不得带泥上路，工地出口外不得有泥浆、泥土和建筑垃圾；城镇施工工地出入口配备车辆冲洗设备和沉淀过滤设施</w:t>
                  </w:r>
                </w:p>
              </w:tc>
              <w:tc>
                <w:tcPr>
                  <w:tcW w:w="4000" w:type="dxa"/>
                  <w:vAlign w:val="center"/>
                </w:tcPr>
                <w:p w14:paraId="39E6A394">
                  <w:pPr>
                    <w:rPr>
                      <w:bCs/>
                      <w:iCs/>
                      <w:szCs w:val="21"/>
                    </w:rPr>
                  </w:pPr>
                  <w:r>
                    <w:rPr>
                      <w:bCs/>
                      <w:iCs/>
                      <w:szCs w:val="21"/>
                    </w:rPr>
                    <w:t>在施工工地出口处设置洗车池、沉淀池，车辆驶出施工工地前清洗车轮车身，洗车水经排水沟进入沉淀池处理。定期对工地出口外进行清扫</w:t>
                  </w:r>
                </w:p>
              </w:tc>
              <w:tc>
                <w:tcPr>
                  <w:tcW w:w="1246" w:type="dxa"/>
                  <w:vAlign w:val="center"/>
                </w:tcPr>
                <w:p w14:paraId="1C210DCF">
                  <w:pPr>
                    <w:jc w:val="center"/>
                    <w:rPr>
                      <w:bCs/>
                      <w:iCs/>
                      <w:szCs w:val="21"/>
                    </w:rPr>
                  </w:pPr>
                  <w:r>
                    <w:rPr>
                      <w:bCs/>
                      <w:iCs/>
                      <w:szCs w:val="21"/>
                    </w:rPr>
                    <w:t>是</w:t>
                  </w:r>
                </w:p>
              </w:tc>
            </w:tr>
            <w:tr w14:paraId="1CAAF8D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17D8F010">
                  <w:pPr>
                    <w:rPr>
                      <w:bCs/>
                      <w:iCs/>
                      <w:szCs w:val="21"/>
                    </w:rPr>
                  </w:pPr>
                  <w:r>
                    <w:rPr>
                      <w:bCs/>
                      <w:iCs/>
                      <w:szCs w:val="21"/>
                    </w:rPr>
                    <w:t>城市建成区施工工地出入口安装监控车辆出场冲洗情况以及车辆车牌号码视频监控设备，并按照市人民政府制定的标准安装建筑工地扬尘噪声在线监测设备；视频监控设备和建筑工地扬尘噪声在线监测设备保持正常运行</w:t>
                  </w:r>
                </w:p>
              </w:tc>
              <w:tc>
                <w:tcPr>
                  <w:tcW w:w="4000" w:type="dxa"/>
                  <w:vAlign w:val="center"/>
                </w:tcPr>
                <w:p w14:paraId="212ECE3E">
                  <w:pPr>
                    <w:rPr>
                      <w:bCs/>
                      <w:iCs/>
                      <w:szCs w:val="21"/>
                    </w:rPr>
                  </w:pPr>
                  <w:r>
                    <w:rPr>
                      <w:bCs/>
                      <w:iCs/>
                      <w:szCs w:val="21"/>
                    </w:rPr>
                    <w:t>项目在施工工地出入口安装视频监控设备，并按要求安装建筑工地扬尘噪声在线监测设备</w:t>
                  </w:r>
                </w:p>
              </w:tc>
              <w:tc>
                <w:tcPr>
                  <w:tcW w:w="1246" w:type="dxa"/>
                  <w:vAlign w:val="center"/>
                </w:tcPr>
                <w:p w14:paraId="16B3FB29">
                  <w:pPr>
                    <w:jc w:val="center"/>
                    <w:rPr>
                      <w:bCs/>
                      <w:iCs/>
                      <w:szCs w:val="21"/>
                    </w:rPr>
                  </w:pPr>
                  <w:r>
                    <w:rPr>
                      <w:bCs/>
                      <w:iCs/>
                      <w:szCs w:val="21"/>
                    </w:rPr>
                    <w:t>是</w:t>
                  </w:r>
                </w:p>
              </w:tc>
            </w:tr>
            <w:tr w14:paraId="724F78B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53B9C3F9">
                  <w:pPr>
                    <w:rPr>
                      <w:bCs/>
                      <w:iCs/>
                      <w:szCs w:val="21"/>
                    </w:rPr>
                  </w:pPr>
                  <w:r>
                    <w:rPr>
                      <w:bCs/>
                      <w:iCs/>
                      <w:szCs w:val="21"/>
                    </w:rPr>
                    <w:t>施工工地出入口、材料堆放和加工区、生活区、主干道等区域的地面进行硬化，并辅以洒水等措施</w:t>
                  </w:r>
                </w:p>
              </w:tc>
              <w:tc>
                <w:tcPr>
                  <w:tcW w:w="4000" w:type="dxa"/>
                  <w:vAlign w:val="center"/>
                </w:tcPr>
                <w:p w14:paraId="759F784B">
                  <w:pPr>
                    <w:rPr>
                      <w:bCs/>
                      <w:iCs/>
                      <w:szCs w:val="21"/>
                    </w:rPr>
                  </w:pPr>
                  <w:r>
                    <w:rPr>
                      <w:bCs/>
                      <w:iCs/>
                      <w:szCs w:val="21"/>
                    </w:rPr>
                    <w:t>施工工地内不设置加工区、生产区，对施工工地出入口、临时材料堆场等区域采取铺设钢板或水泥混凝土等进行硬化，并辅以洒水等措施</w:t>
                  </w:r>
                </w:p>
              </w:tc>
              <w:tc>
                <w:tcPr>
                  <w:tcW w:w="1246" w:type="dxa"/>
                  <w:vAlign w:val="center"/>
                </w:tcPr>
                <w:p w14:paraId="1737A277">
                  <w:pPr>
                    <w:jc w:val="center"/>
                    <w:rPr>
                      <w:bCs/>
                      <w:iCs/>
                      <w:szCs w:val="21"/>
                    </w:rPr>
                  </w:pPr>
                  <w:r>
                    <w:rPr>
                      <w:bCs/>
                      <w:iCs/>
                      <w:szCs w:val="21"/>
                    </w:rPr>
                    <w:t>是</w:t>
                  </w:r>
                </w:p>
              </w:tc>
            </w:tr>
            <w:tr w14:paraId="205EBAC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560C8E19">
                  <w:pPr>
                    <w:rPr>
                      <w:bCs/>
                      <w:iCs/>
                      <w:szCs w:val="21"/>
                    </w:rPr>
                  </w:pPr>
                  <w:r>
                    <w:rPr>
                      <w:bCs/>
                      <w:iCs/>
                      <w:szCs w:val="21"/>
                    </w:rPr>
                    <w:t>建筑土方、工程渣土、建筑垃圾和散装物料以密闭方式及时清运出施工工地；超过四十八小时未清运的，在工地内设置临时堆放场，并采用密闭式防尘网遮盖</w:t>
                  </w:r>
                </w:p>
              </w:tc>
              <w:tc>
                <w:tcPr>
                  <w:tcW w:w="4000" w:type="dxa"/>
                  <w:vAlign w:val="center"/>
                </w:tcPr>
                <w:p w14:paraId="75E00AF1">
                  <w:pPr>
                    <w:rPr>
                      <w:bCs/>
                      <w:iCs/>
                      <w:szCs w:val="21"/>
                    </w:rPr>
                  </w:pPr>
                  <w:r>
                    <w:rPr>
                      <w:bCs/>
                      <w:iCs/>
                      <w:szCs w:val="21"/>
                    </w:rPr>
                    <w:t>对运出施工工地的沙土物料进行覆盖密闭，本项目不设临时堆放场，每日及时清运</w:t>
                  </w:r>
                </w:p>
              </w:tc>
              <w:tc>
                <w:tcPr>
                  <w:tcW w:w="1246" w:type="dxa"/>
                  <w:vAlign w:val="center"/>
                </w:tcPr>
                <w:p w14:paraId="0F58E20E">
                  <w:pPr>
                    <w:jc w:val="center"/>
                    <w:rPr>
                      <w:bCs/>
                      <w:iCs/>
                      <w:szCs w:val="21"/>
                    </w:rPr>
                  </w:pPr>
                  <w:r>
                    <w:rPr>
                      <w:bCs/>
                      <w:iCs/>
                      <w:szCs w:val="21"/>
                    </w:rPr>
                    <w:t>是</w:t>
                  </w:r>
                </w:p>
              </w:tc>
            </w:tr>
            <w:tr w14:paraId="3111DE6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20751D5A">
                  <w:pPr>
                    <w:rPr>
                      <w:bCs/>
                      <w:iCs/>
                      <w:szCs w:val="21"/>
                    </w:rPr>
                  </w:pPr>
                  <w:r>
                    <w:rPr>
                      <w:bCs/>
                      <w:iCs/>
                      <w:szCs w:val="21"/>
                    </w:rPr>
                    <w:t>施工工地内的裸露地面采取定时洒水等措施；超过四十八小时不作业的，采取覆盖等措施；超过三个月不作业的，采取绿化、铺装、遮盖等措施</w:t>
                  </w:r>
                </w:p>
              </w:tc>
              <w:tc>
                <w:tcPr>
                  <w:tcW w:w="4000" w:type="dxa"/>
                  <w:vAlign w:val="center"/>
                </w:tcPr>
                <w:p w14:paraId="3CFA439C">
                  <w:pPr>
                    <w:rPr>
                      <w:bCs/>
                      <w:iCs/>
                      <w:szCs w:val="21"/>
                    </w:rPr>
                  </w:pPr>
                  <w:r>
                    <w:rPr>
                      <w:bCs/>
                      <w:iCs/>
                      <w:szCs w:val="21"/>
                    </w:rPr>
                    <w:t>按规定施工工地内的裸露地面采取定时洒水等措施；超过四十八小时不作业的，采取覆盖等措施；超过三个月不作业的，采取绿化、铺装、遮盖等措施</w:t>
                  </w:r>
                </w:p>
              </w:tc>
              <w:tc>
                <w:tcPr>
                  <w:tcW w:w="1246" w:type="dxa"/>
                  <w:vAlign w:val="center"/>
                </w:tcPr>
                <w:p w14:paraId="216FFFF2">
                  <w:pPr>
                    <w:jc w:val="center"/>
                    <w:rPr>
                      <w:bCs/>
                      <w:iCs/>
                      <w:szCs w:val="21"/>
                    </w:rPr>
                  </w:pPr>
                  <w:r>
                    <w:rPr>
                      <w:bCs/>
                      <w:iCs/>
                      <w:szCs w:val="21"/>
                    </w:rPr>
                    <w:t>是</w:t>
                  </w:r>
                </w:p>
              </w:tc>
            </w:tr>
            <w:tr w14:paraId="32B9A9D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0B6658CF">
                  <w:pPr>
                    <w:rPr>
                      <w:bCs/>
                      <w:iCs/>
                      <w:szCs w:val="21"/>
                    </w:rPr>
                  </w:pPr>
                  <w:r>
                    <w:rPr>
                      <w:bCs/>
                      <w:iCs/>
                      <w:szCs w:val="21"/>
                    </w:rPr>
                    <w:t>建筑施工脚手架外侧设置符合标准的密目式防尘安全网，拆除时采取洒水、喷雾等措施</w:t>
                  </w:r>
                </w:p>
              </w:tc>
              <w:tc>
                <w:tcPr>
                  <w:tcW w:w="4000" w:type="dxa"/>
                  <w:vAlign w:val="center"/>
                </w:tcPr>
                <w:p w14:paraId="6D23BC28">
                  <w:pPr>
                    <w:rPr>
                      <w:bCs/>
                      <w:iCs/>
                      <w:szCs w:val="21"/>
                    </w:rPr>
                  </w:pPr>
                  <w:r>
                    <w:rPr>
                      <w:bCs/>
                      <w:iCs/>
                      <w:szCs w:val="21"/>
                    </w:rPr>
                    <w:t>项目建筑施工脚手架外侧设置符合标准的密目式防尘安全网，拆除时采取洒水、喷雾等措施</w:t>
                  </w:r>
                </w:p>
              </w:tc>
              <w:tc>
                <w:tcPr>
                  <w:tcW w:w="1246" w:type="dxa"/>
                  <w:vAlign w:val="center"/>
                </w:tcPr>
                <w:p w14:paraId="2DE201FA">
                  <w:pPr>
                    <w:jc w:val="center"/>
                    <w:rPr>
                      <w:bCs/>
                      <w:iCs/>
                      <w:szCs w:val="21"/>
                    </w:rPr>
                  </w:pPr>
                  <w:r>
                    <w:rPr>
                      <w:bCs/>
                      <w:iCs/>
                      <w:szCs w:val="21"/>
                    </w:rPr>
                    <w:t>是</w:t>
                  </w:r>
                </w:p>
              </w:tc>
            </w:tr>
            <w:tr w14:paraId="31E5A85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1" w:type="dxa"/>
                  <w:vAlign w:val="center"/>
                </w:tcPr>
                <w:p w14:paraId="150BCC98">
                  <w:pPr>
                    <w:rPr>
                      <w:bCs/>
                      <w:iCs/>
                      <w:szCs w:val="21"/>
                    </w:rPr>
                  </w:pPr>
                  <w:r>
                    <w:rPr>
                      <w:bCs/>
                      <w:iCs/>
                      <w:szCs w:val="21"/>
                    </w:rPr>
                    <w:t>实施土石方、地下工程等易产生扬尘的工程作业时，采取洒水、喷雾等措施</w:t>
                  </w:r>
                </w:p>
              </w:tc>
              <w:tc>
                <w:tcPr>
                  <w:tcW w:w="4000" w:type="dxa"/>
                  <w:vAlign w:val="center"/>
                </w:tcPr>
                <w:p w14:paraId="5F3E07E0">
                  <w:pPr>
                    <w:rPr>
                      <w:bCs/>
                      <w:iCs/>
                      <w:szCs w:val="21"/>
                    </w:rPr>
                  </w:pPr>
                  <w:r>
                    <w:rPr>
                      <w:bCs/>
                      <w:iCs/>
                      <w:szCs w:val="21"/>
                    </w:rPr>
                    <w:t>在易产生扬尘的工程作业时，采取洒水、喷雾等措施</w:t>
                  </w:r>
                </w:p>
              </w:tc>
              <w:tc>
                <w:tcPr>
                  <w:tcW w:w="1246" w:type="dxa"/>
                  <w:vAlign w:val="center"/>
                </w:tcPr>
                <w:p w14:paraId="573008C0">
                  <w:pPr>
                    <w:jc w:val="center"/>
                    <w:rPr>
                      <w:bCs/>
                      <w:iCs/>
                      <w:szCs w:val="21"/>
                    </w:rPr>
                  </w:pPr>
                  <w:r>
                    <w:rPr>
                      <w:bCs/>
                      <w:iCs/>
                      <w:szCs w:val="21"/>
                    </w:rPr>
                    <w:t>是</w:t>
                  </w:r>
                </w:p>
              </w:tc>
            </w:tr>
          </w:tbl>
          <w:p w14:paraId="2DF15B2D">
            <w:pPr>
              <w:autoSpaceDE w:val="0"/>
              <w:autoSpaceDN w:val="0"/>
              <w:adjustRightInd w:val="0"/>
              <w:snapToGrid w:val="0"/>
              <w:spacing w:line="360" w:lineRule="auto"/>
              <w:ind w:firstLine="420" w:firstLineChars="200"/>
              <w:rPr>
                <w:bCs/>
                <w:kern w:val="0"/>
                <w:szCs w:val="21"/>
              </w:rPr>
            </w:pPr>
            <w:r>
              <w:rPr>
                <w:bCs/>
                <w:iCs/>
                <w:szCs w:val="21"/>
              </w:rPr>
              <w:t>因此，本项目建设符合《惠州市扬尘污染防治条例》(2021年1月1日起实施)</w:t>
            </w:r>
          </w:p>
          <w:p w14:paraId="10147494">
            <w:pPr>
              <w:autoSpaceDE w:val="0"/>
              <w:autoSpaceDN w:val="0"/>
              <w:adjustRightInd w:val="0"/>
              <w:snapToGrid w:val="0"/>
              <w:spacing w:line="360" w:lineRule="auto"/>
              <w:ind w:firstLine="422" w:firstLineChars="200"/>
              <w:rPr>
                <w:b/>
                <w:kern w:val="0"/>
                <w:szCs w:val="21"/>
              </w:rPr>
            </w:pPr>
            <w:r>
              <w:rPr>
                <w:b/>
                <w:kern w:val="0"/>
                <w:szCs w:val="21"/>
              </w:rPr>
              <w:t>3、生态方面：</w:t>
            </w:r>
          </w:p>
          <w:p w14:paraId="201055B2">
            <w:pPr>
              <w:autoSpaceDE w:val="0"/>
              <w:autoSpaceDN w:val="0"/>
              <w:adjustRightInd w:val="0"/>
              <w:snapToGrid w:val="0"/>
              <w:spacing w:line="360" w:lineRule="auto"/>
              <w:ind w:firstLine="422" w:firstLineChars="200"/>
              <w:rPr>
                <w:b/>
                <w:kern w:val="0"/>
                <w:szCs w:val="21"/>
              </w:rPr>
            </w:pPr>
            <w:r>
              <w:rPr>
                <w:b/>
                <w:kern w:val="0"/>
                <w:szCs w:val="21"/>
              </w:rPr>
              <w:t>（1）与《广东省生态环境保护十四五规划》相符性分析</w:t>
            </w:r>
          </w:p>
          <w:p w14:paraId="36533713">
            <w:pPr>
              <w:autoSpaceDE w:val="0"/>
              <w:autoSpaceDN w:val="0"/>
              <w:adjustRightInd w:val="0"/>
              <w:snapToGrid w:val="0"/>
              <w:spacing w:line="360" w:lineRule="auto"/>
              <w:ind w:firstLine="420" w:firstLineChars="200"/>
              <w:rPr>
                <w:kern w:val="0"/>
                <w:szCs w:val="21"/>
              </w:rPr>
            </w:pPr>
            <w:r>
              <w:rPr>
                <w:kern w:val="0"/>
                <w:szCs w:val="21"/>
              </w:rPr>
              <w:t>根据《广东省生态环境保护十四五规划》可知：</w:t>
            </w:r>
          </w:p>
          <w:p w14:paraId="221A4DA5">
            <w:pPr>
              <w:autoSpaceDE w:val="0"/>
              <w:autoSpaceDN w:val="0"/>
              <w:adjustRightInd w:val="0"/>
              <w:snapToGrid w:val="0"/>
              <w:spacing w:line="360" w:lineRule="auto"/>
              <w:ind w:firstLine="420" w:firstLineChars="200"/>
              <w:rPr>
                <w:kern w:val="0"/>
                <w:szCs w:val="21"/>
              </w:rPr>
            </w:pPr>
            <w:r>
              <w:rPr>
                <w:kern w:val="0"/>
                <w:szCs w:val="21"/>
              </w:rPr>
              <w:t>第五章 加强协同控制，引领大气环境质量改善</w:t>
            </w:r>
          </w:p>
          <w:p w14:paraId="6E44EDB1">
            <w:pPr>
              <w:autoSpaceDE w:val="0"/>
              <w:autoSpaceDN w:val="0"/>
              <w:adjustRightInd w:val="0"/>
              <w:snapToGrid w:val="0"/>
              <w:spacing w:line="360" w:lineRule="auto"/>
              <w:ind w:firstLine="420" w:firstLineChars="200"/>
              <w:rPr>
                <w:kern w:val="0"/>
                <w:szCs w:val="21"/>
              </w:rPr>
            </w:pPr>
            <w:r>
              <w:rPr>
                <w:kern w:val="0"/>
                <w:szCs w:val="21"/>
              </w:rPr>
              <w:t>有效防控其他大气污染物，强化面源污染防控，加强道路扬尘污染控制，确保三体物料运输车辆100%实现全封闭运输。全面推行绿色施工，将施工工地扬尘治理与施工企业资质评价、信用评价等挂钩，建立完善施工扬尘污染防治长效机制和污染天气扬尘污染应对工作机制。实施建筑工地扬尘精细化管理，严格落实建筑工地扬尘视频监控和在线监控要求。</w:t>
            </w:r>
          </w:p>
          <w:p w14:paraId="051FA912">
            <w:pPr>
              <w:autoSpaceDE w:val="0"/>
              <w:autoSpaceDN w:val="0"/>
              <w:adjustRightInd w:val="0"/>
              <w:snapToGrid w:val="0"/>
              <w:spacing w:line="360" w:lineRule="auto"/>
              <w:ind w:firstLine="420" w:firstLineChars="200"/>
              <w:rPr>
                <w:kern w:val="0"/>
                <w:szCs w:val="21"/>
              </w:rPr>
            </w:pPr>
            <w:r>
              <w:rPr>
                <w:kern w:val="0"/>
                <w:szCs w:val="21"/>
              </w:rPr>
              <w:t>第十四章 开展全民行动，积极践行绿色生活方式</w:t>
            </w:r>
          </w:p>
          <w:p w14:paraId="3DA56C0E">
            <w:pPr>
              <w:autoSpaceDE w:val="0"/>
              <w:autoSpaceDN w:val="0"/>
              <w:adjustRightInd w:val="0"/>
              <w:snapToGrid w:val="0"/>
              <w:spacing w:line="360" w:lineRule="auto"/>
              <w:ind w:firstLine="420" w:firstLineChars="200"/>
              <w:rPr>
                <w:kern w:val="0"/>
                <w:szCs w:val="21"/>
              </w:rPr>
            </w:pPr>
            <w:r>
              <w:rPr>
                <w:kern w:val="0"/>
                <w:szCs w:val="21"/>
              </w:rPr>
              <w:t>深入践行绿色低碳生活，营造宁静和谐生活环境，严格噪声污染监管执法，在特定区域和时段严格实施禁鸣、限行、限速等措施。将隔声降噪技术融合到绿色建筑设计领域，推广使用低噪声材料。</w:t>
            </w:r>
          </w:p>
          <w:p w14:paraId="11A0DFB6">
            <w:pPr>
              <w:autoSpaceDE w:val="0"/>
              <w:autoSpaceDN w:val="0"/>
              <w:adjustRightInd w:val="0"/>
              <w:snapToGrid w:val="0"/>
              <w:spacing w:line="360" w:lineRule="auto"/>
              <w:ind w:firstLine="422" w:firstLineChars="200"/>
              <w:rPr>
                <w:kern w:val="0"/>
                <w:szCs w:val="21"/>
              </w:rPr>
            </w:pPr>
            <w:r>
              <w:rPr>
                <w:b/>
                <w:kern w:val="0"/>
                <w:szCs w:val="21"/>
              </w:rPr>
              <w:t>相符性分析：</w:t>
            </w:r>
            <w:r>
              <w:rPr>
                <w:kern w:val="0"/>
                <w:szCs w:val="21"/>
              </w:rPr>
              <w:t>本项目为新建市政道路工程，按照《惠州市扬尘污染防治条例》中相关要求落实道路扬尘污染控制，在施工工地出入口安装视频监控设备，并采取了施工现场封闭、围墙顶部设置喷淋系统等抑尘措施，同时需确保散体物料为全密闭运输，道路建成后在敏感点集中区域实施禁鸣、限行、限速等措施。</w:t>
            </w:r>
          </w:p>
          <w:p w14:paraId="60028FA8">
            <w:pPr>
              <w:autoSpaceDE w:val="0"/>
              <w:autoSpaceDN w:val="0"/>
              <w:adjustRightInd w:val="0"/>
              <w:snapToGrid w:val="0"/>
              <w:spacing w:line="360" w:lineRule="auto"/>
              <w:ind w:firstLine="420" w:firstLineChars="200"/>
              <w:rPr>
                <w:kern w:val="0"/>
                <w:szCs w:val="21"/>
              </w:rPr>
            </w:pPr>
            <w:r>
              <w:rPr>
                <w:kern w:val="0"/>
                <w:szCs w:val="21"/>
              </w:rPr>
              <w:t>因此，本项目与《广东省生态环境保护十四五规划》相符。</w:t>
            </w:r>
          </w:p>
          <w:p w14:paraId="6176F273">
            <w:pPr>
              <w:autoSpaceDE w:val="0"/>
              <w:autoSpaceDN w:val="0"/>
              <w:adjustRightInd w:val="0"/>
              <w:snapToGrid w:val="0"/>
              <w:spacing w:line="360" w:lineRule="auto"/>
              <w:ind w:firstLine="422" w:firstLineChars="200"/>
              <w:rPr>
                <w:b/>
                <w:kern w:val="0"/>
                <w:szCs w:val="21"/>
              </w:rPr>
            </w:pPr>
            <w:r>
              <w:rPr>
                <w:b/>
                <w:kern w:val="0"/>
                <w:szCs w:val="21"/>
              </w:rPr>
              <w:t>（2）与《惠州市人民政府关于印发&lt;惠州市生态环境保护“十四五”规划&gt;的通知》（惠府〔2022〕11号）相符性分析</w:t>
            </w:r>
          </w:p>
          <w:p w14:paraId="1C012821">
            <w:pPr>
              <w:autoSpaceDE w:val="0"/>
              <w:autoSpaceDN w:val="0"/>
              <w:adjustRightInd w:val="0"/>
              <w:snapToGrid w:val="0"/>
              <w:spacing w:line="360" w:lineRule="auto"/>
              <w:ind w:firstLine="420" w:firstLineChars="200"/>
              <w:rPr>
                <w:kern w:val="0"/>
                <w:szCs w:val="21"/>
              </w:rPr>
            </w:pPr>
            <w:r>
              <w:rPr>
                <w:kern w:val="0"/>
                <w:szCs w:val="21"/>
              </w:rPr>
              <w:t>根据《惠州市生态环境保护“十四五”规划》：</w:t>
            </w:r>
          </w:p>
          <w:p w14:paraId="4E7C17C5">
            <w:pPr>
              <w:autoSpaceDE w:val="0"/>
              <w:autoSpaceDN w:val="0"/>
              <w:adjustRightInd w:val="0"/>
              <w:snapToGrid w:val="0"/>
              <w:spacing w:line="360" w:lineRule="auto"/>
              <w:ind w:firstLine="420" w:firstLineChars="200"/>
              <w:rPr>
                <w:kern w:val="0"/>
                <w:szCs w:val="21"/>
              </w:rPr>
            </w:pPr>
            <w:r>
              <w:rPr>
                <w:kern w:val="0"/>
                <w:szCs w:val="21"/>
              </w:rPr>
              <w:t>第四章 抓住“降碳”为源头治理的牛鼻子，增强岭东雄郡低碳发展动能</w:t>
            </w:r>
          </w:p>
          <w:p w14:paraId="02FD66F1">
            <w:pPr>
              <w:autoSpaceDE w:val="0"/>
              <w:autoSpaceDN w:val="0"/>
              <w:adjustRightInd w:val="0"/>
              <w:snapToGrid w:val="0"/>
              <w:spacing w:line="360" w:lineRule="auto"/>
              <w:ind w:firstLine="420" w:firstLineChars="200"/>
              <w:rPr>
                <w:kern w:val="0"/>
                <w:szCs w:val="21"/>
              </w:rPr>
            </w:pPr>
            <w:r>
              <w:rPr>
                <w:kern w:val="0"/>
                <w:szCs w:val="21"/>
              </w:rPr>
              <w:t>三、推进交通运输结构调整。加快建成惠州市“丰”字轴线快速通道及“五横五纵”快速骨干路，完善铁路货运线网和惠州港航道规划建设，加快惠州港疏港铁路建设，推进深莞惠内陆港无水港建设。构建绿色低碳的交通运输体系，依托惠州港、惠大铁路、公路网络、惠州机场航空货运枢纽等枢纽设施，大力发展公转水、公转铁、铁水联运、多式联运，加快实现惠州港铁水联运数据共享与实时交换。以荃湾、东马、碧甲港区为重点，大力发展海运直达、江海河转运和铁水联运等专业化、集约化的运输方式。引导货运站场向城市外围地区发展，推进传统铁路货运场站向城市物流配送中心、现代物流园区转型发展。在城市核心区域逐步试点设立“绿色物流片区”，全天禁止柴油货车行驶。推动长途重载运输卡车使用 LNG清洁能源或氢能源，加快推进出租车、网约车、泥头车、港区物流运输车等电动化或改用氢燃料电池。加快完善惠州市综合交通网络运行协调与应急调度中心（TOCC），积极发展智慧交通，打通道路微循环，提高城市路面交通出行效率。完善城市绿色出行交通网络，积极发展镇村公交、社区公交、支线小公交，加快金山大桥慢行系统工程等慢行交通项目规划建设。推广应用纯电动汽车等新能源汽车，完善充电、加氢、加气站等新能源交通服务网络。</w:t>
            </w:r>
          </w:p>
          <w:p w14:paraId="18A8F453">
            <w:pPr>
              <w:autoSpaceDE w:val="0"/>
              <w:autoSpaceDN w:val="0"/>
              <w:adjustRightInd w:val="0"/>
              <w:snapToGrid w:val="0"/>
              <w:spacing w:line="360" w:lineRule="auto"/>
              <w:ind w:firstLine="420" w:firstLineChars="200"/>
              <w:rPr>
                <w:kern w:val="0"/>
                <w:szCs w:val="21"/>
              </w:rPr>
            </w:pPr>
            <w:r>
              <w:rPr>
                <w:kern w:val="0"/>
                <w:szCs w:val="21"/>
              </w:rPr>
              <w:t>第十章 加强自然和城乡生态保护修复，加快建设现代化一流品质城市</w:t>
            </w:r>
          </w:p>
          <w:p w14:paraId="36B6B9F3">
            <w:pPr>
              <w:autoSpaceDE w:val="0"/>
              <w:autoSpaceDN w:val="0"/>
              <w:adjustRightInd w:val="0"/>
              <w:snapToGrid w:val="0"/>
              <w:spacing w:line="360" w:lineRule="auto"/>
              <w:ind w:firstLine="420" w:firstLineChars="200"/>
              <w:rPr>
                <w:kern w:val="0"/>
                <w:szCs w:val="21"/>
              </w:rPr>
            </w:pPr>
            <w:r>
              <w:rPr>
                <w:kern w:val="0"/>
                <w:szCs w:val="21"/>
              </w:rPr>
              <w:t>三、提升城市噪声和光污染防治水平。适时推动声功能区划和管理方案调整修订，在城市建设中落实声环境管理要求，合理确定建筑物与交通干线的防噪声距离，并纳入项目准入管理要求。以江北 CBD、金山新城等产城融合区域为重点，强化建筑施工、交通、工业和社会生活噪声控制。加强餐饮、文化、娱乐场所等生活噪声污染的管理，对于生活区内的娱乐场所采取有效的隔声措施。鼓励创建宁静社区。严格噪声污染监管执法，在特定区域和时段严格实施禁鸣、限行、限速等措施，推进噪声自动监测系统对建筑施工、居住区进行实时监控。将隔声降噪技术融合到绿色建筑设计领域，推广使用低噪声路面材料。加强城市光污染控制，在城市建设中合理布置光源，限制使用反射系数较大的建筑物外墙材料，推广露天区域使用密闭式照明系统。</w:t>
            </w:r>
          </w:p>
          <w:p w14:paraId="184BC9AF">
            <w:pPr>
              <w:autoSpaceDE w:val="0"/>
              <w:autoSpaceDN w:val="0"/>
              <w:adjustRightInd w:val="0"/>
              <w:snapToGrid w:val="0"/>
              <w:spacing w:line="360" w:lineRule="auto"/>
              <w:ind w:firstLine="422" w:firstLineChars="200"/>
              <w:rPr>
                <w:kern w:val="0"/>
                <w:szCs w:val="21"/>
              </w:rPr>
            </w:pPr>
            <w:r>
              <w:rPr>
                <w:b/>
                <w:kern w:val="0"/>
                <w:szCs w:val="21"/>
              </w:rPr>
              <w:t>相符性分析：</w:t>
            </w:r>
            <w:r>
              <w:rPr>
                <w:kern w:val="0"/>
                <w:szCs w:val="21"/>
              </w:rPr>
              <w:t>本项目为新建市政道路工程，属于基础设施工程，有利于优化交通路网，调整和优化交通运输格局，有利于项目沿线经济的发展，本项目在施工期的施工噪声和运营期的交通噪声均提出了有效的防治措施，施工期扬尘严格按照《惠州市扬尘污染防治条例》中相关要求进行落实，且运输车辆进行密闭化运输，运营期加强交通管理、绿化措施及道路的清扫、养护等，机动车尾气排放执行《轻型汽车污染物排放限值及测量方法（中国第六阶段）》（GB18352.6-2016）及《重型柴油车污染物排放限值及测量方法（中国第六阶段）》（GB17691-2018）相关排放标准限值。</w:t>
            </w:r>
          </w:p>
          <w:p w14:paraId="15FD00B4">
            <w:pPr>
              <w:autoSpaceDE w:val="0"/>
              <w:autoSpaceDN w:val="0"/>
              <w:adjustRightInd w:val="0"/>
              <w:snapToGrid w:val="0"/>
              <w:spacing w:line="360" w:lineRule="auto"/>
              <w:ind w:firstLine="420" w:firstLineChars="200"/>
              <w:rPr>
                <w:b/>
                <w:bCs/>
                <w:kern w:val="0"/>
                <w:szCs w:val="21"/>
              </w:rPr>
            </w:pPr>
            <w:r>
              <w:rPr>
                <w:kern w:val="0"/>
                <w:szCs w:val="21"/>
              </w:rPr>
              <w:t>因此，本项目符合《惠州市人民政府关于印发&lt;惠州市生态环境保护“十四五”规划&gt;的通知》（惠府〔2022〕11号）的相关要求。</w:t>
            </w:r>
          </w:p>
        </w:tc>
      </w:tr>
    </w:tbl>
    <w:p w14:paraId="2BBD4D29"/>
    <w:p w14:paraId="5A8DDC67">
      <w:pPr>
        <w:tabs>
          <w:tab w:val="left" w:pos="3369"/>
        </w:tabs>
        <w:rPr>
          <w:rFonts w:eastAsia="黑体"/>
          <w:sz w:val="30"/>
        </w:rPr>
        <w:sectPr>
          <w:pgSz w:w="11906" w:h="16838"/>
          <w:pgMar w:top="720" w:right="720" w:bottom="720" w:left="720" w:header="851" w:footer="567" w:gutter="0"/>
          <w:cols w:space="720" w:num="1"/>
          <w:docGrid w:linePitch="312" w:charSpace="0"/>
        </w:sectPr>
      </w:pPr>
      <w:r>
        <w:rPr>
          <w:rFonts w:eastAsia="黑体"/>
          <w:sz w:val="30"/>
        </w:rPr>
        <w:tab/>
      </w:r>
    </w:p>
    <w:p w14:paraId="70015342">
      <w:pPr>
        <w:pStyle w:val="30"/>
        <w:spacing w:before="0" w:beforeAutospacing="0"/>
        <w:jc w:val="center"/>
        <w:outlineLvl w:val="0"/>
        <w:rPr>
          <w:rFonts w:hint="eastAsia" w:ascii="黑体" w:hAnsi="黑体" w:eastAsia="黑体"/>
          <w:snapToGrid w:val="0"/>
          <w:sz w:val="30"/>
          <w:szCs w:val="30"/>
        </w:rPr>
      </w:pPr>
      <w:bookmarkStart w:id="16" w:name="_Toc191907542"/>
      <w:bookmarkStart w:id="17" w:name="_Toc185524000"/>
      <w:bookmarkStart w:id="18" w:name="_Toc187243655"/>
      <w:bookmarkStart w:id="19" w:name="_Toc18391"/>
      <w:bookmarkStart w:id="20" w:name="_Toc185523892"/>
      <w:r>
        <w:rPr>
          <w:rFonts w:hint="eastAsia" w:ascii="黑体" w:hAnsi="黑体" w:eastAsia="黑体"/>
          <w:snapToGrid w:val="0"/>
          <w:sz w:val="30"/>
          <w:szCs w:val="30"/>
        </w:rPr>
        <w:t>二、建设内容</w:t>
      </w:r>
      <w:bookmarkEnd w:id="16"/>
      <w:bookmarkEnd w:id="17"/>
      <w:bookmarkEnd w:id="18"/>
      <w:bookmarkEnd w:id="19"/>
      <w:bookmarkEnd w:id="20"/>
    </w:p>
    <w:tbl>
      <w:tblPr>
        <w:tblStyle w:val="33"/>
        <w:tblpPr w:leftFromText="180" w:rightFromText="180" w:vertAnchor="text" w:tblpXSpec="center" w:tblpY="1"/>
        <w:tblOverlap w:val="never"/>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9969"/>
      </w:tblGrid>
      <w:tr w14:paraId="0E5F4F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391" w:type="pct"/>
            <w:vAlign w:val="center"/>
          </w:tcPr>
          <w:p w14:paraId="1BBD7B6C">
            <w:pPr>
              <w:adjustRightInd w:val="0"/>
              <w:snapToGrid w:val="0"/>
              <w:jc w:val="center"/>
              <w:rPr>
                <w:rFonts w:hint="eastAsia" w:ascii="宋体" w:hAnsi="宋体" w:cs="宋体"/>
                <w:kern w:val="0"/>
                <w:szCs w:val="21"/>
              </w:rPr>
            </w:pPr>
            <w:r>
              <w:rPr>
                <w:rFonts w:hint="eastAsia" w:ascii="宋体" w:hAnsi="宋体" w:cs="宋体"/>
                <w:kern w:val="0"/>
                <w:szCs w:val="21"/>
              </w:rPr>
              <w:t>地理位置</w:t>
            </w:r>
          </w:p>
        </w:tc>
        <w:tc>
          <w:tcPr>
            <w:tcW w:w="4609" w:type="pct"/>
            <w:vAlign w:val="center"/>
          </w:tcPr>
          <w:p w14:paraId="1DCE32B0">
            <w:pPr>
              <w:adjustRightInd w:val="0"/>
              <w:snapToGrid w:val="0"/>
              <w:spacing w:line="500" w:lineRule="exact"/>
              <w:ind w:firstLine="420" w:firstLineChars="200"/>
              <w:jc w:val="left"/>
              <w:rPr>
                <w:szCs w:val="21"/>
              </w:rPr>
            </w:pPr>
            <w:r>
              <w:rPr>
                <w:rFonts w:hint="eastAsia"/>
                <w:szCs w:val="21"/>
              </w:rPr>
              <w:t>博罗县城体育大道东延段建设工程(K0+878.712~K1+210.007)全线位于惠州市博罗县罗阳街道，惠博大道以东，起点与已设计体育大道东延段(二期)终点(桩号 K0+878.712)相接，地理位置坐标为 114°20'47.31"E，23°10'54.23"N；终点顺接白石渠中桥(桩号 K1+210.007)，地理位置坐标为 114°20'58.13"E，23°10'58.36"N本项目为新建工程，建设单位为博罗县市政园林事务中心。</w:t>
            </w:r>
          </w:p>
          <w:p w14:paraId="1C4B9B9C">
            <w:pPr>
              <w:adjustRightInd w:val="0"/>
              <w:snapToGrid w:val="0"/>
              <w:spacing w:line="500" w:lineRule="exact"/>
              <w:ind w:firstLine="420" w:firstLineChars="200"/>
              <w:jc w:val="left"/>
              <w:rPr>
                <w:kern w:val="0"/>
                <w:szCs w:val="21"/>
              </w:rPr>
            </w:pPr>
            <w:r>
              <w:rPr>
                <w:rFonts w:hint="eastAsia"/>
                <w:szCs w:val="21"/>
              </w:rPr>
              <w:t>本工程实施范围为体育大道东延段(K0+878.712~K1+210.007)，起点西起体育大道东延段(二期)终点(K0+878.712)，与惠霞高速立交匝道相接(该立交已纳入</w:t>
            </w:r>
            <w:bookmarkStart w:id="21" w:name="OLE_LINK3"/>
            <w:r>
              <w:rPr>
                <w:rFonts w:hint="eastAsia"/>
                <w:szCs w:val="21"/>
              </w:rPr>
              <w:t>惠霞高速公路(原惠州湾高速公路)</w:t>
            </w:r>
            <w:bookmarkEnd w:id="21"/>
            <w:r>
              <w:rPr>
                <w:rFonts w:hint="eastAsia"/>
                <w:szCs w:val="21"/>
              </w:rPr>
              <w:t>建设范围)后向东延伸，终点东顺接已设计白石渠中桥(K1+210.007)，总长约332m，道路红线宽34.5m，道路等级为城市主干路，双向6车道，设计速度为 60km/h；建设内容包括道路工程、排水工程、电气工程、交通工程、绿化工程等。</w:t>
            </w:r>
          </w:p>
          <w:p w14:paraId="483B2279">
            <w:pPr>
              <w:adjustRightInd w:val="0"/>
              <w:snapToGrid w:val="0"/>
              <w:spacing w:line="500" w:lineRule="exact"/>
              <w:ind w:firstLine="420" w:firstLineChars="200"/>
              <w:jc w:val="left"/>
              <w:rPr>
                <w:kern w:val="0"/>
                <w:szCs w:val="21"/>
              </w:rPr>
            </w:pPr>
            <w:r>
              <w:rPr>
                <w:rFonts w:hint="eastAsia"/>
                <w:kern w:val="0"/>
                <w:szCs w:val="21"/>
              </w:rPr>
              <w:t>项目具体位置见</w:t>
            </w:r>
            <w:r>
              <w:rPr>
                <w:rFonts w:hint="eastAsia"/>
                <w:b/>
                <w:bCs/>
                <w:kern w:val="0"/>
                <w:szCs w:val="21"/>
              </w:rPr>
              <w:t>附图1</w:t>
            </w:r>
            <w:r>
              <w:rPr>
                <w:rFonts w:hint="eastAsia"/>
                <w:kern w:val="0"/>
                <w:szCs w:val="21"/>
              </w:rPr>
              <w:t>。</w:t>
            </w:r>
            <w:r>
              <w:rPr>
                <w:kern w:val="0"/>
                <w:szCs w:val="21"/>
              </w:rPr>
              <w:t xml:space="preserve"> </w:t>
            </w:r>
          </w:p>
        </w:tc>
      </w:tr>
      <w:tr w14:paraId="61AD98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3" w:hRule="atLeast"/>
        </w:trPr>
        <w:tc>
          <w:tcPr>
            <w:tcW w:w="391" w:type="pct"/>
            <w:vAlign w:val="center"/>
          </w:tcPr>
          <w:p w14:paraId="7041FBF3">
            <w:pPr>
              <w:adjustRightInd w:val="0"/>
              <w:snapToGrid w:val="0"/>
              <w:jc w:val="center"/>
              <w:rPr>
                <w:rFonts w:hint="eastAsia" w:ascii="宋体" w:hAnsi="宋体" w:cs="宋体"/>
                <w:kern w:val="0"/>
                <w:szCs w:val="21"/>
              </w:rPr>
            </w:pPr>
            <w:r>
              <w:rPr>
                <w:rFonts w:hint="eastAsia" w:ascii="宋体" w:hAnsi="宋体" w:cs="宋体"/>
                <w:kern w:val="0"/>
                <w:szCs w:val="21"/>
              </w:rPr>
              <w:t>项目组成及规模</w:t>
            </w:r>
          </w:p>
        </w:tc>
        <w:tc>
          <w:tcPr>
            <w:tcW w:w="4609" w:type="pct"/>
            <w:vAlign w:val="center"/>
          </w:tcPr>
          <w:p w14:paraId="0B33FB94">
            <w:pPr>
              <w:adjustRightInd w:val="0"/>
              <w:snapToGrid w:val="0"/>
              <w:spacing w:line="500" w:lineRule="exact"/>
              <w:ind w:firstLine="422" w:firstLineChars="200"/>
              <w:jc w:val="left"/>
              <w:rPr>
                <w:b/>
                <w:bCs/>
                <w:szCs w:val="21"/>
              </w:rPr>
            </w:pPr>
            <w:r>
              <w:rPr>
                <w:b/>
                <w:bCs/>
                <w:szCs w:val="21"/>
              </w:rPr>
              <w:t>一、项目由来</w:t>
            </w:r>
          </w:p>
          <w:p w14:paraId="70673E73">
            <w:pPr>
              <w:adjustRightInd w:val="0"/>
              <w:snapToGrid w:val="0"/>
              <w:spacing w:line="500" w:lineRule="exact"/>
              <w:ind w:firstLine="420" w:firstLineChars="200"/>
              <w:jc w:val="left"/>
              <w:rPr>
                <w:szCs w:val="21"/>
              </w:rPr>
            </w:pPr>
            <w:r>
              <w:rPr>
                <w:rFonts w:hint="eastAsia"/>
                <w:szCs w:val="21"/>
              </w:rPr>
              <w:t>博罗县城体育大道东延段建设工程(</w:t>
            </w:r>
            <w:bookmarkStart w:id="22" w:name="OLE_LINK128"/>
            <w:r>
              <w:rPr>
                <w:rFonts w:hint="eastAsia"/>
                <w:szCs w:val="21"/>
              </w:rPr>
              <w:t>K0+878.712</w:t>
            </w:r>
            <w:bookmarkEnd w:id="22"/>
            <w:r>
              <w:rPr>
                <w:rFonts w:hint="eastAsia"/>
                <w:szCs w:val="21"/>
              </w:rPr>
              <w:t>~K1+210.007)是博罗县重要的基础设施工程之一，本工程设计终点顺接白石渠中桥(K1+210.007)，本工程的建设将直接沟通惠城区快速路网，将进一步完善博罗县对外交通通道，并与惠城区形成经济辐射，对带动区域经济发展起着巨大的推动作用，对加快博罗县城市基础设施的建设、改善区域居民生活环境，乃至推动城市经济发展具有重大意义，且有利于推动博罗县社会经济的发展，从而带动全镇经济的增长。另本工程与惠霞高速公路(原惠州湾高速公路)体育大道立交沟通，本工程建成能后对该区域博罗、惠城两个县区的经济辐射，经济发展起着巨大的推动作用。</w:t>
            </w:r>
          </w:p>
          <w:p w14:paraId="5161A45C">
            <w:pPr>
              <w:adjustRightInd w:val="0"/>
              <w:snapToGrid w:val="0"/>
              <w:spacing w:line="500" w:lineRule="exact"/>
              <w:ind w:firstLine="420" w:firstLineChars="200"/>
              <w:jc w:val="left"/>
              <w:rPr>
                <w:szCs w:val="21"/>
              </w:rPr>
            </w:pPr>
            <w:r>
              <w:rPr>
                <w:rFonts w:hint="eastAsia"/>
                <w:szCs w:val="21"/>
              </w:rPr>
              <w:t>因此，博罗县城体育大道东延段建设工程(K0+878.712~K1+210.007)是十分迫切需要的。</w:t>
            </w:r>
          </w:p>
          <w:p w14:paraId="1B9D7251">
            <w:pPr>
              <w:adjustRightInd w:val="0"/>
              <w:snapToGrid w:val="0"/>
              <w:spacing w:line="500" w:lineRule="exact"/>
              <w:ind w:firstLine="420" w:firstLineChars="200"/>
              <w:jc w:val="left"/>
              <w:rPr>
                <w:szCs w:val="21"/>
              </w:rPr>
            </w:pPr>
            <w:r>
              <w:rPr>
                <w:rFonts w:hint="eastAsia"/>
                <w:szCs w:val="21"/>
              </w:rPr>
              <w:t>本项目总占地面积为3.43hm</w:t>
            </w:r>
            <w:r>
              <w:rPr>
                <w:rFonts w:hint="eastAsia"/>
                <w:szCs w:val="21"/>
                <w:vertAlign w:val="superscript"/>
              </w:rPr>
              <w:t>2</w:t>
            </w:r>
            <w:r>
              <w:rPr>
                <w:rFonts w:hint="eastAsia"/>
                <w:szCs w:val="21"/>
              </w:rPr>
              <w:t>，均为永久征地，原始占地类型为林地、草地、水域及水利设施用地和其他土地。本项目土石方挖填总量为10.58万m</w:t>
            </w:r>
            <w:r>
              <w:rPr>
                <w:rFonts w:hint="eastAsia"/>
                <w:szCs w:val="21"/>
                <w:vertAlign w:val="superscript"/>
              </w:rPr>
              <w:t>3</w:t>
            </w:r>
            <w:r>
              <w:rPr>
                <w:rFonts w:hint="eastAsia"/>
                <w:szCs w:val="21"/>
              </w:rPr>
              <w:t>，其中挖方总量9.24万m</w:t>
            </w:r>
            <w:r>
              <w:rPr>
                <w:rFonts w:hint="eastAsia"/>
                <w:szCs w:val="21"/>
                <w:vertAlign w:val="superscript"/>
              </w:rPr>
              <w:t>3</w:t>
            </w:r>
            <w:r>
              <w:rPr>
                <w:rFonts w:hint="eastAsia"/>
                <w:szCs w:val="21"/>
              </w:rPr>
              <w:t>(包括土方8.88万m</w:t>
            </w:r>
            <w:r>
              <w:rPr>
                <w:rFonts w:hint="eastAsia"/>
                <w:szCs w:val="21"/>
                <w:vertAlign w:val="superscript"/>
              </w:rPr>
              <w:t>3</w:t>
            </w:r>
            <w:r>
              <w:rPr>
                <w:rFonts w:hint="eastAsia"/>
                <w:szCs w:val="21"/>
              </w:rPr>
              <w:t>、石方 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)；填方总量1.34万m</w:t>
            </w:r>
            <w:r>
              <w:rPr>
                <w:rFonts w:hint="eastAsia"/>
                <w:szCs w:val="21"/>
                <w:vertAlign w:val="superscript"/>
              </w:rPr>
              <w:t>3</w:t>
            </w:r>
            <w:r>
              <w:rPr>
                <w:rFonts w:hint="eastAsia"/>
                <w:szCs w:val="21"/>
              </w:rPr>
              <w:t>(均为土方)；无借方；弃方总量7.90万m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)，运至博罗县2013年度第72、73批次县储备用地。</w:t>
            </w:r>
          </w:p>
          <w:p w14:paraId="7B9478E6">
            <w:pPr>
              <w:adjustRightInd w:val="0"/>
              <w:snapToGrid w:val="0"/>
              <w:spacing w:line="500" w:lineRule="exact"/>
              <w:ind w:firstLine="420" w:firstLineChars="200"/>
              <w:jc w:val="left"/>
              <w:rPr>
                <w:szCs w:val="21"/>
              </w:rPr>
            </w:pPr>
            <w:r>
              <w:rPr>
                <w:rFonts w:hint="eastAsia"/>
                <w:szCs w:val="21"/>
              </w:rPr>
              <w:t>本项目总投资4883.04万元，其中土建投资为3823.02万元，所需的资金由县财政统筹安排。</w:t>
            </w:r>
          </w:p>
          <w:p w14:paraId="652DB22E">
            <w:pPr>
              <w:adjustRightInd w:val="0"/>
              <w:snapToGrid w:val="0"/>
              <w:spacing w:line="500" w:lineRule="exact"/>
              <w:ind w:firstLine="420" w:firstLineChars="200"/>
              <w:jc w:val="left"/>
              <w:rPr>
                <w:szCs w:val="21"/>
              </w:rPr>
            </w:pPr>
            <w:r>
              <w:rPr>
                <w:rFonts w:hint="eastAsia"/>
                <w:szCs w:val="21"/>
              </w:rPr>
              <w:t>本项目沿线多为荒山和林地，不涉及拆迁(移民)安置与专项设施改(迁)建。道路沿线途径较多林地和草地，工程建设需征得相关部门许可。</w:t>
            </w:r>
          </w:p>
          <w:p w14:paraId="427F3AEC">
            <w:pPr>
              <w:adjustRightInd w:val="0"/>
              <w:snapToGrid w:val="0"/>
              <w:spacing w:line="500" w:lineRule="exact"/>
              <w:ind w:firstLine="420" w:firstLineChars="200"/>
              <w:jc w:val="left"/>
              <w:rPr>
                <w:szCs w:val="21"/>
              </w:rPr>
            </w:pPr>
            <w:r>
              <w:rPr>
                <w:szCs w:val="21"/>
              </w:rPr>
              <w:t>根据《建设项目环境影响评价分类管理名录（2021年版）》，项目属于“五十二、交通运输业、管道运输业-131 城市道路</w:t>
            </w:r>
            <w:r>
              <w:rPr>
                <w:rFonts w:hint="eastAsia"/>
                <w:szCs w:val="21"/>
              </w:rPr>
              <w:t>（不含维护；不含支路、人行天桥、人行地道）</w:t>
            </w:r>
            <w:r>
              <w:rPr>
                <w:szCs w:val="21"/>
              </w:rPr>
              <w:t>-</w:t>
            </w:r>
            <w:r>
              <w:rPr>
                <w:rFonts w:hint="eastAsia"/>
                <w:szCs w:val="21"/>
              </w:rPr>
              <w:t>新建快速路、主干路</w:t>
            </w:r>
            <w:r>
              <w:rPr>
                <w:szCs w:val="21"/>
              </w:rPr>
              <w:t>”，需要编制环境影响评价报告表报生态环境主管部门审批。为此，受</w:t>
            </w:r>
            <w:r>
              <w:rPr>
                <w:rFonts w:hint="eastAsia"/>
                <w:szCs w:val="21"/>
              </w:rPr>
              <w:t>博罗县市政园林事务中心</w:t>
            </w:r>
            <w:r>
              <w:rPr>
                <w:szCs w:val="21"/>
              </w:rPr>
              <w:t>的委托，广东绿然环境科技股份有限公司承担了该项目的环境影响评价工作。经现场调查和实地勘察后，编制了该项目的环境影响报告表。</w:t>
            </w:r>
          </w:p>
          <w:p w14:paraId="22767A85">
            <w:pPr>
              <w:adjustRightInd w:val="0"/>
              <w:snapToGrid w:val="0"/>
              <w:spacing w:line="500" w:lineRule="exact"/>
              <w:ind w:firstLine="422" w:firstLineChars="200"/>
              <w:jc w:val="left"/>
              <w:rPr>
                <w:b/>
                <w:bCs/>
                <w:szCs w:val="21"/>
              </w:rPr>
            </w:pPr>
            <w:r>
              <w:rPr>
                <w:b/>
                <w:bCs/>
                <w:szCs w:val="21"/>
              </w:rPr>
              <w:t>二、项目建设概况</w:t>
            </w:r>
          </w:p>
          <w:p w14:paraId="0EE808BD">
            <w:pPr>
              <w:adjustRightInd w:val="0"/>
              <w:snapToGrid w:val="0"/>
              <w:spacing w:line="500" w:lineRule="exact"/>
              <w:ind w:firstLine="420" w:firstLineChars="200"/>
              <w:jc w:val="left"/>
              <w:rPr>
                <w:szCs w:val="21"/>
              </w:rPr>
            </w:pPr>
            <w:r>
              <w:rPr>
                <w:szCs w:val="21"/>
              </w:rPr>
              <w:t>项目名称：博罗县城体育大道东延段建设工程</w:t>
            </w:r>
            <w:r>
              <w:rPr>
                <w:rFonts w:hint="eastAsia"/>
                <w:kern w:val="0"/>
                <w:sz w:val="24"/>
              </w:rPr>
              <w:t>(K0+878.712~K1+210.007)</w:t>
            </w:r>
          </w:p>
          <w:p w14:paraId="1F8E8BAD">
            <w:pPr>
              <w:adjustRightInd w:val="0"/>
              <w:snapToGrid w:val="0"/>
              <w:spacing w:line="500" w:lineRule="exact"/>
              <w:ind w:firstLine="420" w:firstLineChars="200"/>
              <w:jc w:val="left"/>
              <w:rPr>
                <w:szCs w:val="21"/>
              </w:rPr>
            </w:pPr>
            <w:r>
              <w:rPr>
                <w:szCs w:val="21"/>
              </w:rPr>
              <w:t>建设性质：新建</w:t>
            </w:r>
          </w:p>
          <w:p w14:paraId="1FA31309">
            <w:pPr>
              <w:adjustRightInd w:val="0"/>
              <w:snapToGrid w:val="0"/>
              <w:spacing w:line="500" w:lineRule="exact"/>
              <w:ind w:firstLine="420" w:firstLineChars="200"/>
              <w:jc w:val="left"/>
              <w:rPr>
                <w:szCs w:val="21"/>
              </w:rPr>
            </w:pPr>
            <w:r>
              <w:rPr>
                <w:szCs w:val="21"/>
              </w:rPr>
              <w:t>项目建设单位：</w:t>
            </w:r>
            <w:r>
              <w:rPr>
                <w:rFonts w:hint="eastAsia"/>
                <w:szCs w:val="21"/>
              </w:rPr>
              <w:t>博罗县市政园林事务中心</w:t>
            </w:r>
          </w:p>
          <w:p w14:paraId="7BA22F0B">
            <w:pPr>
              <w:adjustRightInd w:val="0"/>
              <w:snapToGrid w:val="0"/>
              <w:spacing w:line="500" w:lineRule="exact"/>
              <w:ind w:firstLine="420" w:firstLineChars="200"/>
              <w:jc w:val="left"/>
              <w:rPr>
                <w:szCs w:val="21"/>
              </w:rPr>
            </w:pPr>
            <w:r>
              <w:rPr>
                <w:szCs w:val="21"/>
              </w:rPr>
              <w:t>项目总投资：4883.04万元，建设资金拟由财政资金解决</w:t>
            </w:r>
          </w:p>
          <w:p w14:paraId="5E4297AB">
            <w:pPr>
              <w:adjustRightInd w:val="0"/>
              <w:snapToGrid w:val="0"/>
              <w:spacing w:line="500" w:lineRule="exact"/>
              <w:ind w:firstLine="420" w:firstLineChars="200"/>
              <w:jc w:val="left"/>
              <w:rPr>
                <w:szCs w:val="21"/>
              </w:rPr>
            </w:pPr>
            <w:r>
              <w:rPr>
                <w:szCs w:val="21"/>
              </w:rPr>
              <w:t>项目建设时间：202</w:t>
            </w:r>
            <w:r>
              <w:rPr>
                <w:rFonts w:hint="eastAsia"/>
                <w:szCs w:val="21"/>
              </w:rPr>
              <w:t>5</w:t>
            </w:r>
            <w:r>
              <w:rPr>
                <w:szCs w:val="21"/>
              </w:rPr>
              <w:t>年</w:t>
            </w:r>
            <w:r>
              <w:rPr>
                <w:rFonts w:hint="eastAsia"/>
                <w:szCs w:val="21"/>
              </w:rPr>
              <w:t>6</w:t>
            </w:r>
            <w:r>
              <w:rPr>
                <w:szCs w:val="21"/>
              </w:rPr>
              <w:t>月-202</w:t>
            </w:r>
            <w:r>
              <w:rPr>
                <w:rFonts w:hint="eastAsia"/>
                <w:szCs w:val="21"/>
              </w:rPr>
              <w:t>6</w:t>
            </w:r>
            <w:r>
              <w:rPr>
                <w:szCs w:val="21"/>
              </w:rPr>
              <w:t>年</w:t>
            </w:r>
            <w:r>
              <w:rPr>
                <w:rFonts w:hint="eastAsia"/>
                <w:szCs w:val="21"/>
              </w:rPr>
              <w:t>6</w:t>
            </w:r>
            <w:r>
              <w:rPr>
                <w:szCs w:val="21"/>
              </w:rPr>
              <w:t>月，共</w:t>
            </w:r>
            <w:r>
              <w:rPr>
                <w:rFonts w:hint="eastAsia"/>
                <w:szCs w:val="21"/>
              </w:rPr>
              <w:t>12个</w:t>
            </w:r>
            <w:r>
              <w:rPr>
                <w:szCs w:val="21"/>
              </w:rPr>
              <w:t>月</w:t>
            </w:r>
          </w:p>
          <w:p w14:paraId="5AEA9A5E">
            <w:pPr>
              <w:adjustRightInd w:val="0"/>
              <w:snapToGrid w:val="0"/>
              <w:spacing w:line="500" w:lineRule="exact"/>
              <w:ind w:firstLine="420" w:firstLineChars="200"/>
              <w:jc w:val="left"/>
              <w:rPr>
                <w:szCs w:val="21"/>
              </w:rPr>
            </w:pPr>
            <w:r>
              <w:rPr>
                <w:szCs w:val="21"/>
              </w:rPr>
              <w:t>工程建设内容</w:t>
            </w:r>
            <w:r>
              <w:rPr>
                <w:rFonts w:hint="eastAsia"/>
                <w:szCs w:val="21"/>
              </w:rPr>
              <w:t>：范围为体育大道东延段(K0+878.712~K1+210.007)，起点西起体育大道东延段(二期)终点(K0+878.712)，与惠霞高速立交匝道相接(该立交已纳入惠霞高速公路(原惠州湾高速公路)建设范围)后向东延伸，终点东顺接已设计白石渠中桥(K1+210.007)，总长约332m，道路红线宽34.5m，道路等级为城市主干路，双向6车道，设计速度为 60km/h；建设内容包括道路工程、排水工程、电气工程、交通工程、绿化工程等。</w:t>
            </w:r>
            <w:r>
              <w:rPr>
                <w:szCs w:val="21"/>
              </w:rPr>
              <w:t>项目主要技术指标见下表2-1，工程组成见表2-2</w:t>
            </w:r>
            <w:r>
              <w:rPr>
                <w:rFonts w:hint="eastAsia"/>
                <w:szCs w:val="21"/>
              </w:rPr>
              <w:t>。</w:t>
            </w:r>
          </w:p>
          <w:p w14:paraId="6728C570">
            <w:pPr>
              <w:pStyle w:val="15"/>
              <w:keepNext/>
              <w:spacing w:line="500" w:lineRule="exact"/>
              <w:ind w:firstLine="420"/>
              <w:jc w:val="center"/>
              <w:rPr>
                <w:rFonts w:ascii="Times New Roman" w:hAnsi="Times New Roman" w:eastAsia="宋体"/>
                <w:b/>
                <w:bCs/>
                <w:sz w:val="21"/>
                <w:szCs w:val="21"/>
              </w:rPr>
            </w:pPr>
            <w:r>
              <w:rPr>
                <w:rFonts w:hint="eastAsia" w:ascii="Times New Roman" w:hAnsi="Times New Roman" w:eastAsia="宋体"/>
                <w:b/>
                <w:bCs/>
                <w:sz w:val="21"/>
                <w:szCs w:val="21"/>
              </w:rPr>
              <w:t>表2</w:t>
            </w:r>
            <w:r>
              <w:rPr>
                <w:rFonts w:ascii="Times New Roman" w:hAnsi="Times New Roman" w:eastAsia="宋体"/>
                <w:b/>
                <w:bCs/>
                <w:sz w:val="21"/>
                <w:szCs w:val="21"/>
              </w:rPr>
              <w:t xml:space="preserve">-1  </w:t>
            </w:r>
            <w:r>
              <w:rPr>
                <w:rFonts w:hint="eastAsia" w:ascii="Times New Roman" w:hAnsi="Times New Roman" w:eastAsia="宋体"/>
                <w:b/>
                <w:bCs/>
                <w:sz w:val="21"/>
                <w:szCs w:val="21"/>
              </w:rPr>
              <w:t>主要技术指标表</w:t>
            </w:r>
          </w:p>
          <w:tbl>
            <w:tblPr>
              <w:tblStyle w:val="33"/>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3990"/>
              <w:gridCol w:w="2435"/>
              <w:gridCol w:w="2437"/>
            </w:tblGrid>
            <w:tr w14:paraId="388319A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66408E89">
                  <w:pPr>
                    <w:adjustRightInd w:val="0"/>
                    <w:snapToGrid w:val="0"/>
                    <w:jc w:val="center"/>
                    <w:rPr>
                      <w:b/>
                      <w:bCs/>
                      <w:szCs w:val="21"/>
                    </w:rPr>
                  </w:pPr>
                  <w:r>
                    <w:rPr>
                      <w:b/>
                      <w:bCs/>
                      <w:szCs w:val="21"/>
                    </w:rPr>
                    <w:t>序号</w:t>
                  </w:r>
                </w:p>
              </w:tc>
              <w:tc>
                <w:tcPr>
                  <w:tcW w:w="4015" w:type="dxa"/>
                  <w:shd w:val="clear" w:color="auto" w:fill="auto"/>
                  <w:vAlign w:val="center"/>
                </w:tcPr>
                <w:p w14:paraId="27E9916D">
                  <w:pPr>
                    <w:adjustRightInd w:val="0"/>
                    <w:snapToGrid w:val="0"/>
                    <w:jc w:val="center"/>
                    <w:rPr>
                      <w:b/>
                      <w:bCs/>
                      <w:szCs w:val="21"/>
                    </w:rPr>
                  </w:pPr>
                  <w:r>
                    <w:rPr>
                      <w:b/>
                      <w:bCs/>
                      <w:szCs w:val="21"/>
                    </w:rPr>
                    <w:t>技术指标名称</w:t>
                  </w:r>
                </w:p>
              </w:tc>
              <w:tc>
                <w:tcPr>
                  <w:tcW w:w="2448" w:type="dxa"/>
                  <w:shd w:val="clear" w:color="auto" w:fill="auto"/>
                  <w:vAlign w:val="center"/>
                </w:tcPr>
                <w:p w14:paraId="03C0026E">
                  <w:pPr>
                    <w:adjustRightInd w:val="0"/>
                    <w:snapToGrid w:val="0"/>
                    <w:jc w:val="center"/>
                    <w:rPr>
                      <w:b/>
                      <w:bCs/>
                      <w:szCs w:val="21"/>
                    </w:rPr>
                  </w:pPr>
                  <w:r>
                    <w:rPr>
                      <w:b/>
                      <w:bCs/>
                      <w:szCs w:val="21"/>
                    </w:rPr>
                    <w:t>单位</w:t>
                  </w:r>
                </w:p>
              </w:tc>
              <w:tc>
                <w:tcPr>
                  <w:tcW w:w="2448" w:type="dxa"/>
                  <w:shd w:val="clear" w:color="auto" w:fill="auto"/>
                  <w:vAlign w:val="center"/>
                </w:tcPr>
                <w:p w14:paraId="2A059C85">
                  <w:pPr>
                    <w:adjustRightInd w:val="0"/>
                    <w:snapToGrid w:val="0"/>
                    <w:jc w:val="center"/>
                    <w:rPr>
                      <w:b/>
                      <w:bCs/>
                      <w:szCs w:val="21"/>
                    </w:rPr>
                  </w:pPr>
                  <w:r>
                    <w:rPr>
                      <w:rFonts w:hint="eastAsia"/>
                      <w:b/>
                      <w:bCs/>
                      <w:szCs w:val="21"/>
                    </w:rPr>
                    <w:t>设计值</w:t>
                  </w:r>
                </w:p>
              </w:tc>
            </w:tr>
            <w:tr w14:paraId="21D3026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2A645421">
                  <w:pPr>
                    <w:numPr>
                      <w:ilvl w:val="0"/>
                      <w:numId w:val="2"/>
                    </w:numPr>
                    <w:adjustRightInd w:val="0"/>
                    <w:snapToGrid w:val="0"/>
                    <w:jc w:val="center"/>
                    <w:rPr>
                      <w:szCs w:val="21"/>
                    </w:rPr>
                  </w:pPr>
                </w:p>
              </w:tc>
              <w:tc>
                <w:tcPr>
                  <w:tcW w:w="4015" w:type="dxa"/>
                  <w:shd w:val="clear" w:color="auto" w:fill="auto"/>
                  <w:vAlign w:val="center"/>
                </w:tcPr>
                <w:p w14:paraId="2390EDA4">
                  <w:pPr>
                    <w:adjustRightInd w:val="0"/>
                    <w:snapToGrid w:val="0"/>
                    <w:jc w:val="center"/>
                    <w:rPr>
                      <w:szCs w:val="21"/>
                    </w:rPr>
                  </w:pPr>
                  <w:r>
                    <w:rPr>
                      <w:szCs w:val="21"/>
                    </w:rPr>
                    <w:t>道路等级</w:t>
                  </w:r>
                </w:p>
              </w:tc>
              <w:tc>
                <w:tcPr>
                  <w:tcW w:w="2448" w:type="dxa"/>
                  <w:shd w:val="clear" w:color="auto" w:fill="auto"/>
                  <w:vAlign w:val="center"/>
                </w:tcPr>
                <w:p w14:paraId="747361D2">
                  <w:pPr>
                    <w:adjustRightInd w:val="0"/>
                    <w:snapToGrid w:val="0"/>
                    <w:jc w:val="center"/>
                    <w:rPr>
                      <w:szCs w:val="21"/>
                    </w:rPr>
                  </w:pPr>
                  <w:r>
                    <w:rPr>
                      <w:szCs w:val="21"/>
                    </w:rPr>
                    <w:t>/</w:t>
                  </w:r>
                </w:p>
              </w:tc>
              <w:tc>
                <w:tcPr>
                  <w:tcW w:w="2448" w:type="dxa"/>
                  <w:shd w:val="clear" w:color="auto" w:fill="auto"/>
                  <w:vAlign w:val="center"/>
                </w:tcPr>
                <w:p w14:paraId="192DE569">
                  <w:pPr>
                    <w:adjustRightInd w:val="0"/>
                    <w:snapToGrid w:val="0"/>
                    <w:jc w:val="center"/>
                    <w:rPr>
                      <w:szCs w:val="21"/>
                    </w:rPr>
                  </w:pPr>
                  <w:r>
                    <w:rPr>
                      <w:szCs w:val="21"/>
                    </w:rPr>
                    <w:t>城市主干路</w:t>
                  </w:r>
                </w:p>
              </w:tc>
            </w:tr>
            <w:tr w14:paraId="46EC79B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247E2334">
                  <w:pPr>
                    <w:numPr>
                      <w:ilvl w:val="0"/>
                      <w:numId w:val="2"/>
                    </w:numPr>
                    <w:adjustRightInd w:val="0"/>
                    <w:snapToGrid w:val="0"/>
                    <w:jc w:val="center"/>
                    <w:rPr>
                      <w:szCs w:val="21"/>
                    </w:rPr>
                  </w:pPr>
                </w:p>
              </w:tc>
              <w:tc>
                <w:tcPr>
                  <w:tcW w:w="4015" w:type="dxa"/>
                  <w:shd w:val="clear" w:color="auto" w:fill="auto"/>
                  <w:vAlign w:val="center"/>
                </w:tcPr>
                <w:p w14:paraId="69B04A6C">
                  <w:pPr>
                    <w:adjustRightInd w:val="0"/>
                    <w:snapToGrid w:val="0"/>
                    <w:jc w:val="center"/>
                    <w:rPr>
                      <w:szCs w:val="21"/>
                    </w:rPr>
                  </w:pPr>
                  <w:r>
                    <w:rPr>
                      <w:szCs w:val="21"/>
                    </w:rPr>
                    <w:t>设计速度</w:t>
                  </w:r>
                </w:p>
              </w:tc>
              <w:tc>
                <w:tcPr>
                  <w:tcW w:w="2448" w:type="dxa"/>
                  <w:shd w:val="clear" w:color="auto" w:fill="auto"/>
                  <w:vAlign w:val="center"/>
                </w:tcPr>
                <w:p w14:paraId="3DB85FE3">
                  <w:pPr>
                    <w:adjustRightInd w:val="0"/>
                    <w:snapToGrid w:val="0"/>
                    <w:jc w:val="center"/>
                    <w:rPr>
                      <w:szCs w:val="21"/>
                    </w:rPr>
                  </w:pPr>
                  <w:r>
                    <w:rPr>
                      <w:szCs w:val="21"/>
                    </w:rPr>
                    <w:t>km/h</w:t>
                  </w:r>
                </w:p>
              </w:tc>
              <w:tc>
                <w:tcPr>
                  <w:tcW w:w="2448" w:type="dxa"/>
                  <w:shd w:val="clear" w:color="auto" w:fill="auto"/>
                  <w:vAlign w:val="center"/>
                </w:tcPr>
                <w:p w14:paraId="1AC2C5FA">
                  <w:pPr>
                    <w:adjustRightInd w:val="0"/>
                    <w:snapToGrid w:val="0"/>
                    <w:jc w:val="center"/>
                    <w:rPr>
                      <w:szCs w:val="21"/>
                    </w:rPr>
                  </w:pPr>
                  <w:r>
                    <w:rPr>
                      <w:rFonts w:hint="eastAsia"/>
                      <w:szCs w:val="21"/>
                    </w:rPr>
                    <w:t>60</w:t>
                  </w:r>
                </w:p>
              </w:tc>
            </w:tr>
            <w:tr w14:paraId="1F23E76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4647D803">
                  <w:pPr>
                    <w:numPr>
                      <w:ilvl w:val="0"/>
                      <w:numId w:val="2"/>
                    </w:numPr>
                    <w:adjustRightInd w:val="0"/>
                    <w:snapToGrid w:val="0"/>
                    <w:jc w:val="center"/>
                    <w:rPr>
                      <w:szCs w:val="21"/>
                    </w:rPr>
                  </w:pPr>
                </w:p>
              </w:tc>
              <w:tc>
                <w:tcPr>
                  <w:tcW w:w="4015" w:type="dxa"/>
                  <w:shd w:val="clear" w:color="auto" w:fill="auto"/>
                  <w:vAlign w:val="center"/>
                </w:tcPr>
                <w:p w14:paraId="38C29C33">
                  <w:pPr>
                    <w:adjustRightInd w:val="0"/>
                    <w:snapToGrid w:val="0"/>
                    <w:jc w:val="center"/>
                    <w:rPr>
                      <w:szCs w:val="21"/>
                    </w:rPr>
                  </w:pPr>
                  <w:r>
                    <w:rPr>
                      <w:rFonts w:hint="eastAsia"/>
                      <w:szCs w:val="21"/>
                    </w:rPr>
                    <w:t>道路红线宽度</w:t>
                  </w:r>
                </w:p>
              </w:tc>
              <w:tc>
                <w:tcPr>
                  <w:tcW w:w="2448" w:type="dxa"/>
                  <w:shd w:val="clear" w:color="auto" w:fill="auto"/>
                  <w:vAlign w:val="center"/>
                </w:tcPr>
                <w:p w14:paraId="5F471CDA">
                  <w:pPr>
                    <w:adjustRightInd w:val="0"/>
                    <w:snapToGrid w:val="0"/>
                    <w:jc w:val="center"/>
                    <w:rPr>
                      <w:szCs w:val="21"/>
                    </w:rPr>
                  </w:pPr>
                  <w:r>
                    <w:rPr>
                      <w:szCs w:val="21"/>
                    </w:rPr>
                    <w:t>m</w:t>
                  </w:r>
                </w:p>
              </w:tc>
              <w:tc>
                <w:tcPr>
                  <w:tcW w:w="2448" w:type="dxa"/>
                  <w:shd w:val="clear" w:color="auto" w:fill="auto"/>
                  <w:vAlign w:val="center"/>
                </w:tcPr>
                <w:p w14:paraId="012DE102">
                  <w:pPr>
                    <w:adjustRightInd w:val="0"/>
                    <w:snapToGrid w:val="0"/>
                    <w:jc w:val="center"/>
                    <w:rPr>
                      <w:szCs w:val="21"/>
                    </w:rPr>
                  </w:pPr>
                  <w:r>
                    <w:rPr>
                      <w:rFonts w:hint="eastAsia"/>
                      <w:szCs w:val="21"/>
                    </w:rPr>
                    <w:t>34.5</w:t>
                  </w:r>
                </w:p>
              </w:tc>
            </w:tr>
            <w:tr w14:paraId="474D2BF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000E3388">
                  <w:pPr>
                    <w:numPr>
                      <w:ilvl w:val="0"/>
                      <w:numId w:val="2"/>
                    </w:numPr>
                    <w:adjustRightInd w:val="0"/>
                    <w:snapToGrid w:val="0"/>
                    <w:jc w:val="center"/>
                    <w:rPr>
                      <w:szCs w:val="21"/>
                    </w:rPr>
                  </w:pPr>
                </w:p>
              </w:tc>
              <w:tc>
                <w:tcPr>
                  <w:tcW w:w="4015" w:type="dxa"/>
                  <w:shd w:val="clear" w:color="auto" w:fill="auto"/>
                  <w:vAlign w:val="center"/>
                </w:tcPr>
                <w:p w14:paraId="765BB3ED">
                  <w:pPr>
                    <w:adjustRightInd w:val="0"/>
                    <w:snapToGrid w:val="0"/>
                    <w:jc w:val="center"/>
                    <w:rPr>
                      <w:szCs w:val="21"/>
                    </w:rPr>
                  </w:pPr>
                  <w:r>
                    <w:rPr>
                      <w:szCs w:val="21"/>
                    </w:rPr>
                    <w:t>平曲线最小半径</w:t>
                  </w:r>
                </w:p>
              </w:tc>
              <w:tc>
                <w:tcPr>
                  <w:tcW w:w="2448" w:type="dxa"/>
                  <w:shd w:val="clear" w:color="auto" w:fill="auto"/>
                  <w:vAlign w:val="center"/>
                </w:tcPr>
                <w:p w14:paraId="4D5AC9DA">
                  <w:pPr>
                    <w:adjustRightInd w:val="0"/>
                    <w:snapToGrid w:val="0"/>
                    <w:jc w:val="center"/>
                    <w:rPr>
                      <w:szCs w:val="21"/>
                    </w:rPr>
                  </w:pPr>
                  <w:r>
                    <w:rPr>
                      <w:szCs w:val="21"/>
                    </w:rPr>
                    <w:t>m</w:t>
                  </w:r>
                </w:p>
              </w:tc>
              <w:tc>
                <w:tcPr>
                  <w:tcW w:w="2448" w:type="dxa"/>
                  <w:shd w:val="clear" w:color="auto" w:fill="auto"/>
                  <w:vAlign w:val="center"/>
                </w:tcPr>
                <w:p w14:paraId="6E65514D">
                  <w:pPr>
                    <w:adjustRightInd w:val="0"/>
                    <w:snapToGrid w:val="0"/>
                    <w:jc w:val="center"/>
                    <w:rPr>
                      <w:szCs w:val="21"/>
                    </w:rPr>
                  </w:pPr>
                  <w:r>
                    <w:rPr>
                      <w:szCs w:val="21"/>
                    </w:rPr>
                    <w:t>400</w:t>
                  </w:r>
                </w:p>
              </w:tc>
            </w:tr>
            <w:tr w14:paraId="2379D9D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7FAA7A20">
                  <w:pPr>
                    <w:numPr>
                      <w:ilvl w:val="0"/>
                      <w:numId w:val="2"/>
                    </w:numPr>
                    <w:adjustRightInd w:val="0"/>
                    <w:snapToGrid w:val="0"/>
                    <w:jc w:val="center"/>
                    <w:rPr>
                      <w:szCs w:val="21"/>
                    </w:rPr>
                  </w:pPr>
                </w:p>
              </w:tc>
              <w:tc>
                <w:tcPr>
                  <w:tcW w:w="4015" w:type="dxa"/>
                  <w:shd w:val="clear" w:color="auto" w:fill="auto"/>
                  <w:vAlign w:val="center"/>
                </w:tcPr>
                <w:p w14:paraId="2B7DD065">
                  <w:pPr>
                    <w:adjustRightInd w:val="0"/>
                    <w:snapToGrid w:val="0"/>
                    <w:jc w:val="center"/>
                    <w:rPr>
                      <w:szCs w:val="21"/>
                    </w:rPr>
                  </w:pPr>
                  <w:r>
                    <w:rPr>
                      <w:rFonts w:hint="eastAsia"/>
                      <w:szCs w:val="21"/>
                    </w:rPr>
                    <w:t>车道数(双向)</w:t>
                  </w:r>
                </w:p>
              </w:tc>
              <w:tc>
                <w:tcPr>
                  <w:tcW w:w="2448" w:type="dxa"/>
                  <w:shd w:val="clear" w:color="auto" w:fill="auto"/>
                  <w:vAlign w:val="center"/>
                </w:tcPr>
                <w:p w14:paraId="18929B4C">
                  <w:pPr>
                    <w:adjustRightInd w:val="0"/>
                    <w:snapToGrid w:val="0"/>
                    <w:jc w:val="center"/>
                    <w:rPr>
                      <w:szCs w:val="21"/>
                    </w:rPr>
                  </w:pPr>
                  <w:r>
                    <w:rPr>
                      <w:rFonts w:hint="eastAsia"/>
                      <w:szCs w:val="21"/>
                    </w:rPr>
                    <w:t>-</w:t>
                  </w:r>
                </w:p>
              </w:tc>
              <w:tc>
                <w:tcPr>
                  <w:tcW w:w="2448" w:type="dxa"/>
                  <w:shd w:val="clear" w:color="auto" w:fill="auto"/>
                  <w:vAlign w:val="center"/>
                </w:tcPr>
                <w:p w14:paraId="3D23CF0E">
                  <w:pPr>
                    <w:adjustRightInd w:val="0"/>
                    <w:snapToGrid w:val="0"/>
                    <w:jc w:val="center"/>
                    <w:rPr>
                      <w:szCs w:val="21"/>
                    </w:rPr>
                  </w:pPr>
                  <w:r>
                    <w:rPr>
                      <w:rFonts w:hint="eastAsia"/>
                      <w:szCs w:val="21"/>
                    </w:rPr>
                    <w:t>6</w:t>
                  </w:r>
                </w:p>
              </w:tc>
            </w:tr>
            <w:tr w14:paraId="1F389C8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5916DEC6">
                  <w:pPr>
                    <w:numPr>
                      <w:ilvl w:val="0"/>
                      <w:numId w:val="2"/>
                    </w:numPr>
                    <w:adjustRightInd w:val="0"/>
                    <w:snapToGrid w:val="0"/>
                    <w:jc w:val="center"/>
                    <w:rPr>
                      <w:szCs w:val="21"/>
                    </w:rPr>
                  </w:pPr>
                </w:p>
              </w:tc>
              <w:tc>
                <w:tcPr>
                  <w:tcW w:w="4015" w:type="dxa"/>
                  <w:shd w:val="clear" w:color="auto" w:fill="auto"/>
                  <w:vAlign w:val="center"/>
                </w:tcPr>
                <w:p w14:paraId="77095757">
                  <w:pPr>
                    <w:adjustRightInd w:val="0"/>
                    <w:snapToGrid w:val="0"/>
                    <w:jc w:val="center"/>
                    <w:rPr>
                      <w:szCs w:val="21"/>
                    </w:rPr>
                  </w:pPr>
                  <w:r>
                    <w:rPr>
                      <w:rFonts w:hint="eastAsia"/>
                      <w:szCs w:val="21"/>
                    </w:rPr>
                    <w:t>车道宽度</w:t>
                  </w:r>
                </w:p>
              </w:tc>
              <w:tc>
                <w:tcPr>
                  <w:tcW w:w="2448" w:type="dxa"/>
                  <w:shd w:val="clear" w:color="auto" w:fill="auto"/>
                  <w:vAlign w:val="center"/>
                </w:tcPr>
                <w:p w14:paraId="439A63A3">
                  <w:pPr>
                    <w:adjustRightInd w:val="0"/>
                    <w:snapToGrid w:val="0"/>
                    <w:jc w:val="center"/>
                    <w:rPr>
                      <w:szCs w:val="21"/>
                    </w:rPr>
                  </w:pPr>
                  <w:r>
                    <w:rPr>
                      <w:szCs w:val="21"/>
                    </w:rPr>
                    <w:t>m</w:t>
                  </w:r>
                </w:p>
              </w:tc>
              <w:tc>
                <w:tcPr>
                  <w:tcW w:w="2448" w:type="dxa"/>
                  <w:shd w:val="clear" w:color="auto" w:fill="auto"/>
                  <w:vAlign w:val="center"/>
                </w:tcPr>
                <w:p w14:paraId="38127B5C">
                  <w:pPr>
                    <w:adjustRightInd w:val="0"/>
                    <w:snapToGrid w:val="0"/>
                    <w:jc w:val="center"/>
                    <w:rPr>
                      <w:szCs w:val="21"/>
                    </w:rPr>
                  </w:pPr>
                  <w:r>
                    <w:rPr>
                      <w:szCs w:val="21"/>
                    </w:rPr>
                    <w:t>3.75/3.5</w:t>
                  </w:r>
                </w:p>
              </w:tc>
            </w:tr>
            <w:tr w14:paraId="721DC88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43E3FE4B">
                  <w:pPr>
                    <w:numPr>
                      <w:ilvl w:val="0"/>
                      <w:numId w:val="2"/>
                    </w:numPr>
                    <w:adjustRightInd w:val="0"/>
                    <w:snapToGrid w:val="0"/>
                    <w:jc w:val="center"/>
                    <w:rPr>
                      <w:szCs w:val="21"/>
                    </w:rPr>
                  </w:pPr>
                </w:p>
              </w:tc>
              <w:tc>
                <w:tcPr>
                  <w:tcW w:w="4015" w:type="dxa"/>
                  <w:shd w:val="clear" w:color="auto" w:fill="auto"/>
                  <w:vAlign w:val="center"/>
                </w:tcPr>
                <w:p w14:paraId="441F9CAE">
                  <w:pPr>
                    <w:adjustRightInd w:val="0"/>
                    <w:snapToGrid w:val="0"/>
                    <w:jc w:val="center"/>
                    <w:rPr>
                      <w:szCs w:val="21"/>
                    </w:rPr>
                  </w:pPr>
                  <w:r>
                    <w:rPr>
                      <w:rFonts w:hint="eastAsia"/>
                      <w:szCs w:val="21"/>
                    </w:rPr>
                    <w:t>中央绿化带宽度</w:t>
                  </w:r>
                </w:p>
              </w:tc>
              <w:tc>
                <w:tcPr>
                  <w:tcW w:w="2448" w:type="dxa"/>
                  <w:shd w:val="clear" w:color="auto" w:fill="auto"/>
                  <w:vAlign w:val="center"/>
                </w:tcPr>
                <w:p w14:paraId="596FC109">
                  <w:pPr>
                    <w:adjustRightInd w:val="0"/>
                    <w:snapToGrid w:val="0"/>
                    <w:jc w:val="center"/>
                    <w:rPr>
                      <w:szCs w:val="21"/>
                    </w:rPr>
                  </w:pPr>
                  <w:r>
                    <w:rPr>
                      <w:szCs w:val="21"/>
                    </w:rPr>
                    <w:t>m</w:t>
                  </w:r>
                </w:p>
              </w:tc>
              <w:tc>
                <w:tcPr>
                  <w:tcW w:w="2448" w:type="dxa"/>
                  <w:shd w:val="clear" w:color="auto" w:fill="auto"/>
                  <w:vAlign w:val="center"/>
                </w:tcPr>
                <w:p w14:paraId="08D9A2A8">
                  <w:pPr>
                    <w:adjustRightInd w:val="0"/>
                    <w:snapToGrid w:val="0"/>
                    <w:jc w:val="center"/>
                    <w:rPr>
                      <w:szCs w:val="21"/>
                    </w:rPr>
                  </w:pPr>
                  <w:r>
                    <w:rPr>
                      <w:rFonts w:hint="eastAsia"/>
                      <w:szCs w:val="21"/>
                    </w:rPr>
                    <w:t>3</w:t>
                  </w:r>
                </w:p>
              </w:tc>
            </w:tr>
            <w:tr w14:paraId="2EC521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7C40BB01">
                  <w:pPr>
                    <w:numPr>
                      <w:ilvl w:val="0"/>
                      <w:numId w:val="2"/>
                    </w:numPr>
                    <w:adjustRightInd w:val="0"/>
                    <w:snapToGrid w:val="0"/>
                    <w:jc w:val="center"/>
                    <w:rPr>
                      <w:szCs w:val="21"/>
                    </w:rPr>
                  </w:pPr>
                </w:p>
              </w:tc>
              <w:tc>
                <w:tcPr>
                  <w:tcW w:w="4015" w:type="dxa"/>
                  <w:shd w:val="clear" w:color="auto" w:fill="auto"/>
                  <w:vAlign w:val="center"/>
                </w:tcPr>
                <w:p w14:paraId="14EFA30F">
                  <w:pPr>
                    <w:adjustRightInd w:val="0"/>
                    <w:snapToGrid w:val="0"/>
                    <w:jc w:val="center"/>
                    <w:rPr>
                      <w:szCs w:val="21"/>
                    </w:rPr>
                  </w:pPr>
                  <w:r>
                    <w:rPr>
                      <w:rFonts w:hint="eastAsia"/>
                      <w:szCs w:val="21"/>
                    </w:rPr>
                    <w:t>圆曲线(不设超高最小半径)</w:t>
                  </w:r>
                </w:p>
              </w:tc>
              <w:tc>
                <w:tcPr>
                  <w:tcW w:w="2448" w:type="dxa"/>
                  <w:shd w:val="clear" w:color="auto" w:fill="auto"/>
                  <w:vAlign w:val="center"/>
                </w:tcPr>
                <w:p w14:paraId="2BD34523">
                  <w:pPr>
                    <w:adjustRightInd w:val="0"/>
                    <w:snapToGrid w:val="0"/>
                    <w:jc w:val="center"/>
                    <w:rPr>
                      <w:szCs w:val="21"/>
                    </w:rPr>
                  </w:pPr>
                  <w:r>
                    <w:rPr>
                      <w:szCs w:val="21"/>
                    </w:rPr>
                    <w:t>m</w:t>
                  </w:r>
                </w:p>
              </w:tc>
              <w:tc>
                <w:tcPr>
                  <w:tcW w:w="2448" w:type="dxa"/>
                  <w:shd w:val="clear" w:color="auto" w:fill="auto"/>
                  <w:vAlign w:val="center"/>
                </w:tcPr>
                <w:p w14:paraId="7BCCFF2C">
                  <w:pPr>
                    <w:adjustRightInd w:val="0"/>
                    <w:snapToGrid w:val="0"/>
                    <w:jc w:val="center"/>
                    <w:rPr>
                      <w:szCs w:val="21"/>
                    </w:rPr>
                  </w:pPr>
                  <w:r>
                    <w:rPr>
                      <w:rFonts w:hint="eastAsia"/>
                      <w:szCs w:val="21"/>
                    </w:rPr>
                    <w:t>1200</w:t>
                  </w:r>
                </w:p>
              </w:tc>
            </w:tr>
            <w:tr w14:paraId="0105C7C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620C322B">
                  <w:pPr>
                    <w:numPr>
                      <w:ilvl w:val="0"/>
                      <w:numId w:val="2"/>
                    </w:numPr>
                    <w:adjustRightInd w:val="0"/>
                    <w:snapToGrid w:val="0"/>
                    <w:jc w:val="center"/>
                    <w:rPr>
                      <w:szCs w:val="21"/>
                    </w:rPr>
                  </w:pPr>
                </w:p>
              </w:tc>
              <w:tc>
                <w:tcPr>
                  <w:tcW w:w="4015" w:type="dxa"/>
                  <w:shd w:val="clear" w:color="auto" w:fill="auto"/>
                  <w:vAlign w:val="center"/>
                </w:tcPr>
                <w:p w14:paraId="5896B96B">
                  <w:pPr>
                    <w:adjustRightInd w:val="0"/>
                    <w:snapToGrid w:val="0"/>
                    <w:jc w:val="center"/>
                    <w:rPr>
                      <w:szCs w:val="21"/>
                    </w:rPr>
                  </w:pPr>
                  <w:r>
                    <w:rPr>
                      <w:szCs w:val="21"/>
                    </w:rPr>
                    <w:t>最大纵坡</w:t>
                  </w:r>
                </w:p>
              </w:tc>
              <w:tc>
                <w:tcPr>
                  <w:tcW w:w="2448" w:type="dxa"/>
                  <w:shd w:val="clear" w:color="auto" w:fill="auto"/>
                  <w:vAlign w:val="center"/>
                </w:tcPr>
                <w:p w14:paraId="47CD7ECA">
                  <w:pPr>
                    <w:adjustRightInd w:val="0"/>
                    <w:snapToGrid w:val="0"/>
                    <w:jc w:val="center"/>
                    <w:rPr>
                      <w:szCs w:val="21"/>
                    </w:rPr>
                  </w:pPr>
                  <w:r>
                    <w:rPr>
                      <w:szCs w:val="21"/>
                    </w:rPr>
                    <w:t>%</w:t>
                  </w:r>
                </w:p>
              </w:tc>
              <w:tc>
                <w:tcPr>
                  <w:tcW w:w="2448" w:type="dxa"/>
                  <w:shd w:val="clear" w:color="auto" w:fill="auto"/>
                  <w:vAlign w:val="center"/>
                </w:tcPr>
                <w:p w14:paraId="70937950">
                  <w:pPr>
                    <w:adjustRightInd w:val="0"/>
                    <w:snapToGrid w:val="0"/>
                    <w:jc w:val="center"/>
                    <w:rPr>
                      <w:szCs w:val="21"/>
                    </w:rPr>
                  </w:pPr>
                  <w:r>
                    <w:rPr>
                      <w:rFonts w:hint="eastAsia"/>
                      <w:szCs w:val="21"/>
                    </w:rPr>
                    <w:t>1.5</w:t>
                  </w:r>
                </w:p>
              </w:tc>
            </w:tr>
            <w:tr w14:paraId="435C459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2DF18F49">
                  <w:pPr>
                    <w:numPr>
                      <w:ilvl w:val="0"/>
                      <w:numId w:val="2"/>
                    </w:numPr>
                    <w:adjustRightInd w:val="0"/>
                    <w:snapToGrid w:val="0"/>
                    <w:jc w:val="center"/>
                    <w:rPr>
                      <w:szCs w:val="21"/>
                    </w:rPr>
                  </w:pPr>
                </w:p>
              </w:tc>
              <w:tc>
                <w:tcPr>
                  <w:tcW w:w="4015" w:type="dxa"/>
                  <w:shd w:val="clear" w:color="auto" w:fill="auto"/>
                  <w:vAlign w:val="center"/>
                </w:tcPr>
                <w:p w14:paraId="4302AC29">
                  <w:pPr>
                    <w:adjustRightInd w:val="0"/>
                    <w:snapToGrid w:val="0"/>
                    <w:jc w:val="center"/>
                    <w:rPr>
                      <w:szCs w:val="21"/>
                    </w:rPr>
                  </w:pPr>
                  <w:r>
                    <w:rPr>
                      <w:szCs w:val="21"/>
                    </w:rPr>
                    <w:t>最小坡长</w:t>
                  </w:r>
                </w:p>
              </w:tc>
              <w:tc>
                <w:tcPr>
                  <w:tcW w:w="2448" w:type="dxa"/>
                  <w:shd w:val="clear" w:color="auto" w:fill="auto"/>
                  <w:vAlign w:val="center"/>
                </w:tcPr>
                <w:p w14:paraId="22E2C4AC">
                  <w:pPr>
                    <w:adjustRightInd w:val="0"/>
                    <w:snapToGrid w:val="0"/>
                    <w:jc w:val="center"/>
                    <w:rPr>
                      <w:szCs w:val="21"/>
                    </w:rPr>
                  </w:pPr>
                  <w:r>
                    <w:rPr>
                      <w:szCs w:val="21"/>
                    </w:rPr>
                    <w:t>m</w:t>
                  </w:r>
                </w:p>
              </w:tc>
              <w:tc>
                <w:tcPr>
                  <w:tcW w:w="2448" w:type="dxa"/>
                  <w:shd w:val="clear" w:color="auto" w:fill="auto"/>
                  <w:vAlign w:val="center"/>
                </w:tcPr>
                <w:p w14:paraId="636EE88F">
                  <w:pPr>
                    <w:adjustRightInd w:val="0"/>
                    <w:snapToGrid w:val="0"/>
                    <w:jc w:val="center"/>
                    <w:rPr>
                      <w:szCs w:val="21"/>
                    </w:rPr>
                  </w:pPr>
                  <w:r>
                    <w:rPr>
                      <w:rFonts w:hint="eastAsia"/>
                      <w:szCs w:val="21"/>
                    </w:rPr>
                    <w:t>610</w:t>
                  </w:r>
                </w:p>
              </w:tc>
            </w:tr>
            <w:tr w14:paraId="0365AE2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0143C1DC">
                  <w:pPr>
                    <w:numPr>
                      <w:ilvl w:val="0"/>
                      <w:numId w:val="2"/>
                    </w:numPr>
                    <w:adjustRightInd w:val="0"/>
                    <w:snapToGrid w:val="0"/>
                    <w:jc w:val="center"/>
                    <w:rPr>
                      <w:szCs w:val="21"/>
                    </w:rPr>
                  </w:pPr>
                </w:p>
              </w:tc>
              <w:tc>
                <w:tcPr>
                  <w:tcW w:w="4015" w:type="dxa"/>
                  <w:shd w:val="clear" w:color="auto" w:fill="auto"/>
                  <w:vAlign w:val="center"/>
                </w:tcPr>
                <w:p w14:paraId="4B104145">
                  <w:pPr>
                    <w:adjustRightInd w:val="0"/>
                    <w:snapToGrid w:val="0"/>
                    <w:jc w:val="center"/>
                    <w:rPr>
                      <w:szCs w:val="21"/>
                    </w:rPr>
                  </w:pPr>
                  <w:r>
                    <w:rPr>
                      <w:szCs w:val="21"/>
                    </w:rPr>
                    <w:t>路面类型</w:t>
                  </w:r>
                </w:p>
              </w:tc>
              <w:tc>
                <w:tcPr>
                  <w:tcW w:w="2448" w:type="dxa"/>
                  <w:shd w:val="clear" w:color="auto" w:fill="auto"/>
                  <w:vAlign w:val="center"/>
                </w:tcPr>
                <w:p w14:paraId="05F3A771">
                  <w:pPr>
                    <w:adjustRightInd w:val="0"/>
                    <w:snapToGrid w:val="0"/>
                    <w:jc w:val="center"/>
                    <w:rPr>
                      <w:szCs w:val="21"/>
                    </w:rPr>
                  </w:pPr>
                  <w:r>
                    <w:rPr>
                      <w:szCs w:val="21"/>
                    </w:rPr>
                    <w:t>/</w:t>
                  </w:r>
                </w:p>
              </w:tc>
              <w:tc>
                <w:tcPr>
                  <w:tcW w:w="2448" w:type="dxa"/>
                  <w:shd w:val="clear" w:color="auto" w:fill="auto"/>
                  <w:vAlign w:val="center"/>
                </w:tcPr>
                <w:p w14:paraId="7F9840B4">
                  <w:pPr>
                    <w:adjustRightInd w:val="0"/>
                    <w:snapToGrid w:val="0"/>
                    <w:jc w:val="center"/>
                    <w:rPr>
                      <w:szCs w:val="21"/>
                    </w:rPr>
                  </w:pPr>
                  <w:r>
                    <w:rPr>
                      <w:szCs w:val="21"/>
                    </w:rPr>
                    <w:t>沥青砼路面</w:t>
                  </w:r>
                </w:p>
              </w:tc>
            </w:tr>
            <w:tr w14:paraId="6B121CB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4" w:type="dxa"/>
                  <w:shd w:val="clear" w:color="auto" w:fill="auto"/>
                  <w:vAlign w:val="center"/>
                </w:tcPr>
                <w:p w14:paraId="7EAF3561">
                  <w:pPr>
                    <w:numPr>
                      <w:ilvl w:val="0"/>
                      <w:numId w:val="2"/>
                    </w:numPr>
                    <w:adjustRightInd w:val="0"/>
                    <w:snapToGrid w:val="0"/>
                    <w:jc w:val="center"/>
                    <w:rPr>
                      <w:szCs w:val="21"/>
                    </w:rPr>
                  </w:pPr>
                </w:p>
              </w:tc>
              <w:tc>
                <w:tcPr>
                  <w:tcW w:w="4015" w:type="dxa"/>
                  <w:shd w:val="clear" w:color="auto" w:fill="auto"/>
                  <w:vAlign w:val="center"/>
                </w:tcPr>
                <w:p w14:paraId="25467AD1">
                  <w:pPr>
                    <w:adjustRightInd w:val="0"/>
                    <w:snapToGrid w:val="0"/>
                    <w:jc w:val="center"/>
                    <w:rPr>
                      <w:szCs w:val="21"/>
                    </w:rPr>
                  </w:pPr>
                  <w:r>
                    <w:rPr>
                      <w:rFonts w:hint="eastAsia"/>
                      <w:szCs w:val="21"/>
                    </w:rPr>
                    <w:t>抗震标准</w:t>
                  </w:r>
                </w:p>
              </w:tc>
              <w:tc>
                <w:tcPr>
                  <w:tcW w:w="2448" w:type="dxa"/>
                  <w:shd w:val="clear" w:color="auto" w:fill="auto"/>
                  <w:vAlign w:val="center"/>
                </w:tcPr>
                <w:p w14:paraId="25DA2149">
                  <w:pPr>
                    <w:adjustRightInd w:val="0"/>
                    <w:snapToGrid w:val="0"/>
                    <w:jc w:val="center"/>
                    <w:rPr>
                      <w:szCs w:val="21"/>
                    </w:rPr>
                  </w:pPr>
                  <w:r>
                    <w:rPr>
                      <w:rFonts w:hint="eastAsia"/>
                      <w:szCs w:val="21"/>
                    </w:rPr>
                    <w:t>g</w:t>
                  </w:r>
                </w:p>
              </w:tc>
              <w:tc>
                <w:tcPr>
                  <w:tcW w:w="2448" w:type="dxa"/>
                  <w:shd w:val="clear" w:color="auto" w:fill="auto"/>
                  <w:vAlign w:val="center"/>
                </w:tcPr>
                <w:p w14:paraId="5BE1D2CF">
                  <w:pPr>
                    <w:adjustRightInd w:val="0"/>
                    <w:snapToGrid w:val="0"/>
                    <w:jc w:val="center"/>
                    <w:rPr>
                      <w:szCs w:val="21"/>
                    </w:rPr>
                  </w:pPr>
                  <w:r>
                    <w:rPr>
                      <w:rFonts w:hint="eastAsia"/>
                      <w:szCs w:val="21"/>
                    </w:rPr>
                    <w:t>加速度系数 0.05</w:t>
                  </w:r>
                </w:p>
              </w:tc>
            </w:tr>
          </w:tbl>
          <w:p w14:paraId="381823F7">
            <w:pPr>
              <w:spacing w:before="120" w:beforeLines="50" w:line="360" w:lineRule="auto"/>
              <w:ind w:firstLine="420"/>
              <w:jc w:val="center"/>
              <w:rPr>
                <w:b/>
                <w:bCs/>
                <w:szCs w:val="21"/>
              </w:rPr>
            </w:pPr>
            <w:r>
              <w:rPr>
                <w:b/>
                <w:bCs/>
                <w:szCs w:val="21"/>
              </w:rPr>
              <w:t>表2-2  项目</w:t>
            </w:r>
            <w:r>
              <w:rPr>
                <w:rFonts w:hint="eastAsia"/>
                <w:b/>
                <w:bCs/>
                <w:szCs w:val="21"/>
              </w:rPr>
              <w:t>工程</w:t>
            </w:r>
            <w:r>
              <w:rPr>
                <w:b/>
                <w:bCs/>
                <w:szCs w:val="21"/>
              </w:rPr>
              <w:t>组成一览表</w:t>
            </w:r>
          </w:p>
          <w:tbl>
            <w:tblPr>
              <w:tblStyle w:val="33"/>
              <w:tblW w:w="498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700"/>
              <w:gridCol w:w="1125"/>
              <w:gridCol w:w="7098"/>
            </w:tblGrid>
            <w:tr w14:paraId="53D3D70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348" w:type="pct"/>
                  <w:gridSpan w:val="3"/>
                  <w:vAlign w:val="center"/>
                </w:tcPr>
                <w:p w14:paraId="1F04955A">
                  <w:pPr>
                    <w:jc w:val="center"/>
                    <w:rPr>
                      <w:b/>
                      <w:bCs/>
                      <w:szCs w:val="21"/>
                    </w:rPr>
                  </w:pPr>
                  <w:r>
                    <w:rPr>
                      <w:b/>
                      <w:bCs/>
                      <w:szCs w:val="21"/>
                    </w:rPr>
                    <w:t>工程类别</w:t>
                  </w:r>
                </w:p>
              </w:tc>
              <w:tc>
                <w:tcPr>
                  <w:tcW w:w="3652" w:type="pct"/>
                  <w:vAlign w:val="center"/>
                </w:tcPr>
                <w:p w14:paraId="141184A7">
                  <w:pPr>
                    <w:jc w:val="center"/>
                    <w:rPr>
                      <w:b/>
                      <w:bCs/>
                      <w:szCs w:val="21"/>
                    </w:rPr>
                  </w:pPr>
                  <w:r>
                    <w:rPr>
                      <w:b/>
                      <w:bCs/>
                      <w:szCs w:val="21"/>
                    </w:rPr>
                    <w:t>建设内容及规模</w:t>
                  </w:r>
                </w:p>
              </w:tc>
            </w:tr>
            <w:tr w14:paraId="3D1DD69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409" w:type="pct"/>
                  <w:vMerge w:val="restart"/>
                  <w:vAlign w:val="center"/>
                </w:tcPr>
                <w:p w14:paraId="755671C5">
                  <w:pPr>
                    <w:jc w:val="center"/>
                    <w:rPr>
                      <w:szCs w:val="21"/>
                    </w:rPr>
                  </w:pPr>
                  <w:r>
                    <w:rPr>
                      <w:szCs w:val="21"/>
                    </w:rPr>
                    <w:t>主体工程</w:t>
                  </w:r>
                </w:p>
              </w:tc>
              <w:tc>
                <w:tcPr>
                  <w:tcW w:w="939" w:type="pct"/>
                  <w:gridSpan w:val="2"/>
                  <w:vAlign w:val="center"/>
                </w:tcPr>
                <w:p w14:paraId="46582EB3">
                  <w:pPr>
                    <w:jc w:val="center"/>
                    <w:rPr>
                      <w:szCs w:val="21"/>
                    </w:rPr>
                  </w:pPr>
                  <w:r>
                    <w:rPr>
                      <w:rFonts w:hint="eastAsia"/>
                      <w:szCs w:val="21"/>
                    </w:rPr>
                    <w:t>道路</w:t>
                  </w:r>
                  <w:r>
                    <w:rPr>
                      <w:szCs w:val="21"/>
                    </w:rPr>
                    <w:t>工程</w:t>
                  </w:r>
                </w:p>
              </w:tc>
              <w:tc>
                <w:tcPr>
                  <w:tcW w:w="3652" w:type="pct"/>
                  <w:vAlign w:val="center"/>
                </w:tcPr>
                <w:p w14:paraId="779E888B">
                  <w:pPr>
                    <w:adjustRightInd w:val="0"/>
                    <w:snapToGrid w:val="0"/>
                    <w:rPr>
                      <w:szCs w:val="21"/>
                    </w:rPr>
                  </w:pPr>
                  <w:r>
                    <w:rPr>
                      <w:rFonts w:hint="eastAsia"/>
                      <w:szCs w:val="21"/>
                    </w:rPr>
                    <w:t>道路全长332m，</w:t>
                  </w:r>
                  <w:r>
                    <w:rPr>
                      <w:rFonts w:hint="eastAsia"/>
                      <w:kern w:val="0"/>
                      <w:szCs w:val="21"/>
                    </w:rPr>
                    <w:t>总用地面积约</w:t>
                  </w:r>
                  <w:r>
                    <w:rPr>
                      <w:rFonts w:hint="eastAsia"/>
                      <w:szCs w:val="21"/>
                    </w:rPr>
                    <w:t>3.43hm</w:t>
                  </w:r>
                  <w:r>
                    <w:rPr>
                      <w:rFonts w:hint="eastAsia"/>
                      <w:szCs w:val="21"/>
                      <w:vertAlign w:val="superscript"/>
                    </w:rPr>
                    <w:t>2</w:t>
                  </w:r>
                  <w:r>
                    <w:rPr>
                      <w:rFonts w:hint="eastAsia"/>
                      <w:kern w:val="0"/>
                      <w:szCs w:val="21"/>
                    </w:rPr>
                    <w:t>，道路永久用地面积为</w:t>
                  </w:r>
                  <w:r>
                    <w:rPr>
                      <w:rFonts w:hint="eastAsia"/>
                      <w:szCs w:val="21"/>
                    </w:rPr>
                    <w:t>3.43hm</w:t>
                  </w:r>
                  <w:r>
                    <w:rPr>
                      <w:rFonts w:hint="eastAsia"/>
                      <w:szCs w:val="21"/>
                      <w:vertAlign w:val="superscript"/>
                    </w:rPr>
                    <w:t>2</w:t>
                  </w:r>
                  <w:r>
                    <w:rPr>
                      <w:rFonts w:hint="eastAsia"/>
                      <w:kern w:val="0"/>
                      <w:szCs w:val="21"/>
                    </w:rPr>
                    <w:t>，道路等级为城市主干道，</w:t>
                  </w:r>
                  <w:r>
                    <w:rPr>
                      <w:rFonts w:hint="eastAsia"/>
                      <w:szCs w:val="21"/>
                    </w:rPr>
                    <w:t>双向6车道，道路红线宽34.5m，设计速度为60km/h。</w:t>
                  </w:r>
                </w:p>
              </w:tc>
            </w:tr>
            <w:tr w14:paraId="23B4C88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409" w:type="pct"/>
                  <w:vMerge w:val="continue"/>
                  <w:vAlign w:val="center"/>
                </w:tcPr>
                <w:p w14:paraId="724ECDA9">
                  <w:pPr>
                    <w:jc w:val="center"/>
                    <w:rPr>
                      <w:szCs w:val="21"/>
                    </w:rPr>
                  </w:pPr>
                </w:p>
              </w:tc>
              <w:tc>
                <w:tcPr>
                  <w:tcW w:w="939" w:type="pct"/>
                  <w:gridSpan w:val="2"/>
                  <w:vAlign w:val="center"/>
                </w:tcPr>
                <w:p w14:paraId="353C8149">
                  <w:pPr>
                    <w:jc w:val="center"/>
                    <w:rPr>
                      <w:szCs w:val="21"/>
                    </w:rPr>
                  </w:pPr>
                  <w:r>
                    <w:rPr>
                      <w:szCs w:val="21"/>
                    </w:rPr>
                    <w:t>路面工程</w:t>
                  </w:r>
                </w:p>
              </w:tc>
              <w:tc>
                <w:tcPr>
                  <w:tcW w:w="3652" w:type="pct"/>
                  <w:vAlign w:val="center"/>
                </w:tcPr>
                <w:p w14:paraId="6215E61C">
                  <w:pPr>
                    <w:adjustRightInd w:val="0"/>
                    <w:snapToGrid w:val="0"/>
                    <w:rPr>
                      <w:szCs w:val="21"/>
                    </w:rPr>
                  </w:pPr>
                  <w:r>
                    <w:rPr>
                      <w:rFonts w:hint="eastAsia"/>
                      <w:szCs w:val="21"/>
                    </w:rPr>
                    <w:t>半刚性基层沥青混凝土路面，沥青混凝土路面表面层结构采用AC-13C混合料。</w:t>
                  </w:r>
                </w:p>
              </w:tc>
            </w:tr>
            <w:tr w14:paraId="2EF9E80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409" w:type="pct"/>
                  <w:vMerge w:val="continue"/>
                  <w:vAlign w:val="center"/>
                </w:tcPr>
                <w:p w14:paraId="1E309064">
                  <w:pPr>
                    <w:jc w:val="center"/>
                    <w:rPr>
                      <w:szCs w:val="21"/>
                    </w:rPr>
                  </w:pPr>
                </w:p>
              </w:tc>
              <w:tc>
                <w:tcPr>
                  <w:tcW w:w="939" w:type="pct"/>
                  <w:gridSpan w:val="2"/>
                  <w:vAlign w:val="center"/>
                </w:tcPr>
                <w:p w14:paraId="4867FB4C">
                  <w:pPr>
                    <w:jc w:val="center"/>
                    <w:rPr>
                      <w:szCs w:val="21"/>
                    </w:rPr>
                  </w:pPr>
                  <w:r>
                    <w:rPr>
                      <w:rFonts w:hint="eastAsia"/>
                      <w:szCs w:val="21"/>
                    </w:rPr>
                    <w:t>路基工程</w:t>
                  </w:r>
                </w:p>
              </w:tc>
              <w:tc>
                <w:tcPr>
                  <w:tcW w:w="3652" w:type="pct"/>
                  <w:vAlign w:val="center"/>
                </w:tcPr>
                <w:p w14:paraId="008E3F77">
                  <w:pPr>
                    <w:adjustRightInd w:val="0"/>
                    <w:snapToGrid w:val="0"/>
                    <w:rPr>
                      <w:szCs w:val="21"/>
                    </w:rPr>
                  </w:pPr>
                  <w:r>
                    <w:rPr>
                      <w:rFonts w:hint="eastAsia"/>
                      <w:szCs w:val="21"/>
                    </w:rPr>
                    <w:t>双向6车道，道路红线宽34.5m，按城市主干路标准，设计速度为60km/h 。</w:t>
                  </w:r>
                </w:p>
              </w:tc>
            </w:tr>
            <w:tr w14:paraId="6BC9A1A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restart"/>
                  <w:vAlign w:val="center"/>
                </w:tcPr>
                <w:p w14:paraId="56162203">
                  <w:pPr>
                    <w:jc w:val="center"/>
                    <w:rPr>
                      <w:szCs w:val="21"/>
                    </w:rPr>
                  </w:pPr>
                  <w:r>
                    <w:rPr>
                      <w:szCs w:val="21"/>
                    </w:rPr>
                    <w:t>辅助工程</w:t>
                  </w:r>
                </w:p>
              </w:tc>
              <w:tc>
                <w:tcPr>
                  <w:tcW w:w="939" w:type="pct"/>
                  <w:gridSpan w:val="2"/>
                  <w:vAlign w:val="center"/>
                </w:tcPr>
                <w:p w14:paraId="2ED8E010">
                  <w:pPr>
                    <w:jc w:val="center"/>
                    <w:rPr>
                      <w:szCs w:val="21"/>
                    </w:rPr>
                  </w:pPr>
                  <w:r>
                    <w:rPr>
                      <w:szCs w:val="21"/>
                    </w:rPr>
                    <w:t>交通工程</w:t>
                  </w:r>
                </w:p>
              </w:tc>
              <w:tc>
                <w:tcPr>
                  <w:tcW w:w="3652" w:type="pct"/>
                  <w:vAlign w:val="center"/>
                </w:tcPr>
                <w:p w14:paraId="0A38390A">
                  <w:pPr>
                    <w:adjustRightInd w:val="0"/>
                    <w:snapToGrid w:val="0"/>
                    <w:rPr>
                      <w:szCs w:val="21"/>
                    </w:rPr>
                  </w:pPr>
                  <w:r>
                    <w:rPr>
                      <w:szCs w:val="21"/>
                    </w:rPr>
                    <w:t>交通安全设施（包含标志、标线、防护设施等）设置，在道路交叉口预留处预留交通监控检查井及过路预埋管</w:t>
                  </w:r>
                  <w:r>
                    <w:rPr>
                      <w:rFonts w:hint="eastAsia"/>
                      <w:szCs w:val="21"/>
                    </w:rPr>
                    <w:t>。</w:t>
                  </w:r>
                </w:p>
              </w:tc>
            </w:tr>
            <w:tr w14:paraId="05B9743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09" w:type="pct"/>
                  <w:vMerge w:val="continue"/>
                  <w:vAlign w:val="center"/>
                </w:tcPr>
                <w:p w14:paraId="75D9CCDA">
                  <w:pPr>
                    <w:jc w:val="center"/>
                    <w:rPr>
                      <w:szCs w:val="21"/>
                    </w:rPr>
                  </w:pPr>
                </w:p>
              </w:tc>
              <w:tc>
                <w:tcPr>
                  <w:tcW w:w="939" w:type="pct"/>
                  <w:gridSpan w:val="2"/>
                  <w:vAlign w:val="center"/>
                </w:tcPr>
                <w:p w14:paraId="6EB310A6">
                  <w:pPr>
                    <w:jc w:val="center"/>
                    <w:rPr>
                      <w:szCs w:val="21"/>
                    </w:rPr>
                  </w:pPr>
                  <w:r>
                    <w:rPr>
                      <w:szCs w:val="21"/>
                    </w:rPr>
                    <w:t>给水工程</w:t>
                  </w:r>
                </w:p>
              </w:tc>
              <w:tc>
                <w:tcPr>
                  <w:tcW w:w="3652" w:type="pct"/>
                  <w:vAlign w:val="center"/>
                </w:tcPr>
                <w:p w14:paraId="2DF69AE4">
                  <w:pPr>
                    <w:jc w:val="left"/>
                    <w:rPr>
                      <w:szCs w:val="21"/>
                    </w:rPr>
                  </w:pPr>
                  <w:r>
                    <w:rPr>
                      <w:rFonts w:hint="eastAsia"/>
                      <w:szCs w:val="21"/>
                    </w:rPr>
                    <w:t>本工程给水管线仅预留管位。主体设计于道路中央绿化带下方布设有绿化给水管线(DN20~50)，总长度331m。</w:t>
                  </w:r>
                </w:p>
              </w:tc>
            </w:tr>
            <w:tr w14:paraId="7FDDA63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1C9759BE">
                  <w:pPr>
                    <w:jc w:val="center"/>
                    <w:rPr>
                      <w:szCs w:val="21"/>
                    </w:rPr>
                  </w:pPr>
                </w:p>
              </w:tc>
              <w:tc>
                <w:tcPr>
                  <w:tcW w:w="939" w:type="pct"/>
                  <w:gridSpan w:val="2"/>
                  <w:vAlign w:val="center"/>
                </w:tcPr>
                <w:p w14:paraId="2755D923">
                  <w:pPr>
                    <w:jc w:val="center"/>
                    <w:rPr>
                      <w:szCs w:val="21"/>
                    </w:rPr>
                  </w:pPr>
                  <w:r>
                    <w:rPr>
                      <w:szCs w:val="21"/>
                    </w:rPr>
                    <w:t>排水工程</w:t>
                  </w:r>
                </w:p>
              </w:tc>
              <w:tc>
                <w:tcPr>
                  <w:tcW w:w="3652" w:type="pct"/>
                  <w:vAlign w:val="center"/>
                </w:tcPr>
                <w:p w14:paraId="5D358A82">
                  <w:pPr>
                    <w:jc w:val="left"/>
                    <w:rPr>
                      <w:szCs w:val="21"/>
                    </w:rPr>
                  </w:pPr>
                  <w:r>
                    <w:rPr>
                      <w:rFonts w:hint="eastAsia"/>
                      <w:szCs w:val="21"/>
                    </w:rPr>
                    <w:t>道路红线宽度为34.5米，为顺接上游双侧已设计雨水管道，本项目采用双侧布管，雨水管道布置在道路两侧机动车道下，收集道路两侧地块雨水及路面雨水，管径为DN300~1800，根据道路纵坡，自西向东排入终点一号公路体育路立交范围内的白石排洪渠，位于终点南侧，本工程雨水管道总长780m。</w:t>
                  </w:r>
                </w:p>
                <w:p w14:paraId="0E874D8D">
                  <w:pPr>
                    <w:jc w:val="left"/>
                    <w:rPr>
                      <w:b/>
                      <w:bCs/>
                      <w:szCs w:val="21"/>
                    </w:rPr>
                  </w:pPr>
                  <w:r>
                    <w:rPr>
                      <w:rFonts w:hint="eastAsia"/>
                      <w:szCs w:val="21"/>
                    </w:rPr>
                    <w:t>根据《博罗县城排水工程专项规划(2015-2030年)》，本工程范围内无规划污水管道，主要因为本工程北侧为建成的高尔夫球场，其污水已由其他路段承接，南侧为山林绿地，无污水排放需求。</w:t>
                  </w:r>
                </w:p>
              </w:tc>
            </w:tr>
            <w:tr w14:paraId="264E365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0FA4DD92">
                  <w:pPr>
                    <w:jc w:val="center"/>
                    <w:rPr>
                      <w:szCs w:val="21"/>
                    </w:rPr>
                  </w:pPr>
                </w:p>
              </w:tc>
              <w:tc>
                <w:tcPr>
                  <w:tcW w:w="939" w:type="pct"/>
                  <w:gridSpan w:val="2"/>
                  <w:vAlign w:val="center"/>
                </w:tcPr>
                <w:p w14:paraId="348314D5">
                  <w:pPr>
                    <w:jc w:val="center"/>
                    <w:rPr>
                      <w:szCs w:val="21"/>
                    </w:rPr>
                  </w:pPr>
                  <w:r>
                    <w:rPr>
                      <w:rFonts w:hint="eastAsia"/>
                      <w:szCs w:val="21"/>
                    </w:rPr>
                    <w:t>照明</w:t>
                  </w:r>
                  <w:r>
                    <w:rPr>
                      <w:szCs w:val="21"/>
                    </w:rPr>
                    <w:t>工程</w:t>
                  </w:r>
                </w:p>
              </w:tc>
              <w:tc>
                <w:tcPr>
                  <w:tcW w:w="3652" w:type="pct"/>
                  <w:vAlign w:val="center"/>
                </w:tcPr>
                <w:p w14:paraId="1C0C4A3C">
                  <w:pPr>
                    <w:adjustRightInd w:val="0"/>
                    <w:snapToGrid w:val="0"/>
                    <w:jc w:val="left"/>
                    <w:rPr>
                      <w:szCs w:val="21"/>
                    </w:rPr>
                  </w:pPr>
                  <w:r>
                    <w:rPr>
                      <w:rFonts w:hint="eastAsia"/>
                      <w:szCs w:val="21"/>
                    </w:rPr>
                    <w:t>在中央分隔带设计12m/12m双等臂路灯，臂长2.0m/2.0m，仰角为12°/12°，功率为220W1220WLED，水平间距为35m，灯杆布置在中央分带中间。在人行道设计4m庭院灯，功率为20WLED，水平间距为20m，灯杆距路缘石0.45m。</w:t>
                  </w:r>
                </w:p>
              </w:tc>
            </w:tr>
            <w:tr w14:paraId="484D42A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495B4699">
                  <w:pPr>
                    <w:jc w:val="center"/>
                    <w:rPr>
                      <w:szCs w:val="21"/>
                    </w:rPr>
                  </w:pPr>
                </w:p>
              </w:tc>
              <w:tc>
                <w:tcPr>
                  <w:tcW w:w="939" w:type="pct"/>
                  <w:gridSpan w:val="2"/>
                  <w:vAlign w:val="center"/>
                </w:tcPr>
                <w:p w14:paraId="1BA5EDBE">
                  <w:pPr>
                    <w:jc w:val="center"/>
                    <w:rPr>
                      <w:szCs w:val="21"/>
                    </w:rPr>
                  </w:pPr>
                  <w:r>
                    <w:rPr>
                      <w:rFonts w:hint="eastAsia"/>
                      <w:szCs w:val="21"/>
                    </w:rPr>
                    <w:t>电力通信工程</w:t>
                  </w:r>
                </w:p>
              </w:tc>
              <w:tc>
                <w:tcPr>
                  <w:tcW w:w="3652" w:type="pct"/>
                  <w:vAlign w:val="center"/>
                </w:tcPr>
                <w:p w14:paraId="683A811D">
                  <w:pPr>
                    <w:jc w:val="left"/>
                    <w:rPr>
                      <w:szCs w:val="21"/>
                    </w:rPr>
                  </w:pPr>
                  <w:r>
                    <w:rPr>
                      <w:rFonts w:hint="eastAsia"/>
                      <w:szCs w:val="21"/>
                    </w:rPr>
                    <w:t>新建18孔电力通道和1</w:t>
                  </w:r>
                  <w:r>
                    <w:rPr>
                      <w:szCs w:val="21"/>
                    </w:rPr>
                    <w:t>8</w:t>
                  </w:r>
                  <w:r>
                    <w:rPr>
                      <w:rFonts w:hint="eastAsia"/>
                      <w:szCs w:val="21"/>
                    </w:rPr>
                    <w:t>孔通信管群。</w:t>
                  </w:r>
                </w:p>
              </w:tc>
            </w:tr>
            <w:tr w14:paraId="5394C7F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5907CA1B">
                  <w:pPr>
                    <w:jc w:val="center"/>
                    <w:rPr>
                      <w:szCs w:val="21"/>
                    </w:rPr>
                  </w:pPr>
                </w:p>
              </w:tc>
              <w:tc>
                <w:tcPr>
                  <w:tcW w:w="939" w:type="pct"/>
                  <w:gridSpan w:val="2"/>
                  <w:vAlign w:val="center"/>
                </w:tcPr>
                <w:p w14:paraId="5D512A94">
                  <w:pPr>
                    <w:jc w:val="center"/>
                    <w:rPr>
                      <w:szCs w:val="21"/>
                    </w:rPr>
                  </w:pPr>
                  <w:r>
                    <w:rPr>
                      <w:rFonts w:hint="eastAsia"/>
                      <w:szCs w:val="21"/>
                    </w:rPr>
                    <w:t>绿化</w:t>
                  </w:r>
                  <w:r>
                    <w:rPr>
                      <w:szCs w:val="21"/>
                    </w:rPr>
                    <w:t>工程</w:t>
                  </w:r>
                </w:p>
              </w:tc>
              <w:tc>
                <w:tcPr>
                  <w:tcW w:w="3652" w:type="pct"/>
                  <w:vAlign w:val="center"/>
                </w:tcPr>
                <w:p w14:paraId="0284AB40">
                  <w:pPr>
                    <w:jc w:val="left"/>
                    <w:rPr>
                      <w:szCs w:val="21"/>
                    </w:rPr>
                  </w:pPr>
                  <w:r>
                    <w:rPr>
                      <w:rFonts w:hint="eastAsia"/>
                      <w:szCs w:val="21"/>
                    </w:rPr>
                    <w:t>本项目绿化总面积约946m</w:t>
                  </w:r>
                  <w:r>
                    <w:rPr>
                      <w:rFonts w:hint="eastAsia"/>
                      <w:szCs w:val="21"/>
                      <w:vertAlign w:val="superscript"/>
                    </w:rPr>
                    <w:t>2</w:t>
                  </w:r>
                  <w:r>
                    <w:rPr>
                      <w:rFonts w:hint="eastAsia"/>
                      <w:szCs w:val="21"/>
                    </w:rPr>
                    <w:t>，主要为中间分隔带绿化设计，充分利用多种植物的不同形态、色彩，以形成道路种植特色。中央分隔带:宽度为3米。设计微坡地形，地被以草皮为主，大灌木组团交替种植，点缀色彩丰富的地被，满足防眩光要求，丰富景观层次，形成整洁简约、开放通透的疏林草地景观。美化道路景观的同时，满足防眩、滞尘、吸收尾气的功能要求。主要品种细叶紫薇、丛生红花玉蕊、狗牙花、灰莉球等。</w:t>
                  </w:r>
                </w:p>
              </w:tc>
            </w:tr>
            <w:tr w14:paraId="277EBDD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restart"/>
                  <w:vAlign w:val="center"/>
                </w:tcPr>
                <w:p w14:paraId="1B4AF746">
                  <w:pPr>
                    <w:jc w:val="center"/>
                    <w:rPr>
                      <w:szCs w:val="21"/>
                    </w:rPr>
                  </w:pPr>
                  <w:r>
                    <w:rPr>
                      <w:szCs w:val="21"/>
                    </w:rPr>
                    <w:t>临时工程</w:t>
                  </w:r>
                </w:p>
              </w:tc>
              <w:tc>
                <w:tcPr>
                  <w:tcW w:w="939" w:type="pct"/>
                  <w:gridSpan w:val="2"/>
                  <w:vAlign w:val="center"/>
                </w:tcPr>
                <w:p w14:paraId="5EC2B4EC">
                  <w:pPr>
                    <w:jc w:val="center"/>
                    <w:rPr>
                      <w:szCs w:val="21"/>
                    </w:rPr>
                  </w:pPr>
                  <w:r>
                    <w:rPr>
                      <w:szCs w:val="21"/>
                    </w:rPr>
                    <w:t>临时便道</w:t>
                  </w:r>
                </w:p>
              </w:tc>
              <w:tc>
                <w:tcPr>
                  <w:tcW w:w="3652" w:type="pct"/>
                  <w:vAlign w:val="center"/>
                </w:tcPr>
                <w:p w14:paraId="31B85913">
                  <w:pPr>
                    <w:jc w:val="left"/>
                    <w:rPr>
                      <w:szCs w:val="21"/>
                    </w:rPr>
                  </w:pPr>
                  <w:r>
                    <w:rPr>
                      <w:szCs w:val="21"/>
                    </w:rPr>
                    <w:t>因项目周边交通路网已成熟，项目施工</w:t>
                  </w:r>
                  <w:r>
                    <w:rPr>
                      <w:rFonts w:hint="eastAsia"/>
                      <w:szCs w:val="21"/>
                    </w:rPr>
                    <w:t>便道依托已有道路，</w:t>
                  </w:r>
                  <w:r>
                    <w:rPr>
                      <w:szCs w:val="21"/>
                    </w:rPr>
                    <w:t>无需</w:t>
                  </w:r>
                  <w:r>
                    <w:rPr>
                      <w:rFonts w:hint="eastAsia"/>
                      <w:szCs w:val="21"/>
                    </w:rPr>
                    <w:t>新</w:t>
                  </w:r>
                  <w:r>
                    <w:rPr>
                      <w:szCs w:val="21"/>
                    </w:rPr>
                    <w:t>设临时便道。</w:t>
                  </w:r>
                  <w:r>
                    <w:rPr>
                      <w:rFonts w:hint="eastAsia"/>
                    </w:rPr>
                    <w:t>施工车辆通过已建成的体育大道和正在施工的体育大道东延段（二期）进入本项目，体育大道为现状成熟道路，体育大道东延段（二期）与本项目直接对接。</w:t>
                  </w:r>
                </w:p>
              </w:tc>
            </w:tr>
            <w:tr w14:paraId="53E2F5D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1902709D">
                  <w:pPr>
                    <w:jc w:val="center"/>
                    <w:rPr>
                      <w:szCs w:val="21"/>
                    </w:rPr>
                  </w:pPr>
                </w:p>
              </w:tc>
              <w:tc>
                <w:tcPr>
                  <w:tcW w:w="939" w:type="pct"/>
                  <w:gridSpan w:val="2"/>
                  <w:vAlign w:val="center"/>
                </w:tcPr>
                <w:p w14:paraId="223D7B89">
                  <w:pPr>
                    <w:jc w:val="center"/>
                    <w:rPr>
                      <w:szCs w:val="21"/>
                    </w:rPr>
                  </w:pPr>
                  <w:r>
                    <w:rPr>
                      <w:szCs w:val="21"/>
                    </w:rPr>
                    <w:t>施工营地</w:t>
                  </w:r>
                </w:p>
              </w:tc>
              <w:tc>
                <w:tcPr>
                  <w:tcW w:w="3652" w:type="pct"/>
                  <w:vAlign w:val="center"/>
                </w:tcPr>
                <w:p w14:paraId="69F50A0C">
                  <w:pPr>
                    <w:jc w:val="left"/>
                    <w:rPr>
                      <w:szCs w:val="21"/>
                    </w:rPr>
                  </w:pPr>
                  <w:r>
                    <w:rPr>
                      <w:rFonts w:hint="eastAsia"/>
                      <w:szCs w:val="21"/>
                    </w:rPr>
                    <w:t>本项目施工人员采用租赁附近民房形式解决住房，施工期间材料堆放于场地内部空闲用地，位置详见附图6，无需新增临时占地。</w:t>
                  </w:r>
                </w:p>
              </w:tc>
            </w:tr>
            <w:tr w14:paraId="5D5790E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40EC2FB5">
                  <w:pPr>
                    <w:jc w:val="center"/>
                    <w:rPr>
                      <w:szCs w:val="21"/>
                    </w:rPr>
                  </w:pPr>
                </w:p>
              </w:tc>
              <w:tc>
                <w:tcPr>
                  <w:tcW w:w="939" w:type="pct"/>
                  <w:gridSpan w:val="2"/>
                  <w:vAlign w:val="center"/>
                </w:tcPr>
                <w:p w14:paraId="50D7CDD1">
                  <w:pPr>
                    <w:jc w:val="center"/>
                    <w:rPr>
                      <w:szCs w:val="21"/>
                    </w:rPr>
                  </w:pPr>
                  <w:r>
                    <w:rPr>
                      <w:rFonts w:hint="eastAsia"/>
                      <w:szCs w:val="21"/>
                    </w:rPr>
                    <w:t>临时沉砂池</w:t>
                  </w:r>
                </w:p>
              </w:tc>
              <w:tc>
                <w:tcPr>
                  <w:tcW w:w="3652" w:type="pct"/>
                  <w:vAlign w:val="center"/>
                </w:tcPr>
                <w:p w14:paraId="578CDB25">
                  <w:pPr>
                    <w:jc w:val="left"/>
                    <w:rPr>
                      <w:szCs w:val="21"/>
                    </w:rPr>
                  </w:pPr>
                  <w:bookmarkStart w:id="23" w:name="OLE_LINK125"/>
                  <w:r>
                    <w:rPr>
                      <w:rFonts w:hint="eastAsia"/>
                      <w:szCs w:val="21"/>
                    </w:rPr>
                    <w:t>项目施工期在南侧人行道排水沟排水出口处设置沉沙池1座，规格为3.0m×2.0m×1.5m；</w:t>
                  </w:r>
                </w:p>
                <w:p w14:paraId="04BD1B74">
                  <w:pPr>
                    <w:jc w:val="left"/>
                    <w:rPr>
                      <w:szCs w:val="21"/>
                    </w:rPr>
                  </w:pPr>
                  <w:r>
                    <w:rPr>
                      <w:rFonts w:hint="eastAsia"/>
                      <w:szCs w:val="21"/>
                    </w:rPr>
                    <w:t>在填方边坡排水口处设置沉沙池3座，规格为3.0m×2.0m×1.5m。</w:t>
                  </w:r>
                  <w:bookmarkEnd w:id="23"/>
                </w:p>
              </w:tc>
            </w:tr>
            <w:tr w14:paraId="0B168FE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5F8AF945">
                  <w:pPr>
                    <w:jc w:val="center"/>
                    <w:rPr>
                      <w:szCs w:val="21"/>
                    </w:rPr>
                  </w:pPr>
                </w:p>
              </w:tc>
              <w:tc>
                <w:tcPr>
                  <w:tcW w:w="939" w:type="pct"/>
                  <w:gridSpan w:val="2"/>
                  <w:vAlign w:val="center"/>
                </w:tcPr>
                <w:p w14:paraId="48CB5D6A">
                  <w:pPr>
                    <w:jc w:val="center"/>
                    <w:rPr>
                      <w:szCs w:val="21"/>
                    </w:rPr>
                  </w:pPr>
                  <w:r>
                    <w:rPr>
                      <w:rFonts w:hint="eastAsia"/>
                      <w:szCs w:val="21"/>
                    </w:rPr>
                    <w:t>临时围栏</w:t>
                  </w:r>
                </w:p>
              </w:tc>
              <w:tc>
                <w:tcPr>
                  <w:tcW w:w="3652" w:type="pct"/>
                  <w:vAlign w:val="center"/>
                </w:tcPr>
                <w:p w14:paraId="1308D35E">
                  <w:pPr>
                    <w:jc w:val="left"/>
                    <w:rPr>
                      <w:szCs w:val="21"/>
                    </w:rPr>
                  </w:pPr>
                  <w:r>
                    <w:rPr>
                      <w:rFonts w:hint="eastAsia"/>
                      <w:szCs w:val="21"/>
                    </w:rPr>
                    <w:t>施工过程中场地内施工区域设置施工围栏。</w:t>
                  </w:r>
                </w:p>
              </w:tc>
            </w:tr>
            <w:tr w14:paraId="6705CEB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243811D4">
                  <w:pPr>
                    <w:jc w:val="center"/>
                    <w:rPr>
                      <w:szCs w:val="21"/>
                    </w:rPr>
                  </w:pPr>
                </w:p>
              </w:tc>
              <w:tc>
                <w:tcPr>
                  <w:tcW w:w="939" w:type="pct"/>
                  <w:gridSpan w:val="2"/>
                  <w:vAlign w:val="center"/>
                </w:tcPr>
                <w:p w14:paraId="34415EE5">
                  <w:pPr>
                    <w:jc w:val="center"/>
                    <w:rPr>
                      <w:szCs w:val="21"/>
                    </w:rPr>
                  </w:pPr>
                  <w:r>
                    <w:rPr>
                      <w:rFonts w:hint="eastAsia"/>
                      <w:szCs w:val="21"/>
                    </w:rPr>
                    <w:t>表土堆放</w:t>
                  </w:r>
                </w:p>
              </w:tc>
              <w:tc>
                <w:tcPr>
                  <w:tcW w:w="3652" w:type="pct"/>
                  <w:vAlign w:val="center"/>
                </w:tcPr>
                <w:p w14:paraId="382934F1">
                  <w:pPr>
                    <w:jc w:val="left"/>
                    <w:rPr>
                      <w:szCs w:val="21"/>
                    </w:rPr>
                  </w:pPr>
                  <w:r>
                    <w:rPr>
                      <w:rFonts w:hint="eastAsia"/>
                      <w:szCs w:val="21"/>
                    </w:rPr>
                    <w:t>表土临时堆放于场地内部空闲用地，无需新增临时占地。</w:t>
                  </w:r>
                </w:p>
              </w:tc>
            </w:tr>
            <w:tr w14:paraId="748578C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47BAF705">
                  <w:pPr>
                    <w:jc w:val="center"/>
                    <w:rPr>
                      <w:szCs w:val="21"/>
                    </w:rPr>
                  </w:pPr>
                </w:p>
              </w:tc>
              <w:tc>
                <w:tcPr>
                  <w:tcW w:w="939" w:type="pct"/>
                  <w:gridSpan w:val="2"/>
                  <w:vAlign w:val="center"/>
                </w:tcPr>
                <w:p w14:paraId="0FF7AA1B">
                  <w:pPr>
                    <w:jc w:val="center"/>
                    <w:rPr>
                      <w:szCs w:val="21"/>
                    </w:rPr>
                  </w:pPr>
                  <w:r>
                    <w:rPr>
                      <w:rFonts w:hint="eastAsia"/>
                      <w:szCs w:val="21"/>
                    </w:rPr>
                    <w:t>取弃土场</w:t>
                  </w:r>
                </w:p>
              </w:tc>
              <w:tc>
                <w:tcPr>
                  <w:tcW w:w="3652" w:type="pct"/>
                  <w:vAlign w:val="center"/>
                </w:tcPr>
                <w:p w14:paraId="6C59601F">
                  <w:pPr>
                    <w:jc w:val="left"/>
                    <w:rPr>
                      <w:szCs w:val="21"/>
                    </w:rPr>
                  </w:pPr>
                  <w:r>
                    <w:rPr>
                      <w:rFonts w:hint="eastAsia"/>
                      <w:szCs w:val="21"/>
                    </w:rPr>
                    <w:t>根据土石方平衡可知，本项目不涉及借方，无需设置取土场。</w:t>
                  </w:r>
                </w:p>
                <w:p w14:paraId="25F32EF3">
                  <w:pPr>
                    <w:jc w:val="left"/>
                    <w:rPr>
                      <w:szCs w:val="21"/>
                    </w:rPr>
                  </w:pPr>
                  <w:r>
                    <w:rPr>
                      <w:rFonts w:hint="eastAsia"/>
                      <w:szCs w:val="21"/>
                    </w:rPr>
                    <w:t>本项目弃方总量7.90万m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)，运至博罗县2013年度第72、73批次县储备用地，用于储备用地三通一平的场地平整(详见附件9)。该储备用地位于博罗县罗阳街道廖屋蓄能路东侧占地面积约为12.87hm</w:t>
                  </w:r>
                  <w:r>
                    <w:rPr>
                      <w:rFonts w:hint="eastAsia"/>
                      <w:szCs w:val="21"/>
                      <w:vertAlign w:val="superscript"/>
                    </w:rPr>
                    <w:t>2</w:t>
                  </w:r>
                  <w:r>
                    <w:rPr>
                      <w:rFonts w:hint="eastAsia"/>
                      <w:szCs w:val="21"/>
                    </w:rPr>
                    <w:t>，纳土量约30.00万m</w:t>
                  </w:r>
                  <w:r>
                    <w:rPr>
                      <w:rFonts w:hint="eastAsia"/>
                      <w:szCs w:val="21"/>
                      <w:vertAlign w:val="superscript"/>
                    </w:rPr>
                    <w:t>3</w:t>
                  </w:r>
                  <w:r>
                    <w:rPr>
                      <w:rFonts w:hint="eastAsia"/>
                      <w:szCs w:val="21"/>
                    </w:rPr>
                    <w:t>。本项目施工期间产生的弃土均运至该储备用地，运输距离约6.30km，土方运输过程中的水土流失防治责任由建设单位负责，建设单位将组织车况良好的车辆进行运输，并做好路面保洁及环境卫生工作，运输路线详见附图10。</w:t>
                  </w:r>
                </w:p>
              </w:tc>
            </w:tr>
            <w:tr w14:paraId="3CA1588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330EC8C0">
                  <w:pPr>
                    <w:jc w:val="center"/>
                    <w:rPr>
                      <w:szCs w:val="21"/>
                    </w:rPr>
                  </w:pPr>
                </w:p>
              </w:tc>
              <w:tc>
                <w:tcPr>
                  <w:tcW w:w="939" w:type="pct"/>
                  <w:gridSpan w:val="2"/>
                  <w:vAlign w:val="center"/>
                </w:tcPr>
                <w:p w14:paraId="2F035AC3">
                  <w:pPr>
                    <w:jc w:val="center"/>
                    <w:rPr>
                      <w:szCs w:val="21"/>
                    </w:rPr>
                  </w:pPr>
                  <w:r>
                    <w:rPr>
                      <w:rFonts w:hint="eastAsia"/>
                      <w:szCs w:val="21"/>
                    </w:rPr>
                    <w:t>临时材料堆放区</w:t>
                  </w:r>
                </w:p>
              </w:tc>
              <w:tc>
                <w:tcPr>
                  <w:tcW w:w="3652" w:type="pct"/>
                  <w:vAlign w:val="center"/>
                </w:tcPr>
                <w:p w14:paraId="578A89D7">
                  <w:pPr>
                    <w:jc w:val="left"/>
                    <w:rPr>
                      <w:szCs w:val="21"/>
                    </w:rPr>
                  </w:pPr>
                  <w:r>
                    <w:rPr>
                      <w:rFonts w:hint="eastAsia"/>
                      <w:szCs w:val="21"/>
                    </w:rPr>
                    <w:t>施工期间材料堆放于场地内部空闲用地，无需新增临时占地。</w:t>
                  </w:r>
                </w:p>
              </w:tc>
            </w:tr>
            <w:tr w14:paraId="5D70905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restart"/>
                  <w:vAlign w:val="center"/>
                </w:tcPr>
                <w:p w14:paraId="4D63E75B">
                  <w:pPr>
                    <w:jc w:val="center"/>
                    <w:rPr>
                      <w:szCs w:val="21"/>
                    </w:rPr>
                  </w:pPr>
                  <w:r>
                    <w:rPr>
                      <w:szCs w:val="21"/>
                    </w:rPr>
                    <w:t>占地及拆迁工程</w:t>
                  </w:r>
                </w:p>
              </w:tc>
              <w:tc>
                <w:tcPr>
                  <w:tcW w:w="939" w:type="pct"/>
                  <w:gridSpan w:val="2"/>
                  <w:vAlign w:val="center"/>
                </w:tcPr>
                <w:p w14:paraId="61A40AD1">
                  <w:pPr>
                    <w:jc w:val="center"/>
                    <w:rPr>
                      <w:szCs w:val="21"/>
                    </w:rPr>
                  </w:pPr>
                  <w:r>
                    <w:rPr>
                      <w:rFonts w:hint="eastAsia"/>
                      <w:szCs w:val="21"/>
                    </w:rPr>
                    <w:t>永久占地</w:t>
                  </w:r>
                </w:p>
              </w:tc>
              <w:tc>
                <w:tcPr>
                  <w:tcW w:w="3652" w:type="pct"/>
                  <w:vAlign w:val="center"/>
                </w:tcPr>
                <w:p w14:paraId="55FA10CF">
                  <w:pPr>
                    <w:jc w:val="left"/>
                    <w:rPr>
                      <w:szCs w:val="21"/>
                    </w:rPr>
                  </w:pPr>
                  <w:r>
                    <w:rPr>
                      <w:rFonts w:hint="eastAsia"/>
                      <w:szCs w:val="21"/>
                    </w:rPr>
                    <w:t>根据附件14 “博罗县水利局关于本项目的水土保持方案准予许可决定书及技术审查意见”，本项目总占地面积为3.43hm</w:t>
                  </w:r>
                  <w:r>
                    <w:rPr>
                      <w:rFonts w:hint="eastAsia"/>
                      <w:szCs w:val="21"/>
                      <w:vertAlign w:val="superscript"/>
                    </w:rPr>
                    <w:t>2</w:t>
                  </w:r>
                  <w:r>
                    <w:rPr>
                      <w:rFonts w:hint="eastAsia"/>
                      <w:szCs w:val="21"/>
                    </w:rPr>
                    <w:t>，均为永久征地，原始占地类型为林地、草地、水域及水利设施用地和其他土地。</w:t>
                  </w:r>
                </w:p>
              </w:tc>
            </w:tr>
            <w:tr w14:paraId="00DD47C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3058AA19">
                  <w:pPr>
                    <w:jc w:val="center"/>
                    <w:rPr>
                      <w:szCs w:val="21"/>
                    </w:rPr>
                  </w:pPr>
                </w:p>
              </w:tc>
              <w:tc>
                <w:tcPr>
                  <w:tcW w:w="939" w:type="pct"/>
                  <w:gridSpan w:val="2"/>
                  <w:vAlign w:val="center"/>
                </w:tcPr>
                <w:p w14:paraId="2463AAC0">
                  <w:pPr>
                    <w:jc w:val="center"/>
                    <w:rPr>
                      <w:szCs w:val="21"/>
                    </w:rPr>
                  </w:pPr>
                  <w:r>
                    <w:rPr>
                      <w:rFonts w:hint="eastAsia"/>
                      <w:szCs w:val="21"/>
                    </w:rPr>
                    <w:t>临时占地</w:t>
                  </w:r>
                </w:p>
              </w:tc>
              <w:tc>
                <w:tcPr>
                  <w:tcW w:w="3652" w:type="pct"/>
                  <w:vAlign w:val="center"/>
                </w:tcPr>
                <w:p w14:paraId="4CBA35B4">
                  <w:pPr>
                    <w:jc w:val="left"/>
                    <w:rPr>
                      <w:szCs w:val="21"/>
                    </w:rPr>
                  </w:pPr>
                  <w:r>
                    <w:rPr>
                      <w:rFonts w:hint="eastAsia"/>
                      <w:kern w:val="0"/>
                      <w:szCs w:val="21"/>
                    </w:rPr>
                    <w:t>本项目不涉及临时占地。</w:t>
                  </w:r>
                </w:p>
              </w:tc>
            </w:tr>
            <w:tr w14:paraId="22C7234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09" w:type="pct"/>
                  <w:vMerge w:val="continue"/>
                  <w:vAlign w:val="center"/>
                </w:tcPr>
                <w:p w14:paraId="558528EC">
                  <w:pPr>
                    <w:jc w:val="center"/>
                    <w:rPr>
                      <w:szCs w:val="21"/>
                    </w:rPr>
                  </w:pPr>
                </w:p>
              </w:tc>
              <w:tc>
                <w:tcPr>
                  <w:tcW w:w="939" w:type="pct"/>
                  <w:gridSpan w:val="2"/>
                  <w:vAlign w:val="center"/>
                </w:tcPr>
                <w:p w14:paraId="6BBFC5E4">
                  <w:pPr>
                    <w:jc w:val="center"/>
                    <w:rPr>
                      <w:szCs w:val="21"/>
                    </w:rPr>
                  </w:pPr>
                  <w:r>
                    <w:rPr>
                      <w:rFonts w:hint="eastAsia"/>
                      <w:szCs w:val="21"/>
                    </w:rPr>
                    <w:t>拆迁工程</w:t>
                  </w:r>
                </w:p>
              </w:tc>
              <w:tc>
                <w:tcPr>
                  <w:tcW w:w="3652" w:type="pct"/>
                  <w:vAlign w:val="center"/>
                </w:tcPr>
                <w:p w14:paraId="70C08C55">
                  <w:pPr>
                    <w:jc w:val="left"/>
                    <w:rPr>
                      <w:szCs w:val="21"/>
                    </w:rPr>
                  </w:pPr>
                  <w:r>
                    <w:rPr>
                      <w:rFonts w:hint="eastAsia"/>
                      <w:szCs w:val="21"/>
                    </w:rPr>
                    <w:t>本项目沿线均为山地或荒地，不涉及拆迁(移民)安置与专项设施改(迁)建。</w:t>
                  </w:r>
                </w:p>
              </w:tc>
            </w:tr>
            <w:tr w14:paraId="5A96622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restart"/>
                  <w:vAlign w:val="center"/>
                </w:tcPr>
                <w:p w14:paraId="32B0BDBC">
                  <w:pPr>
                    <w:jc w:val="center"/>
                    <w:rPr>
                      <w:szCs w:val="21"/>
                    </w:rPr>
                  </w:pPr>
                  <w:r>
                    <w:rPr>
                      <w:rFonts w:hint="eastAsia"/>
                      <w:szCs w:val="21"/>
                    </w:rPr>
                    <w:t>环保工程（施工期）</w:t>
                  </w:r>
                </w:p>
                <w:p w14:paraId="2E6DA719">
                  <w:pPr>
                    <w:jc w:val="center"/>
                    <w:rPr>
                      <w:szCs w:val="21"/>
                    </w:rPr>
                  </w:pPr>
                </w:p>
                <w:p w14:paraId="5C8256A2">
                  <w:pPr>
                    <w:jc w:val="center"/>
                    <w:rPr>
                      <w:szCs w:val="21"/>
                    </w:rPr>
                  </w:pPr>
                </w:p>
              </w:tc>
              <w:tc>
                <w:tcPr>
                  <w:tcW w:w="939" w:type="pct"/>
                  <w:gridSpan w:val="2"/>
                  <w:vAlign w:val="center"/>
                </w:tcPr>
                <w:p w14:paraId="4B22F663">
                  <w:pPr>
                    <w:jc w:val="center"/>
                    <w:rPr>
                      <w:szCs w:val="21"/>
                    </w:rPr>
                  </w:pPr>
                  <w:r>
                    <w:rPr>
                      <w:rFonts w:hint="eastAsia"/>
                      <w:szCs w:val="21"/>
                    </w:rPr>
                    <w:t>生态</w:t>
                  </w:r>
                </w:p>
              </w:tc>
              <w:tc>
                <w:tcPr>
                  <w:tcW w:w="3652" w:type="pct"/>
                  <w:vAlign w:val="center"/>
                </w:tcPr>
                <w:p w14:paraId="6845F2FD">
                  <w:pPr>
                    <w:jc w:val="left"/>
                    <w:rPr>
                      <w:szCs w:val="21"/>
                    </w:rPr>
                  </w:pPr>
                  <w:r>
                    <w:rPr>
                      <w:rFonts w:hint="eastAsia"/>
                      <w:szCs w:val="21"/>
                    </w:rPr>
                    <w:t>水土保持措施、对临时表土堆放区管理、保护相邻地带的树木绿地等植被、施工结束后进行植树补偿，并配套完成绿化、树木种植等恢复工作。</w:t>
                  </w:r>
                </w:p>
              </w:tc>
            </w:tr>
            <w:tr w14:paraId="5538DCC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722B4BE8">
                  <w:pPr>
                    <w:jc w:val="center"/>
                    <w:rPr>
                      <w:szCs w:val="21"/>
                    </w:rPr>
                  </w:pPr>
                </w:p>
              </w:tc>
              <w:tc>
                <w:tcPr>
                  <w:tcW w:w="360" w:type="pct"/>
                  <w:vMerge w:val="restart"/>
                  <w:vAlign w:val="center"/>
                </w:tcPr>
                <w:p w14:paraId="3EB9C588">
                  <w:pPr>
                    <w:jc w:val="center"/>
                    <w:rPr>
                      <w:szCs w:val="21"/>
                    </w:rPr>
                  </w:pPr>
                  <w:r>
                    <w:rPr>
                      <w:rFonts w:hint="eastAsia"/>
                      <w:szCs w:val="21"/>
                    </w:rPr>
                    <w:t>废气</w:t>
                  </w:r>
                </w:p>
              </w:tc>
              <w:tc>
                <w:tcPr>
                  <w:tcW w:w="579" w:type="pct"/>
                  <w:vAlign w:val="center"/>
                </w:tcPr>
                <w:p w14:paraId="76C3BF95">
                  <w:pPr>
                    <w:jc w:val="center"/>
                    <w:rPr>
                      <w:szCs w:val="21"/>
                    </w:rPr>
                  </w:pPr>
                  <w:r>
                    <w:rPr>
                      <w:rFonts w:hint="eastAsia"/>
                      <w:szCs w:val="21"/>
                    </w:rPr>
                    <w:t>施工扬尘</w:t>
                  </w:r>
                </w:p>
              </w:tc>
              <w:tc>
                <w:tcPr>
                  <w:tcW w:w="3652" w:type="pct"/>
                  <w:vAlign w:val="center"/>
                </w:tcPr>
                <w:p w14:paraId="58BA4508">
                  <w:pPr>
                    <w:jc w:val="left"/>
                    <w:rPr>
                      <w:szCs w:val="21"/>
                    </w:rPr>
                  </w:pPr>
                  <w:r>
                    <w:rPr>
                      <w:rFonts w:hint="eastAsia"/>
                      <w:szCs w:val="21"/>
                    </w:rPr>
                    <w:t>项目施工期间采取道路硬化管理、洒水抑尘，边界围挡及易扬尘物料覆盖。</w:t>
                  </w:r>
                </w:p>
              </w:tc>
            </w:tr>
            <w:tr w14:paraId="05C91DF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77C25663">
                  <w:pPr>
                    <w:jc w:val="center"/>
                    <w:rPr>
                      <w:szCs w:val="21"/>
                    </w:rPr>
                  </w:pPr>
                </w:p>
              </w:tc>
              <w:tc>
                <w:tcPr>
                  <w:tcW w:w="360" w:type="pct"/>
                  <w:vMerge w:val="continue"/>
                  <w:vAlign w:val="center"/>
                </w:tcPr>
                <w:p w14:paraId="3D0205D8">
                  <w:pPr>
                    <w:jc w:val="center"/>
                    <w:rPr>
                      <w:szCs w:val="21"/>
                    </w:rPr>
                  </w:pPr>
                </w:p>
              </w:tc>
              <w:tc>
                <w:tcPr>
                  <w:tcW w:w="579" w:type="pct"/>
                  <w:vAlign w:val="center"/>
                </w:tcPr>
                <w:p w14:paraId="1D1B1587">
                  <w:pPr>
                    <w:jc w:val="center"/>
                    <w:rPr>
                      <w:szCs w:val="21"/>
                    </w:rPr>
                  </w:pPr>
                  <w:r>
                    <w:rPr>
                      <w:rFonts w:hint="eastAsia"/>
                      <w:szCs w:val="21"/>
                    </w:rPr>
                    <w:t>机械、车辆尾气</w:t>
                  </w:r>
                </w:p>
              </w:tc>
              <w:tc>
                <w:tcPr>
                  <w:tcW w:w="3652" w:type="pct"/>
                  <w:vAlign w:val="center"/>
                </w:tcPr>
                <w:p w14:paraId="4BE51D70">
                  <w:pPr>
                    <w:jc w:val="left"/>
                    <w:rPr>
                      <w:szCs w:val="21"/>
                    </w:rPr>
                  </w:pPr>
                  <w:r>
                    <w:rPr>
                      <w:rFonts w:hint="eastAsia"/>
                      <w:szCs w:val="21"/>
                    </w:rPr>
                    <w:t>运输车辆减速慢行，加强施工机械、运输车辆的维护保养。</w:t>
                  </w:r>
                </w:p>
              </w:tc>
            </w:tr>
            <w:tr w14:paraId="4DAEE6B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3FB51746">
                  <w:pPr>
                    <w:jc w:val="center"/>
                    <w:rPr>
                      <w:szCs w:val="21"/>
                    </w:rPr>
                  </w:pPr>
                </w:p>
              </w:tc>
              <w:tc>
                <w:tcPr>
                  <w:tcW w:w="360" w:type="pct"/>
                  <w:vMerge w:val="restart"/>
                  <w:vAlign w:val="center"/>
                </w:tcPr>
                <w:p w14:paraId="194F3326">
                  <w:pPr>
                    <w:jc w:val="center"/>
                    <w:rPr>
                      <w:szCs w:val="21"/>
                    </w:rPr>
                  </w:pPr>
                  <w:r>
                    <w:rPr>
                      <w:rFonts w:hint="eastAsia"/>
                      <w:szCs w:val="21"/>
                    </w:rPr>
                    <w:t>废水</w:t>
                  </w:r>
                </w:p>
              </w:tc>
              <w:tc>
                <w:tcPr>
                  <w:tcW w:w="579" w:type="pct"/>
                  <w:vAlign w:val="center"/>
                </w:tcPr>
                <w:p w14:paraId="69552ED6">
                  <w:pPr>
                    <w:jc w:val="center"/>
                    <w:rPr>
                      <w:szCs w:val="21"/>
                    </w:rPr>
                  </w:pPr>
                  <w:r>
                    <w:rPr>
                      <w:rFonts w:hint="eastAsia"/>
                      <w:szCs w:val="21"/>
                    </w:rPr>
                    <w:t>施工废水</w:t>
                  </w:r>
                </w:p>
              </w:tc>
              <w:tc>
                <w:tcPr>
                  <w:tcW w:w="3652" w:type="pct"/>
                  <w:vAlign w:val="center"/>
                </w:tcPr>
                <w:p w14:paraId="469CFD96">
                  <w:pPr>
                    <w:jc w:val="left"/>
                    <w:rPr>
                      <w:szCs w:val="21"/>
                    </w:rPr>
                  </w:pPr>
                  <w:r>
                    <w:rPr>
                      <w:rFonts w:hint="eastAsia"/>
                      <w:szCs w:val="21"/>
                    </w:rPr>
                    <w:t>施工废水经临时沉砂池处理后回用于施工场地及道路洒水，不向外排放。</w:t>
                  </w:r>
                </w:p>
                <w:p w14:paraId="3FF726BA">
                  <w:pPr>
                    <w:jc w:val="left"/>
                    <w:rPr>
                      <w:szCs w:val="21"/>
                    </w:rPr>
                  </w:pPr>
                  <w:r>
                    <w:rPr>
                      <w:rFonts w:hint="eastAsia"/>
                      <w:szCs w:val="21"/>
                    </w:rPr>
                    <w:t>施工废水主要为混凝土养护废水和施工机械设备、运输车辆冲洗废水经临时沉砂池处理后回用于施工场地及道路洒水，建设单位在项目的起点和终点分别设置1个施工废水临时沉砂池，规格为3.0m×2.0m×1.5m（共两个），位置详见附图6。</w:t>
                  </w:r>
                </w:p>
              </w:tc>
            </w:tr>
            <w:tr w14:paraId="5105E7F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754E2F9C">
                  <w:pPr>
                    <w:jc w:val="center"/>
                    <w:rPr>
                      <w:szCs w:val="21"/>
                    </w:rPr>
                  </w:pPr>
                </w:p>
              </w:tc>
              <w:tc>
                <w:tcPr>
                  <w:tcW w:w="360" w:type="pct"/>
                  <w:vMerge w:val="continue"/>
                  <w:vAlign w:val="center"/>
                </w:tcPr>
                <w:p w14:paraId="73E41922">
                  <w:pPr>
                    <w:jc w:val="center"/>
                    <w:rPr>
                      <w:szCs w:val="21"/>
                    </w:rPr>
                  </w:pPr>
                </w:p>
              </w:tc>
              <w:tc>
                <w:tcPr>
                  <w:tcW w:w="579" w:type="pct"/>
                  <w:vAlign w:val="center"/>
                </w:tcPr>
                <w:p w14:paraId="069BA4E6">
                  <w:pPr>
                    <w:jc w:val="center"/>
                    <w:rPr>
                      <w:szCs w:val="21"/>
                    </w:rPr>
                  </w:pPr>
                  <w:r>
                    <w:rPr>
                      <w:rFonts w:hint="eastAsia"/>
                      <w:szCs w:val="21"/>
                    </w:rPr>
                    <w:t>生活污水</w:t>
                  </w:r>
                </w:p>
              </w:tc>
              <w:tc>
                <w:tcPr>
                  <w:tcW w:w="3652" w:type="pct"/>
                  <w:vAlign w:val="center"/>
                </w:tcPr>
                <w:p w14:paraId="0E828359">
                  <w:pPr>
                    <w:jc w:val="left"/>
                    <w:rPr>
                      <w:szCs w:val="21"/>
                    </w:rPr>
                  </w:pPr>
                  <w:bookmarkStart w:id="24" w:name="OLE_LINK119"/>
                  <w:r>
                    <w:rPr>
                      <w:rFonts w:hint="eastAsia"/>
                      <w:szCs w:val="21"/>
                    </w:rPr>
                    <w:t>项目不设施工营地、不设住宿饭堂，项目内不产生生活污水。</w:t>
                  </w:r>
                  <w:bookmarkEnd w:id="24"/>
                </w:p>
              </w:tc>
            </w:tr>
            <w:tr w14:paraId="62E28D3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74466D59">
                  <w:pPr>
                    <w:jc w:val="center"/>
                    <w:rPr>
                      <w:szCs w:val="21"/>
                    </w:rPr>
                  </w:pPr>
                </w:p>
              </w:tc>
              <w:tc>
                <w:tcPr>
                  <w:tcW w:w="360" w:type="pct"/>
                  <w:vAlign w:val="center"/>
                </w:tcPr>
                <w:p w14:paraId="1A96C56B">
                  <w:pPr>
                    <w:jc w:val="center"/>
                    <w:rPr>
                      <w:szCs w:val="21"/>
                    </w:rPr>
                  </w:pPr>
                  <w:r>
                    <w:rPr>
                      <w:szCs w:val="21"/>
                    </w:rPr>
                    <w:t>噪声</w:t>
                  </w:r>
                </w:p>
              </w:tc>
              <w:tc>
                <w:tcPr>
                  <w:tcW w:w="579" w:type="pct"/>
                  <w:vAlign w:val="center"/>
                </w:tcPr>
                <w:p w14:paraId="6909ED33">
                  <w:pPr>
                    <w:jc w:val="center"/>
                    <w:rPr>
                      <w:szCs w:val="21"/>
                    </w:rPr>
                  </w:pPr>
                  <w:r>
                    <w:rPr>
                      <w:szCs w:val="21"/>
                    </w:rPr>
                    <w:t>机械噪声</w:t>
                  </w:r>
                </w:p>
              </w:tc>
              <w:tc>
                <w:tcPr>
                  <w:tcW w:w="3652" w:type="pct"/>
                  <w:vAlign w:val="center"/>
                </w:tcPr>
                <w:p w14:paraId="5779FA86">
                  <w:pPr>
                    <w:jc w:val="left"/>
                    <w:rPr>
                      <w:szCs w:val="21"/>
                    </w:rPr>
                  </w:pPr>
                  <w:r>
                    <w:rPr>
                      <w:rFonts w:hint="eastAsia"/>
                      <w:szCs w:val="21"/>
                    </w:rPr>
                    <w:t>合理安排施工时间，选择低噪声设备，设置临时隔声屏障。</w:t>
                  </w:r>
                </w:p>
              </w:tc>
            </w:tr>
            <w:tr w14:paraId="2454A54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130E4D39">
                  <w:pPr>
                    <w:jc w:val="center"/>
                    <w:rPr>
                      <w:szCs w:val="21"/>
                    </w:rPr>
                  </w:pPr>
                </w:p>
              </w:tc>
              <w:tc>
                <w:tcPr>
                  <w:tcW w:w="360" w:type="pct"/>
                  <w:vMerge w:val="restart"/>
                  <w:vAlign w:val="center"/>
                </w:tcPr>
                <w:p w14:paraId="115123D3">
                  <w:pPr>
                    <w:jc w:val="center"/>
                    <w:rPr>
                      <w:szCs w:val="21"/>
                    </w:rPr>
                  </w:pPr>
                  <w:r>
                    <w:rPr>
                      <w:szCs w:val="21"/>
                    </w:rPr>
                    <w:t>固废</w:t>
                  </w:r>
                </w:p>
              </w:tc>
              <w:tc>
                <w:tcPr>
                  <w:tcW w:w="579" w:type="pct"/>
                  <w:vAlign w:val="center"/>
                </w:tcPr>
                <w:p w14:paraId="4791DF2E">
                  <w:pPr>
                    <w:jc w:val="center"/>
                    <w:rPr>
                      <w:szCs w:val="21"/>
                    </w:rPr>
                  </w:pPr>
                  <w:r>
                    <w:rPr>
                      <w:szCs w:val="21"/>
                    </w:rPr>
                    <w:t>生活垃圾</w:t>
                  </w:r>
                </w:p>
              </w:tc>
              <w:tc>
                <w:tcPr>
                  <w:tcW w:w="3652" w:type="pct"/>
                  <w:vAlign w:val="center"/>
                </w:tcPr>
                <w:p w14:paraId="611D0856">
                  <w:pPr>
                    <w:jc w:val="left"/>
                    <w:rPr>
                      <w:szCs w:val="21"/>
                    </w:rPr>
                  </w:pPr>
                  <w:r>
                    <w:rPr>
                      <w:rFonts w:hint="eastAsia"/>
                      <w:szCs w:val="21"/>
                    </w:rPr>
                    <w:t>收集后定期交由环卫部门统一清运。</w:t>
                  </w:r>
                </w:p>
              </w:tc>
            </w:tr>
            <w:tr w14:paraId="7209C61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3D4E8850">
                  <w:pPr>
                    <w:jc w:val="center"/>
                    <w:rPr>
                      <w:szCs w:val="21"/>
                    </w:rPr>
                  </w:pPr>
                </w:p>
              </w:tc>
              <w:tc>
                <w:tcPr>
                  <w:tcW w:w="360" w:type="pct"/>
                  <w:vMerge w:val="continue"/>
                  <w:vAlign w:val="center"/>
                </w:tcPr>
                <w:p w14:paraId="7FA3CEDB">
                  <w:pPr>
                    <w:jc w:val="center"/>
                    <w:rPr>
                      <w:szCs w:val="21"/>
                    </w:rPr>
                  </w:pPr>
                </w:p>
              </w:tc>
              <w:tc>
                <w:tcPr>
                  <w:tcW w:w="579" w:type="pct"/>
                  <w:vAlign w:val="center"/>
                </w:tcPr>
                <w:p w14:paraId="5A1AA3C7">
                  <w:pPr>
                    <w:jc w:val="center"/>
                    <w:rPr>
                      <w:szCs w:val="21"/>
                    </w:rPr>
                  </w:pPr>
                  <w:r>
                    <w:rPr>
                      <w:szCs w:val="21"/>
                    </w:rPr>
                    <w:t>废弃土石方</w:t>
                  </w:r>
                </w:p>
              </w:tc>
              <w:tc>
                <w:tcPr>
                  <w:tcW w:w="3652" w:type="pct"/>
                  <w:vAlign w:val="center"/>
                </w:tcPr>
                <w:p w14:paraId="21F7A992">
                  <w:pPr>
                    <w:jc w:val="left"/>
                    <w:rPr>
                      <w:szCs w:val="21"/>
                    </w:rPr>
                  </w:pPr>
                  <w:r>
                    <w:rPr>
                      <w:rFonts w:hint="eastAsia"/>
                      <w:szCs w:val="21"/>
                    </w:rPr>
                    <w:t>本项目弃方总量7.90万m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)，运至博罗县 2013 年度第 72、73 批次县储备用地，用于储备用地三通一平的场地平整(详见附件9)。</w:t>
                  </w:r>
                </w:p>
              </w:tc>
            </w:tr>
            <w:tr w14:paraId="1FA67BC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0F6A23F9">
                  <w:pPr>
                    <w:jc w:val="center"/>
                    <w:rPr>
                      <w:szCs w:val="21"/>
                    </w:rPr>
                  </w:pPr>
                </w:p>
              </w:tc>
              <w:tc>
                <w:tcPr>
                  <w:tcW w:w="360" w:type="pct"/>
                  <w:vMerge w:val="continue"/>
                  <w:vAlign w:val="center"/>
                </w:tcPr>
                <w:p w14:paraId="4B13C5F9">
                  <w:pPr>
                    <w:jc w:val="center"/>
                    <w:rPr>
                      <w:szCs w:val="21"/>
                    </w:rPr>
                  </w:pPr>
                </w:p>
              </w:tc>
              <w:tc>
                <w:tcPr>
                  <w:tcW w:w="579" w:type="pct"/>
                  <w:vAlign w:val="center"/>
                </w:tcPr>
                <w:p w14:paraId="3658FC94">
                  <w:pPr>
                    <w:jc w:val="center"/>
                    <w:rPr>
                      <w:szCs w:val="21"/>
                    </w:rPr>
                  </w:pPr>
                  <w:r>
                    <w:rPr>
                      <w:szCs w:val="21"/>
                    </w:rPr>
                    <w:t>建筑垃圾</w:t>
                  </w:r>
                </w:p>
              </w:tc>
              <w:tc>
                <w:tcPr>
                  <w:tcW w:w="3652" w:type="pct"/>
                  <w:vAlign w:val="center"/>
                </w:tcPr>
                <w:p w14:paraId="66AD89F6">
                  <w:pPr>
                    <w:jc w:val="left"/>
                    <w:rPr>
                      <w:szCs w:val="21"/>
                    </w:rPr>
                  </w:pPr>
                  <w:r>
                    <w:rPr>
                      <w:rFonts w:hint="eastAsia"/>
                      <w:szCs w:val="21"/>
                    </w:rPr>
                    <w:t>分类堆放，应优先采取废物利用的原则，不能回收利用的及时</w:t>
                  </w:r>
                  <w:r>
                    <w:rPr>
                      <w:rFonts w:hint="eastAsia" w:cs="宋体"/>
                      <w:szCs w:val="21"/>
                      <w:lang w:bidi="ar"/>
                    </w:rPr>
                    <w:t>清理外运。</w:t>
                  </w:r>
                </w:p>
              </w:tc>
            </w:tr>
            <w:tr w14:paraId="2F83C61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restart"/>
                  <w:vAlign w:val="center"/>
                </w:tcPr>
                <w:p w14:paraId="78CD63C5">
                  <w:pPr>
                    <w:jc w:val="center"/>
                    <w:rPr>
                      <w:szCs w:val="21"/>
                    </w:rPr>
                  </w:pPr>
                  <w:r>
                    <w:rPr>
                      <w:rFonts w:hint="eastAsia"/>
                      <w:szCs w:val="21"/>
                    </w:rPr>
                    <w:t>环保工程（运营期）</w:t>
                  </w:r>
                </w:p>
                <w:p w14:paraId="5E205090">
                  <w:pPr>
                    <w:jc w:val="center"/>
                    <w:rPr>
                      <w:szCs w:val="21"/>
                    </w:rPr>
                  </w:pPr>
                </w:p>
              </w:tc>
              <w:tc>
                <w:tcPr>
                  <w:tcW w:w="939" w:type="pct"/>
                  <w:gridSpan w:val="2"/>
                  <w:vAlign w:val="center"/>
                </w:tcPr>
                <w:p w14:paraId="43FB0B16">
                  <w:pPr>
                    <w:jc w:val="center"/>
                    <w:rPr>
                      <w:szCs w:val="21"/>
                    </w:rPr>
                  </w:pPr>
                  <w:r>
                    <w:rPr>
                      <w:rFonts w:hint="eastAsia"/>
                      <w:szCs w:val="21"/>
                    </w:rPr>
                    <w:t>生态</w:t>
                  </w:r>
                </w:p>
              </w:tc>
              <w:tc>
                <w:tcPr>
                  <w:tcW w:w="3652" w:type="pct"/>
                  <w:vAlign w:val="center"/>
                </w:tcPr>
                <w:p w14:paraId="20BA8C02">
                  <w:pPr>
                    <w:jc w:val="left"/>
                    <w:rPr>
                      <w:szCs w:val="21"/>
                    </w:rPr>
                  </w:pPr>
                  <w:r>
                    <w:rPr>
                      <w:rFonts w:hint="eastAsia" w:cs="宋体"/>
                      <w:szCs w:val="21"/>
                      <w:lang w:bidi="ar"/>
                    </w:rPr>
                    <w:t>加强道路两旁的绿化及美化工作，</w:t>
                  </w:r>
                  <w:r>
                    <w:rPr>
                      <w:rFonts w:hint="eastAsia"/>
                      <w:szCs w:val="21"/>
                    </w:rPr>
                    <w:t>车辆尾气对动植物影响。</w:t>
                  </w:r>
                </w:p>
              </w:tc>
            </w:tr>
            <w:tr w14:paraId="72D9409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3C3D6C09">
                  <w:pPr>
                    <w:jc w:val="center"/>
                    <w:rPr>
                      <w:szCs w:val="21"/>
                    </w:rPr>
                  </w:pPr>
                </w:p>
              </w:tc>
              <w:tc>
                <w:tcPr>
                  <w:tcW w:w="360" w:type="pct"/>
                  <w:vAlign w:val="center"/>
                </w:tcPr>
                <w:p w14:paraId="31B6ED25">
                  <w:pPr>
                    <w:jc w:val="center"/>
                    <w:rPr>
                      <w:szCs w:val="21"/>
                    </w:rPr>
                  </w:pPr>
                  <w:r>
                    <w:rPr>
                      <w:szCs w:val="21"/>
                    </w:rPr>
                    <w:t>废气</w:t>
                  </w:r>
                </w:p>
              </w:tc>
              <w:tc>
                <w:tcPr>
                  <w:tcW w:w="579" w:type="pct"/>
                  <w:vAlign w:val="center"/>
                </w:tcPr>
                <w:p w14:paraId="3D5027F6">
                  <w:pPr>
                    <w:jc w:val="center"/>
                    <w:rPr>
                      <w:szCs w:val="21"/>
                    </w:rPr>
                  </w:pPr>
                  <w:r>
                    <w:rPr>
                      <w:szCs w:val="21"/>
                    </w:rPr>
                    <w:t>车辆尾气</w:t>
                  </w:r>
                </w:p>
              </w:tc>
              <w:tc>
                <w:tcPr>
                  <w:tcW w:w="3652" w:type="pct"/>
                  <w:vAlign w:val="center"/>
                </w:tcPr>
                <w:p w14:paraId="5C12E64B">
                  <w:pPr>
                    <w:jc w:val="left"/>
                    <w:rPr>
                      <w:szCs w:val="21"/>
                    </w:rPr>
                  </w:pPr>
                  <w:r>
                    <w:rPr>
                      <w:rFonts w:hint="eastAsia"/>
                      <w:szCs w:val="21"/>
                    </w:rPr>
                    <w:t>加大绿化植物对机动车尾气的吸附。</w:t>
                  </w:r>
                </w:p>
              </w:tc>
            </w:tr>
            <w:tr w14:paraId="775AE49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3EF1133F">
                  <w:pPr>
                    <w:jc w:val="center"/>
                    <w:rPr>
                      <w:szCs w:val="21"/>
                    </w:rPr>
                  </w:pPr>
                </w:p>
              </w:tc>
              <w:tc>
                <w:tcPr>
                  <w:tcW w:w="360" w:type="pct"/>
                  <w:vAlign w:val="center"/>
                </w:tcPr>
                <w:p w14:paraId="48F9EB93">
                  <w:pPr>
                    <w:jc w:val="center"/>
                    <w:rPr>
                      <w:szCs w:val="21"/>
                    </w:rPr>
                  </w:pPr>
                  <w:r>
                    <w:rPr>
                      <w:szCs w:val="21"/>
                    </w:rPr>
                    <w:t>废水</w:t>
                  </w:r>
                </w:p>
              </w:tc>
              <w:tc>
                <w:tcPr>
                  <w:tcW w:w="579" w:type="pct"/>
                  <w:vAlign w:val="center"/>
                </w:tcPr>
                <w:p w14:paraId="6BF62B4E">
                  <w:pPr>
                    <w:jc w:val="center"/>
                    <w:rPr>
                      <w:szCs w:val="21"/>
                    </w:rPr>
                  </w:pPr>
                  <w:r>
                    <w:rPr>
                      <w:szCs w:val="21"/>
                    </w:rPr>
                    <w:t>路面径流</w:t>
                  </w:r>
                </w:p>
              </w:tc>
              <w:tc>
                <w:tcPr>
                  <w:tcW w:w="3652" w:type="pct"/>
                  <w:vAlign w:val="center"/>
                </w:tcPr>
                <w:p w14:paraId="76ABFA9C">
                  <w:pPr>
                    <w:jc w:val="left"/>
                    <w:rPr>
                      <w:szCs w:val="21"/>
                    </w:rPr>
                  </w:pPr>
                  <w:r>
                    <w:rPr>
                      <w:rFonts w:hint="eastAsia"/>
                      <w:szCs w:val="21"/>
                    </w:rPr>
                    <w:t>经道路两侧雨水管网收集后排入市政雨水管网。</w:t>
                  </w:r>
                </w:p>
              </w:tc>
            </w:tr>
            <w:tr w14:paraId="1A7DE53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30432928">
                  <w:pPr>
                    <w:jc w:val="center"/>
                    <w:rPr>
                      <w:szCs w:val="21"/>
                    </w:rPr>
                  </w:pPr>
                </w:p>
              </w:tc>
              <w:tc>
                <w:tcPr>
                  <w:tcW w:w="360" w:type="pct"/>
                  <w:vAlign w:val="center"/>
                </w:tcPr>
                <w:p w14:paraId="01520902">
                  <w:pPr>
                    <w:jc w:val="center"/>
                    <w:rPr>
                      <w:szCs w:val="21"/>
                    </w:rPr>
                  </w:pPr>
                  <w:r>
                    <w:rPr>
                      <w:szCs w:val="21"/>
                    </w:rPr>
                    <w:t>噪声</w:t>
                  </w:r>
                </w:p>
              </w:tc>
              <w:tc>
                <w:tcPr>
                  <w:tcW w:w="579" w:type="pct"/>
                  <w:vAlign w:val="center"/>
                </w:tcPr>
                <w:p w14:paraId="4217A7C8">
                  <w:pPr>
                    <w:jc w:val="center"/>
                    <w:rPr>
                      <w:szCs w:val="21"/>
                    </w:rPr>
                  </w:pPr>
                  <w:r>
                    <w:rPr>
                      <w:szCs w:val="21"/>
                    </w:rPr>
                    <w:t>交通噪声</w:t>
                  </w:r>
                </w:p>
              </w:tc>
              <w:tc>
                <w:tcPr>
                  <w:tcW w:w="3652" w:type="pct"/>
                  <w:vAlign w:val="center"/>
                </w:tcPr>
                <w:p w14:paraId="12BD30E6">
                  <w:pPr>
                    <w:jc w:val="left"/>
                    <w:rPr>
                      <w:szCs w:val="21"/>
                    </w:rPr>
                  </w:pPr>
                  <w:r>
                    <w:rPr>
                      <w:rFonts w:hint="eastAsia"/>
                      <w:szCs w:val="21"/>
                    </w:rPr>
                    <w:t>限速、禁鸣标识设置。</w:t>
                  </w:r>
                </w:p>
              </w:tc>
            </w:tr>
            <w:tr w14:paraId="377B21D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1E25FD3D">
                  <w:pPr>
                    <w:jc w:val="center"/>
                    <w:rPr>
                      <w:szCs w:val="21"/>
                    </w:rPr>
                  </w:pPr>
                </w:p>
              </w:tc>
              <w:tc>
                <w:tcPr>
                  <w:tcW w:w="360" w:type="pct"/>
                  <w:vAlign w:val="center"/>
                </w:tcPr>
                <w:p w14:paraId="66F0316D">
                  <w:pPr>
                    <w:jc w:val="center"/>
                    <w:rPr>
                      <w:szCs w:val="21"/>
                    </w:rPr>
                  </w:pPr>
                  <w:r>
                    <w:rPr>
                      <w:szCs w:val="21"/>
                    </w:rPr>
                    <w:t>固废</w:t>
                  </w:r>
                </w:p>
              </w:tc>
              <w:tc>
                <w:tcPr>
                  <w:tcW w:w="579" w:type="pct"/>
                  <w:vAlign w:val="center"/>
                </w:tcPr>
                <w:p w14:paraId="62E220D8">
                  <w:pPr>
                    <w:jc w:val="center"/>
                    <w:rPr>
                      <w:szCs w:val="21"/>
                    </w:rPr>
                  </w:pPr>
                  <w:r>
                    <w:rPr>
                      <w:szCs w:val="21"/>
                    </w:rPr>
                    <w:t>道路固废</w:t>
                  </w:r>
                </w:p>
              </w:tc>
              <w:tc>
                <w:tcPr>
                  <w:tcW w:w="3652" w:type="pct"/>
                  <w:vAlign w:val="center"/>
                </w:tcPr>
                <w:p w14:paraId="71AE234E">
                  <w:pPr>
                    <w:jc w:val="left"/>
                    <w:rPr>
                      <w:szCs w:val="21"/>
                    </w:rPr>
                  </w:pPr>
                  <w:r>
                    <w:rPr>
                      <w:rFonts w:hint="eastAsia"/>
                      <w:szCs w:val="21"/>
                    </w:rPr>
                    <w:t>道路管理部门清洁人员定期清扫收集后交由环卫部门统一清运。</w:t>
                  </w:r>
                </w:p>
              </w:tc>
            </w:tr>
            <w:tr w14:paraId="4AA944B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09" w:type="pct"/>
                  <w:vMerge w:val="continue"/>
                  <w:vAlign w:val="center"/>
                </w:tcPr>
                <w:p w14:paraId="40F5D94B">
                  <w:pPr>
                    <w:jc w:val="center"/>
                    <w:rPr>
                      <w:szCs w:val="21"/>
                    </w:rPr>
                  </w:pPr>
                </w:p>
              </w:tc>
              <w:tc>
                <w:tcPr>
                  <w:tcW w:w="939" w:type="pct"/>
                  <w:gridSpan w:val="2"/>
                  <w:vAlign w:val="center"/>
                </w:tcPr>
                <w:p w14:paraId="6E2221AE">
                  <w:pPr>
                    <w:jc w:val="center"/>
                    <w:rPr>
                      <w:szCs w:val="21"/>
                    </w:rPr>
                  </w:pPr>
                  <w:r>
                    <w:rPr>
                      <w:szCs w:val="21"/>
                    </w:rPr>
                    <w:t>环境风险</w:t>
                  </w:r>
                </w:p>
              </w:tc>
              <w:tc>
                <w:tcPr>
                  <w:tcW w:w="3652" w:type="pct"/>
                  <w:vAlign w:val="center"/>
                </w:tcPr>
                <w:p w14:paraId="19A96D31">
                  <w:pPr>
                    <w:jc w:val="left"/>
                    <w:rPr>
                      <w:szCs w:val="21"/>
                    </w:rPr>
                  </w:pPr>
                  <w:r>
                    <w:rPr>
                      <w:rFonts w:hint="eastAsia"/>
                      <w:szCs w:val="21"/>
                    </w:rPr>
                    <w:t>报警响应、安装防撞护栏。</w:t>
                  </w:r>
                </w:p>
              </w:tc>
            </w:tr>
          </w:tbl>
          <w:p w14:paraId="226D5815">
            <w:pPr>
              <w:adjustRightInd w:val="0"/>
              <w:snapToGrid w:val="0"/>
              <w:spacing w:line="500" w:lineRule="exact"/>
              <w:ind w:firstLine="422" w:firstLineChars="200"/>
              <w:jc w:val="left"/>
              <w:rPr>
                <w:b/>
                <w:bCs/>
                <w:szCs w:val="21"/>
              </w:rPr>
            </w:pPr>
            <w:r>
              <w:rPr>
                <w:rFonts w:hint="eastAsia"/>
                <w:b/>
                <w:bCs/>
                <w:szCs w:val="21"/>
              </w:rPr>
              <w:t>三、道路工程</w:t>
            </w:r>
          </w:p>
          <w:p w14:paraId="6BABCEAB">
            <w:pPr>
              <w:adjustRightInd w:val="0"/>
              <w:snapToGrid w:val="0"/>
              <w:spacing w:line="500" w:lineRule="exact"/>
              <w:ind w:firstLine="422" w:firstLineChars="200"/>
              <w:jc w:val="left"/>
              <w:rPr>
                <w:b/>
                <w:bCs/>
                <w:szCs w:val="21"/>
              </w:rPr>
            </w:pPr>
            <w:r>
              <w:rPr>
                <w:rFonts w:hint="eastAsia"/>
                <w:b/>
                <w:bCs/>
                <w:szCs w:val="21"/>
              </w:rPr>
              <w:t>3</w:t>
            </w:r>
            <w:r>
              <w:rPr>
                <w:b/>
                <w:bCs/>
                <w:szCs w:val="21"/>
              </w:rPr>
              <w:t>.1</w:t>
            </w:r>
            <w:r>
              <w:rPr>
                <w:rFonts w:hint="eastAsia"/>
                <w:b/>
                <w:bCs/>
                <w:szCs w:val="21"/>
              </w:rPr>
              <w:t>道路平纵横设计</w:t>
            </w:r>
          </w:p>
          <w:p w14:paraId="3F2FC5E3">
            <w:pPr>
              <w:adjustRightInd w:val="0"/>
              <w:snapToGrid w:val="0"/>
              <w:spacing w:line="500" w:lineRule="exact"/>
              <w:ind w:firstLine="422" w:firstLineChars="200"/>
              <w:jc w:val="left"/>
              <w:rPr>
                <w:b/>
                <w:bCs/>
                <w:szCs w:val="21"/>
              </w:rPr>
            </w:pPr>
            <w:r>
              <w:rPr>
                <w:rFonts w:hint="eastAsia"/>
                <w:b/>
                <w:bCs/>
                <w:szCs w:val="21"/>
              </w:rPr>
              <w:t>（1）平面设计</w:t>
            </w:r>
          </w:p>
          <w:p w14:paraId="1701F24E">
            <w:pPr>
              <w:spacing w:line="500" w:lineRule="exact"/>
              <w:ind w:firstLine="420" w:firstLineChars="200"/>
              <w:rPr>
                <w:szCs w:val="21"/>
              </w:rPr>
            </w:pPr>
            <w:r>
              <w:rPr>
                <w:rFonts w:hint="eastAsia"/>
                <w:szCs w:val="21"/>
              </w:rPr>
              <w:t>体育大道东延段(K0+878.712~K1+210.007)线位整体呈东西走向，起点西起体育大道东延段(二期)终点(K0+878.712)，与惠霞高速立交匝道相接后向东延伸终点顺接已设计白石渠中桥(K1+210.007)。</w:t>
            </w:r>
          </w:p>
          <w:p w14:paraId="549EBD5B">
            <w:pPr>
              <w:spacing w:line="500" w:lineRule="exact"/>
              <w:ind w:firstLine="420" w:firstLineChars="200"/>
              <w:rPr>
                <w:szCs w:val="21"/>
              </w:rPr>
            </w:pPr>
            <w:r>
              <w:rPr>
                <w:rFonts w:hint="eastAsia"/>
                <w:szCs w:val="21"/>
              </w:rPr>
              <w:t>主线路线全长约332m，全线设置一处平曲线，平曲线半径1200m，平面线形各项指标均满足现行规范要求。另在与本项目相接的体育大道立交北-西匝道(B匝道)与西-南匝道(C匝道)外侧布设3m人行道(与主线或匝道共面时3.75m)。人行道西侧与原设计体育大道东延段(二期)南北两侧慢行系统顺接，之后沿该两处匝道外侧布设，并综合考虑净空及地形填挖方，在合适位置处分别下穿北-西匝道(B匝道)与西-南匝道(C匝道)，最终与本项目体育大道(立交段)顺接。南侧人行道全长约 359m，北侧人行道全长约343m，总长约702m。道路总平面布置图见</w:t>
            </w:r>
            <w:r>
              <w:rPr>
                <w:rFonts w:hint="eastAsia"/>
                <w:b/>
                <w:bCs/>
                <w:szCs w:val="21"/>
              </w:rPr>
              <w:t>附图6。</w:t>
            </w:r>
          </w:p>
          <w:p w14:paraId="4E9BD11D">
            <w:pPr>
              <w:adjustRightInd w:val="0"/>
              <w:snapToGrid w:val="0"/>
              <w:spacing w:line="500" w:lineRule="exact"/>
              <w:ind w:firstLine="422" w:firstLineChars="200"/>
              <w:jc w:val="left"/>
              <w:rPr>
                <w:b/>
                <w:bCs/>
                <w:szCs w:val="21"/>
              </w:rPr>
            </w:pPr>
            <w:r>
              <w:rPr>
                <w:rFonts w:hint="eastAsia"/>
                <w:b/>
                <w:bCs/>
                <w:szCs w:val="21"/>
              </w:rPr>
              <w:t>（2）竖向设计</w:t>
            </w:r>
          </w:p>
          <w:p w14:paraId="17C56D2B">
            <w:pPr>
              <w:spacing w:line="500" w:lineRule="exact"/>
              <w:ind w:firstLine="420" w:firstLineChars="200"/>
              <w:jc w:val="left"/>
              <w:rPr>
                <w:szCs w:val="21"/>
              </w:rPr>
            </w:pPr>
            <w:r>
              <w:rPr>
                <w:rFonts w:hint="eastAsia"/>
                <w:szCs w:val="21"/>
              </w:rPr>
              <w:t>本项目全线未设置变坡点，最小凹曲线半径为本项目起点处顺接原设计体育大道东延段(二期)终点处曲线，半径为10000m，无凸曲线。全段坡率为1.5%，坡长为610m，以上指标均满足现行规范要求。</w:t>
            </w:r>
          </w:p>
          <w:p w14:paraId="0E30E0E1">
            <w:pPr>
              <w:adjustRightInd w:val="0"/>
              <w:snapToGrid w:val="0"/>
              <w:spacing w:line="500" w:lineRule="exact"/>
              <w:ind w:firstLine="422" w:firstLineChars="200"/>
              <w:jc w:val="left"/>
              <w:rPr>
                <w:b/>
                <w:bCs/>
                <w:szCs w:val="21"/>
              </w:rPr>
            </w:pPr>
            <w:r>
              <w:rPr>
                <w:rFonts w:hint="eastAsia"/>
                <w:b/>
                <w:bCs/>
                <w:szCs w:val="21"/>
              </w:rPr>
              <w:t>（3）纵断面设计</w:t>
            </w:r>
          </w:p>
          <w:p w14:paraId="56B4D0C0">
            <w:pPr>
              <w:spacing w:line="500" w:lineRule="exact"/>
              <w:ind w:firstLine="420" w:firstLineChars="200"/>
              <w:jc w:val="left"/>
              <w:rPr>
                <w:szCs w:val="21"/>
              </w:rPr>
            </w:pPr>
            <w:r>
              <w:rPr>
                <w:rFonts w:hint="eastAsia"/>
                <w:szCs w:val="21"/>
              </w:rPr>
              <w:t>本项目全线未设置变坡点，最小凹曲线半径为本项目起点处顺接原设计体育大道东延段(二期)终点处曲线，半径为 10000m，无凸曲线。全段率为1.5%；坡长为 610m。道路纵断面设计图见</w:t>
            </w:r>
            <w:r>
              <w:rPr>
                <w:rFonts w:hint="eastAsia"/>
                <w:b/>
                <w:bCs/>
                <w:szCs w:val="21"/>
              </w:rPr>
              <w:t>附图7。</w:t>
            </w:r>
          </w:p>
          <w:p w14:paraId="4344F5D2">
            <w:pPr>
              <w:adjustRightInd w:val="0"/>
              <w:snapToGrid w:val="0"/>
              <w:spacing w:line="500" w:lineRule="exact"/>
              <w:ind w:firstLine="422" w:firstLineChars="200"/>
              <w:jc w:val="left"/>
              <w:rPr>
                <w:b/>
                <w:bCs/>
                <w:szCs w:val="21"/>
              </w:rPr>
            </w:pPr>
            <w:r>
              <w:rPr>
                <w:rFonts w:hint="eastAsia"/>
                <w:b/>
                <w:bCs/>
                <w:szCs w:val="21"/>
              </w:rPr>
              <w:t>（4）横断面设计</w:t>
            </w:r>
          </w:p>
          <w:p w14:paraId="067B83A9">
            <w:pPr>
              <w:adjustRightInd w:val="0"/>
              <w:snapToGrid w:val="0"/>
              <w:spacing w:line="500" w:lineRule="exact"/>
              <w:ind w:firstLine="420" w:firstLineChars="200"/>
              <w:jc w:val="left"/>
              <w:rPr>
                <w:szCs w:val="21"/>
              </w:rPr>
            </w:pPr>
            <w:r>
              <w:rPr>
                <w:rFonts w:hint="eastAsia"/>
                <w:szCs w:val="21"/>
              </w:rPr>
              <w:t>本工程为城市主干路，双向6车道，设计速度为60km/h，道路红线宽34.5m，即：3m(人行道)+0.75m(设施带)+12m(机动车道)+3m(中央分带)+12m(机动车道)+0.75m(设施带)+3m(人行道)=34.5m。</w:t>
            </w:r>
          </w:p>
          <w:p w14:paraId="09B0BDA5">
            <w:pPr>
              <w:adjustRightInd w:val="0"/>
              <w:snapToGrid w:val="0"/>
              <w:spacing w:line="500" w:lineRule="exact"/>
              <w:ind w:firstLine="420" w:firstLineChars="200"/>
              <w:jc w:val="left"/>
              <w:rPr>
                <w:szCs w:val="21"/>
              </w:rPr>
            </w:pPr>
          </w:p>
          <w:p w14:paraId="2170D4D7">
            <w:pPr>
              <w:pStyle w:val="61"/>
              <w:spacing w:line="240" w:lineRule="auto"/>
              <w:ind w:firstLine="0" w:firstLineChars="0"/>
              <w:jc w:val="center"/>
              <w:rPr>
                <w:sz w:val="21"/>
                <w:szCs w:val="21"/>
              </w:rPr>
            </w:pPr>
            <w:r>
              <w:rPr>
                <w:sz w:val="21"/>
                <w:szCs w:val="21"/>
              </w:rPr>
              <w:drawing>
                <wp:inline distT="0" distB="0" distL="0" distR="0">
                  <wp:extent cx="5878195" cy="2806700"/>
                  <wp:effectExtent l="0" t="0" r="8255" b="0"/>
                  <wp:docPr id="12200856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085662" name="图片 1"/>
                          <pic:cNvPicPr>
                            <a:picLocks noChangeAspect="1"/>
                          </pic:cNvPicPr>
                        </pic:nvPicPr>
                        <pic:blipFill>
                          <a:blip r:embed="rId10"/>
                          <a:stretch>
                            <a:fillRect/>
                          </a:stretch>
                        </pic:blipFill>
                        <pic:spPr>
                          <a:xfrm>
                            <a:off x="0" y="0"/>
                            <a:ext cx="5922815" cy="2828121"/>
                          </a:xfrm>
                          <a:prstGeom prst="rect">
                            <a:avLst/>
                          </a:prstGeom>
                        </pic:spPr>
                      </pic:pic>
                    </a:graphicData>
                  </a:graphic>
                </wp:inline>
              </w:drawing>
            </w:r>
          </w:p>
          <w:p w14:paraId="1B1A27D5">
            <w:pPr>
              <w:adjustRightInd w:val="0"/>
              <w:snapToGrid w:val="0"/>
              <w:spacing w:line="360" w:lineRule="auto"/>
              <w:ind w:firstLine="422" w:firstLineChars="200"/>
              <w:jc w:val="center"/>
              <w:rPr>
                <w:b/>
                <w:bCs/>
                <w:szCs w:val="21"/>
              </w:rPr>
            </w:pPr>
            <w:r>
              <w:rPr>
                <w:rFonts w:hint="eastAsia"/>
                <w:b/>
                <w:bCs/>
                <w:szCs w:val="21"/>
              </w:rPr>
              <w:t>图</w:t>
            </w:r>
            <w:r>
              <w:rPr>
                <w:b/>
                <w:bCs/>
                <w:szCs w:val="21"/>
              </w:rPr>
              <w:t>2-</w:t>
            </w:r>
            <w:r>
              <w:rPr>
                <w:rFonts w:hint="eastAsia"/>
                <w:b/>
                <w:bCs/>
                <w:szCs w:val="21"/>
              </w:rPr>
              <w:t>1道路标准横断面图（项目起点，桩号：</w:t>
            </w:r>
            <w:r>
              <w:t xml:space="preserve">  </w:t>
            </w:r>
            <w:r>
              <w:rPr>
                <w:b/>
                <w:bCs/>
                <w:szCs w:val="21"/>
              </w:rPr>
              <w:t>K0+878.712</w:t>
            </w:r>
            <w:r>
              <w:rPr>
                <w:rFonts w:hint="eastAsia"/>
                <w:b/>
                <w:bCs/>
                <w:szCs w:val="21"/>
              </w:rPr>
              <w:t>—</w:t>
            </w:r>
            <w:r>
              <w:rPr>
                <w:b/>
                <w:bCs/>
                <w:szCs w:val="21"/>
              </w:rPr>
              <w:t>K1+210.007</w:t>
            </w:r>
            <w:r>
              <w:rPr>
                <w:rFonts w:hint="eastAsia"/>
                <w:b/>
                <w:bCs/>
                <w:szCs w:val="21"/>
              </w:rPr>
              <w:t>）</w:t>
            </w:r>
          </w:p>
          <w:p w14:paraId="2C6EC1EC">
            <w:pPr>
              <w:spacing w:line="500" w:lineRule="exact"/>
              <w:ind w:firstLine="422" w:firstLineChars="200"/>
              <w:jc w:val="left"/>
              <w:rPr>
                <w:b/>
                <w:bCs/>
                <w:szCs w:val="21"/>
              </w:rPr>
            </w:pPr>
            <w:r>
              <w:rPr>
                <w:rFonts w:hint="eastAsia"/>
                <w:b/>
                <w:bCs/>
                <w:szCs w:val="21"/>
              </w:rPr>
              <w:t>3</w:t>
            </w:r>
            <w:r>
              <w:rPr>
                <w:b/>
                <w:bCs/>
                <w:szCs w:val="21"/>
              </w:rPr>
              <w:t>.</w:t>
            </w:r>
            <w:r>
              <w:rPr>
                <w:rFonts w:hint="eastAsia"/>
                <w:b/>
                <w:bCs/>
                <w:szCs w:val="21"/>
              </w:rPr>
              <w:t>2路基设计</w:t>
            </w:r>
          </w:p>
          <w:p w14:paraId="44391C1B">
            <w:pPr>
              <w:adjustRightInd w:val="0"/>
              <w:snapToGrid w:val="0"/>
              <w:spacing w:line="500" w:lineRule="exact"/>
              <w:ind w:firstLine="422" w:firstLineChars="200"/>
              <w:jc w:val="left"/>
              <w:rPr>
                <w:b/>
                <w:bCs/>
                <w:szCs w:val="21"/>
              </w:rPr>
            </w:pPr>
            <w:r>
              <w:rPr>
                <w:rFonts w:hint="eastAsia"/>
                <w:b/>
                <w:bCs/>
                <w:szCs w:val="21"/>
              </w:rPr>
              <w:t>（1）一般路基设计</w:t>
            </w:r>
          </w:p>
          <w:p w14:paraId="6E971B8E">
            <w:pPr>
              <w:adjustRightInd w:val="0"/>
              <w:snapToGrid w:val="0"/>
              <w:spacing w:line="500" w:lineRule="exact"/>
              <w:ind w:firstLine="420" w:firstLineChars="200"/>
              <w:rPr>
                <w:szCs w:val="21"/>
              </w:rPr>
            </w:pPr>
            <w:r>
              <w:rPr>
                <w:rFonts w:hint="eastAsia"/>
                <w:szCs w:val="21"/>
              </w:rPr>
              <w:t>路段填土应清除杂草、树根、腐植土及耕植土后，选用符合要求的土石分层碾压、夯实。填土地段表层不得有积水，并应保持适当干燥。应先填低洼地段，后填一般路段，由路中填至路边，保持平面上有一定的纵坡、横坡与平度，以利于土基排水。</w:t>
            </w:r>
          </w:p>
          <w:p w14:paraId="23DD6B6C">
            <w:pPr>
              <w:adjustRightInd w:val="0"/>
              <w:snapToGrid w:val="0"/>
              <w:spacing w:line="500" w:lineRule="exact"/>
              <w:ind w:firstLine="420" w:firstLineChars="200"/>
              <w:rPr>
                <w:szCs w:val="21"/>
              </w:rPr>
            </w:pPr>
            <w:r>
              <w:rPr>
                <w:rFonts w:hint="eastAsia"/>
                <w:szCs w:val="21"/>
              </w:rPr>
              <w:t>挖土应由边到中间、由低到高，分层循序渐进，不得挖成坑塘。挖土过程中应保持一定的纵坡、横坡与平整度，以利于土基排水。</w:t>
            </w:r>
          </w:p>
          <w:p w14:paraId="33218287">
            <w:pPr>
              <w:adjustRightInd w:val="0"/>
              <w:snapToGrid w:val="0"/>
              <w:spacing w:line="500" w:lineRule="exact"/>
              <w:ind w:firstLine="420" w:firstLineChars="200"/>
              <w:rPr>
                <w:szCs w:val="21"/>
              </w:rPr>
            </w:pPr>
            <w:r>
              <w:rPr>
                <w:rFonts w:hint="eastAsia"/>
                <w:szCs w:val="21"/>
              </w:rPr>
              <w:t>本工程在北侧人行道(桩号 RBKO+140~RBK0+240 左幅)设置一处挡土墙，挡墙结构为悬臂式，总长90.57m，平均高度为2.21m;在北侧人行道(桩号RBKO+260~RBK0+270 左幅)设置一处挡土墙，挡墙结构为悬臂式，总长8.80m，平均高度为 3.22m；在B匝道和主线间(桩号K1+040~K1+120 左幅)设置一处挡土墙，挡墙结构为悬臂式，总长 75.50m，平均高度为2.30m；在C匝道和主线间(桩号 K0+980~K1+090 右幅)设置一处挡土墙，挡墙结构为悬臂式，总长 110.21m，平均高度为 2.85m。</w:t>
            </w:r>
          </w:p>
          <w:p w14:paraId="6E20341A">
            <w:pPr>
              <w:adjustRightInd w:val="0"/>
              <w:snapToGrid w:val="0"/>
              <w:spacing w:line="500" w:lineRule="exact"/>
              <w:ind w:firstLine="422" w:firstLineChars="200"/>
              <w:jc w:val="left"/>
              <w:rPr>
                <w:szCs w:val="21"/>
              </w:rPr>
            </w:pPr>
            <w:r>
              <w:rPr>
                <w:rFonts w:hint="eastAsia"/>
                <w:b/>
                <w:bCs/>
                <w:szCs w:val="21"/>
              </w:rPr>
              <w:t>（2）路基防护</w:t>
            </w:r>
          </w:p>
          <w:p w14:paraId="4DA59661">
            <w:pPr>
              <w:adjustRightInd w:val="0"/>
              <w:snapToGrid w:val="0"/>
              <w:spacing w:line="500" w:lineRule="exact"/>
              <w:ind w:firstLine="420" w:firstLineChars="200"/>
              <w:rPr>
                <w:szCs w:val="21"/>
              </w:rPr>
            </w:pPr>
            <w:r>
              <w:rPr>
                <w:rFonts w:hint="eastAsia"/>
                <w:szCs w:val="21"/>
              </w:rPr>
              <w:t>路基边坡防护本着“安全、经济”的原则，根据路基填土高度和不同地质情况，边坡坡率的设置灵活自然、因地制宜、顺势而为。本项目边坡防护采用喷播植草护坡、三维网植草护坡、人字形骨架护坡、浆砌片石护坡及框架喷混植生护坡等，边坡高度采用 8m 一级，各级之间设置2米宽的平台。</w:t>
            </w:r>
          </w:p>
          <w:p w14:paraId="7D582BA2">
            <w:pPr>
              <w:adjustRightInd w:val="0"/>
              <w:snapToGrid w:val="0"/>
              <w:spacing w:line="500" w:lineRule="exact"/>
              <w:ind w:firstLine="420" w:firstLineChars="200"/>
              <w:rPr>
                <w:szCs w:val="21"/>
              </w:rPr>
            </w:pPr>
            <w:r>
              <w:rPr>
                <w:rFonts w:hint="eastAsia"/>
                <w:szCs w:val="21"/>
              </w:rPr>
              <w:t>1、填方路段</w:t>
            </w:r>
          </w:p>
          <w:p w14:paraId="318404CD">
            <w:pPr>
              <w:adjustRightInd w:val="0"/>
              <w:snapToGrid w:val="0"/>
              <w:spacing w:line="500" w:lineRule="exact"/>
              <w:ind w:firstLine="420" w:firstLineChars="200"/>
              <w:rPr>
                <w:szCs w:val="21"/>
              </w:rPr>
            </w:pPr>
            <w:r>
              <w:rPr>
                <w:rFonts w:hint="eastAsia"/>
                <w:szCs w:val="21"/>
              </w:rPr>
              <w:t>边坡高度&lt;4m，坡率等于 1:1.5，采用喷播植草护坡：4m&lt;边坡高度&lt;8m，坡率等于 1:5，采用三维植草护坡；边坡高度&gt;8m，坡率为1:1.5(上级)~1:1.75(下级)，采用人字形骨架植草护坡。</w:t>
            </w:r>
          </w:p>
          <w:p w14:paraId="54501BD7">
            <w:pPr>
              <w:adjustRightInd w:val="0"/>
              <w:snapToGrid w:val="0"/>
              <w:spacing w:line="500" w:lineRule="exact"/>
              <w:ind w:firstLine="420" w:firstLineChars="200"/>
              <w:rPr>
                <w:szCs w:val="21"/>
              </w:rPr>
            </w:pPr>
            <w:r>
              <w:rPr>
                <w:rFonts w:hint="eastAsia"/>
                <w:szCs w:val="21"/>
              </w:rPr>
              <w:t>2、挖方路段</w:t>
            </w:r>
          </w:p>
          <w:p w14:paraId="4EE918BC">
            <w:pPr>
              <w:adjustRightInd w:val="0"/>
              <w:snapToGrid w:val="0"/>
              <w:spacing w:line="500" w:lineRule="exact"/>
              <w:ind w:firstLine="420" w:firstLineChars="200"/>
              <w:rPr>
                <w:szCs w:val="21"/>
              </w:rPr>
            </w:pPr>
            <w:r>
              <w:rPr>
                <w:rFonts w:hint="eastAsia"/>
                <w:szCs w:val="21"/>
              </w:rPr>
              <w:t>边坡高度≤4m，坡率等于 1:1，采用喷播植草护坡；4m&lt;边坡高度&lt;8m，坡率等于 1:1，采用三维植草护坡:8m&lt;边坡高度&lt;20m，第一级坡率为1:1，第二、三级坡率均为 1:1.25，采用人字形骨架植草护坡；边坡高度&gt;20m，边坡坡率采用 1:1(下级)~1:1.5(上级)分级设置，其中第一级为1:1，第二、三级为1:125，其余边坡坡率均采用 1:1.5，采用框架锚索(杆)边坡防护。边坡防护设计建立在确保边坡稳定的基础上，采用技术先进、经济合理的设计方案，体现生态防护的思想，尽量采用绿色植物进行防护。</w:t>
            </w:r>
          </w:p>
          <w:p w14:paraId="7D2515E5">
            <w:pPr>
              <w:adjustRightInd w:val="0"/>
              <w:snapToGrid w:val="0"/>
              <w:spacing w:line="500" w:lineRule="exact"/>
              <w:ind w:firstLine="420" w:firstLineChars="200"/>
              <w:jc w:val="left"/>
              <w:rPr>
                <w:szCs w:val="21"/>
              </w:rPr>
            </w:pPr>
            <w:r>
              <w:rPr>
                <w:rFonts w:hint="eastAsia"/>
                <w:szCs w:val="21"/>
              </w:rPr>
              <w:t>（4）路基排水</w:t>
            </w:r>
          </w:p>
          <w:p w14:paraId="4663F231">
            <w:pPr>
              <w:adjustRightInd w:val="0"/>
              <w:snapToGrid w:val="0"/>
              <w:spacing w:line="500" w:lineRule="exact"/>
              <w:ind w:firstLine="420" w:firstLineChars="200"/>
              <w:jc w:val="left"/>
              <w:rPr>
                <w:szCs w:val="21"/>
              </w:rPr>
            </w:pPr>
            <w:r>
              <w:rPr>
                <w:rFonts w:hint="eastAsia"/>
                <w:szCs w:val="21"/>
              </w:rPr>
              <w:t>本项目根据沿线地形的不同设置完善的路基排水系统。路基一般均设置排水边沟，路面雨水通过边沟排除。填方段在坡脚设置排水沟，挖方段除在坡脚设排水沟外，根据地形在坡顶和边坡平台设截水沟。</w:t>
            </w:r>
          </w:p>
          <w:p w14:paraId="6E6B143E">
            <w:pPr>
              <w:spacing w:line="500" w:lineRule="exact"/>
              <w:ind w:firstLine="422" w:firstLineChars="200"/>
              <w:jc w:val="left"/>
              <w:rPr>
                <w:b/>
                <w:bCs/>
                <w:szCs w:val="21"/>
              </w:rPr>
            </w:pPr>
            <w:r>
              <w:rPr>
                <w:rFonts w:hint="eastAsia"/>
                <w:b/>
                <w:bCs/>
                <w:szCs w:val="21"/>
              </w:rPr>
              <w:t>3</w:t>
            </w:r>
            <w:r>
              <w:rPr>
                <w:b/>
                <w:bCs/>
                <w:szCs w:val="21"/>
              </w:rPr>
              <w:t>.</w:t>
            </w:r>
            <w:r>
              <w:rPr>
                <w:rFonts w:hint="eastAsia"/>
                <w:b/>
                <w:bCs/>
                <w:szCs w:val="21"/>
              </w:rPr>
              <w:t>3路面结构</w:t>
            </w:r>
          </w:p>
          <w:p w14:paraId="04E870BA">
            <w:pPr>
              <w:spacing w:line="500" w:lineRule="exact"/>
              <w:ind w:firstLine="422" w:firstLineChars="200"/>
              <w:jc w:val="left"/>
              <w:rPr>
                <w:b/>
                <w:bCs/>
                <w:szCs w:val="21"/>
              </w:rPr>
            </w:pPr>
            <w:r>
              <w:rPr>
                <w:rFonts w:hint="eastAsia"/>
                <w:b/>
                <w:bCs/>
                <w:szCs w:val="21"/>
              </w:rPr>
              <w:t>（1）机动车道</w:t>
            </w:r>
          </w:p>
          <w:p w14:paraId="450037C5">
            <w:pPr>
              <w:spacing w:line="500" w:lineRule="exact"/>
              <w:ind w:firstLine="420" w:firstLineChars="200"/>
              <w:jc w:val="left"/>
              <w:rPr>
                <w:szCs w:val="21"/>
              </w:rPr>
            </w:pPr>
            <w:r>
              <w:rPr>
                <w:rFonts w:hint="eastAsia"/>
                <w:szCs w:val="21"/>
              </w:rPr>
              <w:t>本工程考虑到周围规划地块分布居住用地，对环境、噪音要求较高，且与体育大道东延段二期工程、白铁路等路面结构一致，故采用行车舒适、噪音小、维护方便的沥青混凝土路面。</w:t>
            </w:r>
          </w:p>
          <w:p w14:paraId="3E0245CF">
            <w:pPr>
              <w:spacing w:line="500" w:lineRule="exact"/>
              <w:ind w:firstLine="420" w:firstLineChars="200"/>
              <w:jc w:val="left"/>
              <w:rPr>
                <w:szCs w:val="21"/>
              </w:rPr>
            </w:pPr>
            <w:r>
              <w:rPr>
                <w:rFonts w:hint="eastAsia"/>
                <w:szCs w:val="21"/>
              </w:rPr>
              <w:t>4cm 细粒式 SBS 改性沥青混凝土(AC-13C)</w:t>
            </w:r>
          </w:p>
          <w:p w14:paraId="41AAA00C">
            <w:pPr>
              <w:spacing w:line="500" w:lineRule="exact"/>
              <w:ind w:firstLine="420" w:firstLineChars="200"/>
              <w:jc w:val="left"/>
              <w:rPr>
                <w:szCs w:val="21"/>
              </w:rPr>
            </w:pPr>
            <w:r>
              <w:rPr>
                <w:rFonts w:hint="eastAsia"/>
                <w:szCs w:val="21"/>
              </w:rPr>
              <w:t>6cm 中粒式沥青混凝土(AC-20C)</w:t>
            </w:r>
          </w:p>
          <w:p w14:paraId="75D002A1">
            <w:pPr>
              <w:spacing w:line="500" w:lineRule="exact"/>
              <w:ind w:firstLine="420" w:firstLineChars="200"/>
              <w:jc w:val="left"/>
              <w:rPr>
                <w:szCs w:val="21"/>
              </w:rPr>
            </w:pPr>
            <w:r>
              <w:rPr>
                <w:rFonts w:hint="eastAsia"/>
                <w:szCs w:val="21"/>
              </w:rPr>
              <w:t>8cm 粗粒式沥青砼(AC-25C)</w:t>
            </w:r>
          </w:p>
          <w:p w14:paraId="06CC184B">
            <w:pPr>
              <w:spacing w:line="500" w:lineRule="exact"/>
              <w:ind w:firstLine="420" w:firstLineChars="200"/>
              <w:jc w:val="left"/>
              <w:rPr>
                <w:szCs w:val="21"/>
              </w:rPr>
            </w:pPr>
            <w:r>
              <w:rPr>
                <w:rFonts w:hint="eastAsia"/>
                <w:szCs w:val="21"/>
              </w:rPr>
              <w:t>1cm 厚稀浆封层(ES-3)</w:t>
            </w:r>
          </w:p>
          <w:p w14:paraId="48186441">
            <w:pPr>
              <w:spacing w:line="500" w:lineRule="exact"/>
              <w:ind w:firstLine="420" w:firstLineChars="200"/>
              <w:jc w:val="left"/>
              <w:rPr>
                <w:szCs w:val="21"/>
              </w:rPr>
            </w:pPr>
            <w:r>
              <w:rPr>
                <w:rFonts w:hint="eastAsia"/>
                <w:szCs w:val="21"/>
              </w:rPr>
              <w:t>36cm 厚 5%水泥稳定碎石</w:t>
            </w:r>
          </w:p>
          <w:p w14:paraId="2F397389">
            <w:pPr>
              <w:spacing w:line="500" w:lineRule="exact"/>
              <w:ind w:firstLine="420" w:firstLineChars="200"/>
              <w:jc w:val="left"/>
              <w:rPr>
                <w:szCs w:val="21"/>
              </w:rPr>
            </w:pPr>
            <w:r>
              <w:rPr>
                <w:rFonts w:hint="eastAsia"/>
                <w:szCs w:val="21"/>
              </w:rPr>
              <w:t>18cm 厚 4%水泥稳定碎石</w:t>
            </w:r>
          </w:p>
          <w:p w14:paraId="18A19261">
            <w:pPr>
              <w:spacing w:line="500" w:lineRule="exact"/>
              <w:ind w:firstLine="420" w:firstLineChars="200"/>
              <w:jc w:val="left"/>
              <w:rPr>
                <w:szCs w:val="21"/>
              </w:rPr>
            </w:pPr>
            <w:r>
              <w:rPr>
                <w:rFonts w:hint="eastAsia"/>
                <w:szCs w:val="21"/>
              </w:rPr>
              <w:t>15cm 厚未筛分碎石垫层</w:t>
            </w:r>
          </w:p>
          <w:p w14:paraId="69D30240">
            <w:pPr>
              <w:spacing w:line="500" w:lineRule="exact"/>
              <w:ind w:firstLine="420" w:firstLineChars="200"/>
              <w:jc w:val="left"/>
              <w:rPr>
                <w:szCs w:val="21"/>
              </w:rPr>
            </w:pPr>
            <w:r>
              <w:rPr>
                <w:rFonts w:hint="eastAsia"/>
                <w:szCs w:val="21"/>
              </w:rPr>
              <w:t>压实路基&gt;95%</w:t>
            </w:r>
          </w:p>
          <w:p w14:paraId="0B5D42F5">
            <w:pPr>
              <w:spacing w:line="500" w:lineRule="exact"/>
              <w:ind w:firstLine="420" w:firstLineChars="200"/>
              <w:jc w:val="left"/>
              <w:rPr>
                <w:szCs w:val="21"/>
              </w:rPr>
            </w:pPr>
            <w:r>
              <w:rPr>
                <w:rFonts w:hint="eastAsia"/>
                <w:szCs w:val="21"/>
              </w:rPr>
              <w:t>总厚度:88cm。</w:t>
            </w:r>
          </w:p>
          <w:p w14:paraId="166AEFEA">
            <w:pPr>
              <w:jc w:val="left"/>
              <w:rPr>
                <w:szCs w:val="21"/>
              </w:rPr>
            </w:pPr>
            <w:r>
              <w:rPr>
                <w:szCs w:val="21"/>
              </w:rPr>
              <w:drawing>
                <wp:inline distT="0" distB="0" distL="0" distR="0">
                  <wp:extent cx="6155690" cy="3136265"/>
                  <wp:effectExtent l="0" t="0" r="0" b="6985"/>
                  <wp:docPr id="13804843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484345" name="图片 1"/>
                          <pic:cNvPicPr>
                            <a:picLocks noChangeAspect="1"/>
                          </pic:cNvPicPr>
                        </pic:nvPicPr>
                        <pic:blipFill>
                          <a:blip r:embed="rId11"/>
                          <a:stretch>
                            <a:fillRect/>
                          </a:stretch>
                        </pic:blipFill>
                        <pic:spPr>
                          <a:xfrm>
                            <a:off x="0" y="0"/>
                            <a:ext cx="6171633" cy="3144684"/>
                          </a:xfrm>
                          <a:prstGeom prst="rect">
                            <a:avLst/>
                          </a:prstGeom>
                        </pic:spPr>
                      </pic:pic>
                    </a:graphicData>
                  </a:graphic>
                </wp:inline>
              </w:drawing>
            </w:r>
          </w:p>
          <w:p w14:paraId="6DA4D51F">
            <w:pPr>
              <w:spacing w:line="500" w:lineRule="exact"/>
              <w:jc w:val="center"/>
              <w:rPr>
                <w:szCs w:val="21"/>
              </w:rPr>
            </w:pPr>
            <w:r>
              <w:rPr>
                <w:rFonts w:hint="eastAsia"/>
                <w:b/>
                <w:bCs/>
                <w:szCs w:val="21"/>
              </w:rPr>
              <w:t>图</w:t>
            </w:r>
            <w:r>
              <w:rPr>
                <w:b/>
                <w:bCs/>
                <w:szCs w:val="21"/>
              </w:rPr>
              <w:t>2-</w:t>
            </w:r>
            <w:r>
              <w:rPr>
                <w:rFonts w:hint="eastAsia"/>
                <w:b/>
                <w:bCs/>
                <w:szCs w:val="21"/>
              </w:rPr>
              <w:t>3</w:t>
            </w:r>
            <w:r>
              <w:rPr>
                <w:b/>
                <w:bCs/>
                <w:szCs w:val="21"/>
              </w:rPr>
              <w:t xml:space="preserve"> </w:t>
            </w:r>
            <w:r>
              <w:rPr>
                <w:rFonts w:hint="eastAsia"/>
                <w:b/>
                <w:bCs/>
                <w:szCs w:val="21"/>
              </w:rPr>
              <w:t>机动车道路面结构设计图</w:t>
            </w:r>
          </w:p>
          <w:p w14:paraId="195CE1BA">
            <w:pPr>
              <w:spacing w:line="500" w:lineRule="exact"/>
              <w:ind w:firstLine="422" w:firstLineChars="200"/>
              <w:jc w:val="left"/>
              <w:rPr>
                <w:b/>
                <w:bCs/>
                <w:szCs w:val="21"/>
              </w:rPr>
            </w:pPr>
            <w:r>
              <w:rPr>
                <w:rFonts w:hint="eastAsia"/>
                <w:b/>
                <w:bCs/>
                <w:szCs w:val="21"/>
              </w:rPr>
              <w:t>（2）非机动车道</w:t>
            </w:r>
          </w:p>
          <w:p w14:paraId="6E791E9D">
            <w:pPr>
              <w:spacing w:line="500" w:lineRule="exact"/>
              <w:ind w:firstLine="420" w:firstLineChars="200"/>
              <w:jc w:val="left"/>
              <w:rPr>
                <w:szCs w:val="21"/>
              </w:rPr>
            </w:pPr>
            <w:r>
              <w:rPr>
                <w:rFonts w:hint="eastAsia"/>
                <w:szCs w:val="21"/>
              </w:rPr>
              <w:t>8cm 彩色透水混凝土面层</w:t>
            </w:r>
          </w:p>
          <w:p w14:paraId="6B5F844F">
            <w:pPr>
              <w:spacing w:line="500" w:lineRule="exact"/>
              <w:ind w:firstLine="420" w:firstLineChars="200"/>
              <w:jc w:val="left"/>
              <w:rPr>
                <w:szCs w:val="21"/>
              </w:rPr>
            </w:pPr>
            <w:r>
              <w:rPr>
                <w:rFonts w:hint="eastAsia"/>
                <w:szCs w:val="21"/>
              </w:rPr>
              <w:t>10cm 透水混凝土</w:t>
            </w:r>
          </w:p>
          <w:p w14:paraId="309262EC">
            <w:pPr>
              <w:spacing w:line="500" w:lineRule="exact"/>
              <w:ind w:firstLine="420" w:firstLineChars="200"/>
              <w:jc w:val="left"/>
              <w:rPr>
                <w:szCs w:val="21"/>
              </w:rPr>
            </w:pPr>
            <w:r>
              <w:rPr>
                <w:rFonts w:hint="eastAsia"/>
                <w:szCs w:val="21"/>
              </w:rPr>
              <w:t>15cm 级配碎石</w:t>
            </w:r>
          </w:p>
          <w:p w14:paraId="77754B5E">
            <w:pPr>
              <w:spacing w:line="500" w:lineRule="exact"/>
              <w:ind w:firstLine="420" w:firstLineChars="200"/>
              <w:jc w:val="left"/>
              <w:rPr>
                <w:szCs w:val="21"/>
              </w:rPr>
            </w:pPr>
            <w:r>
              <w:rPr>
                <w:rFonts w:hint="eastAsia"/>
                <w:szCs w:val="21"/>
              </w:rPr>
              <w:t>压实路基&gt;93%</w:t>
            </w:r>
          </w:p>
          <w:p w14:paraId="254D64AD">
            <w:pPr>
              <w:spacing w:line="500" w:lineRule="exact"/>
              <w:ind w:firstLine="420" w:firstLineChars="200"/>
              <w:jc w:val="left"/>
              <w:rPr>
                <w:szCs w:val="21"/>
              </w:rPr>
            </w:pPr>
            <w:r>
              <w:rPr>
                <w:rFonts w:hint="eastAsia"/>
                <w:szCs w:val="21"/>
              </w:rPr>
              <w:t>总厚度:33cm</w:t>
            </w:r>
          </w:p>
          <w:p w14:paraId="25FFED3B">
            <w:pPr>
              <w:jc w:val="center"/>
              <w:rPr>
                <w:szCs w:val="21"/>
              </w:rPr>
            </w:pPr>
            <w:r>
              <w:rPr>
                <w:szCs w:val="21"/>
              </w:rPr>
              <w:drawing>
                <wp:inline distT="0" distB="0" distL="0" distR="0">
                  <wp:extent cx="3327400" cy="2883535"/>
                  <wp:effectExtent l="0" t="0" r="6350" b="0"/>
                  <wp:docPr id="18030944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094450" name="图片 1"/>
                          <pic:cNvPicPr>
                            <a:picLocks noChangeAspect="1"/>
                          </pic:cNvPicPr>
                        </pic:nvPicPr>
                        <pic:blipFill>
                          <a:blip r:embed="rId12"/>
                          <a:stretch>
                            <a:fillRect/>
                          </a:stretch>
                        </pic:blipFill>
                        <pic:spPr>
                          <a:xfrm>
                            <a:off x="0" y="0"/>
                            <a:ext cx="3336019" cy="2890850"/>
                          </a:xfrm>
                          <a:prstGeom prst="rect">
                            <a:avLst/>
                          </a:prstGeom>
                        </pic:spPr>
                      </pic:pic>
                    </a:graphicData>
                  </a:graphic>
                </wp:inline>
              </w:drawing>
            </w:r>
          </w:p>
          <w:p w14:paraId="4E0B9566">
            <w:pPr>
              <w:spacing w:line="500" w:lineRule="exact"/>
              <w:ind w:firstLine="422" w:firstLineChars="200"/>
              <w:jc w:val="center"/>
              <w:rPr>
                <w:szCs w:val="21"/>
              </w:rPr>
            </w:pPr>
            <w:r>
              <w:rPr>
                <w:rFonts w:hint="eastAsia"/>
                <w:b/>
                <w:bCs/>
                <w:szCs w:val="21"/>
              </w:rPr>
              <w:t>图</w:t>
            </w:r>
            <w:r>
              <w:rPr>
                <w:b/>
                <w:bCs/>
                <w:szCs w:val="21"/>
              </w:rPr>
              <w:t>2</w:t>
            </w:r>
            <w:r>
              <w:rPr>
                <w:rFonts w:hint="eastAsia"/>
                <w:b/>
                <w:bCs/>
                <w:szCs w:val="21"/>
              </w:rPr>
              <w:t>-4</w:t>
            </w:r>
            <w:r>
              <w:rPr>
                <w:b/>
                <w:bCs/>
                <w:szCs w:val="21"/>
              </w:rPr>
              <w:t xml:space="preserve"> </w:t>
            </w:r>
            <w:r>
              <w:rPr>
                <w:rFonts w:hint="eastAsia"/>
                <w:b/>
                <w:bCs/>
                <w:szCs w:val="21"/>
              </w:rPr>
              <w:t>非机动车道路面结构设计图</w:t>
            </w:r>
          </w:p>
          <w:p w14:paraId="2992D9AE">
            <w:pPr>
              <w:spacing w:line="500" w:lineRule="exact"/>
              <w:ind w:firstLine="422" w:firstLineChars="200"/>
              <w:jc w:val="left"/>
              <w:rPr>
                <w:b/>
                <w:bCs/>
                <w:szCs w:val="21"/>
              </w:rPr>
            </w:pPr>
            <w:r>
              <w:rPr>
                <w:rFonts w:hint="eastAsia"/>
                <w:b/>
                <w:bCs/>
                <w:szCs w:val="21"/>
              </w:rPr>
              <w:t>（3）无障碍设计</w:t>
            </w:r>
          </w:p>
          <w:p w14:paraId="1A65A104">
            <w:pPr>
              <w:spacing w:line="500" w:lineRule="exact"/>
              <w:ind w:firstLine="420" w:firstLineChars="200"/>
              <w:rPr>
                <w:szCs w:val="21"/>
              </w:rPr>
            </w:pPr>
            <w:r>
              <w:rPr>
                <w:rFonts w:hint="eastAsia"/>
                <w:szCs w:val="21"/>
              </w:rPr>
              <w:t>人行过街设施的无障碍化是保证残疾人、年老体弱者平等参与社会生活，共享社会公共设施的重要措施，也是政府“以人为本”思想的重要体现。根据国家行业标准《无障碍设计规范》(GB50763-2012)规定，本工程在人行道的各种路口设置缘石坡道，并保证缘石坡道下口高出车行道的地面不大于 10mm。为满足视残者的出行要求，在人行道上设置指引残疾者前进的行进盲道和提示自道，并按要求设置国际通用的无障碍标志等。</w:t>
            </w:r>
          </w:p>
          <w:p w14:paraId="6F1F20CE">
            <w:pPr>
              <w:adjustRightInd w:val="0"/>
              <w:snapToGrid w:val="0"/>
              <w:spacing w:line="500" w:lineRule="exact"/>
              <w:ind w:firstLine="422" w:firstLineChars="200"/>
              <w:jc w:val="left"/>
              <w:rPr>
                <w:b/>
                <w:bCs/>
                <w:szCs w:val="21"/>
              </w:rPr>
            </w:pPr>
            <w:r>
              <w:rPr>
                <w:rFonts w:hint="eastAsia"/>
                <w:b/>
                <w:bCs/>
                <w:szCs w:val="21"/>
              </w:rPr>
              <w:t>四、给排水工程</w:t>
            </w:r>
          </w:p>
          <w:p w14:paraId="08120BD8">
            <w:pPr>
              <w:spacing w:line="500" w:lineRule="exact"/>
              <w:ind w:firstLine="422" w:firstLineChars="200"/>
              <w:jc w:val="left"/>
              <w:rPr>
                <w:b/>
                <w:bCs/>
                <w:szCs w:val="21"/>
              </w:rPr>
            </w:pPr>
            <w:r>
              <w:rPr>
                <w:rFonts w:hint="eastAsia"/>
                <w:b/>
                <w:bCs/>
                <w:szCs w:val="21"/>
              </w:rPr>
              <w:t>（1）给水工程</w:t>
            </w:r>
          </w:p>
          <w:p w14:paraId="52EEEBDB">
            <w:pPr>
              <w:spacing w:line="500" w:lineRule="exact"/>
              <w:ind w:firstLine="420" w:firstLineChars="200"/>
              <w:rPr>
                <w:szCs w:val="21"/>
              </w:rPr>
            </w:pPr>
            <w:r>
              <w:rPr>
                <w:rFonts w:hint="eastAsia"/>
                <w:szCs w:val="21"/>
              </w:rPr>
              <w:t>本工程给水管线仅预留管位。主体设计于道路中央绿化带下方布设有绿化给水管线(DN20~50)，总长度 33lm。</w:t>
            </w:r>
          </w:p>
          <w:p w14:paraId="5387021F">
            <w:pPr>
              <w:spacing w:line="500" w:lineRule="exact"/>
              <w:ind w:firstLine="422" w:firstLineChars="200"/>
              <w:jc w:val="left"/>
              <w:rPr>
                <w:b/>
                <w:bCs/>
                <w:szCs w:val="21"/>
              </w:rPr>
            </w:pPr>
            <w:r>
              <w:rPr>
                <w:rFonts w:hint="eastAsia"/>
                <w:b/>
                <w:bCs/>
                <w:szCs w:val="21"/>
              </w:rPr>
              <w:t>（2）排水工程</w:t>
            </w:r>
          </w:p>
          <w:p w14:paraId="49C8D8BE">
            <w:pPr>
              <w:spacing w:line="500" w:lineRule="exact"/>
              <w:ind w:firstLine="420" w:firstLineChars="200"/>
              <w:rPr>
                <w:szCs w:val="21"/>
              </w:rPr>
            </w:pPr>
            <w:r>
              <w:rPr>
                <w:rFonts w:hint="eastAsia"/>
                <w:szCs w:val="21"/>
              </w:rPr>
              <w:t>本工程所经区域基本为山体，道路下没有现状雨水管道，现状雨水自然散排。与设计起点相接的正在施工的体育大道东延段两侧有 d1200~d1500 雨水管道，需通过本项目设计雨水管道进行排放。</w:t>
            </w:r>
          </w:p>
          <w:p w14:paraId="582243A6">
            <w:pPr>
              <w:spacing w:line="500" w:lineRule="exact"/>
              <w:ind w:firstLine="420" w:firstLineChars="200"/>
              <w:rPr>
                <w:szCs w:val="21"/>
              </w:rPr>
            </w:pPr>
            <w:r>
              <w:rPr>
                <w:rFonts w:hint="eastAsia"/>
                <w:szCs w:val="21"/>
              </w:rPr>
              <w:t>由于规划缺乏片区雨水工程相关规划，本工程结合现状管线及水系分布情况，本着高水高排、低水低排、分散就近排放的原则布置道路雨水管道系统。</w:t>
            </w:r>
          </w:p>
          <w:p w14:paraId="5027ABA6">
            <w:pPr>
              <w:spacing w:line="500" w:lineRule="exact"/>
              <w:ind w:firstLine="420" w:firstLineChars="200"/>
              <w:rPr>
                <w:szCs w:val="21"/>
              </w:rPr>
            </w:pPr>
            <w:r>
              <w:rPr>
                <w:rFonts w:hint="eastAsia"/>
                <w:szCs w:val="21"/>
              </w:rPr>
              <w:t>道路红线宽度为 34.5 米，为顺接上游双侧已设计雨水管道，本项目采用双侧布管，雨水管道布置在道路两侧机动车道下，收集道路两侧地块雨水及路面雨水，管径为 DN300~1800，根据道路纵坡，自西向东排入终点一号公路体育路立交范围内的白石排洪渠，位于终点南侧，本工程雨水管道总长780m。</w:t>
            </w:r>
          </w:p>
          <w:p w14:paraId="44DC93AA">
            <w:pPr>
              <w:jc w:val="left"/>
              <w:rPr>
                <w:szCs w:val="21"/>
              </w:rPr>
            </w:pPr>
            <w:r>
              <w:rPr>
                <w:szCs w:val="21"/>
              </w:rPr>
              <w:drawing>
                <wp:inline distT="0" distB="0" distL="0" distR="0">
                  <wp:extent cx="6193155" cy="2806700"/>
                  <wp:effectExtent l="0" t="0" r="0" b="0"/>
                  <wp:docPr id="12565613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561383" name="图片 1"/>
                          <pic:cNvPicPr>
                            <a:picLocks noChangeAspect="1"/>
                          </pic:cNvPicPr>
                        </pic:nvPicPr>
                        <pic:blipFill>
                          <a:blip r:embed="rId13"/>
                          <a:stretch>
                            <a:fillRect/>
                          </a:stretch>
                        </pic:blipFill>
                        <pic:spPr>
                          <a:xfrm>
                            <a:off x="0" y="0"/>
                            <a:ext cx="6214283" cy="2816468"/>
                          </a:xfrm>
                          <a:prstGeom prst="rect">
                            <a:avLst/>
                          </a:prstGeom>
                        </pic:spPr>
                      </pic:pic>
                    </a:graphicData>
                  </a:graphic>
                </wp:inline>
              </w:drawing>
            </w:r>
          </w:p>
          <w:p w14:paraId="74181038">
            <w:pPr>
              <w:spacing w:line="500" w:lineRule="exact"/>
              <w:jc w:val="center"/>
              <w:rPr>
                <w:szCs w:val="21"/>
              </w:rPr>
            </w:pPr>
            <w:r>
              <w:rPr>
                <w:rFonts w:hint="eastAsia"/>
                <w:b/>
                <w:bCs/>
                <w:szCs w:val="21"/>
              </w:rPr>
              <w:t>图</w:t>
            </w:r>
            <w:r>
              <w:rPr>
                <w:b/>
                <w:bCs/>
                <w:szCs w:val="21"/>
              </w:rPr>
              <w:t>2-</w:t>
            </w:r>
            <w:r>
              <w:rPr>
                <w:rFonts w:hint="eastAsia"/>
                <w:b/>
                <w:bCs/>
                <w:szCs w:val="21"/>
              </w:rPr>
              <w:t>5</w:t>
            </w:r>
            <w:r>
              <w:rPr>
                <w:b/>
                <w:bCs/>
                <w:szCs w:val="21"/>
              </w:rPr>
              <w:t xml:space="preserve"> </w:t>
            </w:r>
            <w:r>
              <w:rPr>
                <w:rFonts w:hint="eastAsia"/>
                <w:b/>
                <w:bCs/>
                <w:szCs w:val="21"/>
              </w:rPr>
              <w:t>排水管沟槽开挖及回填断面图</w:t>
            </w:r>
          </w:p>
          <w:p w14:paraId="372EF97E">
            <w:pPr>
              <w:spacing w:line="500" w:lineRule="exact"/>
              <w:ind w:firstLine="422" w:firstLineChars="200"/>
              <w:jc w:val="left"/>
              <w:rPr>
                <w:b/>
                <w:bCs/>
                <w:szCs w:val="21"/>
              </w:rPr>
            </w:pPr>
            <w:r>
              <w:rPr>
                <w:rFonts w:hint="eastAsia"/>
                <w:b/>
                <w:bCs/>
                <w:szCs w:val="21"/>
              </w:rPr>
              <w:t>（3）污水工程</w:t>
            </w:r>
          </w:p>
          <w:p w14:paraId="5005BF17">
            <w:pPr>
              <w:spacing w:line="500" w:lineRule="exact"/>
              <w:ind w:firstLine="420" w:firstLineChars="200"/>
              <w:rPr>
                <w:szCs w:val="21"/>
              </w:rPr>
            </w:pPr>
            <w:r>
              <w:rPr>
                <w:rFonts w:hint="eastAsia"/>
                <w:szCs w:val="21"/>
              </w:rPr>
              <w:t>根据《博罗县城排水工程专项规划(2015-2030年)》，本工程范围内无规划污水管道，主要因为本工程北侧为建成的高尔夫球场，其污水已由其他路段承接，南侧为山林绿地，无污水排放需求。</w:t>
            </w:r>
          </w:p>
          <w:p w14:paraId="70448657">
            <w:pPr>
              <w:adjustRightInd w:val="0"/>
              <w:snapToGrid w:val="0"/>
              <w:spacing w:line="500" w:lineRule="exact"/>
              <w:jc w:val="left"/>
              <w:rPr>
                <w:b/>
                <w:bCs/>
                <w:szCs w:val="21"/>
              </w:rPr>
            </w:pPr>
          </w:p>
          <w:p w14:paraId="5C2A4A21">
            <w:pPr>
              <w:adjustRightInd w:val="0"/>
              <w:snapToGrid w:val="0"/>
              <w:spacing w:line="500" w:lineRule="exact"/>
              <w:ind w:firstLine="422" w:firstLineChars="200"/>
              <w:jc w:val="left"/>
              <w:rPr>
                <w:b/>
                <w:bCs/>
                <w:szCs w:val="21"/>
              </w:rPr>
            </w:pPr>
            <w:r>
              <w:rPr>
                <w:rFonts w:hint="eastAsia"/>
                <w:b/>
                <w:bCs/>
                <w:szCs w:val="21"/>
              </w:rPr>
              <w:t>五、电气工程</w:t>
            </w:r>
          </w:p>
          <w:p w14:paraId="1F596CB5">
            <w:pPr>
              <w:spacing w:line="500" w:lineRule="exact"/>
              <w:ind w:firstLine="422" w:firstLineChars="200"/>
              <w:jc w:val="left"/>
              <w:rPr>
                <w:b/>
                <w:bCs/>
                <w:szCs w:val="21"/>
              </w:rPr>
            </w:pPr>
            <w:r>
              <w:rPr>
                <w:rFonts w:hint="eastAsia"/>
                <w:b/>
                <w:bCs/>
                <w:szCs w:val="21"/>
              </w:rPr>
              <w:t>（1）电力设计</w:t>
            </w:r>
          </w:p>
          <w:p w14:paraId="04F31344">
            <w:pPr>
              <w:spacing w:line="500" w:lineRule="exact"/>
              <w:ind w:firstLine="420" w:firstLineChars="200"/>
              <w:rPr>
                <w:szCs w:val="21"/>
              </w:rPr>
            </w:pPr>
            <w:r>
              <w:rPr>
                <w:rFonts w:hint="eastAsia"/>
                <w:szCs w:val="21"/>
              </w:rPr>
              <w:t>电缆沟宜每隔20米设置检查井一个，每隔60米设置电缆工作井一个，检查井面、工作井面及中间头井面应设置电缆标志牌。电缆走廊宜每隔200米设置三通井或四通井替代中间头井。并根据用户情况，设置一组横过路管BWFRP-6ф150(纤维编绕拉挤电缆保护套管)，管顶距设计路面覆土不小于07米，过机动车道时应采用钢筋砼包封保护。</w:t>
            </w:r>
          </w:p>
          <w:p w14:paraId="501D7C09">
            <w:pPr>
              <w:spacing w:line="500" w:lineRule="exact"/>
              <w:ind w:firstLine="420" w:firstLineChars="200"/>
              <w:rPr>
                <w:szCs w:val="21"/>
              </w:rPr>
            </w:pPr>
            <w:r>
              <w:rPr>
                <w:rFonts w:hint="eastAsia"/>
                <w:szCs w:val="21"/>
              </w:rPr>
              <w:t>10kV电缆沟每隔不超过200米设置防火墙一面，防火墙设置于电力井内，采用防火环保膨胀模块。</w:t>
            </w:r>
          </w:p>
          <w:p w14:paraId="56AACCD0">
            <w:pPr>
              <w:spacing w:line="500" w:lineRule="exact"/>
              <w:ind w:firstLine="420" w:firstLineChars="200"/>
              <w:rPr>
                <w:szCs w:val="21"/>
              </w:rPr>
            </w:pPr>
            <w:r>
              <w:rPr>
                <w:rFonts w:hint="eastAsia"/>
                <w:szCs w:val="21"/>
              </w:rPr>
              <w:t>新建电缆沟过程中，接地系统同步实施。电缆沟内全线双侧通长设置人工水平接地体，水平接地体采用回中16热镀锌圆钢，每个工井处设置一组接地极，接地极采用L50x50x5x2500mm的热镀锌角钢，采用中16热镀锌圆钢作为连接引下线，将水平地极与垂直地极焊接连通，在接地极处需设置接地测试板，要求系统接地电阻不应大于4欧。</w:t>
            </w:r>
          </w:p>
          <w:p w14:paraId="5777CAA5">
            <w:pPr>
              <w:spacing w:line="500" w:lineRule="exact"/>
              <w:ind w:firstLine="420" w:firstLineChars="200"/>
              <w:rPr>
                <w:szCs w:val="21"/>
              </w:rPr>
            </w:pPr>
            <w:r>
              <w:rPr>
                <w:rFonts w:hint="eastAsia"/>
                <w:szCs w:val="21"/>
              </w:rPr>
              <w:t>电缆沟位于人行道时，固定盖板顶预留人行道砖位置，活动盖板上做装饰盖板后顶标高与相应道路设计标高平齐；电缆沟位于绿化退让内时，固定盖板顶预留200mm种植土，活动盖板上做装饰盖板后顶标高与相应人行道标高平齐。</w:t>
            </w:r>
          </w:p>
          <w:p w14:paraId="220ADE44">
            <w:pPr>
              <w:spacing w:line="500" w:lineRule="exact"/>
              <w:ind w:firstLine="420" w:firstLineChars="200"/>
              <w:rPr>
                <w:szCs w:val="21"/>
              </w:rPr>
            </w:pPr>
            <w:r>
              <w:rPr>
                <w:rFonts w:hint="eastAsia"/>
                <w:szCs w:val="21"/>
              </w:rPr>
              <w:t>电缆支架采用SMC复合材料支架，颜色自定。电缆支架的表面应平整光滑、色泽均匀，无起皱、裂纹、分层、纤维裸露等缺陷。耐酸、耐碱、耐水、耐光老化。凡支架直角部分需进行R0.5mm倒角处理。电缆支架荷载不低于GB/T 34182-2017中承载性能3级，即垂直荷载不低于3kN、横向荷载不低于1.0kN。</w:t>
            </w:r>
          </w:p>
          <w:p w14:paraId="7354B941">
            <w:pPr>
              <w:spacing w:line="500" w:lineRule="exact"/>
              <w:ind w:firstLine="420" w:firstLineChars="200"/>
              <w:rPr>
                <w:szCs w:val="21"/>
              </w:rPr>
            </w:pPr>
            <w:r>
              <w:rPr>
                <w:rFonts w:hint="eastAsia"/>
                <w:szCs w:val="21"/>
              </w:rPr>
              <w:t>电缆沟及井内应设置中200PVC管集水口一个含内填满粗沙。纵向集水口的坡度不小于0.5%。</w:t>
            </w:r>
          </w:p>
          <w:p w14:paraId="0E2808AC">
            <w:pPr>
              <w:spacing w:line="500" w:lineRule="exact"/>
              <w:ind w:firstLine="420" w:firstLineChars="200"/>
              <w:rPr>
                <w:szCs w:val="21"/>
              </w:rPr>
            </w:pPr>
            <w:r>
              <w:rPr>
                <w:rFonts w:hint="eastAsia"/>
                <w:szCs w:val="21"/>
              </w:rPr>
              <w:t>为了避免雨水渗入管道淤塞管孔或造成电缆腐蚀，铺设管道时，在两人孔井之间采取一定的坡度，使管道内雨水能够自然流入人孔井，再排入城市雨水系统。</w:t>
            </w:r>
          </w:p>
          <w:p w14:paraId="317A009E">
            <w:pPr>
              <w:jc w:val="center"/>
              <w:rPr>
                <w:szCs w:val="21"/>
              </w:rPr>
            </w:pPr>
            <w:r>
              <w:rPr>
                <w:szCs w:val="21"/>
              </w:rPr>
              <w:drawing>
                <wp:inline distT="0" distB="0" distL="0" distR="0">
                  <wp:extent cx="4592955" cy="2233930"/>
                  <wp:effectExtent l="0" t="0" r="0" b="0"/>
                  <wp:docPr id="17355522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52225" name="图片 1"/>
                          <pic:cNvPicPr>
                            <a:picLocks noChangeAspect="1"/>
                          </pic:cNvPicPr>
                        </pic:nvPicPr>
                        <pic:blipFill>
                          <a:blip r:embed="rId14"/>
                          <a:stretch>
                            <a:fillRect/>
                          </a:stretch>
                        </pic:blipFill>
                        <pic:spPr>
                          <a:xfrm>
                            <a:off x="0" y="0"/>
                            <a:ext cx="4606097" cy="2240327"/>
                          </a:xfrm>
                          <a:prstGeom prst="rect">
                            <a:avLst/>
                          </a:prstGeom>
                        </pic:spPr>
                      </pic:pic>
                    </a:graphicData>
                  </a:graphic>
                </wp:inline>
              </w:drawing>
            </w:r>
          </w:p>
          <w:p w14:paraId="51F3A0B5">
            <w:pPr>
              <w:spacing w:line="500" w:lineRule="exact"/>
              <w:jc w:val="center"/>
              <w:rPr>
                <w:szCs w:val="21"/>
              </w:rPr>
            </w:pPr>
            <w:r>
              <w:rPr>
                <w:rFonts w:hint="eastAsia"/>
                <w:b/>
                <w:bCs/>
                <w:szCs w:val="21"/>
              </w:rPr>
              <w:t>图</w:t>
            </w:r>
            <w:r>
              <w:rPr>
                <w:b/>
                <w:bCs/>
                <w:szCs w:val="21"/>
              </w:rPr>
              <w:t>2-</w:t>
            </w:r>
            <w:r>
              <w:rPr>
                <w:rFonts w:hint="eastAsia"/>
                <w:b/>
                <w:bCs/>
                <w:szCs w:val="21"/>
              </w:rPr>
              <w:t>6</w:t>
            </w:r>
            <w:r>
              <w:rPr>
                <w:b/>
                <w:bCs/>
                <w:szCs w:val="21"/>
              </w:rPr>
              <w:t xml:space="preserve"> </w:t>
            </w:r>
            <w:r>
              <w:rPr>
                <w:rFonts w:hint="eastAsia"/>
                <w:b/>
                <w:bCs/>
                <w:szCs w:val="21"/>
              </w:rPr>
              <w:t xml:space="preserve"> 电缆沟开挖与回填断面图</w:t>
            </w:r>
          </w:p>
          <w:p w14:paraId="786D06A8">
            <w:pPr>
              <w:spacing w:line="500" w:lineRule="exact"/>
              <w:ind w:firstLine="422" w:firstLineChars="200"/>
              <w:jc w:val="left"/>
              <w:rPr>
                <w:b/>
                <w:bCs/>
                <w:szCs w:val="21"/>
              </w:rPr>
            </w:pPr>
            <w:r>
              <w:rPr>
                <w:rFonts w:hint="eastAsia"/>
                <w:b/>
                <w:bCs/>
                <w:szCs w:val="21"/>
              </w:rPr>
              <w:t>（2）通讯设计</w:t>
            </w:r>
          </w:p>
          <w:p w14:paraId="0C38A3D5">
            <w:pPr>
              <w:spacing w:line="500" w:lineRule="exact"/>
              <w:ind w:firstLine="420" w:firstLineChars="200"/>
              <w:rPr>
                <w:szCs w:val="21"/>
              </w:rPr>
            </w:pPr>
            <w:r>
              <w:rPr>
                <w:rFonts w:hint="eastAsia"/>
                <w:szCs w:val="21"/>
              </w:rPr>
              <w:t>本工程设计起点衔接的博罗县城体育大道东延段(二期)建设工程中通信设计为PVC-U-10φ110通信管群，并结合道路周边地块用地性质等，故本工程设计为PVC-U-10中110通信管群，组合方式为二层五列，布置在道路南侧人行道下，中心线距人行道外边线0.5米。通信管群在人行道下管顶距设计路面0.8米，过机动车道时管顶距设计路面0.9米，应采用钢筋砼包封保护。采用PVC-U实壁管，通信管群用塑料排架固定，内填细砂，排架间隔2米左右。</w:t>
            </w:r>
          </w:p>
          <w:p w14:paraId="6332BB1C">
            <w:pPr>
              <w:spacing w:line="500" w:lineRule="exact"/>
              <w:ind w:firstLine="422" w:firstLineChars="200"/>
              <w:jc w:val="left"/>
              <w:rPr>
                <w:b/>
                <w:bCs/>
                <w:szCs w:val="21"/>
              </w:rPr>
            </w:pPr>
            <w:r>
              <w:rPr>
                <w:rFonts w:hint="eastAsia"/>
                <w:b/>
                <w:bCs/>
                <w:szCs w:val="21"/>
              </w:rPr>
              <w:t>（3）照明设计</w:t>
            </w:r>
          </w:p>
          <w:p w14:paraId="7E234261">
            <w:pPr>
              <w:spacing w:line="500" w:lineRule="exact"/>
              <w:ind w:firstLine="420" w:firstLineChars="200"/>
              <w:rPr>
                <w:szCs w:val="21"/>
              </w:rPr>
            </w:pPr>
            <w:r>
              <w:rPr>
                <w:rFonts w:hint="eastAsia"/>
                <w:szCs w:val="21"/>
              </w:rPr>
              <w:t>本道路在中央分隔带设计12m/12m双等臂路灯，臂长2.0m/2.0m，仰角为129/12°，功率为 220W/220WLED，水平间距为35m，灯杆布置在中央分带中间。因南、北两侧人行道外沿分离，机动车道照度不能兼顾，考虑到夜间行人出行安全，故在人行道设计4m庭院灯，功率为20WLED，水平间距为20m，灯杆距路缘石0.45m，灯杆与树池冲突应避开。</w:t>
            </w:r>
          </w:p>
          <w:p w14:paraId="17A42C35">
            <w:pPr>
              <w:adjustRightInd w:val="0"/>
              <w:snapToGrid w:val="0"/>
              <w:spacing w:line="500" w:lineRule="exact"/>
              <w:ind w:firstLine="422" w:firstLineChars="200"/>
              <w:jc w:val="left"/>
              <w:rPr>
                <w:b/>
                <w:bCs/>
                <w:szCs w:val="21"/>
              </w:rPr>
            </w:pPr>
            <w:r>
              <w:rPr>
                <w:rFonts w:hint="eastAsia"/>
                <w:b/>
                <w:bCs/>
                <w:szCs w:val="21"/>
              </w:rPr>
              <w:t>六、交通工程</w:t>
            </w:r>
          </w:p>
          <w:p w14:paraId="7AD3A481">
            <w:pPr>
              <w:spacing w:line="500" w:lineRule="exact"/>
              <w:ind w:firstLine="422" w:firstLineChars="200"/>
              <w:jc w:val="left"/>
              <w:rPr>
                <w:b/>
                <w:szCs w:val="21"/>
              </w:rPr>
            </w:pPr>
            <w:r>
              <w:rPr>
                <w:rFonts w:hint="eastAsia"/>
                <w:b/>
                <w:bCs/>
                <w:szCs w:val="21"/>
              </w:rPr>
              <w:t>（1）</w:t>
            </w:r>
            <w:r>
              <w:rPr>
                <w:b/>
                <w:szCs w:val="21"/>
              </w:rPr>
              <w:t>交通</w:t>
            </w:r>
            <w:r>
              <w:rPr>
                <w:rFonts w:hint="eastAsia"/>
                <w:b/>
                <w:szCs w:val="21"/>
              </w:rPr>
              <w:t>安全</w:t>
            </w:r>
          </w:p>
          <w:p w14:paraId="75751923">
            <w:pPr>
              <w:spacing w:line="500" w:lineRule="exact"/>
              <w:ind w:firstLine="420" w:firstLineChars="200"/>
              <w:jc w:val="left"/>
              <w:rPr>
                <w:szCs w:val="21"/>
              </w:rPr>
            </w:pPr>
            <w:r>
              <w:rPr>
                <w:szCs w:val="21"/>
              </w:rPr>
              <w:t>交通工程包括交通安全设施（包含标志、标线、防护设施等）设置。</w:t>
            </w:r>
          </w:p>
          <w:p w14:paraId="637D6F1C">
            <w:pPr>
              <w:spacing w:line="500" w:lineRule="exact"/>
              <w:ind w:firstLine="420" w:firstLineChars="200"/>
              <w:jc w:val="left"/>
              <w:rPr>
                <w:szCs w:val="21"/>
              </w:rPr>
            </w:pPr>
            <w:r>
              <w:rPr>
                <w:szCs w:val="21"/>
              </w:rPr>
              <w:t>1）交通标线、标志牌</w:t>
            </w:r>
          </w:p>
          <w:p w14:paraId="7352D905">
            <w:pPr>
              <w:spacing w:line="500" w:lineRule="exact"/>
              <w:ind w:firstLine="420" w:firstLineChars="200"/>
              <w:jc w:val="left"/>
              <w:rPr>
                <w:szCs w:val="21"/>
              </w:rPr>
            </w:pPr>
            <w:r>
              <w:rPr>
                <w:szCs w:val="21"/>
              </w:rPr>
              <w:t>以《</w:t>
            </w:r>
            <w:bookmarkStart w:id="25" w:name="OLE_LINK2"/>
            <w:r>
              <w:rPr>
                <w:szCs w:val="21"/>
              </w:rPr>
              <w:t>道路交通标志和标线</w:t>
            </w:r>
            <w:bookmarkEnd w:id="25"/>
            <w:r>
              <w:rPr>
                <w:szCs w:val="21"/>
              </w:rPr>
              <w:t>》（GB5768—2009）为依据。交通标志的设置按警告、禁令、指示的顺序，先上后下，先左后右进行排列。根据道路技术标准，按规范要求设车道分界线、车道边缘线、岛流线等各类标线。</w:t>
            </w:r>
          </w:p>
          <w:p w14:paraId="18841F89">
            <w:pPr>
              <w:spacing w:line="500" w:lineRule="exact"/>
              <w:ind w:firstLine="420" w:firstLineChars="200"/>
              <w:jc w:val="left"/>
              <w:rPr>
                <w:szCs w:val="21"/>
              </w:rPr>
            </w:pPr>
            <w:r>
              <w:rPr>
                <w:szCs w:val="21"/>
              </w:rPr>
              <w:t>2）诱导设施</w:t>
            </w:r>
          </w:p>
          <w:p w14:paraId="27A6D745">
            <w:pPr>
              <w:spacing w:line="500" w:lineRule="exact"/>
              <w:ind w:firstLine="420" w:firstLineChars="200"/>
              <w:jc w:val="left"/>
              <w:rPr>
                <w:szCs w:val="21"/>
              </w:rPr>
            </w:pPr>
            <w:r>
              <w:rPr>
                <w:szCs w:val="21"/>
              </w:rPr>
              <w:t>为了使晚间车辆安全行驶，在路面上设计突起反光道路灯，两侧防护栏上设红、黄反光诱导标。</w:t>
            </w:r>
          </w:p>
          <w:p w14:paraId="7FB74BB8">
            <w:pPr>
              <w:spacing w:line="500" w:lineRule="exact"/>
              <w:ind w:firstLine="422" w:firstLineChars="200"/>
              <w:jc w:val="left"/>
              <w:rPr>
                <w:szCs w:val="21"/>
              </w:rPr>
            </w:pPr>
            <w:r>
              <w:rPr>
                <w:rFonts w:hint="eastAsia"/>
                <w:b/>
                <w:szCs w:val="21"/>
              </w:rPr>
              <w:t>（2）</w:t>
            </w:r>
            <w:r>
              <w:rPr>
                <w:b/>
                <w:szCs w:val="21"/>
              </w:rPr>
              <w:t>交通监控</w:t>
            </w:r>
          </w:p>
          <w:p w14:paraId="19FB6707">
            <w:pPr>
              <w:spacing w:line="500" w:lineRule="exact"/>
              <w:ind w:firstLine="420" w:firstLineChars="200"/>
              <w:jc w:val="left"/>
              <w:rPr>
                <w:szCs w:val="21"/>
              </w:rPr>
            </w:pPr>
            <w:r>
              <w:rPr>
                <w:szCs w:val="21"/>
              </w:rPr>
              <w:t>本</w:t>
            </w:r>
            <w:r>
              <w:rPr>
                <w:rFonts w:hint="eastAsia"/>
                <w:szCs w:val="21"/>
              </w:rPr>
              <w:t>项目</w:t>
            </w:r>
            <w:r>
              <w:rPr>
                <w:szCs w:val="21"/>
              </w:rPr>
              <w:t>交通监控工程仅在道路交叉口处预留交通监控检查井及过路预埋管，避免后期交通监控实施时开挖路面。交通监控杆件及设备不纳入本项目实施，建议后期由交警部门结合路口通行情况具体实施，交通监控杆件及设备费用暂估，后期由建设单位统一采购</w:t>
            </w:r>
            <w:r>
              <w:rPr>
                <w:rFonts w:hint="eastAsia"/>
                <w:szCs w:val="21"/>
              </w:rPr>
              <w:t>。</w:t>
            </w:r>
          </w:p>
          <w:p w14:paraId="5EEBB1CF">
            <w:pPr>
              <w:adjustRightInd w:val="0"/>
              <w:snapToGrid w:val="0"/>
              <w:spacing w:line="500" w:lineRule="exact"/>
              <w:ind w:firstLine="422" w:firstLineChars="200"/>
              <w:jc w:val="left"/>
              <w:rPr>
                <w:b/>
                <w:bCs/>
                <w:szCs w:val="21"/>
              </w:rPr>
            </w:pPr>
            <w:r>
              <w:rPr>
                <w:rFonts w:hint="eastAsia"/>
                <w:b/>
                <w:bCs/>
                <w:szCs w:val="21"/>
              </w:rPr>
              <w:t>七、绿化工程</w:t>
            </w:r>
          </w:p>
          <w:p w14:paraId="6DE60CAE">
            <w:pPr>
              <w:spacing w:line="500" w:lineRule="exact"/>
              <w:ind w:firstLine="420" w:firstLineChars="200"/>
              <w:rPr>
                <w:szCs w:val="21"/>
              </w:rPr>
            </w:pPr>
            <w:r>
              <w:rPr>
                <w:rFonts w:hint="eastAsia"/>
                <w:szCs w:val="21"/>
              </w:rPr>
              <w:t>本项目绿化总面积约946m</w:t>
            </w:r>
            <w:r>
              <w:rPr>
                <w:rFonts w:hint="eastAsia"/>
                <w:szCs w:val="21"/>
                <w:vertAlign w:val="superscript"/>
              </w:rPr>
              <w:t>2</w:t>
            </w:r>
            <w:r>
              <w:rPr>
                <w:rFonts w:hint="eastAsia"/>
                <w:szCs w:val="21"/>
              </w:rPr>
              <w:t>，主要为中间分带绿化设计，充分利用多种植物的不同形态、色彩，以形成道路种植特色。中央分带：宽度为3米。设计微坡地形，地被以草皮为主，大灌木组团交替种植，点缀色彩丰富的地被，满足防眩光要求，丰富景观层次，形成整洁简约、开放通透的疏林草地景观。美化道路景观的同时，满足防眩、滞尘、吸收尾气的功能要求。主要品种细叶紫薇、丛生红花玉蕊、狗牙花、灰莉球等。</w:t>
            </w:r>
          </w:p>
          <w:p w14:paraId="74080DE3">
            <w:pPr>
              <w:spacing w:line="500" w:lineRule="exact"/>
              <w:ind w:firstLine="420" w:firstLineChars="200"/>
              <w:rPr>
                <w:szCs w:val="21"/>
              </w:rPr>
            </w:pPr>
          </w:p>
          <w:p w14:paraId="3F09CA1F">
            <w:pPr>
              <w:spacing w:line="500" w:lineRule="exact"/>
              <w:ind w:firstLine="420" w:firstLineChars="200"/>
              <w:rPr>
                <w:szCs w:val="21"/>
              </w:rPr>
            </w:pPr>
          </w:p>
          <w:p w14:paraId="0CD551C9">
            <w:pPr>
              <w:jc w:val="center"/>
              <w:rPr>
                <w:szCs w:val="21"/>
              </w:rPr>
            </w:pPr>
            <w:r>
              <w:rPr>
                <w:szCs w:val="21"/>
              </w:rPr>
              <w:drawing>
                <wp:inline distT="0" distB="0" distL="0" distR="0">
                  <wp:extent cx="5805170" cy="3019425"/>
                  <wp:effectExtent l="0" t="0" r="5080" b="9525"/>
                  <wp:docPr id="1962605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605124" name="图片 1"/>
                          <pic:cNvPicPr>
                            <a:picLocks noChangeAspect="1"/>
                          </pic:cNvPicPr>
                        </pic:nvPicPr>
                        <pic:blipFill>
                          <a:blip r:embed="rId15"/>
                          <a:stretch>
                            <a:fillRect/>
                          </a:stretch>
                        </pic:blipFill>
                        <pic:spPr>
                          <a:xfrm>
                            <a:off x="0" y="0"/>
                            <a:ext cx="5816721" cy="3025917"/>
                          </a:xfrm>
                          <a:prstGeom prst="rect">
                            <a:avLst/>
                          </a:prstGeom>
                        </pic:spPr>
                      </pic:pic>
                    </a:graphicData>
                  </a:graphic>
                </wp:inline>
              </w:drawing>
            </w:r>
          </w:p>
          <w:p w14:paraId="5D00E881">
            <w:pPr>
              <w:spacing w:line="500" w:lineRule="exact"/>
              <w:jc w:val="center"/>
              <w:rPr>
                <w:szCs w:val="21"/>
              </w:rPr>
            </w:pPr>
            <w:r>
              <w:rPr>
                <w:rFonts w:hint="eastAsia"/>
                <w:b/>
                <w:bCs/>
                <w:szCs w:val="21"/>
              </w:rPr>
              <w:t>图</w:t>
            </w:r>
            <w:r>
              <w:rPr>
                <w:b/>
                <w:bCs/>
                <w:szCs w:val="21"/>
              </w:rPr>
              <w:t>2-</w:t>
            </w:r>
            <w:r>
              <w:rPr>
                <w:rFonts w:hint="eastAsia"/>
                <w:b/>
                <w:bCs/>
                <w:szCs w:val="21"/>
              </w:rPr>
              <w:t>7</w:t>
            </w:r>
            <w:r>
              <w:rPr>
                <w:b/>
                <w:bCs/>
                <w:szCs w:val="21"/>
              </w:rPr>
              <w:t xml:space="preserve"> </w:t>
            </w:r>
            <w:r>
              <w:rPr>
                <w:rFonts w:hint="eastAsia"/>
                <w:b/>
                <w:bCs/>
                <w:szCs w:val="21"/>
              </w:rPr>
              <w:t xml:space="preserve"> 绿化标准横断面图</w:t>
            </w:r>
          </w:p>
          <w:p w14:paraId="3FB0787F">
            <w:pPr>
              <w:adjustRightInd w:val="0"/>
              <w:snapToGrid w:val="0"/>
              <w:spacing w:line="500" w:lineRule="exact"/>
              <w:ind w:firstLine="422" w:firstLineChars="200"/>
              <w:jc w:val="left"/>
              <w:rPr>
                <w:b/>
                <w:bCs/>
                <w:szCs w:val="21"/>
              </w:rPr>
            </w:pPr>
            <w:r>
              <w:rPr>
                <w:rFonts w:hint="eastAsia"/>
                <w:b/>
                <w:bCs/>
                <w:szCs w:val="21"/>
              </w:rPr>
              <w:t>八、道路拆迁工程</w:t>
            </w:r>
          </w:p>
          <w:p w14:paraId="02B76C7B">
            <w:pPr>
              <w:spacing w:line="500" w:lineRule="exact"/>
              <w:ind w:firstLine="420" w:firstLineChars="200"/>
              <w:jc w:val="left"/>
              <w:rPr>
                <w:szCs w:val="21"/>
              </w:rPr>
            </w:pPr>
            <w:r>
              <w:rPr>
                <w:rFonts w:hint="eastAsia"/>
                <w:szCs w:val="21"/>
              </w:rPr>
              <w:t>本项目沿线均为山地或荒地，不涉及拆迁(移民)安置与专项设施改(迁)建。</w:t>
            </w:r>
          </w:p>
          <w:p w14:paraId="4E57CF98">
            <w:pPr>
              <w:adjustRightInd w:val="0"/>
              <w:snapToGrid w:val="0"/>
              <w:spacing w:line="500" w:lineRule="exact"/>
              <w:ind w:firstLine="422" w:firstLineChars="200"/>
              <w:jc w:val="left"/>
              <w:rPr>
                <w:b/>
                <w:bCs/>
                <w:szCs w:val="21"/>
              </w:rPr>
            </w:pPr>
            <w:r>
              <w:rPr>
                <w:rFonts w:hint="eastAsia"/>
                <w:b/>
                <w:bCs/>
                <w:szCs w:val="21"/>
              </w:rPr>
              <w:t>九、水土保持工程</w:t>
            </w:r>
          </w:p>
          <w:p w14:paraId="4D549A15">
            <w:pPr>
              <w:spacing w:line="500" w:lineRule="exact"/>
              <w:ind w:firstLine="420" w:firstLineChars="200"/>
              <w:jc w:val="left"/>
              <w:rPr>
                <w:szCs w:val="21"/>
              </w:rPr>
            </w:pPr>
            <w:r>
              <w:rPr>
                <w:rFonts w:hint="eastAsia"/>
                <w:szCs w:val="21"/>
              </w:rPr>
              <w:t>根据本工程建设特点及主体设计资料项目组成概述，本项目分为路面工程区、人行道路区、挖方边坡区、填方边坡区、排水管线区和不扰动区7个防治分区，水土保持措施总体布局及工程量如下：</w:t>
            </w:r>
          </w:p>
          <w:p w14:paraId="60DCB0A3">
            <w:pPr>
              <w:spacing w:line="500" w:lineRule="exact"/>
              <w:ind w:firstLine="422" w:firstLineChars="200"/>
              <w:jc w:val="left"/>
              <w:rPr>
                <w:b/>
                <w:bCs/>
                <w:szCs w:val="21"/>
              </w:rPr>
            </w:pPr>
            <w:r>
              <w:rPr>
                <w:rFonts w:hint="eastAsia"/>
                <w:b/>
                <w:bCs/>
                <w:szCs w:val="21"/>
              </w:rPr>
              <w:t>（1）路面工程区</w:t>
            </w:r>
          </w:p>
          <w:p w14:paraId="2714A68F">
            <w:pPr>
              <w:spacing w:line="500" w:lineRule="exact"/>
              <w:ind w:firstLine="420" w:firstLineChars="200"/>
              <w:jc w:val="left"/>
              <w:rPr>
                <w:szCs w:val="21"/>
              </w:rPr>
            </w:pPr>
            <w:r>
              <w:rPr>
                <w:rFonts w:hint="eastAsia"/>
                <w:szCs w:val="21"/>
              </w:rPr>
              <w:t>边沟长525m。表土剥离0.03万m</w:t>
            </w:r>
            <w:r>
              <w:rPr>
                <w:rFonts w:hint="eastAsia"/>
                <w:szCs w:val="21"/>
                <w:vertAlign w:val="superscript"/>
              </w:rPr>
              <w:t>3</w:t>
            </w:r>
            <w:r>
              <w:rPr>
                <w:rFonts w:hint="eastAsia"/>
                <w:szCs w:val="21"/>
              </w:rPr>
              <w:t>、表土回填0.05万m</w:t>
            </w:r>
            <w:r>
              <w:rPr>
                <w:rFonts w:hint="eastAsia"/>
                <w:szCs w:val="21"/>
                <w:vertAlign w:val="superscript"/>
              </w:rPr>
              <w:t>3</w:t>
            </w:r>
            <w:r>
              <w:rPr>
                <w:rFonts w:hint="eastAsia"/>
                <w:szCs w:val="21"/>
              </w:rPr>
              <w:t>。</w:t>
            </w:r>
          </w:p>
          <w:p w14:paraId="098EF6B1">
            <w:pPr>
              <w:spacing w:line="500" w:lineRule="exact"/>
              <w:ind w:firstLine="420" w:firstLineChars="200"/>
              <w:jc w:val="left"/>
              <w:rPr>
                <w:szCs w:val="21"/>
              </w:rPr>
            </w:pPr>
            <w:r>
              <w:rPr>
                <w:rFonts w:hint="eastAsia"/>
                <w:szCs w:val="21"/>
              </w:rPr>
              <w:t>植物措施：道路绿化0.09hm</w:t>
            </w:r>
            <w:r>
              <w:rPr>
                <w:rFonts w:hint="eastAsia"/>
                <w:szCs w:val="21"/>
                <w:vertAlign w:val="superscript"/>
              </w:rPr>
              <w:t>2</w:t>
            </w:r>
            <w:r>
              <w:rPr>
                <w:rFonts w:hint="eastAsia"/>
                <w:szCs w:val="21"/>
              </w:rPr>
              <w:t>；临时措施：彩条布苫盖3000m</w:t>
            </w:r>
            <w:r>
              <w:rPr>
                <w:rFonts w:hint="eastAsia"/>
                <w:szCs w:val="21"/>
                <w:vertAlign w:val="superscript"/>
              </w:rPr>
              <w:t>2</w:t>
            </w:r>
            <w:r>
              <w:rPr>
                <w:rFonts w:hint="eastAsia"/>
                <w:szCs w:val="21"/>
              </w:rPr>
              <w:t>。</w:t>
            </w:r>
          </w:p>
          <w:p w14:paraId="1B6E552E">
            <w:pPr>
              <w:spacing w:line="500" w:lineRule="exact"/>
              <w:ind w:firstLine="422" w:firstLineChars="200"/>
              <w:jc w:val="left"/>
              <w:rPr>
                <w:b/>
                <w:bCs/>
                <w:szCs w:val="21"/>
              </w:rPr>
            </w:pPr>
            <w:r>
              <w:rPr>
                <w:rFonts w:hint="eastAsia"/>
                <w:b/>
                <w:bCs/>
                <w:szCs w:val="21"/>
              </w:rPr>
              <w:t>（2）人行道路区</w:t>
            </w:r>
          </w:p>
          <w:p w14:paraId="203015F4">
            <w:pPr>
              <w:spacing w:line="500" w:lineRule="exact"/>
              <w:ind w:firstLine="420" w:firstLineChars="200"/>
              <w:jc w:val="left"/>
              <w:rPr>
                <w:szCs w:val="21"/>
              </w:rPr>
            </w:pPr>
            <w:r>
              <w:rPr>
                <w:rFonts w:hint="eastAsia"/>
                <w:szCs w:val="21"/>
              </w:rPr>
              <w:t>盖板边沟长621m。表土剥离0.01万 m</w:t>
            </w:r>
            <w:r>
              <w:rPr>
                <w:rFonts w:hint="eastAsia"/>
                <w:szCs w:val="21"/>
                <w:vertAlign w:val="superscript"/>
              </w:rPr>
              <w:t>3</w:t>
            </w:r>
            <w:r>
              <w:rPr>
                <w:rFonts w:hint="eastAsia"/>
                <w:szCs w:val="21"/>
              </w:rPr>
              <w:t>。临时措施：沉沙池1座、彩条布苫盖1000m</w:t>
            </w:r>
            <w:r>
              <w:rPr>
                <w:rFonts w:hint="eastAsia"/>
                <w:szCs w:val="21"/>
                <w:vertAlign w:val="superscript"/>
              </w:rPr>
              <w:t>2</w:t>
            </w:r>
            <w:r>
              <w:rPr>
                <w:rFonts w:hint="eastAsia"/>
                <w:szCs w:val="21"/>
              </w:rPr>
              <w:t>。</w:t>
            </w:r>
          </w:p>
          <w:p w14:paraId="64D00162">
            <w:pPr>
              <w:spacing w:line="500" w:lineRule="exact"/>
              <w:ind w:firstLine="422" w:firstLineChars="200"/>
              <w:jc w:val="left"/>
              <w:rPr>
                <w:b/>
                <w:bCs/>
                <w:szCs w:val="21"/>
              </w:rPr>
            </w:pPr>
            <w:r>
              <w:rPr>
                <w:rFonts w:hint="eastAsia"/>
                <w:b/>
                <w:bCs/>
                <w:szCs w:val="21"/>
              </w:rPr>
              <w:t>（3）挖方边坡区</w:t>
            </w:r>
          </w:p>
          <w:p w14:paraId="5A934006">
            <w:pPr>
              <w:spacing w:line="500" w:lineRule="exact"/>
              <w:ind w:firstLine="420" w:firstLineChars="200"/>
              <w:jc w:val="left"/>
              <w:rPr>
                <w:szCs w:val="21"/>
              </w:rPr>
            </w:pPr>
            <w:r>
              <w:rPr>
                <w:rFonts w:hint="eastAsia"/>
                <w:szCs w:val="21"/>
              </w:rPr>
              <w:t>截水沟187m、平台挡水捻172m、急流槽58m、人字形骨架植草0.20hm</w:t>
            </w:r>
            <w:r>
              <w:rPr>
                <w:rFonts w:hint="eastAsia"/>
                <w:szCs w:val="21"/>
                <w:vertAlign w:val="superscript"/>
              </w:rPr>
              <w:t>2</w:t>
            </w:r>
            <w:r>
              <w:rPr>
                <w:rFonts w:hint="eastAsia"/>
                <w:szCs w:val="21"/>
              </w:rPr>
              <w:t>、框架喷混植生护坡0.14hm</w:t>
            </w:r>
            <w:r>
              <w:rPr>
                <w:rFonts w:hint="eastAsia"/>
                <w:szCs w:val="21"/>
                <w:vertAlign w:val="superscript"/>
              </w:rPr>
              <w:t>2</w:t>
            </w:r>
            <w:r>
              <w:rPr>
                <w:rFonts w:hint="eastAsia"/>
                <w:szCs w:val="21"/>
              </w:rPr>
              <w:t>，表土剥离0.03万m</w:t>
            </w:r>
            <w:r>
              <w:rPr>
                <w:rFonts w:hint="eastAsia"/>
                <w:szCs w:val="21"/>
                <w:vertAlign w:val="superscript"/>
              </w:rPr>
              <w:t>3</w:t>
            </w:r>
            <w:r>
              <w:rPr>
                <w:rFonts w:hint="eastAsia"/>
                <w:szCs w:val="21"/>
              </w:rPr>
              <w:t>。</w:t>
            </w:r>
          </w:p>
          <w:p w14:paraId="681278F3">
            <w:pPr>
              <w:spacing w:line="500" w:lineRule="exact"/>
              <w:ind w:firstLine="420" w:firstLineChars="200"/>
              <w:jc w:val="left"/>
              <w:rPr>
                <w:szCs w:val="21"/>
              </w:rPr>
            </w:pPr>
            <w:r>
              <w:rPr>
                <w:rFonts w:hint="eastAsia"/>
                <w:szCs w:val="21"/>
              </w:rPr>
              <w:t>植物措施：喷播植草0.20hm</w:t>
            </w:r>
            <w:r>
              <w:rPr>
                <w:rFonts w:hint="eastAsia"/>
                <w:szCs w:val="21"/>
                <w:vertAlign w:val="superscript"/>
              </w:rPr>
              <w:t>2</w:t>
            </w:r>
            <w:r>
              <w:rPr>
                <w:rFonts w:hint="eastAsia"/>
                <w:szCs w:val="21"/>
              </w:rPr>
              <w:t>、三维网植草0.01hm</w:t>
            </w:r>
            <w:r>
              <w:rPr>
                <w:rFonts w:hint="eastAsia"/>
                <w:szCs w:val="21"/>
                <w:vertAlign w:val="superscript"/>
              </w:rPr>
              <w:t>2</w:t>
            </w:r>
            <w:r>
              <w:rPr>
                <w:rFonts w:hint="eastAsia"/>
                <w:szCs w:val="21"/>
              </w:rPr>
              <w:t>；临时措施：彩条布苫盖2000m</w:t>
            </w:r>
            <w:r>
              <w:rPr>
                <w:rFonts w:hint="eastAsia"/>
                <w:szCs w:val="21"/>
                <w:vertAlign w:val="superscript"/>
              </w:rPr>
              <w:t>2</w:t>
            </w:r>
            <w:r>
              <w:rPr>
                <w:rFonts w:hint="eastAsia"/>
                <w:szCs w:val="21"/>
              </w:rPr>
              <w:t>。</w:t>
            </w:r>
          </w:p>
          <w:p w14:paraId="7209F2A8">
            <w:pPr>
              <w:spacing w:line="500" w:lineRule="exact"/>
              <w:ind w:firstLine="422" w:firstLineChars="200"/>
              <w:jc w:val="left"/>
              <w:rPr>
                <w:b/>
                <w:bCs/>
                <w:szCs w:val="21"/>
              </w:rPr>
            </w:pPr>
            <w:r>
              <w:rPr>
                <w:rFonts w:hint="eastAsia"/>
                <w:b/>
                <w:bCs/>
                <w:szCs w:val="21"/>
              </w:rPr>
              <w:t>（4）填方边坡区</w:t>
            </w:r>
          </w:p>
          <w:p w14:paraId="6F93E66C">
            <w:pPr>
              <w:spacing w:line="500" w:lineRule="exact"/>
              <w:ind w:firstLine="420" w:firstLineChars="200"/>
              <w:jc w:val="left"/>
              <w:rPr>
                <w:szCs w:val="21"/>
              </w:rPr>
            </w:pPr>
            <w:r>
              <w:rPr>
                <w:rFonts w:hint="eastAsia"/>
                <w:szCs w:val="21"/>
              </w:rPr>
              <w:t>排水沟238m。表土剥离0.03万m</w:t>
            </w:r>
            <w:r>
              <w:rPr>
                <w:rFonts w:hint="eastAsia"/>
                <w:szCs w:val="21"/>
                <w:vertAlign w:val="superscript"/>
              </w:rPr>
              <w:t>3</w:t>
            </w:r>
            <w:r>
              <w:rPr>
                <w:rFonts w:hint="eastAsia"/>
                <w:szCs w:val="21"/>
              </w:rPr>
              <w:t>、表土回填0.05万m</w:t>
            </w:r>
            <w:r>
              <w:rPr>
                <w:rFonts w:hint="eastAsia"/>
                <w:szCs w:val="21"/>
                <w:vertAlign w:val="superscript"/>
              </w:rPr>
              <w:t>3</w:t>
            </w:r>
            <w:r>
              <w:rPr>
                <w:rFonts w:hint="eastAsia"/>
                <w:szCs w:val="21"/>
              </w:rPr>
              <w:t>。</w:t>
            </w:r>
          </w:p>
          <w:p w14:paraId="52EA53CD">
            <w:pPr>
              <w:spacing w:line="500" w:lineRule="exact"/>
              <w:ind w:firstLine="420" w:firstLineChars="200"/>
              <w:jc w:val="left"/>
              <w:rPr>
                <w:szCs w:val="21"/>
              </w:rPr>
            </w:pPr>
            <w:r>
              <w:rPr>
                <w:rFonts w:hint="eastAsia"/>
                <w:szCs w:val="21"/>
              </w:rPr>
              <w:t>植物措施：喷播植草 0.18hm</w:t>
            </w:r>
            <w:r>
              <w:rPr>
                <w:rFonts w:hint="eastAsia"/>
                <w:szCs w:val="21"/>
                <w:vertAlign w:val="superscript"/>
              </w:rPr>
              <w:t>2</w:t>
            </w:r>
            <w:r>
              <w:rPr>
                <w:rFonts w:hint="eastAsia"/>
                <w:szCs w:val="21"/>
              </w:rPr>
              <w:t>；临时措施：沉沙池3座、编织袋拦挡363m、彩条布苫盖500m</w:t>
            </w:r>
            <w:r>
              <w:rPr>
                <w:rFonts w:hint="eastAsia"/>
                <w:szCs w:val="21"/>
                <w:vertAlign w:val="superscript"/>
              </w:rPr>
              <w:t>2</w:t>
            </w:r>
            <w:r>
              <w:rPr>
                <w:rFonts w:hint="eastAsia"/>
                <w:szCs w:val="21"/>
              </w:rPr>
              <w:t>。</w:t>
            </w:r>
          </w:p>
          <w:p w14:paraId="2B3C6A04">
            <w:pPr>
              <w:spacing w:line="500" w:lineRule="exact"/>
              <w:ind w:firstLine="422" w:firstLineChars="200"/>
              <w:jc w:val="left"/>
              <w:rPr>
                <w:b/>
                <w:bCs/>
                <w:szCs w:val="21"/>
              </w:rPr>
            </w:pPr>
            <w:r>
              <w:rPr>
                <w:rFonts w:hint="eastAsia"/>
                <w:b/>
                <w:bCs/>
                <w:szCs w:val="21"/>
              </w:rPr>
              <w:t>（5）排水管线区</w:t>
            </w:r>
          </w:p>
          <w:p w14:paraId="6C375209">
            <w:pPr>
              <w:spacing w:line="500" w:lineRule="exact"/>
              <w:ind w:firstLine="420" w:firstLineChars="200"/>
              <w:jc w:val="left"/>
              <w:rPr>
                <w:szCs w:val="21"/>
              </w:rPr>
            </w:pPr>
            <w:r>
              <w:rPr>
                <w:rFonts w:hint="eastAsia"/>
                <w:szCs w:val="21"/>
              </w:rPr>
              <w:t>该区面积较小，施工期间雨水利用附近排水沟排放，无需新增措施。</w:t>
            </w:r>
          </w:p>
          <w:p w14:paraId="0B1AAC00">
            <w:pPr>
              <w:spacing w:line="500" w:lineRule="exact"/>
              <w:ind w:firstLine="422" w:firstLineChars="200"/>
              <w:jc w:val="left"/>
              <w:rPr>
                <w:b/>
                <w:bCs/>
                <w:szCs w:val="21"/>
              </w:rPr>
            </w:pPr>
            <w:r>
              <w:rPr>
                <w:rFonts w:hint="eastAsia"/>
                <w:b/>
                <w:bCs/>
                <w:szCs w:val="21"/>
              </w:rPr>
              <w:t>（6）不扰动区</w:t>
            </w:r>
          </w:p>
          <w:p w14:paraId="62205445">
            <w:pPr>
              <w:spacing w:line="500" w:lineRule="exact"/>
              <w:ind w:firstLine="420" w:firstLineChars="200"/>
              <w:jc w:val="left"/>
              <w:rPr>
                <w:szCs w:val="21"/>
              </w:rPr>
            </w:pPr>
            <w:r>
              <w:rPr>
                <w:rFonts w:hint="eastAsia"/>
                <w:szCs w:val="21"/>
              </w:rPr>
              <w:t>不扰动区为项目红线范围内不进行扰动的区域，因此不扰动区不新增措施。</w:t>
            </w:r>
          </w:p>
          <w:p w14:paraId="3C0EA581">
            <w:pPr>
              <w:spacing w:line="500" w:lineRule="exact"/>
              <w:ind w:firstLine="422" w:firstLineChars="200"/>
              <w:jc w:val="left"/>
              <w:rPr>
                <w:b/>
                <w:bCs/>
                <w:szCs w:val="21"/>
              </w:rPr>
            </w:pPr>
            <w:r>
              <w:rPr>
                <w:rFonts w:hint="eastAsia"/>
                <w:b/>
                <w:bCs/>
                <w:szCs w:val="21"/>
              </w:rPr>
              <w:t>（7）高速匝道区</w:t>
            </w:r>
          </w:p>
          <w:p w14:paraId="47951024">
            <w:pPr>
              <w:spacing w:line="500" w:lineRule="exact"/>
              <w:ind w:firstLine="420" w:firstLineChars="200"/>
              <w:jc w:val="left"/>
              <w:rPr>
                <w:szCs w:val="21"/>
              </w:rPr>
            </w:pPr>
            <w:r>
              <w:rPr>
                <w:rFonts w:hint="eastAsia"/>
                <w:szCs w:val="21"/>
              </w:rPr>
              <w:t>该区立交已纳入惠霞高速公路建设范围，不属于本项目建设范围，无需新增措施。</w:t>
            </w:r>
          </w:p>
          <w:p w14:paraId="3425B3BA">
            <w:pPr>
              <w:adjustRightInd w:val="0"/>
              <w:snapToGrid w:val="0"/>
              <w:spacing w:line="500" w:lineRule="exact"/>
              <w:ind w:firstLine="422" w:firstLineChars="200"/>
              <w:jc w:val="left"/>
              <w:rPr>
                <w:b/>
                <w:bCs/>
                <w:szCs w:val="21"/>
              </w:rPr>
            </w:pPr>
            <w:r>
              <w:rPr>
                <w:rFonts w:hint="eastAsia"/>
                <w:b/>
                <w:bCs/>
                <w:szCs w:val="21"/>
              </w:rPr>
              <w:t>十、工程占地情况</w:t>
            </w:r>
          </w:p>
          <w:p w14:paraId="0CFE23A0">
            <w:pPr>
              <w:adjustRightInd w:val="0"/>
              <w:snapToGrid w:val="0"/>
              <w:spacing w:line="500" w:lineRule="exact"/>
              <w:ind w:firstLine="420" w:firstLineChars="200"/>
              <w:rPr>
                <w:szCs w:val="21"/>
              </w:rPr>
            </w:pPr>
            <w:r>
              <w:rPr>
                <w:rFonts w:hint="eastAsia"/>
                <w:szCs w:val="21"/>
              </w:rPr>
              <w:t>本项目总占地面积为3.43hm</w:t>
            </w:r>
            <w:r>
              <w:rPr>
                <w:rFonts w:hint="eastAsia"/>
                <w:szCs w:val="21"/>
                <w:vertAlign w:val="superscript"/>
              </w:rPr>
              <w:t>2</w:t>
            </w:r>
            <w:r>
              <w:rPr>
                <w:rFonts w:hint="eastAsia"/>
                <w:szCs w:val="21"/>
              </w:rPr>
              <w:t>，均为永久征地，原始占地类型为林地、草地、水域及水利设施用地和其他土地。</w:t>
            </w:r>
          </w:p>
          <w:p w14:paraId="6B29ACFD">
            <w:pPr>
              <w:adjustRightInd w:val="0"/>
              <w:snapToGrid w:val="0"/>
              <w:spacing w:line="500" w:lineRule="exact"/>
              <w:ind w:firstLine="420" w:firstLineChars="200"/>
              <w:rPr>
                <w:szCs w:val="21"/>
              </w:rPr>
            </w:pPr>
            <w:r>
              <w:rPr>
                <w:rFonts w:hint="eastAsia"/>
                <w:szCs w:val="21"/>
              </w:rPr>
              <w:t>路面工程区为机动车道路面和中间分隔带绿化，原始占地类型为林地和草地，占地面积0.98hm</w:t>
            </w:r>
            <w:r>
              <w:rPr>
                <w:rFonts w:hint="eastAsia"/>
                <w:szCs w:val="21"/>
                <w:vertAlign w:val="superscript"/>
              </w:rPr>
              <w:t>2</w:t>
            </w:r>
            <w:r>
              <w:rPr>
                <w:rFonts w:hint="eastAsia"/>
                <w:szCs w:val="21"/>
              </w:rPr>
              <w:t>，为永久征地；人行道路区为人行道和设施带，原始占地类型为林地、草地和其他土地，占地面积0.27hm</w:t>
            </w:r>
            <w:r>
              <w:rPr>
                <w:rFonts w:hint="eastAsia"/>
                <w:szCs w:val="21"/>
                <w:vertAlign w:val="superscript"/>
              </w:rPr>
              <w:t>2</w:t>
            </w:r>
            <w:r>
              <w:rPr>
                <w:rFonts w:hint="eastAsia"/>
                <w:szCs w:val="21"/>
              </w:rPr>
              <w:t>，为永久征地；挖方边坡区包括机动车道和人行道两侧挖方边坡，原始占地类型为林地和草地,占地面积0.55hm</w:t>
            </w:r>
            <w:r>
              <w:rPr>
                <w:rFonts w:hint="eastAsia"/>
                <w:szCs w:val="21"/>
                <w:vertAlign w:val="superscript"/>
              </w:rPr>
              <w:t>2</w:t>
            </w:r>
            <w:r>
              <w:rPr>
                <w:rFonts w:hint="eastAsia"/>
                <w:szCs w:val="21"/>
              </w:rPr>
              <w:t>，为永久征地；填方边坡区包括机动车道和人行道两侧填方边坡，原始占地类型为林地、草地和水域及水利设施用地，占地面积0.18hm</w:t>
            </w:r>
            <w:r>
              <w:rPr>
                <w:rFonts w:hint="eastAsia"/>
                <w:szCs w:val="21"/>
                <w:vertAlign w:val="superscript"/>
              </w:rPr>
              <w:t>2</w:t>
            </w:r>
            <w:r>
              <w:rPr>
                <w:rFonts w:hint="eastAsia"/>
                <w:szCs w:val="21"/>
              </w:rPr>
              <w:t>，为永久征地；排水管线区为终点处排水管线雨水排放到白石排洪渠区域，原始占地类型为草地，占地面积0.01hm</w:t>
            </w:r>
            <w:r>
              <w:rPr>
                <w:rFonts w:hint="eastAsia"/>
                <w:szCs w:val="21"/>
                <w:vertAlign w:val="superscript"/>
              </w:rPr>
              <w:t>2</w:t>
            </w:r>
            <w:r>
              <w:rPr>
                <w:rFonts w:hint="eastAsia"/>
                <w:szCs w:val="21"/>
              </w:rPr>
              <w:t>，为永久征地；高速匝道区为惠霞高速立交匝道区域，该立交已纳入惠霞高速公路建设范围，不属于本项目建设范围，该区域由高速公路项目进行扰动，原始占地类型为林地和草地，占地面积1.19hm</w:t>
            </w:r>
            <w:r>
              <w:rPr>
                <w:rFonts w:hint="eastAsia"/>
                <w:szCs w:val="21"/>
                <w:vertAlign w:val="superscript"/>
              </w:rPr>
              <w:t>2</w:t>
            </w:r>
            <w:r>
              <w:rPr>
                <w:rFonts w:hint="eastAsia"/>
                <w:szCs w:val="21"/>
              </w:rPr>
              <w:t>，为永久征地；不扰动区为项目红线范围内不进行扰动的区域，原始占地类型为林地和草地，占地面积0.25hm</w:t>
            </w:r>
            <w:r>
              <w:rPr>
                <w:rFonts w:hint="eastAsia"/>
                <w:szCs w:val="21"/>
                <w:vertAlign w:val="superscript"/>
              </w:rPr>
              <w:t>2</w:t>
            </w:r>
            <w:r>
              <w:rPr>
                <w:rFonts w:hint="eastAsia"/>
                <w:szCs w:val="21"/>
              </w:rPr>
              <w:t>，为永久征地。根据广东省林业局出具的《使用林地审核同意书》（粤(惠)林许准(2024)9号）（详见附件12），同意博罗县城体育大道东延段建设工程(K0+878.712~K1+210.007)使用博罗县罗阳街道赤竹村林地面积共计1.3403公顷。项目占地情况详见下表。</w:t>
            </w:r>
          </w:p>
          <w:p w14:paraId="3CE425D0">
            <w:pPr>
              <w:pStyle w:val="15"/>
              <w:keepNext/>
              <w:spacing w:line="500" w:lineRule="exact"/>
              <w:ind w:firstLine="420"/>
              <w:jc w:val="center"/>
              <w:rPr>
                <w:rFonts w:ascii="Times New Roman" w:hAnsi="Times New Roman" w:eastAsia="宋体"/>
                <w:b/>
                <w:bCs/>
                <w:sz w:val="21"/>
                <w:szCs w:val="21"/>
              </w:rPr>
            </w:pPr>
            <w:r>
              <w:rPr>
                <w:rFonts w:hint="eastAsia" w:ascii="Times New Roman" w:hAnsi="Times New Roman" w:eastAsia="宋体"/>
                <w:b/>
                <w:bCs/>
                <w:sz w:val="21"/>
                <w:szCs w:val="21"/>
              </w:rPr>
              <w:t>表2</w:t>
            </w:r>
            <w:r>
              <w:rPr>
                <w:rFonts w:ascii="Times New Roman" w:hAnsi="Times New Roman" w:eastAsia="宋体"/>
                <w:b/>
                <w:bCs/>
                <w:sz w:val="21"/>
                <w:szCs w:val="21"/>
              </w:rPr>
              <w:t>-</w:t>
            </w:r>
            <w:r>
              <w:rPr>
                <w:rFonts w:hint="eastAsia" w:ascii="Times New Roman" w:hAnsi="Times New Roman" w:eastAsia="宋体"/>
                <w:b/>
                <w:bCs/>
                <w:sz w:val="21"/>
                <w:szCs w:val="21"/>
              </w:rPr>
              <w:t>3</w:t>
            </w:r>
            <w:r>
              <w:rPr>
                <w:rFonts w:ascii="Times New Roman" w:hAnsi="Times New Roman" w:eastAsia="宋体"/>
                <w:b/>
                <w:bCs/>
                <w:sz w:val="21"/>
                <w:szCs w:val="21"/>
              </w:rPr>
              <w:t xml:space="preserve">  </w:t>
            </w:r>
            <w:r>
              <w:rPr>
                <w:rFonts w:hint="eastAsia" w:ascii="Times New Roman" w:hAnsi="Times New Roman" w:eastAsia="宋体"/>
                <w:b/>
                <w:bCs/>
                <w:sz w:val="21"/>
                <w:szCs w:val="21"/>
              </w:rPr>
              <w:t>工程占地情况表  单位:hm</w:t>
            </w:r>
            <w:r>
              <w:rPr>
                <w:rFonts w:hint="eastAsia" w:ascii="Times New Roman" w:hAnsi="Times New Roman" w:eastAsia="宋体"/>
                <w:b/>
                <w:bCs/>
                <w:sz w:val="21"/>
                <w:szCs w:val="21"/>
                <w:vertAlign w:val="superscript"/>
              </w:rPr>
              <w:t>2</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1391"/>
              <w:gridCol w:w="1391"/>
              <w:gridCol w:w="1392"/>
              <w:gridCol w:w="1392"/>
              <w:gridCol w:w="1392"/>
              <w:gridCol w:w="1394"/>
            </w:tblGrid>
            <w:tr w14:paraId="7D464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tcBorders>
                    <w:top w:val="single" w:color="auto" w:sz="18" w:space="0"/>
                  </w:tcBorders>
                  <w:shd w:val="clear" w:color="auto" w:fill="auto"/>
                  <w:vAlign w:val="center"/>
                </w:tcPr>
                <w:p w14:paraId="3356D493">
                  <w:pPr>
                    <w:jc w:val="center"/>
                    <w:rPr>
                      <w:b/>
                      <w:bCs/>
                      <w:szCs w:val="21"/>
                    </w:rPr>
                  </w:pPr>
                  <w:r>
                    <w:rPr>
                      <w:rFonts w:hint="eastAsia"/>
                      <w:b/>
                      <w:bCs/>
                      <w:szCs w:val="21"/>
                    </w:rPr>
                    <w:t>分区</w:t>
                  </w:r>
                </w:p>
              </w:tc>
              <w:tc>
                <w:tcPr>
                  <w:tcW w:w="714" w:type="pct"/>
                  <w:tcBorders>
                    <w:top w:val="single" w:color="auto" w:sz="18" w:space="0"/>
                  </w:tcBorders>
                  <w:shd w:val="clear" w:color="auto" w:fill="auto"/>
                  <w:vAlign w:val="center"/>
                </w:tcPr>
                <w:p w14:paraId="17582D68">
                  <w:pPr>
                    <w:jc w:val="center"/>
                    <w:rPr>
                      <w:b/>
                      <w:bCs/>
                      <w:szCs w:val="21"/>
                    </w:rPr>
                  </w:pPr>
                  <w:r>
                    <w:rPr>
                      <w:rFonts w:hint="eastAsia"/>
                      <w:b/>
                      <w:bCs/>
                      <w:szCs w:val="21"/>
                    </w:rPr>
                    <w:t>林地</w:t>
                  </w:r>
                </w:p>
              </w:tc>
              <w:tc>
                <w:tcPr>
                  <w:tcW w:w="714" w:type="pct"/>
                  <w:tcBorders>
                    <w:top w:val="single" w:color="auto" w:sz="18" w:space="0"/>
                  </w:tcBorders>
                  <w:shd w:val="clear" w:color="auto" w:fill="auto"/>
                  <w:vAlign w:val="center"/>
                </w:tcPr>
                <w:p w14:paraId="2D79EA67">
                  <w:pPr>
                    <w:jc w:val="center"/>
                    <w:rPr>
                      <w:b/>
                      <w:bCs/>
                      <w:szCs w:val="21"/>
                    </w:rPr>
                  </w:pPr>
                  <w:r>
                    <w:rPr>
                      <w:rFonts w:hint="eastAsia"/>
                      <w:b/>
                      <w:bCs/>
                      <w:szCs w:val="21"/>
                    </w:rPr>
                    <w:t>草地</w:t>
                  </w:r>
                </w:p>
              </w:tc>
              <w:tc>
                <w:tcPr>
                  <w:tcW w:w="714" w:type="pct"/>
                  <w:tcBorders>
                    <w:top w:val="single" w:color="auto" w:sz="18" w:space="0"/>
                  </w:tcBorders>
                  <w:shd w:val="clear" w:color="auto" w:fill="auto"/>
                  <w:vAlign w:val="center"/>
                </w:tcPr>
                <w:p w14:paraId="3C4C4C24">
                  <w:pPr>
                    <w:jc w:val="center"/>
                    <w:rPr>
                      <w:b/>
                      <w:bCs/>
                      <w:szCs w:val="21"/>
                    </w:rPr>
                  </w:pPr>
                  <w:r>
                    <w:rPr>
                      <w:rFonts w:hint="eastAsia"/>
                      <w:b/>
                      <w:bCs/>
                      <w:szCs w:val="21"/>
                    </w:rPr>
                    <w:t>水域及水利设施用地</w:t>
                  </w:r>
                </w:p>
              </w:tc>
              <w:tc>
                <w:tcPr>
                  <w:tcW w:w="714" w:type="pct"/>
                  <w:tcBorders>
                    <w:top w:val="single" w:color="auto" w:sz="18" w:space="0"/>
                  </w:tcBorders>
                  <w:shd w:val="clear" w:color="auto" w:fill="auto"/>
                  <w:vAlign w:val="center"/>
                </w:tcPr>
                <w:p w14:paraId="18DA0EC9">
                  <w:pPr>
                    <w:jc w:val="center"/>
                    <w:rPr>
                      <w:b/>
                      <w:bCs/>
                      <w:szCs w:val="21"/>
                    </w:rPr>
                  </w:pPr>
                  <w:r>
                    <w:rPr>
                      <w:rFonts w:hint="eastAsia"/>
                      <w:b/>
                      <w:bCs/>
                      <w:szCs w:val="21"/>
                    </w:rPr>
                    <w:t>其他土地</w:t>
                  </w:r>
                </w:p>
              </w:tc>
              <w:tc>
                <w:tcPr>
                  <w:tcW w:w="714" w:type="pct"/>
                  <w:tcBorders>
                    <w:top w:val="single" w:color="auto" w:sz="18" w:space="0"/>
                  </w:tcBorders>
                  <w:shd w:val="clear" w:color="auto" w:fill="auto"/>
                  <w:vAlign w:val="center"/>
                </w:tcPr>
                <w:p w14:paraId="515E0AE7">
                  <w:pPr>
                    <w:jc w:val="center"/>
                    <w:rPr>
                      <w:b/>
                      <w:bCs/>
                      <w:szCs w:val="21"/>
                    </w:rPr>
                  </w:pPr>
                  <w:r>
                    <w:rPr>
                      <w:rFonts w:hint="eastAsia"/>
                      <w:b/>
                      <w:bCs/>
                      <w:szCs w:val="21"/>
                    </w:rPr>
                    <w:t>合计</w:t>
                  </w:r>
                </w:p>
              </w:tc>
              <w:tc>
                <w:tcPr>
                  <w:tcW w:w="715" w:type="pct"/>
                  <w:tcBorders>
                    <w:top w:val="single" w:color="auto" w:sz="18" w:space="0"/>
                  </w:tcBorders>
                  <w:shd w:val="clear" w:color="auto" w:fill="auto"/>
                  <w:vAlign w:val="center"/>
                </w:tcPr>
                <w:p w14:paraId="1E2B1AAF">
                  <w:pPr>
                    <w:jc w:val="center"/>
                    <w:rPr>
                      <w:b/>
                      <w:bCs/>
                      <w:szCs w:val="21"/>
                    </w:rPr>
                  </w:pPr>
                  <w:r>
                    <w:rPr>
                      <w:rFonts w:hint="eastAsia"/>
                      <w:b/>
                      <w:bCs/>
                      <w:szCs w:val="21"/>
                    </w:rPr>
                    <w:t>占地性质</w:t>
                  </w:r>
                </w:p>
              </w:tc>
            </w:tr>
            <w:tr w14:paraId="09A0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61E85273">
                  <w:pPr>
                    <w:jc w:val="center"/>
                    <w:rPr>
                      <w:szCs w:val="21"/>
                    </w:rPr>
                  </w:pPr>
                  <w:r>
                    <w:rPr>
                      <w:rFonts w:hint="eastAsia"/>
                      <w:szCs w:val="21"/>
                    </w:rPr>
                    <w:t>路面工程区</w:t>
                  </w:r>
                </w:p>
              </w:tc>
              <w:tc>
                <w:tcPr>
                  <w:tcW w:w="714" w:type="pct"/>
                  <w:shd w:val="clear" w:color="auto" w:fill="auto"/>
                  <w:vAlign w:val="center"/>
                </w:tcPr>
                <w:p w14:paraId="5E463114">
                  <w:pPr>
                    <w:jc w:val="center"/>
                    <w:rPr>
                      <w:szCs w:val="21"/>
                    </w:rPr>
                  </w:pPr>
                  <w:r>
                    <w:rPr>
                      <w:rFonts w:hint="eastAsia"/>
                      <w:szCs w:val="21"/>
                    </w:rPr>
                    <w:t>0.35</w:t>
                  </w:r>
                </w:p>
              </w:tc>
              <w:tc>
                <w:tcPr>
                  <w:tcW w:w="714" w:type="pct"/>
                  <w:shd w:val="clear" w:color="auto" w:fill="auto"/>
                  <w:vAlign w:val="center"/>
                </w:tcPr>
                <w:p w14:paraId="63EB7280">
                  <w:pPr>
                    <w:jc w:val="center"/>
                    <w:rPr>
                      <w:szCs w:val="21"/>
                    </w:rPr>
                  </w:pPr>
                  <w:r>
                    <w:rPr>
                      <w:rFonts w:hint="eastAsia"/>
                      <w:szCs w:val="21"/>
                    </w:rPr>
                    <w:t>0.63</w:t>
                  </w:r>
                </w:p>
              </w:tc>
              <w:tc>
                <w:tcPr>
                  <w:tcW w:w="714" w:type="pct"/>
                  <w:shd w:val="clear" w:color="auto" w:fill="auto"/>
                  <w:vAlign w:val="center"/>
                </w:tcPr>
                <w:p w14:paraId="448DC1AF">
                  <w:pPr>
                    <w:jc w:val="center"/>
                    <w:rPr>
                      <w:szCs w:val="21"/>
                    </w:rPr>
                  </w:pPr>
                  <w:r>
                    <w:rPr>
                      <w:rFonts w:hint="eastAsia"/>
                      <w:b/>
                      <w:bCs/>
                      <w:szCs w:val="21"/>
                    </w:rPr>
                    <w:t>/</w:t>
                  </w:r>
                </w:p>
              </w:tc>
              <w:tc>
                <w:tcPr>
                  <w:tcW w:w="714" w:type="pct"/>
                  <w:shd w:val="clear" w:color="auto" w:fill="auto"/>
                  <w:vAlign w:val="center"/>
                </w:tcPr>
                <w:p w14:paraId="1ECC8BBE">
                  <w:pPr>
                    <w:jc w:val="center"/>
                    <w:rPr>
                      <w:szCs w:val="21"/>
                    </w:rPr>
                  </w:pPr>
                  <w:r>
                    <w:rPr>
                      <w:rFonts w:hint="eastAsia"/>
                      <w:b/>
                      <w:bCs/>
                      <w:szCs w:val="21"/>
                    </w:rPr>
                    <w:t>/</w:t>
                  </w:r>
                </w:p>
              </w:tc>
              <w:tc>
                <w:tcPr>
                  <w:tcW w:w="714" w:type="pct"/>
                  <w:shd w:val="clear" w:color="auto" w:fill="auto"/>
                  <w:vAlign w:val="center"/>
                </w:tcPr>
                <w:p w14:paraId="02DAF71D">
                  <w:pPr>
                    <w:jc w:val="center"/>
                    <w:rPr>
                      <w:szCs w:val="21"/>
                    </w:rPr>
                  </w:pPr>
                  <w:r>
                    <w:rPr>
                      <w:rFonts w:hint="eastAsia"/>
                      <w:szCs w:val="21"/>
                    </w:rPr>
                    <w:t>0.98</w:t>
                  </w:r>
                </w:p>
              </w:tc>
              <w:tc>
                <w:tcPr>
                  <w:tcW w:w="715" w:type="pct"/>
                  <w:shd w:val="clear" w:color="auto" w:fill="auto"/>
                  <w:vAlign w:val="center"/>
                </w:tcPr>
                <w:p w14:paraId="0FBFB34A">
                  <w:pPr>
                    <w:jc w:val="center"/>
                    <w:rPr>
                      <w:szCs w:val="21"/>
                    </w:rPr>
                  </w:pPr>
                  <w:r>
                    <w:rPr>
                      <w:rFonts w:hint="eastAsia"/>
                      <w:szCs w:val="21"/>
                    </w:rPr>
                    <w:t>永久占地</w:t>
                  </w:r>
                </w:p>
              </w:tc>
            </w:tr>
            <w:tr w14:paraId="2D96D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35E32437">
                  <w:pPr>
                    <w:jc w:val="center"/>
                    <w:rPr>
                      <w:szCs w:val="21"/>
                    </w:rPr>
                  </w:pPr>
                  <w:r>
                    <w:rPr>
                      <w:rFonts w:hint="eastAsia"/>
                      <w:szCs w:val="21"/>
                    </w:rPr>
                    <w:t>人行道路区</w:t>
                  </w:r>
                </w:p>
              </w:tc>
              <w:tc>
                <w:tcPr>
                  <w:tcW w:w="714" w:type="pct"/>
                  <w:shd w:val="clear" w:color="auto" w:fill="auto"/>
                  <w:vAlign w:val="center"/>
                </w:tcPr>
                <w:p w14:paraId="62EF51B0">
                  <w:pPr>
                    <w:jc w:val="center"/>
                    <w:rPr>
                      <w:szCs w:val="21"/>
                    </w:rPr>
                  </w:pPr>
                  <w:r>
                    <w:rPr>
                      <w:rFonts w:hint="eastAsia"/>
                      <w:szCs w:val="21"/>
                    </w:rPr>
                    <w:t>0.104</w:t>
                  </w:r>
                </w:p>
              </w:tc>
              <w:tc>
                <w:tcPr>
                  <w:tcW w:w="714" w:type="pct"/>
                  <w:shd w:val="clear" w:color="auto" w:fill="auto"/>
                  <w:vAlign w:val="center"/>
                </w:tcPr>
                <w:p w14:paraId="1E19BA47">
                  <w:pPr>
                    <w:jc w:val="center"/>
                    <w:rPr>
                      <w:szCs w:val="21"/>
                    </w:rPr>
                  </w:pPr>
                  <w:r>
                    <w:rPr>
                      <w:rFonts w:hint="eastAsia"/>
                      <w:szCs w:val="21"/>
                    </w:rPr>
                    <w:t>0.156</w:t>
                  </w:r>
                </w:p>
              </w:tc>
              <w:tc>
                <w:tcPr>
                  <w:tcW w:w="714" w:type="pct"/>
                  <w:shd w:val="clear" w:color="auto" w:fill="auto"/>
                  <w:vAlign w:val="center"/>
                </w:tcPr>
                <w:p w14:paraId="29745410">
                  <w:pPr>
                    <w:jc w:val="center"/>
                    <w:rPr>
                      <w:szCs w:val="21"/>
                    </w:rPr>
                  </w:pPr>
                  <w:r>
                    <w:rPr>
                      <w:rFonts w:hint="eastAsia"/>
                      <w:b/>
                      <w:bCs/>
                      <w:szCs w:val="21"/>
                    </w:rPr>
                    <w:t>/</w:t>
                  </w:r>
                </w:p>
              </w:tc>
              <w:tc>
                <w:tcPr>
                  <w:tcW w:w="714" w:type="pct"/>
                  <w:shd w:val="clear" w:color="auto" w:fill="auto"/>
                  <w:vAlign w:val="center"/>
                </w:tcPr>
                <w:p w14:paraId="18DE14EB">
                  <w:pPr>
                    <w:jc w:val="center"/>
                    <w:rPr>
                      <w:szCs w:val="21"/>
                    </w:rPr>
                  </w:pPr>
                  <w:r>
                    <w:rPr>
                      <w:rFonts w:hint="eastAsia"/>
                      <w:szCs w:val="21"/>
                    </w:rPr>
                    <w:t>0.01</w:t>
                  </w:r>
                </w:p>
              </w:tc>
              <w:tc>
                <w:tcPr>
                  <w:tcW w:w="714" w:type="pct"/>
                  <w:shd w:val="clear" w:color="auto" w:fill="auto"/>
                  <w:vAlign w:val="center"/>
                </w:tcPr>
                <w:p w14:paraId="36A086E8">
                  <w:pPr>
                    <w:jc w:val="center"/>
                    <w:rPr>
                      <w:szCs w:val="21"/>
                    </w:rPr>
                  </w:pPr>
                  <w:r>
                    <w:rPr>
                      <w:rFonts w:hint="eastAsia"/>
                      <w:szCs w:val="21"/>
                    </w:rPr>
                    <w:t>0.27</w:t>
                  </w:r>
                </w:p>
              </w:tc>
              <w:tc>
                <w:tcPr>
                  <w:tcW w:w="715" w:type="pct"/>
                  <w:shd w:val="clear" w:color="auto" w:fill="auto"/>
                  <w:vAlign w:val="center"/>
                </w:tcPr>
                <w:p w14:paraId="3674E4E7">
                  <w:pPr>
                    <w:jc w:val="center"/>
                    <w:rPr>
                      <w:szCs w:val="21"/>
                    </w:rPr>
                  </w:pPr>
                  <w:r>
                    <w:rPr>
                      <w:rFonts w:hint="eastAsia"/>
                      <w:szCs w:val="21"/>
                    </w:rPr>
                    <w:t>永久占地</w:t>
                  </w:r>
                </w:p>
              </w:tc>
            </w:tr>
            <w:tr w14:paraId="1BA50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092733C0">
                  <w:pPr>
                    <w:jc w:val="center"/>
                    <w:rPr>
                      <w:szCs w:val="21"/>
                    </w:rPr>
                  </w:pPr>
                  <w:r>
                    <w:rPr>
                      <w:rFonts w:hint="eastAsia"/>
                      <w:szCs w:val="21"/>
                    </w:rPr>
                    <w:t>挖方边坡区</w:t>
                  </w:r>
                </w:p>
              </w:tc>
              <w:tc>
                <w:tcPr>
                  <w:tcW w:w="714" w:type="pct"/>
                  <w:shd w:val="clear" w:color="auto" w:fill="auto"/>
                  <w:vAlign w:val="center"/>
                </w:tcPr>
                <w:p w14:paraId="6A5C4E82">
                  <w:pPr>
                    <w:jc w:val="center"/>
                    <w:rPr>
                      <w:szCs w:val="21"/>
                    </w:rPr>
                  </w:pPr>
                  <w:r>
                    <w:rPr>
                      <w:rFonts w:hint="eastAsia"/>
                      <w:szCs w:val="21"/>
                    </w:rPr>
                    <w:t>0.24</w:t>
                  </w:r>
                </w:p>
              </w:tc>
              <w:tc>
                <w:tcPr>
                  <w:tcW w:w="714" w:type="pct"/>
                  <w:shd w:val="clear" w:color="auto" w:fill="auto"/>
                  <w:vAlign w:val="center"/>
                </w:tcPr>
                <w:p w14:paraId="60EF4B33">
                  <w:pPr>
                    <w:jc w:val="center"/>
                    <w:rPr>
                      <w:szCs w:val="21"/>
                    </w:rPr>
                  </w:pPr>
                  <w:r>
                    <w:rPr>
                      <w:rFonts w:hint="eastAsia"/>
                      <w:szCs w:val="21"/>
                    </w:rPr>
                    <w:t>0.31</w:t>
                  </w:r>
                </w:p>
              </w:tc>
              <w:tc>
                <w:tcPr>
                  <w:tcW w:w="714" w:type="pct"/>
                  <w:shd w:val="clear" w:color="auto" w:fill="auto"/>
                  <w:vAlign w:val="center"/>
                </w:tcPr>
                <w:p w14:paraId="51CD0F81">
                  <w:pPr>
                    <w:jc w:val="center"/>
                    <w:rPr>
                      <w:szCs w:val="21"/>
                    </w:rPr>
                  </w:pPr>
                  <w:r>
                    <w:rPr>
                      <w:rFonts w:hint="eastAsia"/>
                      <w:b/>
                      <w:bCs/>
                      <w:szCs w:val="21"/>
                    </w:rPr>
                    <w:t>/</w:t>
                  </w:r>
                </w:p>
              </w:tc>
              <w:tc>
                <w:tcPr>
                  <w:tcW w:w="714" w:type="pct"/>
                  <w:shd w:val="clear" w:color="auto" w:fill="auto"/>
                  <w:vAlign w:val="center"/>
                </w:tcPr>
                <w:p w14:paraId="0D682313">
                  <w:pPr>
                    <w:jc w:val="center"/>
                    <w:rPr>
                      <w:szCs w:val="21"/>
                    </w:rPr>
                  </w:pPr>
                  <w:r>
                    <w:rPr>
                      <w:rFonts w:hint="eastAsia"/>
                      <w:b/>
                      <w:bCs/>
                      <w:szCs w:val="21"/>
                    </w:rPr>
                    <w:t>/</w:t>
                  </w:r>
                </w:p>
              </w:tc>
              <w:tc>
                <w:tcPr>
                  <w:tcW w:w="714" w:type="pct"/>
                  <w:shd w:val="clear" w:color="auto" w:fill="auto"/>
                  <w:vAlign w:val="center"/>
                </w:tcPr>
                <w:p w14:paraId="19488C8F">
                  <w:pPr>
                    <w:jc w:val="center"/>
                    <w:rPr>
                      <w:szCs w:val="21"/>
                    </w:rPr>
                  </w:pPr>
                  <w:r>
                    <w:rPr>
                      <w:rFonts w:hint="eastAsia"/>
                      <w:szCs w:val="21"/>
                    </w:rPr>
                    <w:t>0.55</w:t>
                  </w:r>
                </w:p>
              </w:tc>
              <w:tc>
                <w:tcPr>
                  <w:tcW w:w="715" w:type="pct"/>
                  <w:shd w:val="clear" w:color="auto" w:fill="auto"/>
                  <w:vAlign w:val="center"/>
                </w:tcPr>
                <w:p w14:paraId="62F505B7">
                  <w:pPr>
                    <w:jc w:val="center"/>
                    <w:rPr>
                      <w:szCs w:val="21"/>
                    </w:rPr>
                  </w:pPr>
                  <w:r>
                    <w:rPr>
                      <w:rFonts w:hint="eastAsia"/>
                      <w:szCs w:val="21"/>
                    </w:rPr>
                    <w:t>永久占地</w:t>
                  </w:r>
                </w:p>
              </w:tc>
            </w:tr>
            <w:tr w14:paraId="67844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3DA88818">
                  <w:pPr>
                    <w:jc w:val="center"/>
                    <w:rPr>
                      <w:szCs w:val="21"/>
                    </w:rPr>
                  </w:pPr>
                  <w:r>
                    <w:rPr>
                      <w:rFonts w:hint="eastAsia"/>
                      <w:szCs w:val="21"/>
                    </w:rPr>
                    <w:t>填方边坡区</w:t>
                  </w:r>
                </w:p>
              </w:tc>
              <w:tc>
                <w:tcPr>
                  <w:tcW w:w="714" w:type="pct"/>
                  <w:shd w:val="clear" w:color="auto" w:fill="auto"/>
                  <w:vAlign w:val="center"/>
                </w:tcPr>
                <w:p w14:paraId="1A7B440E">
                  <w:pPr>
                    <w:jc w:val="center"/>
                    <w:rPr>
                      <w:szCs w:val="21"/>
                    </w:rPr>
                  </w:pPr>
                  <w:r>
                    <w:rPr>
                      <w:rFonts w:hint="eastAsia"/>
                      <w:szCs w:val="21"/>
                    </w:rPr>
                    <w:t>0.0409</w:t>
                  </w:r>
                </w:p>
              </w:tc>
              <w:tc>
                <w:tcPr>
                  <w:tcW w:w="714" w:type="pct"/>
                  <w:shd w:val="clear" w:color="auto" w:fill="auto"/>
                  <w:vAlign w:val="center"/>
                </w:tcPr>
                <w:p w14:paraId="2D25955C">
                  <w:pPr>
                    <w:jc w:val="center"/>
                    <w:rPr>
                      <w:szCs w:val="21"/>
                    </w:rPr>
                  </w:pPr>
                  <w:r>
                    <w:rPr>
                      <w:rFonts w:hint="eastAsia"/>
                      <w:szCs w:val="21"/>
                    </w:rPr>
                    <w:t>0.1191</w:t>
                  </w:r>
                </w:p>
              </w:tc>
              <w:tc>
                <w:tcPr>
                  <w:tcW w:w="714" w:type="pct"/>
                  <w:shd w:val="clear" w:color="auto" w:fill="auto"/>
                  <w:vAlign w:val="center"/>
                </w:tcPr>
                <w:p w14:paraId="147B5C50">
                  <w:pPr>
                    <w:jc w:val="center"/>
                    <w:rPr>
                      <w:szCs w:val="21"/>
                    </w:rPr>
                  </w:pPr>
                  <w:r>
                    <w:rPr>
                      <w:rFonts w:hint="eastAsia"/>
                      <w:szCs w:val="21"/>
                    </w:rPr>
                    <w:t>0.02</w:t>
                  </w:r>
                </w:p>
              </w:tc>
              <w:tc>
                <w:tcPr>
                  <w:tcW w:w="714" w:type="pct"/>
                  <w:shd w:val="clear" w:color="auto" w:fill="auto"/>
                  <w:vAlign w:val="center"/>
                </w:tcPr>
                <w:p w14:paraId="56E253F7">
                  <w:pPr>
                    <w:jc w:val="center"/>
                    <w:rPr>
                      <w:szCs w:val="21"/>
                    </w:rPr>
                  </w:pPr>
                  <w:r>
                    <w:rPr>
                      <w:rFonts w:hint="eastAsia"/>
                      <w:b/>
                      <w:bCs/>
                      <w:szCs w:val="21"/>
                    </w:rPr>
                    <w:t>/</w:t>
                  </w:r>
                </w:p>
              </w:tc>
              <w:tc>
                <w:tcPr>
                  <w:tcW w:w="714" w:type="pct"/>
                  <w:shd w:val="clear" w:color="auto" w:fill="auto"/>
                  <w:vAlign w:val="center"/>
                </w:tcPr>
                <w:p w14:paraId="312CECDB">
                  <w:pPr>
                    <w:jc w:val="center"/>
                    <w:rPr>
                      <w:szCs w:val="21"/>
                    </w:rPr>
                  </w:pPr>
                  <w:r>
                    <w:rPr>
                      <w:rFonts w:hint="eastAsia"/>
                      <w:szCs w:val="21"/>
                    </w:rPr>
                    <w:t>0.18</w:t>
                  </w:r>
                </w:p>
              </w:tc>
              <w:tc>
                <w:tcPr>
                  <w:tcW w:w="715" w:type="pct"/>
                  <w:shd w:val="clear" w:color="auto" w:fill="auto"/>
                  <w:vAlign w:val="center"/>
                </w:tcPr>
                <w:p w14:paraId="09CE9791">
                  <w:pPr>
                    <w:jc w:val="center"/>
                    <w:rPr>
                      <w:szCs w:val="21"/>
                    </w:rPr>
                  </w:pPr>
                  <w:r>
                    <w:rPr>
                      <w:rFonts w:hint="eastAsia"/>
                      <w:szCs w:val="21"/>
                    </w:rPr>
                    <w:t>永久占地</w:t>
                  </w:r>
                </w:p>
              </w:tc>
            </w:tr>
            <w:tr w14:paraId="70063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2D52E848">
                  <w:pPr>
                    <w:jc w:val="center"/>
                    <w:rPr>
                      <w:szCs w:val="21"/>
                    </w:rPr>
                  </w:pPr>
                  <w:r>
                    <w:rPr>
                      <w:rFonts w:hint="eastAsia"/>
                      <w:szCs w:val="21"/>
                    </w:rPr>
                    <w:t>排水管线区</w:t>
                  </w:r>
                </w:p>
              </w:tc>
              <w:tc>
                <w:tcPr>
                  <w:tcW w:w="714" w:type="pct"/>
                  <w:shd w:val="clear" w:color="auto" w:fill="auto"/>
                  <w:vAlign w:val="center"/>
                </w:tcPr>
                <w:p w14:paraId="08598577">
                  <w:pPr>
                    <w:jc w:val="center"/>
                    <w:rPr>
                      <w:szCs w:val="21"/>
                    </w:rPr>
                  </w:pPr>
                  <w:r>
                    <w:rPr>
                      <w:rFonts w:hint="eastAsia"/>
                      <w:szCs w:val="21"/>
                    </w:rPr>
                    <w:t>0</w:t>
                  </w:r>
                </w:p>
              </w:tc>
              <w:tc>
                <w:tcPr>
                  <w:tcW w:w="714" w:type="pct"/>
                  <w:shd w:val="clear" w:color="auto" w:fill="auto"/>
                  <w:vAlign w:val="center"/>
                </w:tcPr>
                <w:p w14:paraId="73FB734D">
                  <w:pPr>
                    <w:jc w:val="center"/>
                    <w:rPr>
                      <w:szCs w:val="21"/>
                    </w:rPr>
                  </w:pPr>
                  <w:r>
                    <w:rPr>
                      <w:rFonts w:hint="eastAsia"/>
                      <w:szCs w:val="21"/>
                    </w:rPr>
                    <w:t>0.01</w:t>
                  </w:r>
                </w:p>
              </w:tc>
              <w:tc>
                <w:tcPr>
                  <w:tcW w:w="714" w:type="pct"/>
                  <w:shd w:val="clear" w:color="auto" w:fill="auto"/>
                  <w:vAlign w:val="center"/>
                </w:tcPr>
                <w:p w14:paraId="5FE5EBFF">
                  <w:pPr>
                    <w:jc w:val="center"/>
                    <w:rPr>
                      <w:szCs w:val="21"/>
                    </w:rPr>
                  </w:pPr>
                  <w:r>
                    <w:rPr>
                      <w:rFonts w:hint="eastAsia"/>
                      <w:b/>
                      <w:bCs/>
                      <w:szCs w:val="21"/>
                    </w:rPr>
                    <w:t>/</w:t>
                  </w:r>
                </w:p>
              </w:tc>
              <w:tc>
                <w:tcPr>
                  <w:tcW w:w="714" w:type="pct"/>
                  <w:shd w:val="clear" w:color="auto" w:fill="auto"/>
                  <w:vAlign w:val="center"/>
                </w:tcPr>
                <w:p w14:paraId="552080C8">
                  <w:pPr>
                    <w:jc w:val="center"/>
                    <w:rPr>
                      <w:szCs w:val="21"/>
                    </w:rPr>
                  </w:pPr>
                  <w:r>
                    <w:rPr>
                      <w:rFonts w:hint="eastAsia"/>
                      <w:b/>
                      <w:bCs/>
                      <w:szCs w:val="21"/>
                    </w:rPr>
                    <w:t>/</w:t>
                  </w:r>
                </w:p>
              </w:tc>
              <w:tc>
                <w:tcPr>
                  <w:tcW w:w="714" w:type="pct"/>
                  <w:shd w:val="clear" w:color="auto" w:fill="auto"/>
                  <w:vAlign w:val="center"/>
                </w:tcPr>
                <w:p w14:paraId="54A09489">
                  <w:pPr>
                    <w:jc w:val="center"/>
                    <w:rPr>
                      <w:szCs w:val="21"/>
                    </w:rPr>
                  </w:pPr>
                  <w:r>
                    <w:rPr>
                      <w:rFonts w:hint="eastAsia"/>
                      <w:szCs w:val="21"/>
                    </w:rPr>
                    <w:t>0.01</w:t>
                  </w:r>
                </w:p>
              </w:tc>
              <w:tc>
                <w:tcPr>
                  <w:tcW w:w="715" w:type="pct"/>
                  <w:shd w:val="clear" w:color="auto" w:fill="auto"/>
                  <w:vAlign w:val="center"/>
                </w:tcPr>
                <w:p w14:paraId="2350DA61">
                  <w:pPr>
                    <w:jc w:val="center"/>
                    <w:rPr>
                      <w:szCs w:val="21"/>
                    </w:rPr>
                  </w:pPr>
                  <w:r>
                    <w:rPr>
                      <w:rFonts w:hint="eastAsia"/>
                      <w:szCs w:val="21"/>
                    </w:rPr>
                    <w:t>永久占地</w:t>
                  </w:r>
                </w:p>
              </w:tc>
            </w:tr>
            <w:tr w14:paraId="170AB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5FA96088">
                  <w:pPr>
                    <w:jc w:val="center"/>
                    <w:rPr>
                      <w:szCs w:val="21"/>
                    </w:rPr>
                  </w:pPr>
                  <w:r>
                    <w:rPr>
                      <w:rFonts w:hint="eastAsia"/>
                      <w:szCs w:val="21"/>
                    </w:rPr>
                    <w:t>高速匝道区</w:t>
                  </w:r>
                </w:p>
              </w:tc>
              <w:tc>
                <w:tcPr>
                  <w:tcW w:w="714" w:type="pct"/>
                  <w:shd w:val="clear" w:color="auto" w:fill="auto"/>
                  <w:vAlign w:val="center"/>
                </w:tcPr>
                <w:p w14:paraId="785F4C74">
                  <w:pPr>
                    <w:jc w:val="center"/>
                    <w:rPr>
                      <w:szCs w:val="21"/>
                    </w:rPr>
                  </w:pPr>
                  <w:r>
                    <w:rPr>
                      <w:rFonts w:hint="eastAsia"/>
                      <w:szCs w:val="21"/>
                    </w:rPr>
                    <w:t>0.5</w:t>
                  </w:r>
                </w:p>
              </w:tc>
              <w:tc>
                <w:tcPr>
                  <w:tcW w:w="714" w:type="pct"/>
                  <w:shd w:val="clear" w:color="auto" w:fill="auto"/>
                  <w:vAlign w:val="center"/>
                </w:tcPr>
                <w:p w14:paraId="7E363BDC">
                  <w:pPr>
                    <w:jc w:val="center"/>
                    <w:rPr>
                      <w:szCs w:val="21"/>
                    </w:rPr>
                  </w:pPr>
                  <w:r>
                    <w:rPr>
                      <w:rFonts w:hint="eastAsia"/>
                      <w:szCs w:val="21"/>
                    </w:rPr>
                    <w:t>0.69</w:t>
                  </w:r>
                </w:p>
              </w:tc>
              <w:tc>
                <w:tcPr>
                  <w:tcW w:w="714" w:type="pct"/>
                  <w:shd w:val="clear" w:color="auto" w:fill="auto"/>
                  <w:vAlign w:val="center"/>
                </w:tcPr>
                <w:p w14:paraId="47DDAE64">
                  <w:pPr>
                    <w:jc w:val="center"/>
                    <w:rPr>
                      <w:szCs w:val="21"/>
                    </w:rPr>
                  </w:pPr>
                  <w:r>
                    <w:rPr>
                      <w:rFonts w:hint="eastAsia"/>
                      <w:b/>
                      <w:bCs/>
                      <w:szCs w:val="21"/>
                    </w:rPr>
                    <w:t>/</w:t>
                  </w:r>
                </w:p>
              </w:tc>
              <w:tc>
                <w:tcPr>
                  <w:tcW w:w="714" w:type="pct"/>
                  <w:shd w:val="clear" w:color="auto" w:fill="auto"/>
                  <w:vAlign w:val="center"/>
                </w:tcPr>
                <w:p w14:paraId="5DD41E0E">
                  <w:pPr>
                    <w:jc w:val="center"/>
                    <w:rPr>
                      <w:szCs w:val="21"/>
                    </w:rPr>
                  </w:pPr>
                  <w:r>
                    <w:rPr>
                      <w:rFonts w:hint="eastAsia"/>
                      <w:b/>
                      <w:bCs/>
                      <w:szCs w:val="21"/>
                    </w:rPr>
                    <w:t>/</w:t>
                  </w:r>
                </w:p>
              </w:tc>
              <w:tc>
                <w:tcPr>
                  <w:tcW w:w="714" w:type="pct"/>
                  <w:shd w:val="clear" w:color="auto" w:fill="auto"/>
                  <w:vAlign w:val="center"/>
                </w:tcPr>
                <w:p w14:paraId="2D92361D">
                  <w:pPr>
                    <w:jc w:val="center"/>
                    <w:rPr>
                      <w:szCs w:val="21"/>
                    </w:rPr>
                  </w:pPr>
                  <w:r>
                    <w:rPr>
                      <w:rFonts w:hint="eastAsia"/>
                      <w:szCs w:val="21"/>
                    </w:rPr>
                    <w:t>1.19</w:t>
                  </w:r>
                </w:p>
              </w:tc>
              <w:tc>
                <w:tcPr>
                  <w:tcW w:w="715" w:type="pct"/>
                  <w:shd w:val="clear" w:color="auto" w:fill="auto"/>
                  <w:vAlign w:val="center"/>
                </w:tcPr>
                <w:p w14:paraId="44910ABE">
                  <w:pPr>
                    <w:jc w:val="center"/>
                    <w:rPr>
                      <w:szCs w:val="21"/>
                    </w:rPr>
                  </w:pPr>
                  <w:r>
                    <w:rPr>
                      <w:rFonts w:hint="eastAsia"/>
                      <w:szCs w:val="21"/>
                    </w:rPr>
                    <w:t>永久占地</w:t>
                  </w:r>
                </w:p>
              </w:tc>
            </w:tr>
            <w:tr w14:paraId="7E5C5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205DD38F">
                  <w:pPr>
                    <w:jc w:val="center"/>
                    <w:rPr>
                      <w:szCs w:val="21"/>
                    </w:rPr>
                  </w:pPr>
                  <w:r>
                    <w:rPr>
                      <w:rFonts w:hint="eastAsia"/>
                      <w:szCs w:val="21"/>
                    </w:rPr>
                    <w:t>不扰动区</w:t>
                  </w:r>
                </w:p>
              </w:tc>
              <w:tc>
                <w:tcPr>
                  <w:tcW w:w="714" w:type="pct"/>
                  <w:shd w:val="clear" w:color="auto" w:fill="auto"/>
                  <w:vAlign w:val="center"/>
                </w:tcPr>
                <w:p w14:paraId="73C73A3F">
                  <w:pPr>
                    <w:jc w:val="center"/>
                    <w:rPr>
                      <w:szCs w:val="21"/>
                    </w:rPr>
                  </w:pPr>
                  <w:r>
                    <w:rPr>
                      <w:rFonts w:hint="eastAsia"/>
                      <w:szCs w:val="21"/>
                    </w:rPr>
                    <w:t>0.1054</w:t>
                  </w:r>
                </w:p>
              </w:tc>
              <w:tc>
                <w:tcPr>
                  <w:tcW w:w="714" w:type="pct"/>
                  <w:shd w:val="clear" w:color="auto" w:fill="auto"/>
                  <w:vAlign w:val="center"/>
                </w:tcPr>
                <w:p w14:paraId="47F89659">
                  <w:pPr>
                    <w:jc w:val="center"/>
                    <w:rPr>
                      <w:szCs w:val="21"/>
                    </w:rPr>
                  </w:pPr>
                  <w:r>
                    <w:rPr>
                      <w:rFonts w:hint="eastAsia"/>
                      <w:szCs w:val="21"/>
                    </w:rPr>
                    <w:t>0.1446</w:t>
                  </w:r>
                </w:p>
              </w:tc>
              <w:tc>
                <w:tcPr>
                  <w:tcW w:w="714" w:type="pct"/>
                  <w:shd w:val="clear" w:color="auto" w:fill="auto"/>
                  <w:vAlign w:val="center"/>
                </w:tcPr>
                <w:p w14:paraId="1AFFF480">
                  <w:pPr>
                    <w:jc w:val="center"/>
                    <w:rPr>
                      <w:szCs w:val="21"/>
                    </w:rPr>
                  </w:pPr>
                  <w:r>
                    <w:rPr>
                      <w:rFonts w:hint="eastAsia"/>
                      <w:b/>
                      <w:bCs/>
                      <w:szCs w:val="21"/>
                    </w:rPr>
                    <w:t>/</w:t>
                  </w:r>
                </w:p>
              </w:tc>
              <w:tc>
                <w:tcPr>
                  <w:tcW w:w="714" w:type="pct"/>
                  <w:shd w:val="clear" w:color="auto" w:fill="auto"/>
                  <w:vAlign w:val="center"/>
                </w:tcPr>
                <w:p w14:paraId="0D88D9E1">
                  <w:pPr>
                    <w:jc w:val="center"/>
                    <w:rPr>
                      <w:szCs w:val="21"/>
                    </w:rPr>
                  </w:pPr>
                  <w:r>
                    <w:rPr>
                      <w:rFonts w:hint="eastAsia"/>
                      <w:b/>
                      <w:bCs/>
                      <w:szCs w:val="21"/>
                    </w:rPr>
                    <w:t>/</w:t>
                  </w:r>
                </w:p>
              </w:tc>
              <w:tc>
                <w:tcPr>
                  <w:tcW w:w="714" w:type="pct"/>
                  <w:shd w:val="clear" w:color="auto" w:fill="auto"/>
                  <w:vAlign w:val="center"/>
                </w:tcPr>
                <w:p w14:paraId="4DF0A9F2">
                  <w:pPr>
                    <w:jc w:val="center"/>
                    <w:rPr>
                      <w:szCs w:val="21"/>
                    </w:rPr>
                  </w:pPr>
                  <w:r>
                    <w:rPr>
                      <w:rFonts w:hint="eastAsia"/>
                      <w:szCs w:val="21"/>
                    </w:rPr>
                    <w:t>0.25</w:t>
                  </w:r>
                </w:p>
              </w:tc>
              <w:tc>
                <w:tcPr>
                  <w:tcW w:w="715" w:type="pct"/>
                  <w:shd w:val="clear" w:color="auto" w:fill="auto"/>
                  <w:vAlign w:val="center"/>
                </w:tcPr>
                <w:p w14:paraId="42F66990">
                  <w:pPr>
                    <w:jc w:val="center"/>
                    <w:rPr>
                      <w:szCs w:val="21"/>
                    </w:rPr>
                  </w:pPr>
                  <w:r>
                    <w:rPr>
                      <w:rFonts w:hint="eastAsia"/>
                      <w:szCs w:val="21"/>
                    </w:rPr>
                    <w:t>永久占地</w:t>
                  </w:r>
                </w:p>
              </w:tc>
            </w:tr>
            <w:tr w14:paraId="0A7A0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tcBorders>
                    <w:bottom w:val="single" w:color="auto" w:sz="18" w:space="0"/>
                  </w:tcBorders>
                  <w:shd w:val="clear" w:color="auto" w:fill="auto"/>
                  <w:vAlign w:val="center"/>
                </w:tcPr>
                <w:p w14:paraId="15844CDC">
                  <w:pPr>
                    <w:jc w:val="center"/>
                    <w:rPr>
                      <w:szCs w:val="21"/>
                    </w:rPr>
                  </w:pPr>
                  <w:r>
                    <w:rPr>
                      <w:rFonts w:hint="eastAsia"/>
                      <w:szCs w:val="21"/>
                    </w:rPr>
                    <w:t>合计</w:t>
                  </w:r>
                </w:p>
              </w:tc>
              <w:tc>
                <w:tcPr>
                  <w:tcW w:w="714" w:type="pct"/>
                  <w:tcBorders>
                    <w:bottom w:val="single" w:color="auto" w:sz="18" w:space="0"/>
                  </w:tcBorders>
                  <w:shd w:val="clear" w:color="auto" w:fill="auto"/>
                  <w:vAlign w:val="center"/>
                </w:tcPr>
                <w:p w14:paraId="4BD97B35">
                  <w:pPr>
                    <w:jc w:val="center"/>
                    <w:rPr>
                      <w:szCs w:val="21"/>
                    </w:rPr>
                  </w:pPr>
                  <w:r>
                    <w:rPr>
                      <w:rFonts w:hint="eastAsia"/>
                      <w:szCs w:val="21"/>
                    </w:rPr>
                    <w:t xml:space="preserve">1.3403 </w:t>
                  </w:r>
                </w:p>
              </w:tc>
              <w:tc>
                <w:tcPr>
                  <w:tcW w:w="714" w:type="pct"/>
                  <w:tcBorders>
                    <w:bottom w:val="single" w:color="auto" w:sz="18" w:space="0"/>
                  </w:tcBorders>
                  <w:shd w:val="clear" w:color="auto" w:fill="auto"/>
                  <w:vAlign w:val="center"/>
                </w:tcPr>
                <w:p w14:paraId="624977B9">
                  <w:pPr>
                    <w:widowControl/>
                    <w:jc w:val="center"/>
                    <w:rPr>
                      <w:szCs w:val="21"/>
                    </w:rPr>
                  </w:pPr>
                  <w:r>
                    <w:rPr>
                      <w:rFonts w:hint="eastAsia"/>
                      <w:szCs w:val="21"/>
                    </w:rPr>
                    <w:t>2.0597</w:t>
                  </w:r>
                </w:p>
              </w:tc>
              <w:tc>
                <w:tcPr>
                  <w:tcW w:w="714" w:type="pct"/>
                  <w:tcBorders>
                    <w:bottom w:val="single" w:color="auto" w:sz="18" w:space="0"/>
                  </w:tcBorders>
                  <w:shd w:val="clear" w:color="auto" w:fill="auto"/>
                  <w:vAlign w:val="center"/>
                </w:tcPr>
                <w:p w14:paraId="0FD22055">
                  <w:pPr>
                    <w:jc w:val="center"/>
                    <w:rPr>
                      <w:szCs w:val="21"/>
                    </w:rPr>
                  </w:pPr>
                  <w:r>
                    <w:rPr>
                      <w:rFonts w:hint="eastAsia"/>
                      <w:szCs w:val="21"/>
                    </w:rPr>
                    <w:t>0.02</w:t>
                  </w:r>
                </w:p>
              </w:tc>
              <w:tc>
                <w:tcPr>
                  <w:tcW w:w="714" w:type="pct"/>
                  <w:tcBorders>
                    <w:bottom w:val="single" w:color="auto" w:sz="18" w:space="0"/>
                  </w:tcBorders>
                  <w:shd w:val="clear" w:color="auto" w:fill="auto"/>
                  <w:vAlign w:val="center"/>
                </w:tcPr>
                <w:p w14:paraId="766F8069">
                  <w:pPr>
                    <w:jc w:val="center"/>
                    <w:rPr>
                      <w:szCs w:val="21"/>
                    </w:rPr>
                  </w:pPr>
                  <w:r>
                    <w:rPr>
                      <w:rFonts w:hint="eastAsia"/>
                      <w:szCs w:val="21"/>
                    </w:rPr>
                    <w:t>0.01</w:t>
                  </w:r>
                </w:p>
              </w:tc>
              <w:tc>
                <w:tcPr>
                  <w:tcW w:w="714" w:type="pct"/>
                  <w:tcBorders>
                    <w:bottom w:val="single" w:color="auto" w:sz="18" w:space="0"/>
                  </w:tcBorders>
                  <w:shd w:val="clear" w:color="auto" w:fill="auto"/>
                  <w:vAlign w:val="center"/>
                </w:tcPr>
                <w:p w14:paraId="46FDD11B">
                  <w:pPr>
                    <w:jc w:val="center"/>
                    <w:rPr>
                      <w:szCs w:val="21"/>
                    </w:rPr>
                  </w:pPr>
                  <w:r>
                    <w:rPr>
                      <w:rFonts w:hint="eastAsia"/>
                      <w:szCs w:val="21"/>
                    </w:rPr>
                    <w:t>3.43</w:t>
                  </w:r>
                </w:p>
              </w:tc>
              <w:tc>
                <w:tcPr>
                  <w:tcW w:w="715" w:type="pct"/>
                  <w:tcBorders>
                    <w:bottom w:val="single" w:color="auto" w:sz="18" w:space="0"/>
                  </w:tcBorders>
                  <w:shd w:val="clear" w:color="auto" w:fill="auto"/>
                  <w:vAlign w:val="center"/>
                </w:tcPr>
                <w:p w14:paraId="0FC5C1FF">
                  <w:pPr>
                    <w:jc w:val="center"/>
                    <w:rPr>
                      <w:szCs w:val="21"/>
                    </w:rPr>
                  </w:pPr>
                  <w:r>
                    <w:rPr>
                      <w:rFonts w:hint="eastAsia"/>
                      <w:szCs w:val="21"/>
                    </w:rPr>
                    <w:t>/</w:t>
                  </w:r>
                </w:p>
              </w:tc>
            </w:tr>
          </w:tbl>
          <w:p w14:paraId="71224E38">
            <w:pPr>
              <w:adjustRightInd w:val="0"/>
              <w:snapToGrid w:val="0"/>
              <w:spacing w:line="500" w:lineRule="exact"/>
              <w:ind w:firstLine="422" w:firstLineChars="200"/>
              <w:jc w:val="left"/>
              <w:rPr>
                <w:b/>
                <w:bCs/>
                <w:szCs w:val="21"/>
              </w:rPr>
            </w:pPr>
            <w:r>
              <w:rPr>
                <w:rFonts w:hint="eastAsia"/>
                <w:b/>
                <w:bCs/>
                <w:szCs w:val="21"/>
              </w:rPr>
              <w:t>十一、土石方平衡</w:t>
            </w:r>
          </w:p>
          <w:p w14:paraId="0F82E37D">
            <w:pPr>
              <w:adjustRightInd w:val="0"/>
              <w:snapToGrid w:val="0"/>
              <w:spacing w:line="500" w:lineRule="exact"/>
              <w:ind w:firstLine="422" w:firstLineChars="200"/>
              <w:jc w:val="left"/>
              <w:rPr>
                <w:b/>
                <w:bCs/>
                <w:szCs w:val="21"/>
              </w:rPr>
            </w:pPr>
            <w:r>
              <w:rPr>
                <w:rFonts w:hint="eastAsia"/>
                <w:b/>
                <w:bCs/>
                <w:szCs w:val="21"/>
              </w:rPr>
              <w:t>1、表土平衡</w:t>
            </w:r>
          </w:p>
          <w:p w14:paraId="1F0293C0">
            <w:pPr>
              <w:adjustRightInd w:val="0"/>
              <w:snapToGrid w:val="0"/>
              <w:spacing w:line="500" w:lineRule="exact"/>
              <w:ind w:firstLine="420" w:firstLineChars="200"/>
              <w:jc w:val="left"/>
              <w:rPr>
                <w:szCs w:val="21"/>
              </w:rPr>
            </w:pPr>
            <w:r>
              <w:rPr>
                <w:rFonts w:hint="eastAsia"/>
                <w:szCs w:val="21"/>
              </w:rPr>
              <w:t>根据本项目占地情况，扰动土地中林地和草地存在表土资源，可进行剥离表土，本项目占地范围内(除高速匝道区和不扰动区)林地和草地面积共计1.96hm</w:t>
            </w:r>
            <w:r>
              <w:rPr>
                <w:rFonts w:hint="eastAsia"/>
                <w:szCs w:val="21"/>
                <w:vertAlign w:val="superscript"/>
              </w:rPr>
              <w:t>2</w:t>
            </w:r>
            <w:r>
              <w:rPr>
                <w:rFonts w:hint="eastAsia"/>
                <w:szCs w:val="21"/>
              </w:rPr>
              <w:t>，根据现场调查与主体设计资料，现场部分植被已被破坏，有1.44hm</w:t>
            </w:r>
            <w:r>
              <w:rPr>
                <w:rFonts w:hint="eastAsia"/>
                <w:szCs w:val="21"/>
                <w:vertAlign w:val="superscript"/>
              </w:rPr>
              <w:t>2</w:t>
            </w:r>
            <w:r>
              <w:rPr>
                <w:rFonts w:hint="eastAsia"/>
                <w:szCs w:val="21"/>
              </w:rPr>
              <w:t>林地和草地不具备剥离价值，因此实际可剥离面积为0.52hm</w:t>
            </w:r>
            <w:r>
              <w:rPr>
                <w:rFonts w:hint="eastAsia"/>
                <w:szCs w:val="21"/>
                <w:vertAlign w:val="superscript"/>
              </w:rPr>
              <w:t>2</w:t>
            </w:r>
            <w:r>
              <w:rPr>
                <w:rFonts w:hint="eastAsia"/>
                <w:szCs w:val="21"/>
              </w:rPr>
              <w:t>，剥离厚度0.20m，剥离表土共0.10万m</w:t>
            </w:r>
            <w:r>
              <w:rPr>
                <w:rFonts w:hint="eastAsia"/>
                <w:szCs w:val="21"/>
                <w:vertAlign w:val="superscript"/>
              </w:rPr>
              <w:t>3</w:t>
            </w:r>
            <w:r>
              <w:rPr>
                <w:rFonts w:hint="eastAsia"/>
                <w:szCs w:val="21"/>
              </w:rPr>
              <w:t>，剥离的表土装入编织袋临时堆放于项目红线范围内空闲区域，后期用于绿化区域覆土。</w:t>
            </w:r>
          </w:p>
          <w:p w14:paraId="08A804BA">
            <w:pPr>
              <w:pStyle w:val="15"/>
              <w:keepNext/>
              <w:spacing w:line="500" w:lineRule="exact"/>
              <w:ind w:firstLine="420"/>
              <w:jc w:val="center"/>
              <w:rPr>
                <w:rFonts w:ascii="Times New Roman" w:hAnsi="Times New Roman" w:eastAsia="宋体"/>
                <w:b/>
                <w:bCs/>
                <w:sz w:val="21"/>
                <w:szCs w:val="21"/>
              </w:rPr>
            </w:pPr>
            <w:r>
              <w:rPr>
                <w:rFonts w:hint="eastAsia" w:ascii="Times New Roman" w:hAnsi="Times New Roman" w:eastAsia="宋体"/>
                <w:b/>
                <w:bCs/>
                <w:sz w:val="21"/>
                <w:szCs w:val="21"/>
              </w:rPr>
              <w:t>表2</w:t>
            </w:r>
            <w:r>
              <w:rPr>
                <w:rFonts w:ascii="Times New Roman" w:hAnsi="Times New Roman" w:eastAsia="宋体"/>
                <w:b/>
                <w:bCs/>
                <w:sz w:val="21"/>
                <w:szCs w:val="21"/>
              </w:rPr>
              <w:t>-</w:t>
            </w:r>
            <w:r>
              <w:rPr>
                <w:rFonts w:hint="eastAsia" w:ascii="Times New Roman" w:hAnsi="Times New Roman" w:eastAsia="宋体"/>
                <w:b/>
                <w:bCs/>
                <w:sz w:val="21"/>
                <w:szCs w:val="21"/>
              </w:rPr>
              <w:t>4</w:t>
            </w:r>
            <w:r>
              <w:rPr>
                <w:rFonts w:ascii="Times New Roman" w:hAnsi="Times New Roman" w:eastAsia="宋体"/>
                <w:b/>
                <w:bCs/>
                <w:sz w:val="21"/>
                <w:szCs w:val="21"/>
              </w:rPr>
              <w:t xml:space="preserve">  </w:t>
            </w:r>
            <w:r>
              <w:rPr>
                <w:rFonts w:hint="eastAsia" w:ascii="Times New Roman" w:hAnsi="Times New Roman" w:eastAsia="宋体"/>
                <w:b/>
                <w:bCs/>
                <w:sz w:val="21"/>
                <w:szCs w:val="21"/>
              </w:rPr>
              <w:t xml:space="preserve">表土平衡表  </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1391"/>
              <w:gridCol w:w="1391"/>
              <w:gridCol w:w="1392"/>
              <w:gridCol w:w="1392"/>
              <w:gridCol w:w="1392"/>
              <w:gridCol w:w="1394"/>
            </w:tblGrid>
            <w:tr w14:paraId="1E2AA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tcBorders>
                    <w:top w:val="single" w:color="auto" w:sz="18" w:space="0"/>
                  </w:tcBorders>
                  <w:shd w:val="clear" w:color="auto" w:fill="auto"/>
                  <w:vAlign w:val="center"/>
                </w:tcPr>
                <w:p w14:paraId="0B83A513">
                  <w:pPr>
                    <w:jc w:val="center"/>
                    <w:rPr>
                      <w:b/>
                      <w:bCs/>
                      <w:szCs w:val="21"/>
                    </w:rPr>
                  </w:pPr>
                  <w:r>
                    <w:rPr>
                      <w:rFonts w:hint="eastAsia"/>
                      <w:b/>
                      <w:bCs/>
                      <w:szCs w:val="21"/>
                    </w:rPr>
                    <w:t>分区</w:t>
                  </w:r>
                </w:p>
              </w:tc>
              <w:tc>
                <w:tcPr>
                  <w:tcW w:w="714" w:type="pct"/>
                  <w:tcBorders>
                    <w:top w:val="single" w:color="auto" w:sz="18" w:space="0"/>
                  </w:tcBorders>
                  <w:shd w:val="clear" w:color="auto" w:fill="auto"/>
                  <w:vAlign w:val="center"/>
                </w:tcPr>
                <w:p w14:paraId="0CFE6393">
                  <w:pPr>
                    <w:jc w:val="center"/>
                    <w:rPr>
                      <w:b/>
                      <w:bCs/>
                      <w:szCs w:val="21"/>
                    </w:rPr>
                  </w:pPr>
                  <w:r>
                    <w:rPr>
                      <w:rFonts w:hint="eastAsia"/>
                      <w:b/>
                      <w:bCs/>
                      <w:szCs w:val="21"/>
                    </w:rPr>
                    <w:t>现状可剥离面积（</w:t>
                  </w:r>
                  <w:r>
                    <w:rPr>
                      <w:b/>
                      <w:bCs/>
                      <w:szCs w:val="21"/>
                    </w:rPr>
                    <w:t>hm²</w:t>
                  </w:r>
                  <w:r>
                    <w:rPr>
                      <w:rFonts w:hint="eastAsia"/>
                      <w:b/>
                      <w:bCs/>
                      <w:szCs w:val="21"/>
                    </w:rPr>
                    <w:t>）</w:t>
                  </w:r>
                </w:p>
              </w:tc>
              <w:tc>
                <w:tcPr>
                  <w:tcW w:w="714" w:type="pct"/>
                  <w:tcBorders>
                    <w:top w:val="single" w:color="auto" w:sz="18" w:space="0"/>
                  </w:tcBorders>
                  <w:shd w:val="clear" w:color="auto" w:fill="auto"/>
                  <w:vAlign w:val="center"/>
                </w:tcPr>
                <w:p w14:paraId="0CFA97BA">
                  <w:pPr>
                    <w:jc w:val="center"/>
                    <w:rPr>
                      <w:b/>
                      <w:bCs/>
                      <w:szCs w:val="21"/>
                    </w:rPr>
                  </w:pPr>
                  <w:r>
                    <w:rPr>
                      <w:rFonts w:hint="eastAsia"/>
                      <w:b/>
                      <w:bCs/>
                      <w:szCs w:val="21"/>
                    </w:rPr>
                    <w:t>剥离厚度</w:t>
                  </w:r>
                </w:p>
                <w:p w14:paraId="5E3A33E8">
                  <w:pPr>
                    <w:jc w:val="center"/>
                    <w:rPr>
                      <w:b/>
                      <w:bCs/>
                      <w:szCs w:val="21"/>
                    </w:rPr>
                  </w:pPr>
                  <w:r>
                    <w:rPr>
                      <w:rFonts w:hint="eastAsia"/>
                      <w:b/>
                      <w:bCs/>
                      <w:szCs w:val="21"/>
                    </w:rPr>
                    <w:t>（m）</w:t>
                  </w:r>
                </w:p>
              </w:tc>
              <w:tc>
                <w:tcPr>
                  <w:tcW w:w="714" w:type="pct"/>
                  <w:tcBorders>
                    <w:top w:val="single" w:color="auto" w:sz="18" w:space="0"/>
                  </w:tcBorders>
                  <w:shd w:val="clear" w:color="auto" w:fill="auto"/>
                  <w:vAlign w:val="center"/>
                </w:tcPr>
                <w:p w14:paraId="6E2ADC58">
                  <w:pPr>
                    <w:jc w:val="center"/>
                    <w:rPr>
                      <w:b/>
                      <w:bCs/>
                      <w:szCs w:val="21"/>
                    </w:rPr>
                  </w:pPr>
                  <w:r>
                    <w:rPr>
                      <w:rFonts w:hint="eastAsia"/>
                      <w:b/>
                      <w:bCs/>
                      <w:szCs w:val="21"/>
                    </w:rPr>
                    <w:t>剥离表土量</w:t>
                  </w:r>
                </w:p>
                <w:p w14:paraId="10D4F24E">
                  <w:pPr>
                    <w:jc w:val="center"/>
                    <w:rPr>
                      <w:b/>
                      <w:bCs/>
                      <w:szCs w:val="21"/>
                    </w:rPr>
                  </w:pPr>
                  <w:r>
                    <w:rPr>
                      <w:rFonts w:hint="eastAsia"/>
                      <w:b/>
                      <w:bCs/>
                      <w:szCs w:val="21"/>
                    </w:rPr>
                    <w:t>（万 m³）</w:t>
                  </w:r>
                </w:p>
              </w:tc>
              <w:tc>
                <w:tcPr>
                  <w:tcW w:w="714" w:type="pct"/>
                  <w:tcBorders>
                    <w:top w:val="single" w:color="auto" w:sz="18" w:space="0"/>
                  </w:tcBorders>
                  <w:shd w:val="clear" w:color="auto" w:fill="auto"/>
                  <w:vAlign w:val="center"/>
                </w:tcPr>
                <w:p w14:paraId="28606BF7">
                  <w:pPr>
                    <w:jc w:val="center"/>
                    <w:rPr>
                      <w:b/>
                      <w:bCs/>
                      <w:szCs w:val="21"/>
                    </w:rPr>
                  </w:pPr>
                  <w:r>
                    <w:rPr>
                      <w:rFonts w:hint="eastAsia"/>
                      <w:b/>
                      <w:bCs/>
                      <w:szCs w:val="21"/>
                    </w:rPr>
                    <w:t>回覆面积</w:t>
                  </w:r>
                </w:p>
                <w:p w14:paraId="7F86AEE1">
                  <w:pPr>
                    <w:jc w:val="center"/>
                    <w:rPr>
                      <w:b/>
                      <w:bCs/>
                      <w:szCs w:val="21"/>
                    </w:rPr>
                  </w:pPr>
                  <w:r>
                    <w:rPr>
                      <w:rFonts w:hint="eastAsia"/>
                      <w:b/>
                      <w:bCs/>
                      <w:szCs w:val="21"/>
                    </w:rPr>
                    <w:t>（</w:t>
                  </w:r>
                  <w:r>
                    <w:rPr>
                      <w:b/>
                      <w:bCs/>
                      <w:szCs w:val="21"/>
                    </w:rPr>
                    <w:t xml:space="preserve"> hm²</w:t>
                  </w:r>
                  <w:r>
                    <w:rPr>
                      <w:rFonts w:hint="eastAsia"/>
                      <w:b/>
                      <w:bCs/>
                      <w:szCs w:val="21"/>
                    </w:rPr>
                    <w:t>）</w:t>
                  </w:r>
                </w:p>
              </w:tc>
              <w:tc>
                <w:tcPr>
                  <w:tcW w:w="714" w:type="pct"/>
                  <w:tcBorders>
                    <w:top w:val="single" w:color="auto" w:sz="18" w:space="0"/>
                  </w:tcBorders>
                  <w:shd w:val="clear" w:color="auto" w:fill="auto"/>
                  <w:vAlign w:val="center"/>
                </w:tcPr>
                <w:p w14:paraId="100DB2B0">
                  <w:pPr>
                    <w:jc w:val="center"/>
                    <w:rPr>
                      <w:b/>
                      <w:bCs/>
                      <w:szCs w:val="21"/>
                    </w:rPr>
                  </w:pPr>
                  <w:r>
                    <w:rPr>
                      <w:rFonts w:hint="eastAsia"/>
                      <w:b/>
                      <w:bCs/>
                      <w:szCs w:val="21"/>
                    </w:rPr>
                    <w:t>回覆厚度</w:t>
                  </w:r>
                </w:p>
                <w:p w14:paraId="73B81496">
                  <w:pPr>
                    <w:jc w:val="center"/>
                    <w:rPr>
                      <w:b/>
                      <w:bCs/>
                      <w:szCs w:val="21"/>
                    </w:rPr>
                  </w:pPr>
                  <w:r>
                    <w:rPr>
                      <w:rFonts w:hint="eastAsia"/>
                      <w:b/>
                      <w:bCs/>
                      <w:szCs w:val="21"/>
                    </w:rPr>
                    <w:t>（m）</w:t>
                  </w:r>
                </w:p>
              </w:tc>
              <w:tc>
                <w:tcPr>
                  <w:tcW w:w="715" w:type="pct"/>
                  <w:tcBorders>
                    <w:top w:val="single" w:color="auto" w:sz="18" w:space="0"/>
                  </w:tcBorders>
                  <w:shd w:val="clear" w:color="auto" w:fill="auto"/>
                  <w:vAlign w:val="center"/>
                </w:tcPr>
                <w:p w14:paraId="769487F8">
                  <w:pPr>
                    <w:jc w:val="center"/>
                    <w:rPr>
                      <w:b/>
                      <w:bCs/>
                      <w:szCs w:val="21"/>
                    </w:rPr>
                  </w:pPr>
                  <w:r>
                    <w:rPr>
                      <w:rFonts w:hint="eastAsia"/>
                      <w:b/>
                      <w:bCs/>
                      <w:szCs w:val="21"/>
                    </w:rPr>
                    <w:t>回覆表土量</w:t>
                  </w:r>
                </w:p>
                <w:p w14:paraId="7DDEE014">
                  <w:pPr>
                    <w:jc w:val="center"/>
                    <w:rPr>
                      <w:b/>
                      <w:bCs/>
                      <w:szCs w:val="21"/>
                    </w:rPr>
                  </w:pPr>
                  <w:r>
                    <w:rPr>
                      <w:rFonts w:hint="eastAsia"/>
                      <w:b/>
                      <w:bCs/>
                      <w:szCs w:val="21"/>
                    </w:rPr>
                    <w:t>（万 m³）</w:t>
                  </w:r>
                </w:p>
              </w:tc>
            </w:tr>
            <w:tr w14:paraId="711FD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7B6472D9">
                  <w:pPr>
                    <w:jc w:val="center"/>
                    <w:rPr>
                      <w:szCs w:val="21"/>
                    </w:rPr>
                  </w:pPr>
                  <w:r>
                    <w:rPr>
                      <w:rFonts w:hint="eastAsia"/>
                      <w:szCs w:val="21"/>
                    </w:rPr>
                    <w:t>路面工程区</w:t>
                  </w:r>
                </w:p>
              </w:tc>
              <w:tc>
                <w:tcPr>
                  <w:tcW w:w="714" w:type="pct"/>
                  <w:shd w:val="clear" w:color="auto" w:fill="auto"/>
                  <w:vAlign w:val="center"/>
                </w:tcPr>
                <w:p w14:paraId="65449269">
                  <w:pPr>
                    <w:jc w:val="center"/>
                    <w:rPr>
                      <w:szCs w:val="21"/>
                    </w:rPr>
                  </w:pPr>
                  <w:r>
                    <w:rPr>
                      <w:rFonts w:hint="eastAsia"/>
                      <w:szCs w:val="21"/>
                    </w:rPr>
                    <w:t>0.16</w:t>
                  </w:r>
                </w:p>
              </w:tc>
              <w:tc>
                <w:tcPr>
                  <w:tcW w:w="714" w:type="pct"/>
                  <w:shd w:val="clear" w:color="auto" w:fill="auto"/>
                  <w:vAlign w:val="center"/>
                </w:tcPr>
                <w:p w14:paraId="5529318A">
                  <w:pPr>
                    <w:jc w:val="center"/>
                    <w:rPr>
                      <w:szCs w:val="21"/>
                    </w:rPr>
                  </w:pPr>
                  <w:r>
                    <w:rPr>
                      <w:rFonts w:hint="eastAsia"/>
                      <w:szCs w:val="21"/>
                    </w:rPr>
                    <w:t>0.20</w:t>
                  </w:r>
                </w:p>
              </w:tc>
              <w:tc>
                <w:tcPr>
                  <w:tcW w:w="714" w:type="pct"/>
                  <w:shd w:val="clear" w:color="auto" w:fill="auto"/>
                  <w:vAlign w:val="center"/>
                </w:tcPr>
                <w:p w14:paraId="4ACCF46E">
                  <w:pPr>
                    <w:jc w:val="center"/>
                    <w:rPr>
                      <w:szCs w:val="21"/>
                    </w:rPr>
                  </w:pPr>
                  <w:r>
                    <w:rPr>
                      <w:rFonts w:hint="eastAsia"/>
                      <w:szCs w:val="21"/>
                    </w:rPr>
                    <w:t>0.03</w:t>
                  </w:r>
                </w:p>
              </w:tc>
              <w:tc>
                <w:tcPr>
                  <w:tcW w:w="714" w:type="pct"/>
                  <w:shd w:val="clear" w:color="auto" w:fill="auto"/>
                  <w:vAlign w:val="center"/>
                </w:tcPr>
                <w:p w14:paraId="0625E37D">
                  <w:pPr>
                    <w:jc w:val="center"/>
                    <w:rPr>
                      <w:szCs w:val="21"/>
                    </w:rPr>
                  </w:pPr>
                  <w:r>
                    <w:rPr>
                      <w:rFonts w:hint="eastAsia"/>
                      <w:szCs w:val="21"/>
                    </w:rPr>
                    <w:t>0.09</w:t>
                  </w:r>
                </w:p>
              </w:tc>
              <w:tc>
                <w:tcPr>
                  <w:tcW w:w="714" w:type="pct"/>
                  <w:shd w:val="clear" w:color="auto" w:fill="auto"/>
                  <w:vAlign w:val="center"/>
                </w:tcPr>
                <w:p w14:paraId="4A9EC1DA">
                  <w:pPr>
                    <w:jc w:val="center"/>
                    <w:rPr>
                      <w:szCs w:val="21"/>
                    </w:rPr>
                  </w:pPr>
                  <w:r>
                    <w:rPr>
                      <w:rFonts w:hint="eastAsia"/>
                      <w:szCs w:val="21"/>
                    </w:rPr>
                    <w:t>0.50</w:t>
                  </w:r>
                </w:p>
              </w:tc>
              <w:tc>
                <w:tcPr>
                  <w:tcW w:w="715" w:type="pct"/>
                  <w:shd w:val="clear" w:color="auto" w:fill="auto"/>
                  <w:vAlign w:val="center"/>
                </w:tcPr>
                <w:p w14:paraId="147B8D7D">
                  <w:pPr>
                    <w:jc w:val="center"/>
                    <w:rPr>
                      <w:szCs w:val="21"/>
                    </w:rPr>
                  </w:pPr>
                  <w:r>
                    <w:rPr>
                      <w:rFonts w:hint="eastAsia"/>
                      <w:szCs w:val="21"/>
                    </w:rPr>
                    <w:t>0.05</w:t>
                  </w:r>
                </w:p>
              </w:tc>
            </w:tr>
            <w:tr w14:paraId="4F2F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151C8BAE">
                  <w:pPr>
                    <w:jc w:val="center"/>
                    <w:rPr>
                      <w:szCs w:val="21"/>
                    </w:rPr>
                  </w:pPr>
                  <w:r>
                    <w:rPr>
                      <w:rFonts w:hint="eastAsia"/>
                      <w:szCs w:val="21"/>
                    </w:rPr>
                    <w:t>人行道路区</w:t>
                  </w:r>
                </w:p>
              </w:tc>
              <w:tc>
                <w:tcPr>
                  <w:tcW w:w="714" w:type="pct"/>
                  <w:shd w:val="clear" w:color="auto" w:fill="auto"/>
                  <w:vAlign w:val="center"/>
                </w:tcPr>
                <w:p w14:paraId="15643629">
                  <w:pPr>
                    <w:jc w:val="center"/>
                    <w:rPr>
                      <w:szCs w:val="21"/>
                    </w:rPr>
                  </w:pPr>
                  <w:r>
                    <w:rPr>
                      <w:rFonts w:hint="eastAsia"/>
                      <w:szCs w:val="21"/>
                    </w:rPr>
                    <w:t>0.06</w:t>
                  </w:r>
                </w:p>
              </w:tc>
              <w:tc>
                <w:tcPr>
                  <w:tcW w:w="714" w:type="pct"/>
                  <w:shd w:val="clear" w:color="auto" w:fill="auto"/>
                  <w:vAlign w:val="center"/>
                </w:tcPr>
                <w:p w14:paraId="64EF171C">
                  <w:pPr>
                    <w:jc w:val="center"/>
                    <w:rPr>
                      <w:szCs w:val="21"/>
                    </w:rPr>
                  </w:pPr>
                  <w:r>
                    <w:rPr>
                      <w:rFonts w:hint="eastAsia"/>
                      <w:szCs w:val="21"/>
                    </w:rPr>
                    <w:t>0.20</w:t>
                  </w:r>
                </w:p>
              </w:tc>
              <w:tc>
                <w:tcPr>
                  <w:tcW w:w="714" w:type="pct"/>
                  <w:shd w:val="clear" w:color="auto" w:fill="auto"/>
                  <w:vAlign w:val="center"/>
                </w:tcPr>
                <w:p w14:paraId="350DCC71">
                  <w:pPr>
                    <w:jc w:val="center"/>
                    <w:rPr>
                      <w:szCs w:val="21"/>
                    </w:rPr>
                  </w:pPr>
                  <w:r>
                    <w:rPr>
                      <w:rFonts w:hint="eastAsia"/>
                      <w:szCs w:val="21"/>
                    </w:rPr>
                    <w:t>0.01</w:t>
                  </w:r>
                </w:p>
              </w:tc>
              <w:tc>
                <w:tcPr>
                  <w:tcW w:w="714" w:type="pct"/>
                  <w:shd w:val="clear" w:color="auto" w:fill="auto"/>
                  <w:vAlign w:val="center"/>
                </w:tcPr>
                <w:p w14:paraId="033728B7">
                  <w:pPr>
                    <w:jc w:val="center"/>
                    <w:rPr>
                      <w:szCs w:val="21"/>
                    </w:rPr>
                  </w:pPr>
                  <w:r>
                    <w:rPr>
                      <w:rFonts w:hint="eastAsia"/>
                      <w:b/>
                      <w:bCs/>
                      <w:szCs w:val="21"/>
                    </w:rPr>
                    <w:t>/</w:t>
                  </w:r>
                </w:p>
              </w:tc>
              <w:tc>
                <w:tcPr>
                  <w:tcW w:w="714" w:type="pct"/>
                  <w:shd w:val="clear" w:color="auto" w:fill="auto"/>
                  <w:vAlign w:val="center"/>
                </w:tcPr>
                <w:p w14:paraId="460C05C7">
                  <w:pPr>
                    <w:jc w:val="center"/>
                    <w:rPr>
                      <w:szCs w:val="21"/>
                    </w:rPr>
                  </w:pPr>
                  <w:r>
                    <w:rPr>
                      <w:rFonts w:hint="eastAsia"/>
                      <w:b/>
                      <w:bCs/>
                      <w:szCs w:val="21"/>
                    </w:rPr>
                    <w:t>/</w:t>
                  </w:r>
                </w:p>
              </w:tc>
              <w:tc>
                <w:tcPr>
                  <w:tcW w:w="715" w:type="pct"/>
                  <w:shd w:val="clear" w:color="auto" w:fill="auto"/>
                  <w:vAlign w:val="center"/>
                </w:tcPr>
                <w:p w14:paraId="27567615">
                  <w:pPr>
                    <w:jc w:val="center"/>
                    <w:rPr>
                      <w:szCs w:val="21"/>
                    </w:rPr>
                  </w:pPr>
                  <w:r>
                    <w:rPr>
                      <w:rFonts w:hint="eastAsia"/>
                      <w:b/>
                      <w:bCs/>
                      <w:szCs w:val="21"/>
                    </w:rPr>
                    <w:t>/</w:t>
                  </w:r>
                </w:p>
              </w:tc>
            </w:tr>
            <w:tr w14:paraId="65CBE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79CE8CAE">
                  <w:pPr>
                    <w:jc w:val="center"/>
                    <w:rPr>
                      <w:szCs w:val="21"/>
                    </w:rPr>
                  </w:pPr>
                  <w:r>
                    <w:rPr>
                      <w:rFonts w:hint="eastAsia"/>
                      <w:szCs w:val="21"/>
                    </w:rPr>
                    <w:t>挖方边坡区</w:t>
                  </w:r>
                </w:p>
              </w:tc>
              <w:tc>
                <w:tcPr>
                  <w:tcW w:w="714" w:type="pct"/>
                  <w:shd w:val="clear" w:color="auto" w:fill="auto"/>
                  <w:vAlign w:val="center"/>
                </w:tcPr>
                <w:p w14:paraId="7F81FAE3">
                  <w:pPr>
                    <w:jc w:val="center"/>
                    <w:rPr>
                      <w:szCs w:val="21"/>
                    </w:rPr>
                  </w:pPr>
                  <w:r>
                    <w:rPr>
                      <w:rFonts w:hint="eastAsia"/>
                      <w:szCs w:val="21"/>
                    </w:rPr>
                    <w:t>0.17</w:t>
                  </w:r>
                </w:p>
              </w:tc>
              <w:tc>
                <w:tcPr>
                  <w:tcW w:w="714" w:type="pct"/>
                  <w:shd w:val="clear" w:color="auto" w:fill="auto"/>
                  <w:vAlign w:val="center"/>
                </w:tcPr>
                <w:p w14:paraId="2717248F">
                  <w:pPr>
                    <w:jc w:val="center"/>
                    <w:rPr>
                      <w:szCs w:val="21"/>
                    </w:rPr>
                  </w:pPr>
                  <w:r>
                    <w:rPr>
                      <w:rFonts w:hint="eastAsia"/>
                      <w:szCs w:val="21"/>
                    </w:rPr>
                    <w:t>0.20</w:t>
                  </w:r>
                </w:p>
              </w:tc>
              <w:tc>
                <w:tcPr>
                  <w:tcW w:w="714" w:type="pct"/>
                  <w:shd w:val="clear" w:color="auto" w:fill="auto"/>
                  <w:vAlign w:val="center"/>
                </w:tcPr>
                <w:p w14:paraId="6AD95D7E">
                  <w:pPr>
                    <w:jc w:val="center"/>
                    <w:rPr>
                      <w:szCs w:val="21"/>
                    </w:rPr>
                  </w:pPr>
                  <w:r>
                    <w:rPr>
                      <w:rFonts w:hint="eastAsia"/>
                      <w:szCs w:val="21"/>
                    </w:rPr>
                    <w:t>0.03</w:t>
                  </w:r>
                </w:p>
              </w:tc>
              <w:tc>
                <w:tcPr>
                  <w:tcW w:w="714" w:type="pct"/>
                  <w:shd w:val="clear" w:color="auto" w:fill="auto"/>
                  <w:vAlign w:val="center"/>
                </w:tcPr>
                <w:p w14:paraId="3E62EFAC">
                  <w:pPr>
                    <w:jc w:val="center"/>
                    <w:rPr>
                      <w:szCs w:val="21"/>
                    </w:rPr>
                  </w:pPr>
                  <w:r>
                    <w:rPr>
                      <w:rFonts w:hint="eastAsia"/>
                      <w:b/>
                      <w:bCs/>
                      <w:szCs w:val="21"/>
                    </w:rPr>
                    <w:t>/</w:t>
                  </w:r>
                </w:p>
              </w:tc>
              <w:tc>
                <w:tcPr>
                  <w:tcW w:w="714" w:type="pct"/>
                  <w:shd w:val="clear" w:color="auto" w:fill="auto"/>
                  <w:vAlign w:val="center"/>
                </w:tcPr>
                <w:p w14:paraId="2E98B55A">
                  <w:pPr>
                    <w:jc w:val="center"/>
                    <w:rPr>
                      <w:b/>
                      <w:bCs/>
                      <w:szCs w:val="21"/>
                    </w:rPr>
                  </w:pPr>
                  <w:r>
                    <w:rPr>
                      <w:rFonts w:hint="eastAsia"/>
                      <w:b/>
                      <w:bCs/>
                      <w:szCs w:val="21"/>
                    </w:rPr>
                    <w:t>/</w:t>
                  </w:r>
                </w:p>
              </w:tc>
              <w:tc>
                <w:tcPr>
                  <w:tcW w:w="715" w:type="pct"/>
                  <w:shd w:val="clear" w:color="auto" w:fill="auto"/>
                  <w:vAlign w:val="center"/>
                </w:tcPr>
                <w:p w14:paraId="2147D516">
                  <w:pPr>
                    <w:jc w:val="center"/>
                    <w:rPr>
                      <w:szCs w:val="21"/>
                    </w:rPr>
                  </w:pPr>
                  <w:r>
                    <w:rPr>
                      <w:rFonts w:hint="eastAsia"/>
                      <w:b/>
                      <w:bCs/>
                      <w:szCs w:val="21"/>
                    </w:rPr>
                    <w:t>/</w:t>
                  </w:r>
                </w:p>
              </w:tc>
            </w:tr>
            <w:tr w14:paraId="4FFCA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shd w:val="clear" w:color="auto" w:fill="auto"/>
                  <w:vAlign w:val="center"/>
                </w:tcPr>
                <w:p w14:paraId="08C1DCB0">
                  <w:pPr>
                    <w:jc w:val="center"/>
                    <w:rPr>
                      <w:szCs w:val="21"/>
                    </w:rPr>
                  </w:pPr>
                  <w:r>
                    <w:rPr>
                      <w:rFonts w:hint="eastAsia"/>
                      <w:szCs w:val="21"/>
                    </w:rPr>
                    <w:t>填方边坡区</w:t>
                  </w:r>
                </w:p>
              </w:tc>
              <w:tc>
                <w:tcPr>
                  <w:tcW w:w="714" w:type="pct"/>
                  <w:shd w:val="clear" w:color="auto" w:fill="auto"/>
                  <w:vAlign w:val="center"/>
                </w:tcPr>
                <w:p w14:paraId="46711789">
                  <w:pPr>
                    <w:jc w:val="center"/>
                    <w:rPr>
                      <w:szCs w:val="21"/>
                    </w:rPr>
                  </w:pPr>
                  <w:r>
                    <w:rPr>
                      <w:rFonts w:hint="eastAsia"/>
                      <w:szCs w:val="21"/>
                    </w:rPr>
                    <w:t>0.13</w:t>
                  </w:r>
                </w:p>
              </w:tc>
              <w:tc>
                <w:tcPr>
                  <w:tcW w:w="714" w:type="pct"/>
                  <w:shd w:val="clear" w:color="auto" w:fill="auto"/>
                  <w:vAlign w:val="center"/>
                </w:tcPr>
                <w:p w14:paraId="446C5198">
                  <w:pPr>
                    <w:jc w:val="center"/>
                    <w:rPr>
                      <w:szCs w:val="21"/>
                    </w:rPr>
                  </w:pPr>
                  <w:r>
                    <w:rPr>
                      <w:rFonts w:hint="eastAsia"/>
                      <w:szCs w:val="21"/>
                    </w:rPr>
                    <w:t>0.20</w:t>
                  </w:r>
                </w:p>
              </w:tc>
              <w:tc>
                <w:tcPr>
                  <w:tcW w:w="714" w:type="pct"/>
                  <w:shd w:val="clear" w:color="auto" w:fill="auto"/>
                  <w:vAlign w:val="center"/>
                </w:tcPr>
                <w:p w14:paraId="665189D7">
                  <w:pPr>
                    <w:jc w:val="center"/>
                    <w:rPr>
                      <w:szCs w:val="21"/>
                    </w:rPr>
                  </w:pPr>
                  <w:r>
                    <w:rPr>
                      <w:rFonts w:hint="eastAsia"/>
                      <w:szCs w:val="21"/>
                    </w:rPr>
                    <w:t>0.03</w:t>
                  </w:r>
                </w:p>
              </w:tc>
              <w:tc>
                <w:tcPr>
                  <w:tcW w:w="714" w:type="pct"/>
                  <w:shd w:val="clear" w:color="auto" w:fill="auto"/>
                  <w:vAlign w:val="center"/>
                </w:tcPr>
                <w:p w14:paraId="47AEF327">
                  <w:pPr>
                    <w:jc w:val="center"/>
                    <w:rPr>
                      <w:szCs w:val="21"/>
                    </w:rPr>
                  </w:pPr>
                  <w:r>
                    <w:rPr>
                      <w:rFonts w:hint="eastAsia"/>
                      <w:szCs w:val="21"/>
                    </w:rPr>
                    <w:t>0.18</w:t>
                  </w:r>
                </w:p>
              </w:tc>
              <w:tc>
                <w:tcPr>
                  <w:tcW w:w="714" w:type="pct"/>
                  <w:shd w:val="clear" w:color="auto" w:fill="auto"/>
                  <w:vAlign w:val="center"/>
                </w:tcPr>
                <w:p w14:paraId="7790CF7B">
                  <w:pPr>
                    <w:jc w:val="center"/>
                    <w:rPr>
                      <w:szCs w:val="21"/>
                    </w:rPr>
                  </w:pPr>
                  <w:r>
                    <w:rPr>
                      <w:rFonts w:hint="eastAsia"/>
                      <w:szCs w:val="21"/>
                    </w:rPr>
                    <w:t>0.30</w:t>
                  </w:r>
                </w:p>
              </w:tc>
              <w:tc>
                <w:tcPr>
                  <w:tcW w:w="715" w:type="pct"/>
                  <w:shd w:val="clear" w:color="auto" w:fill="auto"/>
                  <w:vAlign w:val="center"/>
                </w:tcPr>
                <w:p w14:paraId="0C69DC7F">
                  <w:pPr>
                    <w:jc w:val="center"/>
                    <w:rPr>
                      <w:szCs w:val="21"/>
                    </w:rPr>
                  </w:pPr>
                  <w:r>
                    <w:rPr>
                      <w:rFonts w:hint="eastAsia"/>
                      <w:szCs w:val="21"/>
                    </w:rPr>
                    <w:t>0.05</w:t>
                  </w:r>
                </w:p>
              </w:tc>
            </w:tr>
            <w:tr w14:paraId="51FD7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tcBorders>
                    <w:bottom w:val="single" w:color="auto" w:sz="18" w:space="0"/>
                  </w:tcBorders>
                  <w:shd w:val="clear" w:color="auto" w:fill="auto"/>
                  <w:vAlign w:val="center"/>
                </w:tcPr>
                <w:p w14:paraId="562386F1">
                  <w:pPr>
                    <w:jc w:val="center"/>
                    <w:rPr>
                      <w:szCs w:val="21"/>
                    </w:rPr>
                  </w:pPr>
                  <w:r>
                    <w:rPr>
                      <w:rFonts w:hint="eastAsia"/>
                      <w:szCs w:val="21"/>
                    </w:rPr>
                    <w:t>合计</w:t>
                  </w:r>
                </w:p>
              </w:tc>
              <w:tc>
                <w:tcPr>
                  <w:tcW w:w="714" w:type="pct"/>
                  <w:tcBorders>
                    <w:bottom w:val="single" w:color="auto" w:sz="18" w:space="0"/>
                  </w:tcBorders>
                  <w:shd w:val="clear" w:color="auto" w:fill="auto"/>
                  <w:vAlign w:val="center"/>
                </w:tcPr>
                <w:p w14:paraId="3B0D2681">
                  <w:pPr>
                    <w:jc w:val="center"/>
                    <w:rPr>
                      <w:b/>
                      <w:bCs/>
                      <w:szCs w:val="21"/>
                    </w:rPr>
                  </w:pPr>
                  <w:r>
                    <w:rPr>
                      <w:rFonts w:hint="eastAsia"/>
                      <w:b/>
                      <w:bCs/>
                      <w:szCs w:val="21"/>
                    </w:rPr>
                    <w:t>0.52</w:t>
                  </w:r>
                </w:p>
              </w:tc>
              <w:tc>
                <w:tcPr>
                  <w:tcW w:w="714" w:type="pct"/>
                  <w:tcBorders>
                    <w:bottom w:val="single" w:color="auto" w:sz="18" w:space="0"/>
                  </w:tcBorders>
                  <w:shd w:val="clear" w:color="auto" w:fill="auto"/>
                  <w:vAlign w:val="center"/>
                </w:tcPr>
                <w:p w14:paraId="7586551E">
                  <w:pPr>
                    <w:jc w:val="center"/>
                    <w:rPr>
                      <w:b/>
                      <w:bCs/>
                      <w:szCs w:val="21"/>
                    </w:rPr>
                  </w:pPr>
                  <w:r>
                    <w:rPr>
                      <w:rFonts w:hint="eastAsia"/>
                      <w:b/>
                      <w:bCs/>
                      <w:szCs w:val="21"/>
                    </w:rPr>
                    <w:t>/</w:t>
                  </w:r>
                </w:p>
              </w:tc>
              <w:tc>
                <w:tcPr>
                  <w:tcW w:w="714" w:type="pct"/>
                  <w:tcBorders>
                    <w:bottom w:val="single" w:color="auto" w:sz="18" w:space="0"/>
                  </w:tcBorders>
                  <w:shd w:val="clear" w:color="auto" w:fill="auto"/>
                  <w:vAlign w:val="center"/>
                </w:tcPr>
                <w:p w14:paraId="201F5CC0">
                  <w:pPr>
                    <w:jc w:val="center"/>
                    <w:rPr>
                      <w:szCs w:val="21"/>
                    </w:rPr>
                  </w:pPr>
                  <w:r>
                    <w:rPr>
                      <w:rFonts w:hint="eastAsia"/>
                      <w:szCs w:val="21"/>
                    </w:rPr>
                    <w:t>0.10</w:t>
                  </w:r>
                </w:p>
              </w:tc>
              <w:tc>
                <w:tcPr>
                  <w:tcW w:w="714" w:type="pct"/>
                  <w:tcBorders>
                    <w:bottom w:val="single" w:color="auto" w:sz="18" w:space="0"/>
                  </w:tcBorders>
                  <w:shd w:val="clear" w:color="auto" w:fill="auto"/>
                  <w:vAlign w:val="center"/>
                </w:tcPr>
                <w:p w14:paraId="2F3CB67D">
                  <w:pPr>
                    <w:jc w:val="center"/>
                    <w:rPr>
                      <w:szCs w:val="21"/>
                    </w:rPr>
                  </w:pPr>
                  <w:r>
                    <w:rPr>
                      <w:rFonts w:hint="eastAsia"/>
                      <w:szCs w:val="21"/>
                    </w:rPr>
                    <w:t>0.27</w:t>
                  </w:r>
                </w:p>
              </w:tc>
              <w:tc>
                <w:tcPr>
                  <w:tcW w:w="714" w:type="pct"/>
                  <w:tcBorders>
                    <w:bottom w:val="single" w:color="auto" w:sz="18" w:space="0"/>
                  </w:tcBorders>
                  <w:shd w:val="clear" w:color="auto" w:fill="auto"/>
                  <w:vAlign w:val="center"/>
                </w:tcPr>
                <w:p w14:paraId="4AD0F1A6">
                  <w:pPr>
                    <w:jc w:val="center"/>
                    <w:rPr>
                      <w:szCs w:val="21"/>
                    </w:rPr>
                  </w:pPr>
                  <w:r>
                    <w:rPr>
                      <w:rFonts w:hint="eastAsia"/>
                      <w:b/>
                      <w:bCs/>
                      <w:szCs w:val="21"/>
                    </w:rPr>
                    <w:t>/</w:t>
                  </w:r>
                </w:p>
              </w:tc>
              <w:tc>
                <w:tcPr>
                  <w:tcW w:w="715" w:type="pct"/>
                  <w:tcBorders>
                    <w:bottom w:val="single" w:color="auto" w:sz="18" w:space="0"/>
                  </w:tcBorders>
                  <w:shd w:val="clear" w:color="auto" w:fill="auto"/>
                  <w:vAlign w:val="center"/>
                </w:tcPr>
                <w:p w14:paraId="17D66D39">
                  <w:pPr>
                    <w:jc w:val="center"/>
                    <w:rPr>
                      <w:szCs w:val="21"/>
                    </w:rPr>
                  </w:pPr>
                  <w:r>
                    <w:rPr>
                      <w:rFonts w:hint="eastAsia"/>
                      <w:szCs w:val="21"/>
                    </w:rPr>
                    <w:t>0.10</w:t>
                  </w:r>
                </w:p>
              </w:tc>
            </w:tr>
          </w:tbl>
          <w:p w14:paraId="0E938938">
            <w:pPr>
              <w:adjustRightInd w:val="0"/>
              <w:snapToGrid w:val="0"/>
              <w:jc w:val="center"/>
              <w:rPr>
                <w:b/>
                <w:bCs/>
                <w:szCs w:val="21"/>
              </w:rPr>
            </w:pPr>
            <w:r>
              <w:rPr>
                <w:szCs w:val="21"/>
              </w:rPr>
              <w:drawing>
                <wp:inline distT="0" distB="0" distL="0" distR="0">
                  <wp:extent cx="5048250" cy="2338070"/>
                  <wp:effectExtent l="57150" t="57150" r="95250" b="100330"/>
                  <wp:docPr id="7008316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831690" name="图片 1"/>
                          <pic:cNvPicPr>
                            <a:picLocks noChangeAspect="1"/>
                          </pic:cNvPicPr>
                        </pic:nvPicPr>
                        <pic:blipFill>
                          <a:blip r:embed="rId16"/>
                          <a:stretch>
                            <a:fillRect/>
                          </a:stretch>
                        </pic:blipFill>
                        <pic:spPr>
                          <a:xfrm>
                            <a:off x="0" y="0"/>
                            <a:ext cx="5070062" cy="2348266"/>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7140B451">
            <w:pPr>
              <w:spacing w:line="500" w:lineRule="exact"/>
              <w:jc w:val="center"/>
              <w:rPr>
                <w:szCs w:val="21"/>
              </w:rPr>
            </w:pPr>
            <w:r>
              <w:rPr>
                <w:rFonts w:hint="eastAsia"/>
                <w:b/>
                <w:bCs/>
                <w:szCs w:val="21"/>
              </w:rPr>
              <w:t>图</w:t>
            </w:r>
            <w:r>
              <w:rPr>
                <w:b/>
                <w:bCs/>
                <w:szCs w:val="21"/>
              </w:rPr>
              <w:t>2-</w:t>
            </w:r>
            <w:r>
              <w:rPr>
                <w:rFonts w:hint="eastAsia"/>
                <w:b/>
                <w:bCs/>
                <w:szCs w:val="21"/>
              </w:rPr>
              <w:t>8</w:t>
            </w:r>
            <w:r>
              <w:rPr>
                <w:b/>
                <w:bCs/>
                <w:szCs w:val="21"/>
              </w:rPr>
              <w:t xml:space="preserve"> </w:t>
            </w:r>
            <w:r>
              <w:rPr>
                <w:rFonts w:hint="eastAsia"/>
                <w:b/>
                <w:bCs/>
                <w:szCs w:val="21"/>
              </w:rPr>
              <w:t xml:space="preserve"> 表土流向图</w:t>
            </w:r>
          </w:p>
          <w:p w14:paraId="7B740E8F">
            <w:pPr>
              <w:adjustRightInd w:val="0"/>
              <w:snapToGrid w:val="0"/>
              <w:spacing w:line="500" w:lineRule="exact"/>
              <w:ind w:firstLine="422" w:firstLineChars="200"/>
              <w:jc w:val="left"/>
              <w:rPr>
                <w:b/>
                <w:bCs/>
                <w:szCs w:val="21"/>
              </w:rPr>
            </w:pPr>
            <w:r>
              <w:rPr>
                <w:rFonts w:hint="eastAsia"/>
                <w:b/>
                <w:bCs/>
                <w:szCs w:val="21"/>
              </w:rPr>
              <w:t>2、一般土石方平衡</w:t>
            </w:r>
          </w:p>
          <w:p w14:paraId="0055E535">
            <w:pPr>
              <w:adjustRightInd w:val="0"/>
              <w:snapToGrid w:val="0"/>
              <w:spacing w:line="500" w:lineRule="exact"/>
              <w:ind w:firstLine="422" w:firstLineChars="200"/>
              <w:rPr>
                <w:b/>
                <w:bCs/>
                <w:szCs w:val="21"/>
              </w:rPr>
            </w:pPr>
            <w:r>
              <w:rPr>
                <w:rFonts w:hint="eastAsia"/>
                <w:b/>
                <w:bCs/>
                <w:szCs w:val="21"/>
              </w:rPr>
              <w:t>（1）拆除工程</w:t>
            </w:r>
          </w:p>
          <w:p w14:paraId="7969895D">
            <w:pPr>
              <w:adjustRightInd w:val="0"/>
              <w:snapToGrid w:val="0"/>
              <w:spacing w:line="500" w:lineRule="exact"/>
              <w:ind w:firstLine="420" w:firstLineChars="200"/>
              <w:rPr>
                <w:szCs w:val="21"/>
              </w:rPr>
            </w:pPr>
            <w:r>
              <w:rPr>
                <w:rFonts w:hint="eastAsia"/>
                <w:szCs w:val="21"/>
              </w:rPr>
              <w:t>①水泥砼路面及围墙拆除</w:t>
            </w:r>
          </w:p>
          <w:p w14:paraId="2D641C81">
            <w:pPr>
              <w:adjustRightInd w:val="0"/>
              <w:snapToGrid w:val="0"/>
              <w:spacing w:line="500" w:lineRule="exact"/>
              <w:ind w:firstLine="420" w:firstLineChars="200"/>
              <w:rPr>
                <w:szCs w:val="21"/>
              </w:rPr>
            </w:pPr>
            <w:r>
              <w:rPr>
                <w:rFonts w:hint="eastAsia"/>
                <w:szCs w:val="21"/>
              </w:rPr>
              <w:t>根据主体设计资料，本工程需破除现状水泥砼路面约81m</w:t>
            </w:r>
            <w:r>
              <w:rPr>
                <w:rFonts w:hint="eastAsia"/>
                <w:szCs w:val="21"/>
                <w:vertAlign w:val="superscript"/>
              </w:rPr>
              <w:t>2</w:t>
            </w:r>
            <w:r>
              <w:rPr>
                <w:rFonts w:hint="eastAsia"/>
                <w:szCs w:val="21"/>
              </w:rPr>
              <w:t>，拆除围墙约57m产生建筑垃圾约0.01万m</w:t>
            </w:r>
            <w:r>
              <w:rPr>
                <w:rFonts w:hint="eastAsia"/>
                <w:szCs w:val="21"/>
                <w:vertAlign w:val="superscript"/>
              </w:rPr>
              <w:t>3</w:t>
            </w:r>
            <w:r>
              <w:rPr>
                <w:rFonts w:hint="eastAsia"/>
                <w:szCs w:val="21"/>
              </w:rPr>
              <w:t>，均运至博罗县2013年度第72、73批次县储备用地（详见</w:t>
            </w:r>
            <w:r>
              <w:rPr>
                <w:rFonts w:hint="eastAsia"/>
                <w:b/>
                <w:bCs/>
                <w:szCs w:val="21"/>
              </w:rPr>
              <w:t>附图10，附件9</w:t>
            </w:r>
            <w:r>
              <w:rPr>
                <w:rFonts w:hint="eastAsia"/>
                <w:szCs w:val="21"/>
              </w:rPr>
              <w:t>）。</w:t>
            </w:r>
          </w:p>
          <w:p w14:paraId="0916CF5C">
            <w:pPr>
              <w:adjustRightInd w:val="0"/>
              <w:snapToGrid w:val="0"/>
              <w:spacing w:line="500" w:lineRule="exact"/>
              <w:ind w:firstLine="422" w:firstLineChars="200"/>
              <w:rPr>
                <w:b/>
                <w:bCs/>
                <w:szCs w:val="21"/>
              </w:rPr>
            </w:pPr>
            <w:r>
              <w:rPr>
                <w:rFonts w:hint="eastAsia"/>
                <w:b/>
                <w:bCs/>
                <w:szCs w:val="21"/>
              </w:rPr>
              <w:t>（2）道路工程</w:t>
            </w:r>
          </w:p>
          <w:p w14:paraId="54378F44">
            <w:pPr>
              <w:adjustRightInd w:val="0"/>
              <w:snapToGrid w:val="0"/>
              <w:spacing w:line="500" w:lineRule="exact"/>
              <w:ind w:firstLine="420" w:firstLineChars="200"/>
              <w:rPr>
                <w:szCs w:val="21"/>
              </w:rPr>
            </w:pPr>
            <w:r>
              <w:rPr>
                <w:rFonts w:hint="eastAsia"/>
                <w:szCs w:val="21"/>
              </w:rPr>
              <w:t>根据《博罗县城体育大道东延段建设工程(K0+878.712~K1+210.007)初步设计》，本项目道路工程土石方量包括路基工程、挖填交界处理、软基处理、边坡防护和排水，具体土石方挖填量如下表所示。</w:t>
            </w:r>
          </w:p>
          <w:p w14:paraId="51968EB4">
            <w:pPr>
              <w:adjustRightInd w:val="0"/>
              <w:snapToGrid w:val="0"/>
              <w:spacing w:line="500" w:lineRule="exact"/>
              <w:ind w:firstLine="420" w:firstLineChars="200"/>
              <w:rPr>
                <w:szCs w:val="21"/>
              </w:rPr>
            </w:pPr>
            <w:r>
              <w:rPr>
                <w:rFonts w:hint="eastAsia"/>
                <w:szCs w:val="21"/>
              </w:rPr>
              <w:t>①路基工程</w:t>
            </w:r>
          </w:p>
          <w:p w14:paraId="16A27A79">
            <w:pPr>
              <w:adjustRightInd w:val="0"/>
              <w:snapToGrid w:val="0"/>
              <w:spacing w:line="500" w:lineRule="exact"/>
              <w:ind w:firstLine="420" w:firstLineChars="200"/>
              <w:rPr>
                <w:szCs w:val="21"/>
              </w:rPr>
            </w:pPr>
            <w:r>
              <w:rPr>
                <w:rFonts w:hint="eastAsia"/>
                <w:szCs w:val="21"/>
              </w:rPr>
              <w:t>根据主体设计资料，本项目道路施工中路基工程开挖土石方约6.61万m</w:t>
            </w:r>
            <w:r>
              <w:rPr>
                <w:rFonts w:hint="eastAsia"/>
                <w:szCs w:val="21"/>
                <w:vertAlign w:val="superscript"/>
              </w:rPr>
              <w:t>3</w:t>
            </w:r>
            <w:r>
              <w:rPr>
                <w:rFonts w:hint="eastAsia"/>
                <w:szCs w:val="21"/>
              </w:rPr>
              <w:t>(其中土方 6.26万m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)，需回填土方约0.53万m</w:t>
            </w:r>
            <w:r>
              <w:rPr>
                <w:rFonts w:hint="eastAsia"/>
                <w:szCs w:val="21"/>
                <w:vertAlign w:val="superscript"/>
              </w:rPr>
              <w:t>3</w:t>
            </w:r>
            <w:r>
              <w:rPr>
                <w:rFonts w:hint="eastAsia"/>
                <w:szCs w:val="21"/>
              </w:rPr>
              <w:t>，回填土方来自自身开挖土方，0.13万m</w:t>
            </w:r>
            <w:r>
              <w:rPr>
                <w:rFonts w:hint="eastAsia"/>
                <w:szCs w:val="21"/>
                <w:vertAlign w:val="superscript"/>
              </w:rPr>
              <w:t>3</w:t>
            </w:r>
            <w:r>
              <w:rPr>
                <w:rFonts w:hint="eastAsia"/>
                <w:szCs w:val="21"/>
              </w:rPr>
              <w:t>土方用于软基处理，余方5.95万m</w:t>
            </w:r>
            <w:r>
              <w:rPr>
                <w:rFonts w:hint="eastAsia"/>
                <w:szCs w:val="21"/>
                <w:vertAlign w:val="superscript"/>
              </w:rPr>
              <w:t>3</w:t>
            </w:r>
            <w:r>
              <w:rPr>
                <w:rFonts w:hint="eastAsia"/>
                <w:szCs w:val="21"/>
              </w:rPr>
              <w:t>(其中土方5.60万m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)，运至博罗县 2013 年度第 72、73 批次县储备用地。</w:t>
            </w:r>
          </w:p>
          <w:p w14:paraId="6BBBF424">
            <w:pPr>
              <w:adjustRightInd w:val="0"/>
              <w:snapToGrid w:val="0"/>
              <w:spacing w:line="500" w:lineRule="exact"/>
              <w:ind w:firstLine="420" w:firstLineChars="200"/>
              <w:rPr>
                <w:szCs w:val="21"/>
              </w:rPr>
            </w:pPr>
            <w:r>
              <w:rPr>
                <w:rFonts w:hint="eastAsia"/>
                <w:szCs w:val="21"/>
              </w:rPr>
              <w:t>②挡土墙</w:t>
            </w:r>
          </w:p>
          <w:p w14:paraId="73C185CE">
            <w:pPr>
              <w:adjustRightInd w:val="0"/>
              <w:snapToGrid w:val="0"/>
              <w:spacing w:line="500" w:lineRule="exact"/>
              <w:ind w:firstLine="420" w:firstLineChars="200"/>
              <w:rPr>
                <w:szCs w:val="21"/>
              </w:rPr>
            </w:pPr>
            <w:r>
              <w:rPr>
                <w:rFonts w:hint="eastAsia"/>
                <w:szCs w:val="21"/>
              </w:rPr>
              <w:t>本工程设置有挡土墙，根据主设资料，需开挖土方0.36万m</w:t>
            </w:r>
            <w:r>
              <w:rPr>
                <w:rFonts w:hint="eastAsia"/>
                <w:szCs w:val="21"/>
                <w:vertAlign w:val="superscript"/>
              </w:rPr>
              <w:t>3</w:t>
            </w:r>
            <w:r>
              <w:rPr>
                <w:rFonts w:hint="eastAsia"/>
                <w:szCs w:val="21"/>
              </w:rPr>
              <w:t>，回填土方0.12万m</w:t>
            </w:r>
            <w:r>
              <w:rPr>
                <w:rFonts w:hint="eastAsia"/>
                <w:szCs w:val="21"/>
                <w:vertAlign w:val="superscript"/>
              </w:rPr>
              <w:t>3</w:t>
            </w:r>
            <w:r>
              <w:rPr>
                <w:rFonts w:hint="eastAsia"/>
                <w:szCs w:val="21"/>
              </w:rPr>
              <w:t>，回填土方均利用自身开挖，余方0.24万m</w:t>
            </w:r>
            <w:r>
              <w:rPr>
                <w:rFonts w:hint="eastAsia"/>
                <w:szCs w:val="21"/>
                <w:vertAlign w:val="superscript"/>
              </w:rPr>
              <w:t>3</w:t>
            </w:r>
            <w:r>
              <w:rPr>
                <w:rFonts w:hint="eastAsia"/>
                <w:szCs w:val="21"/>
              </w:rPr>
              <w:t>运至博罗县 2013 年度第 72、73批次县储备用地。</w:t>
            </w:r>
          </w:p>
          <w:p w14:paraId="64B9F016">
            <w:pPr>
              <w:adjustRightInd w:val="0"/>
              <w:snapToGrid w:val="0"/>
              <w:spacing w:line="500" w:lineRule="exact"/>
              <w:ind w:firstLine="420" w:firstLineChars="200"/>
              <w:rPr>
                <w:szCs w:val="21"/>
              </w:rPr>
            </w:pPr>
            <w:r>
              <w:rPr>
                <w:rFonts w:hint="eastAsia"/>
                <w:szCs w:val="21"/>
              </w:rPr>
              <w:t>③挖填交界处理</w:t>
            </w:r>
          </w:p>
          <w:p w14:paraId="2CDAFD81">
            <w:pPr>
              <w:adjustRightInd w:val="0"/>
              <w:snapToGrid w:val="0"/>
              <w:spacing w:line="500" w:lineRule="exact"/>
              <w:ind w:firstLine="420" w:firstLineChars="200"/>
              <w:rPr>
                <w:szCs w:val="21"/>
              </w:rPr>
            </w:pPr>
            <w:r>
              <w:rPr>
                <w:rFonts w:hint="eastAsia"/>
                <w:szCs w:val="21"/>
              </w:rPr>
              <w:t>本工程挖填交界处理时需开挖土方0.02万m</w:t>
            </w:r>
            <w:r>
              <w:rPr>
                <w:rFonts w:hint="eastAsia"/>
                <w:szCs w:val="21"/>
                <w:vertAlign w:val="superscript"/>
              </w:rPr>
              <w:t>3</w:t>
            </w:r>
            <w:r>
              <w:rPr>
                <w:rFonts w:hint="eastAsia"/>
                <w:szCs w:val="21"/>
              </w:rPr>
              <w:t>，回填土方0.02万m</w:t>
            </w:r>
            <w:r>
              <w:rPr>
                <w:rFonts w:hint="eastAsia"/>
                <w:szCs w:val="21"/>
                <w:vertAlign w:val="superscript"/>
              </w:rPr>
              <w:t>3</w:t>
            </w:r>
            <w:r>
              <w:rPr>
                <w:rFonts w:hint="eastAsia"/>
                <w:szCs w:val="21"/>
              </w:rPr>
              <w:t>，回填土方均利用自身开挖。</w:t>
            </w:r>
          </w:p>
          <w:p w14:paraId="1D247511">
            <w:pPr>
              <w:adjustRightInd w:val="0"/>
              <w:snapToGrid w:val="0"/>
              <w:spacing w:line="500" w:lineRule="exact"/>
              <w:ind w:firstLine="420" w:firstLineChars="200"/>
              <w:rPr>
                <w:szCs w:val="21"/>
              </w:rPr>
            </w:pPr>
            <w:r>
              <w:rPr>
                <w:rFonts w:hint="eastAsia"/>
                <w:szCs w:val="21"/>
              </w:rPr>
              <w:t>④软基处理</w:t>
            </w:r>
          </w:p>
          <w:p w14:paraId="0D7BFE79">
            <w:pPr>
              <w:adjustRightInd w:val="0"/>
              <w:snapToGrid w:val="0"/>
              <w:spacing w:line="500" w:lineRule="exact"/>
              <w:ind w:firstLine="420" w:firstLineChars="200"/>
              <w:rPr>
                <w:szCs w:val="21"/>
              </w:rPr>
            </w:pPr>
            <w:r>
              <w:rPr>
                <w:rFonts w:hint="eastAsia"/>
                <w:szCs w:val="21"/>
              </w:rPr>
              <w:t>本工程软基处理时需开挖土方0.09万m</w:t>
            </w:r>
            <w:r>
              <w:rPr>
                <w:rFonts w:hint="eastAsia"/>
                <w:szCs w:val="21"/>
                <w:vertAlign w:val="superscript"/>
              </w:rPr>
              <w:t>3</w:t>
            </w:r>
            <w:r>
              <w:rPr>
                <w:rFonts w:hint="eastAsia"/>
                <w:szCs w:val="21"/>
              </w:rPr>
              <w:t>，回填土方0.13万m</w:t>
            </w:r>
            <w:r>
              <w:rPr>
                <w:rFonts w:hint="eastAsia"/>
                <w:szCs w:val="21"/>
                <w:vertAlign w:val="superscript"/>
              </w:rPr>
              <w:t>3</w:t>
            </w:r>
            <w:r>
              <w:rPr>
                <w:rFonts w:hint="eastAsia"/>
                <w:szCs w:val="21"/>
              </w:rPr>
              <w:t>，回填土方来自路基工程开挖土方，余方0.09m</w:t>
            </w:r>
            <w:r>
              <w:rPr>
                <w:rFonts w:hint="eastAsia"/>
                <w:szCs w:val="21"/>
                <w:vertAlign w:val="superscript"/>
              </w:rPr>
              <w:t>3</w:t>
            </w:r>
            <w:r>
              <w:rPr>
                <w:rFonts w:hint="eastAsia"/>
                <w:szCs w:val="21"/>
              </w:rPr>
              <w:t>运至博罗县2013年度第 72、73 批次县储备用地。</w:t>
            </w:r>
          </w:p>
          <w:p w14:paraId="68A3113E">
            <w:pPr>
              <w:adjustRightInd w:val="0"/>
              <w:snapToGrid w:val="0"/>
              <w:spacing w:line="500" w:lineRule="exact"/>
              <w:ind w:firstLine="420" w:firstLineChars="200"/>
              <w:rPr>
                <w:szCs w:val="21"/>
              </w:rPr>
            </w:pPr>
            <w:r>
              <w:rPr>
                <w:rFonts w:hint="eastAsia"/>
                <w:szCs w:val="21"/>
              </w:rPr>
              <w:t>⑤边坡防护和排水</w:t>
            </w:r>
          </w:p>
          <w:p w14:paraId="73AA0925">
            <w:pPr>
              <w:adjustRightInd w:val="0"/>
              <w:snapToGrid w:val="0"/>
              <w:spacing w:line="500" w:lineRule="exact"/>
              <w:ind w:firstLine="420" w:firstLineChars="200"/>
              <w:rPr>
                <w:szCs w:val="21"/>
              </w:rPr>
            </w:pPr>
            <w:r>
              <w:rPr>
                <w:rFonts w:hint="eastAsia"/>
                <w:szCs w:val="21"/>
              </w:rPr>
              <w:t>本工程边坡防护需开挖土方0.04万m</w:t>
            </w:r>
            <w:r>
              <w:rPr>
                <w:rFonts w:hint="eastAsia"/>
                <w:szCs w:val="21"/>
                <w:vertAlign w:val="superscript"/>
              </w:rPr>
              <w:t>3</w:t>
            </w:r>
            <w:r>
              <w:rPr>
                <w:rFonts w:hint="eastAsia"/>
                <w:szCs w:val="21"/>
              </w:rPr>
              <w:t>，排水设施建设需开挖土方0.39万m</w:t>
            </w:r>
            <w:r>
              <w:rPr>
                <w:rFonts w:hint="eastAsia"/>
                <w:szCs w:val="21"/>
                <w:vertAlign w:val="superscript"/>
              </w:rPr>
              <w:t>3</w:t>
            </w:r>
            <w:r>
              <w:rPr>
                <w:rFonts w:hint="eastAsia"/>
                <w:szCs w:val="21"/>
              </w:rPr>
              <w:t>，共计开挖土方0.43万m</w:t>
            </w:r>
            <w:r>
              <w:rPr>
                <w:rFonts w:hint="eastAsia"/>
                <w:szCs w:val="21"/>
                <w:vertAlign w:val="superscript"/>
              </w:rPr>
              <w:t>3</w:t>
            </w:r>
            <w:r>
              <w:rPr>
                <w:rFonts w:hint="eastAsia"/>
                <w:szCs w:val="21"/>
              </w:rPr>
              <w:t>，均运至博罗县2013 年度第 72、73 批次县储备用地。</w:t>
            </w:r>
          </w:p>
          <w:p w14:paraId="7EDEDD66">
            <w:pPr>
              <w:adjustRightInd w:val="0"/>
              <w:snapToGrid w:val="0"/>
              <w:spacing w:line="500" w:lineRule="exact"/>
              <w:ind w:firstLine="420" w:firstLineChars="200"/>
              <w:rPr>
                <w:szCs w:val="21"/>
              </w:rPr>
            </w:pPr>
            <w:r>
              <w:rPr>
                <w:rFonts w:hint="eastAsia"/>
                <w:szCs w:val="21"/>
              </w:rPr>
              <w:t>经统计，本项目道路工程共产生挖方7.51万m</w:t>
            </w:r>
            <w:r>
              <w:rPr>
                <w:rFonts w:hint="eastAsia"/>
                <w:szCs w:val="21"/>
                <w:vertAlign w:val="superscript"/>
              </w:rPr>
              <w:t>3</w:t>
            </w:r>
            <w:r>
              <w:rPr>
                <w:rFonts w:hint="eastAsia"/>
                <w:szCs w:val="21"/>
              </w:rPr>
              <w:t>(其中土方7.16万m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)；填 0.80万m(均为土方)，填方均利用自身开挖土方；余方6.71万m</w:t>
            </w:r>
            <w:r>
              <w:rPr>
                <w:rFonts w:hint="eastAsia"/>
                <w:szCs w:val="21"/>
                <w:vertAlign w:val="superscript"/>
              </w:rPr>
              <w:t>3</w:t>
            </w:r>
            <w:r>
              <w:rPr>
                <w:rFonts w:hint="eastAsia"/>
                <w:szCs w:val="21"/>
              </w:rPr>
              <w:t>(其中土方6.36万m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 xml:space="preserve"> )运至博罗县2013年度第 72、73 批次县储备用地。</w:t>
            </w:r>
          </w:p>
          <w:p w14:paraId="36FCA0A4">
            <w:pPr>
              <w:adjustRightInd w:val="0"/>
              <w:snapToGrid w:val="0"/>
              <w:spacing w:line="500" w:lineRule="exact"/>
              <w:ind w:firstLine="422" w:firstLineChars="200"/>
              <w:jc w:val="left"/>
              <w:rPr>
                <w:b/>
                <w:bCs/>
                <w:szCs w:val="21"/>
              </w:rPr>
            </w:pPr>
            <w:r>
              <w:rPr>
                <w:rFonts w:hint="eastAsia"/>
                <w:b/>
                <w:bCs/>
                <w:szCs w:val="21"/>
              </w:rPr>
              <w:t>（3）管线工程</w:t>
            </w:r>
          </w:p>
          <w:p w14:paraId="15B53550">
            <w:pPr>
              <w:adjustRightInd w:val="0"/>
              <w:snapToGrid w:val="0"/>
              <w:spacing w:line="500" w:lineRule="exact"/>
              <w:ind w:firstLine="420" w:firstLineChars="200"/>
              <w:jc w:val="left"/>
              <w:rPr>
                <w:szCs w:val="21"/>
              </w:rPr>
            </w:pPr>
            <w:r>
              <w:rPr>
                <w:rFonts w:hint="eastAsia"/>
                <w:szCs w:val="21"/>
              </w:rPr>
              <w:t>本项目新建绿化给水、雨水等管道，根据主体设计资料，共产生挖方1.33万m</w:t>
            </w:r>
            <w:r>
              <w:rPr>
                <w:rFonts w:hint="eastAsia"/>
                <w:szCs w:val="21"/>
                <w:vertAlign w:val="superscript"/>
              </w:rPr>
              <w:t>3</w:t>
            </w:r>
            <w:r>
              <w:rPr>
                <w:rFonts w:hint="eastAsia"/>
                <w:szCs w:val="21"/>
              </w:rPr>
              <w:t>，填方0.25万m</w:t>
            </w:r>
            <w:r>
              <w:rPr>
                <w:rFonts w:hint="eastAsia"/>
                <w:szCs w:val="21"/>
                <w:vertAlign w:val="superscript"/>
              </w:rPr>
              <w:t>3</w:t>
            </w:r>
            <w:r>
              <w:rPr>
                <w:rFonts w:hint="eastAsia"/>
                <w:szCs w:val="21"/>
              </w:rPr>
              <w:t>，回填土方来自自身开挖土方，余方1.08万m</w:t>
            </w:r>
            <w:r>
              <w:rPr>
                <w:rFonts w:hint="eastAsia"/>
                <w:szCs w:val="21"/>
                <w:vertAlign w:val="superscript"/>
              </w:rPr>
              <w:t>3</w:t>
            </w:r>
            <w:r>
              <w:rPr>
                <w:rFonts w:hint="eastAsia"/>
                <w:szCs w:val="21"/>
              </w:rPr>
              <w:t>运至博罗县 2013年度第 72、73 批次县储备用地。</w:t>
            </w:r>
          </w:p>
          <w:p w14:paraId="5D5FD242">
            <w:pPr>
              <w:adjustRightInd w:val="0"/>
              <w:snapToGrid w:val="0"/>
              <w:spacing w:line="500" w:lineRule="exact"/>
              <w:ind w:firstLine="422" w:firstLineChars="200"/>
              <w:jc w:val="left"/>
              <w:rPr>
                <w:b/>
                <w:bCs/>
                <w:szCs w:val="21"/>
              </w:rPr>
            </w:pPr>
            <w:r>
              <w:rPr>
                <w:rFonts w:hint="eastAsia"/>
                <w:b/>
                <w:bCs/>
                <w:szCs w:val="21"/>
              </w:rPr>
              <w:t>（4）电气工程</w:t>
            </w:r>
          </w:p>
          <w:p w14:paraId="699F4745">
            <w:pPr>
              <w:adjustRightInd w:val="0"/>
              <w:snapToGrid w:val="0"/>
              <w:spacing w:line="500" w:lineRule="exact"/>
              <w:ind w:firstLine="420" w:firstLineChars="200"/>
              <w:jc w:val="left"/>
              <w:rPr>
                <w:szCs w:val="21"/>
              </w:rPr>
            </w:pPr>
            <w:r>
              <w:rPr>
                <w:rFonts w:hint="eastAsia"/>
                <w:szCs w:val="21"/>
              </w:rPr>
              <w:t>根据主设资料，本项目电气工程挖方量0.29万m</w:t>
            </w:r>
            <w:r>
              <w:rPr>
                <w:rFonts w:hint="eastAsia"/>
                <w:szCs w:val="21"/>
                <w:vertAlign w:val="superscript"/>
              </w:rPr>
              <w:t>3</w:t>
            </w:r>
            <w:r>
              <w:rPr>
                <w:rFonts w:hint="eastAsia"/>
                <w:szCs w:val="21"/>
              </w:rPr>
              <w:t>，回填土方0.19万m</w:t>
            </w:r>
            <w:r>
              <w:rPr>
                <w:rFonts w:hint="eastAsia"/>
                <w:szCs w:val="21"/>
                <w:vertAlign w:val="superscript"/>
              </w:rPr>
              <w:t>3</w:t>
            </w:r>
            <w:r>
              <w:rPr>
                <w:rFonts w:hint="eastAsia"/>
                <w:szCs w:val="21"/>
              </w:rPr>
              <w:t>，回填土方来自自身开挖土方，弃方0.10万m</w:t>
            </w:r>
            <w:r>
              <w:rPr>
                <w:rFonts w:hint="eastAsia"/>
                <w:szCs w:val="21"/>
                <w:vertAlign w:val="superscript"/>
              </w:rPr>
              <w:t>3</w:t>
            </w:r>
            <w:r>
              <w:rPr>
                <w:rFonts w:hint="eastAsia"/>
                <w:szCs w:val="21"/>
              </w:rPr>
              <w:t>运至博罗县 2013 年度第72、73 批次县储备用地。</w:t>
            </w:r>
          </w:p>
          <w:p w14:paraId="7AC46A87">
            <w:pPr>
              <w:adjustRightInd w:val="0"/>
              <w:snapToGrid w:val="0"/>
              <w:spacing w:line="500" w:lineRule="exact"/>
              <w:ind w:firstLine="420" w:firstLineChars="200"/>
              <w:jc w:val="left"/>
              <w:rPr>
                <w:szCs w:val="21"/>
              </w:rPr>
            </w:pPr>
            <w:r>
              <w:rPr>
                <w:rFonts w:hint="eastAsia"/>
                <w:szCs w:val="21"/>
              </w:rPr>
              <w:t>经统计，本项目土石方挖填总量为10.58万m</w:t>
            </w:r>
            <w:r>
              <w:rPr>
                <w:rFonts w:hint="eastAsia"/>
                <w:szCs w:val="21"/>
                <w:vertAlign w:val="superscript"/>
              </w:rPr>
              <w:t>3</w:t>
            </w:r>
            <w:r>
              <w:rPr>
                <w:rFonts w:hint="eastAsia"/>
                <w:szCs w:val="21"/>
              </w:rPr>
              <w:t>，其中挖方总量9.24万m</w:t>
            </w:r>
            <w:r>
              <w:rPr>
                <w:rFonts w:hint="eastAsia"/>
                <w:szCs w:val="21"/>
                <w:vertAlign w:val="superscript"/>
              </w:rPr>
              <w:t>3</w:t>
            </w:r>
            <w:r>
              <w:rPr>
                <w:rFonts w:hint="eastAsia"/>
                <w:szCs w:val="21"/>
              </w:rPr>
              <w:t>(包括土方8.88万m</w:t>
            </w:r>
            <w:r>
              <w:rPr>
                <w:rFonts w:hint="eastAsia"/>
                <w:szCs w:val="21"/>
                <w:vertAlign w:val="superscript"/>
              </w:rPr>
              <w:t>3</w:t>
            </w:r>
            <w:r>
              <w:rPr>
                <w:rFonts w:hint="eastAsia"/>
                <w:szCs w:val="21"/>
              </w:rPr>
              <w:t>、石方0.35 万m</w:t>
            </w:r>
            <w:r>
              <w:rPr>
                <w:rFonts w:hint="eastAsia"/>
                <w:szCs w:val="21"/>
                <w:vertAlign w:val="superscript"/>
              </w:rPr>
              <w:t>3</w:t>
            </w:r>
            <w:r>
              <w:rPr>
                <w:rFonts w:hint="eastAsia"/>
                <w:szCs w:val="21"/>
              </w:rPr>
              <w:t>、建筑垃圾 0.01万m</w:t>
            </w:r>
            <w:r>
              <w:rPr>
                <w:rFonts w:hint="eastAsia"/>
                <w:szCs w:val="21"/>
                <w:vertAlign w:val="superscript"/>
              </w:rPr>
              <w:t>3</w:t>
            </w:r>
            <w:r>
              <w:rPr>
                <w:rFonts w:hint="eastAsia"/>
                <w:szCs w:val="21"/>
              </w:rPr>
              <w:t>)；填方总量1.34万m</w:t>
            </w:r>
            <w:r>
              <w:rPr>
                <w:rFonts w:hint="eastAsia"/>
                <w:szCs w:val="21"/>
                <w:vertAlign w:val="superscript"/>
              </w:rPr>
              <w:t>3</w:t>
            </w:r>
            <w:r>
              <w:rPr>
                <w:rFonts w:hint="eastAsia"/>
                <w:szCs w:val="21"/>
              </w:rPr>
              <w:t xml:space="preserve"> (均为土方)；无借方；弃方总量7.90万m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 0.01 万 m</w:t>
            </w:r>
            <w:r>
              <w:rPr>
                <w:rFonts w:hint="eastAsia"/>
                <w:szCs w:val="21"/>
                <w:vertAlign w:val="superscript"/>
              </w:rPr>
              <w:t>3</w:t>
            </w:r>
            <w:r>
              <w:rPr>
                <w:rFonts w:hint="eastAsia"/>
                <w:szCs w:val="21"/>
              </w:rPr>
              <w:t>)，运至博罗县 2013 年度第 72、73 批次县储备用地。</w:t>
            </w:r>
          </w:p>
          <w:p w14:paraId="6C7DD921">
            <w:pPr>
              <w:adjustRightInd w:val="0"/>
              <w:snapToGrid w:val="0"/>
              <w:jc w:val="center"/>
              <w:rPr>
                <w:b/>
                <w:bCs/>
                <w:szCs w:val="21"/>
              </w:rPr>
            </w:pPr>
            <w:r>
              <w:rPr>
                <w:szCs w:val="21"/>
              </w:rPr>
              <w:drawing>
                <wp:inline distT="0" distB="0" distL="0" distR="0">
                  <wp:extent cx="4850130" cy="2032635"/>
                  <wp:effectExtent l="57150" t="57150" r="102870" b="100965"/>
                  <wp:docPr id="16445052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505285" name="图片 1"/>
                          <pic:cNvPicPr>
                            <a:picLocks noChangeAspect="1"/>
                          </pic:cNvPicPr>
                        </pic:nvPicPr>
                        <pic:blipFill>
                          <a:blip r:embed="rId17"/>
                          <a:stretch>
                            <a:fillRect/>
                          </a:stretch>
                        </pic:blipFill>
                        <pic:spPr>
                          <a:xfrm>
                            <a:off x="0" y="0"/>
                            <a:ext cx="4889675" cy="2049618"/>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36365907">
            <w:pPr>
              <w:spacing w:line="500" w:lineRule="exact"/>
              <w:jc w:val="center"/>
              <w:rPr>
                <w:szCs w:val="21"/>
              </w:rPr>
            </w:pPr>
            <w:r>
              <w:rPr>
                <w:rFonts w:hint="eastAsia"/>
                <w:b/>
                <w:bCs/>
                <w:szCs w:val="21"/>
              </w:rPr>
              <w:t>图</w:t>
            </w:r>
            <w:r>
              <w:rPr>
                <w:b/>
                <w:bCs/>
                <w:szCs w:val="21"/>
              </w:rPr>
              <w:t>2-</w:t>
            </w:r>
            <w:r>
              <w:rPr>
                <w:rFonts w:hint="eastAsia"/>
                <w:b/>
                <w:bCs/>
                <w:szCs w:val="21"/>
              </w:rPr>
              <w:t>9</w:t>
            </w:r>
            <w:r>
              <w:rPr>
                <w:b/>
                <w:bCs/>
                <w:szCs w:val="21"/>
              </w:rPr>
              <w:t xml:space="preserve"> </w:t>
            </w:r>
            <w:r>
              <w:rPr>
                <w:rFonts w:hint="eastAsia"/>
                <w:b/>
                <w:bCs/>
                <w:szCs w:val="21"/>
              </w:rPr>
              <w:t xml:space="preserve"> 土石方平衡图</w:t>
            </w:r>
          </w:p>
          <w:p w14:paraId="2D7E4675">
            <w:pPr>
              <w:adjustRightInd w:val="0"/>
              <w:snapToGrid w:val="0"/>
              <w:spacing w:line="500" w:lineRule="exact"/>
              <w:ind w:firstLine="422" w:firstLineChars="200"/>
              <w:jc w:val="left"/>
              <w:rPr>
                <w:b/>
                <w:bCs/>
                <w:szCs w:val="21"/>
              </w:rPr>
            </w:pPr>
            <w:r>
              <w:rPr>
                <w:rFonts w:hint="eastAsia"/>
                <w:b/>
                <w:bCs/>
                <w:szCs w:val="21"/>
              </w:rPr>
              <w:t>十二、临时工程</w:t>
            </w:r>
          </w:p>
          <w:p w14:paraId="11D3C03E">
            <w:pPr>
              <w:adjustRightInd w:val="0"/>
              <w:snapToGrid w:val="0"/>
              <w:spacing w:line="500" w:lineRule="exact"/>
              <w:ind w:firstLine="422" w:firstLineChars="200"/>
              <w:jc w:val="left"/>
              <w:rPr>
                <w:b/>
                <w:bCs/>
                <w:szCs w:val="21"/>
              </w:rPr>
            </w:pPr>
            <w:r>
              <w:rPr>
                <w:rFonts w:hint="eastAsia"/>
                <w:b/>
                <w:bCs/>
                <w:szCs w:val="21"/>
              </w:rPr>
              <w:t>（1）</w:t>
            </w:r>
            <w:r>
              <w:rPr>
                <w:b/>
                <w:bCs/>
                <w:szCs w:val="21"/>
              </w:rPr>
              <w:t>临时沉砂池</w:t>
            </w:r>
          </w:p>
          <w:p w14:paraId="414ECBA1">
            <w:pPr>
              <w:adjustRightInd w:val="0"/>
              <w:snapToGrid w:val="0"/>
              <w:spacing w:line="500" w:lineRule="exact"/>
              <w:ind w:firstLine="420" w:firstLineChars="200"/>
              <w:rPr>
                <w:szCs w:val="21"/>
              </w:rPr>
            </w:pPr>
            <w:r>
              <w:rPr>
                <w:rFonts w:hint="eastAsia"/>
                <w:szCs w:val="21"/>
              </w:rPr>
              <w:t>沉沙池按5年一遇最大流量时停留时间不小于30s计算，沉沙池采用矩形断面，规格为3.0m×2.0m×1.5m，池壁采用MU10灰砂砖砌筑，外壁厚240mm，池体内20mm厚1:2水泥砂浆抹面，C15 素砼垫层厚150mm。施工沉沙池开挖的土石方与场区内的其余土石方一同用于周围场地平整。施工后期根据实际情况，对沉沙池所在场地进行规划，保留或填埋沉沙池，进行绿化或硬化处理。</w:t>
            </w:r>
          </w:p>
          <w:p w14:paraId="2730B9DF">
            <w:pPr>
              <w:adjustRightInd w:val="0"/>
              <w:snapToGrid w:val="0"/>
              <w:spacing w:line="500" w:lineRule="exact"/>
              <w:ind w:firstLine="420" w:firstLineChars="200"/>
              <w:rPr>
                <w:szCs w:val="21"/>
              </w:rPr>
            </w:pPr>
            <w:r>
              <w:rPr>
                <w:rFonts w:hint="eastAsia"/>
                <w:szCs w:val="21"/>
              </w:rPr>
              <w:t>项目施工期在南侧人行道排水沟排水出口处设置沉沙池1座，规格为3.0m×2.0m×1.5m；</w:t>
            </w:r>
          </w:p>
          <w:p w14:paraId="28593EF1">
            <w:pPr>
              <w:adjustRightInd w:val="0"/>
              <w:snapToGrid w:val="0"/>
              <w:spacing w:line="500" w:lineRule="exact"/>
              <w:ind w:firstLine="420" w:firstLineChars="200"/>
              <w:rPr>
                <w:szCs w:val="21"/>
              </w:rPr>
            </w:pPr>
            <w:r>
              <w:rPr>
                <w:rFonts w:hint="eastAsia"/>
                <w:szCs w:val="21"/>
              </w:rPr>
              <w:t>在填方边坡排水口处设置沉沙池3座，规格为3.0m×2.0m×1.5m。</w:t>
            </w:r>
          </w:p>
          <w:p w14:paraId="78A58554">
            <w:pPr>
              <w:adjustRightInd w:val="0"/>
              <w:snapToGrid w:val="0"/>
              <w:spacing w:line="500" w:lineRule="exact"/>
              <w:ind w:firstLine="422" w:firstLineChars="200"/>
              <w:jc w:val="left"/>
              <w:rPr>
                <w:szCs w:val="21"/>
              </w:rPr>
            </w:pPr>
            <w:r>
              <w:rPr>
                <w:rFonts w:hint="eastAsia"/>
                <w:b/>
                <w:bCs/>
                <w:szCs w:val="21"/>
              </w:rPr>
              <w:t>（2）</w:t>
            </w:r>
            <w:r>
              <w:rPr>
                <w:b/>
                <w:bCs/>
                <w:szCs w:val="21"/>
              </w:rPr>
              <w:t>彩条布</w:t>
            </w:r>
            <w:r>
              <w:rPr>
                <w:rFonts w:hint="eastAsia"/>
                <w:b/>
                <w:bCs/>
                <w:szCs w:val="21"/>
              </w:rPr>
              <w:t>覆盖</w:t>
            </w:r>
          </w:p>
          <w:p w14:paraId="3D476C03">
            <w:pPr>
              <w:adjustRightInd w:val="0"/>
              <w:snapToGrid w:val="0"/>
              <w:spacing w:line="500" w:lineRule="exact"/>
              <w:ind w:firstLine="420" w:firstLineChars="200"/>
              <w:jc w:val="left"/>
              <w:rPr>
                <w:szCs w:val="21"/>
              </w:rPr>
            </w:pPr>
            <w:r>
              <w:rPr>
                <w:rFonts w:hint="eastAsia"/>
                <w:szCs w:val="21"/>
              </w:rPr>
              <w:t>在施工期，堆土表面和临时裸露区域采用彩条布苫盖，石块压脚。</w:t>
            </w:r>
          </w:p>
          <w:p w14:paraId="01A6C5BF">
            <w:pPr>
              <w:adjustRightInd w:val="0"/>
              <w:snapToGrid w:val="0"/>
              <w:spacing w:line="500" w:lineRule="exact"/>
              <w:ind w:firstLine="422" w:firstLineChars="200"/>
              <w:jc w:val="left"/>
              <w:rPr>
                <w:szCs w:val="21"/>
              </w:rPr>
            </w:pPr>
            <w:r>
              <w:rPr>
                <w:rFonts w:hint="eastAsia"/>
                <w:b/>
                <w:bCs/>
                <w:szCs w:val="21"/>
              </w:rPr>
              <w:t>（3）编织袋拦挡</w:t>
            </w:r>
          </w:p>
          <w:p w14:paraId="30E32366">
            <w:pPr>
              <w:adjustRightInd w:val="0"/>
              <w:snapToGrid w:val="0"/>
              <w:spacing w:line="500" w:lineRule="exact"/>
              <w:ind w:firstLine="420" w:firstLineChars="200"/>
              <w:jc w:val="left"/>
              <w:rPr>
                <w:szCs w:val="21"/>
              </w:rPr>
            </w:pPr>
            <w:r>
              <w:rPr>
                <w:rFonts w:hint="eastAsia"/>
                <w:szCs w:val="21"/>
              </w:rPr>
              <w:t>为了防止边坡坡面泥土滚落，本方案于填方边坡坡脚位置布设拦挡措施，编织袋装土土方取自自身开挖的土方。编织袋装土袋断面为梯形，底宽 0.8m，高 0.8m，顶宽 0.6m，土袋拦挡错缝堆砌，项目完工后拆除土袋就近回填土方。</w:t>
            </w:r>
          </w:p>
          <w:p w14:paraId="3C16B54A">
            <w:pPr>
              <w:adjustRightInd w:val="0"/>
              <w:snapToGrid w:val="0"/>
              <w:spacing w:line="500" w:lineRule="exact"/>
              <w:ind w:firstLine="422" w:firstLineChars="200"/>
              <w:jc w:val="left"/>
              <w:rPr>
                <w:szCs w:val="21"/>
              </w:rPr>
            </w:pPr>
            <w:r>
              <w:rPr>
                <w:rFonts w:hint="eastAsia"/>
                <w:b/>
                <w:bCs/>
                <w:szCs w:val="21"/>
              </w:rPr>
              <w:t>（4）临时围栏</w:t>
            </w:r>
          </w:p>
          <w:p w14:paraId="045C225E">
            <w:pPr>
              <w:adjustRightInd w:val="0"/>
              <w:snapToGrid w:val="0"/>
              <w:spacing w:line="500" w:lineRule="exact"/>
              <w:ind w:firstLine="420" w:firstLineChars="200"/>
              <w:jc w:val="left"/>
              <w:rPr>
                <w:szCs w:val="21"/>
              </w:rPr>
            </w:pPr>
            <w:r>
              <w:rPr>
                <w:rFonts w:hint="eastAsia"/>
                <w:szCs w:val="21"/>
              </w:rPr>
              <w:t>在本工程施工过程中场地内施工区域设置施工围栏，围栏的布设主要为了防止施工过程中闲杂人员进入施工区内，对工程施工造成施工安全隐患，同时兼有水土保持功能。</w:t>
            </w:r>
          </w:p>
          <w:p w14:paraId="17C5E51E">
            <w:pPr>
              <w:adjustRightInd w:val="0"/>
              <w:snapToGrid w:val="0"/>
              <w:spacing w:line="500" w:lineRule="exact"/>
              <w:ind w:firstLine="422" w:firstLineChars="200"/>
              <w:jc w:val="left"/>
              <w:rPr>
                <w:szCs w:val="21"/>
              </w:rPr>
            </w:pPr>
            <w:r>
              <w:rPr>
                <w:rFonts w:hint="eastAsia"/>
                <w:b/>
                <w:bCs/>
                <w:szCs w:val="21"/>
              </w:rPr>
              <w:t>（5）临时材料堆放</w:t>
            </w:r>
          </w:p>
          <w:p w14:paraId="39569E91">
            <w:pPr>
              <w:adjustRightInd w:val="0"/>
              <w:snapToGrid w:val="0"/>
              <w:spacing w:line="500" w:lineRule="exact"/>
              <w:ind w:firstLine="420" w:firstLineChars="200"/>
              <w:jc w:val="left"/>
              <w:rPr>
                <w:szCs w:val="21"/>
              </w:rPr>
            </w:pPr>
            <w:r>
              <w:rPr>
                <w:rFonts w:hint="eastAsia"/>
                <w:szCs w:val="21"/>
              </w:rPr>
              <w:t>施工期间材料堆放于场地内部空闲用地，无需新增临时占地。</w:t>
            </w:r>
          </w:p>
          <w:p w14:paraId="2277066A">
            <w:pPr>
              <w:adjustRightInd w:val="0"/>
              <w:snapToGrid w:val="0"/>
              <w:spacing w:line="500" w:lineRule="exact"/>
              <w:ind w:firstLine="422" w:firstLineChars="200"/>
              <w:jc w:val="left"/>
              <w:rPr>
                <w:b/>
                <w:bCs/>
                <w:szCs w:val="21"/>
              </w:rPr>
            </w:pPr>
            <w:r>
              <w:rPr>
                <w:rFonts w:hint="eastAsia"/>
                <w:b/>
                <w:bCs/>
                <w:szCs w:val="21"/>
              </w:rPr>
              <w:t>（6）表土堆放</w:t>
            </w:r>
          </w:p>
          <w:p w14:paraId="1D20612B">
            <w:pPr>
              <w:adjustRightInd w:val="0"/>
              <w:snapToGrid w:val="0"/>
              <w:spacing w:line="500" w:lineRule="exact"/>
              <w:ind w:firstLine="420" w:firstLineChars="200"/>
              <w:jc w:val="left"/>
              <w:rPr>
                <w:szCs w:val="21"/>
              </w:rPr>
            </w:pPr>
            <w:r>
              <w:rPr>
                <w:rFonts w:hint="eastAsia"/>
                <w:szCs w:val="21"/>
              </w:rPr>
              <w:t>剥离的表土装入编织袋临时堆放于项目红线范围内空闲区域，后期用于绿化区域覆土，无需新增临时占地。</w:t>
            </w:r>
          </w:p>
          <w:p w14:paraId="4925D78A">
            <w:pPr>
              <w:adjustRightInd w:val="0"/>
              <w:snapToGrid w:val="0"/>
              <w:spacing w:line="500" w:lineRule="exact"/>
              <w:ind w:firstLine="422" w:firstLineChars="200"/>
              <w:jc w:val="left"/>
              <w:rPr>
                <w:b/>
                <w:bCs/>
                <w:szCs w:val="21"/>
              </w:rPr>
            </w:pPr>
            <w:r>
              <w:rPr>
                <w:rFonts w:hint="eastAsia"/>
                <w:b/>
                <w:bCs/>
                <w:szCs w:val="21"/>
              </w:rPr>
              <w:t>（7）取弃土场</w:t>
            </w:r>
          </w:p>
          <w:p w14:paraId="08C7619A">
            <w:pPr>
              <w:adjustRightInd w:val="0"/>
              <w:snapToGrid w:val="0"/>
              <w:spacing w:line="500" w:lineRule="exact"/>
              <w:ind w:firstLine="420" w:firstLineChars="200"/>
              <w:jc w:val="left"/>
              <w:rPr>
                <w:szCs w:val="21"/>
              </w:rPr>
            </w:pPr>
            <w:r>
              <w:rPr>
                <w:rFonts w:hint="eastAsia"/>
                <w:szCs w:val="21"/>
              </w:rPr>
              <w:t>根据土石方平衡可知，本项目不涉及借方，无需设置取土场。</w:t>
            </w:r>
          </w:p>
          <w:p w14:paraId="7F57D832">
            <w:pPr>
              <w:adjustRightInd w:val="0"/>
              <w:snapToGrid w:val="0"/>
              <w:spacing w:line="500" w:lineRule="exact"/>
              <w:ind w:firstLine="420" w:firstLineChars="200"/>
              <w:rPr>
                <w:szCs w:val="21"/>
              </w:rPr>
            </w:pPr>
            <w:r>
              <w:rPr>
                <w:rFonts w:hint="eastAsia"/>
                <w:szCs w:val="21"/>
              </w:rPr>
              <w:t>本项目弃方总量7.90万m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)，运至博罗县 2013 年度第 72、73 批次县储备用地，</w:t>
            </w:r>
            <w:r>
              <w:rPr>
                <w:rFonts w:hint="eastAsia"/>
                <w:b/>
                <w:bCs/>
                <w:szCs w:val="21"/>
              </w:rPr>
              <w:t>用于储备用地三通一平的场地平整(详见附件9)</w:t>
            </w:r>
            <w:r>
              <w:rPr>
                <w:rFonts w:hint="eastAsia"/>
                <w:szCs w:val="21"/>
              </w:rPr>
              <w:t>。该储备用地位于博罗县罗阳街道廖屋蓄能路东侧占地面积约为 12.87hm</w:t>
            </w:r>
            <w:r>
              <w:rPr>
                <w:rFonts w:hint="eastAsia"/>
                <w:szCs w:val="21"/>
                <w:vertAlign w:val="superscript"/>
              </w:rPr>
              <w:t>2</w:t>
            </w:r>
            <w:r>
              <w:rPr>
                <w:rFonts w:hint="eastAsia"/>
                <w:szCs w:val="21"/>
              </w:rPr>
              <w:t>，纳土量约30.00万m</w:t>
            </w:r>
            <w:r>
              <w:rPr>
                <w:rFonts w:hint="eastAsia"/>
                <w:szCs w:val="21"/>
                <w:vertAlign w:val="superscript"/>
              </w:rPr>
              <w:t>3</w:t>
            </w:r>
            <w:r>
              <w:rPr>
                <w:rFonts w:hint="eastAsia"/>
                <w:szCs w:val="21"/>
              </w:rPr>
              <w:t>。本项目施工期间产生的弃土均运至该储备用地，运输距离约6.30km，土方运输过程中的水土流失防治责任由建设单位负责，建设单位将组织车况良好的车辆进行运输，并做好路面保洁及环境卫生工作，运输路线详见</w:t>
            </w:r>
            <w:r>
              <w:rPr>
                <w:rFonts w:hint="eastAsia"/>
                <w:b/>
                <w:bCs/>
                <w:szCs w:val="21"/>
              </w:rPr>
              <w:t>附图10</w:t>
            </w:r>
            <w:r>
              <w:rPr>
                <w:rFonts w:hint="eastAsia"/>
                <w:szCs w:val="21"/>
              </w:rPr>
              <w:t>。</w:t>
            </w:r>
          </w:p>
          <w:p w14:paraId="54E23BAE">
            <w:pPr>
              <w:adjustRightInd w:val="0"/>
              <w:snapToGrid w:val="0"/>
              <w:spacing w:line="500" w:lineRule="exact"/>
              <w:ind w:firstLine="422" w:firstLineChars="200"/>
              <w:rPr>
                <w:b/>
                <w:bCs/>
                <w:szCs w:val="21"/>
              </w:rPr>
            </w:pPr>
            <w:r>
              <w:rPr>
                <w:rFonts w:hint="eastAsia"/>
                <w:b/>
                <w:bCs/>
                <w:szCs w:val="21"/>
              </w:rPr>
              <w:t>（8）施工营地</w:t>
            </w:r>
          </w:p>
          <w:p w14:paraId="38F87200">
            <w:pPr>
              <w:adjustRightInd w:val="0"/>
              <w:snapToGrid w:val="0"/>
              <w:spacing w:line="500" w:lineRule="exact"/>
              <w:ind w:firstLine="420" w:firstLineChars="200"/>
              <w:rPr>
                <w:szCs w:val="21"/>
              </w:rPr>
            </w:pPr>
            <w:r>
              <w:rPr>
                <w:rFonts w:hint="eastAsia"/>
                <w:szCs w:val="21"/>
              </w:rPr>
              <w:t>本项目施工人员采用租赁附近民房形式解决住房，施工期间材料堆放于场地内部空闲用地，无需新增临时占地。</w:t>
            </w:r>
          </w:p>
          <w:p w14:paraId="47892D32">
            <w:pPr>
              <w:adjustRightInd w:val="0"/>
              <w:snapToGrid w:val="0"/>
              <w:spacing w:line="500" w:lineRule="exact"/>
              <w:ind w:firstLine="422" w:firstLineChars="200"/>
              <w:rPr>
                <w:b/>
                <w:bCs/>
                <w:szCs w:val="21"/>
              </w:rPr>
            </w:pPr>
            <w:r>
              <w:rPr>
                <w:rFonts w:hint="eastAsia"/>
                <w:b/>
                <w:bCs/>
                <w:szCs w:val="21"/>
              </w:rPr>
              <w:t>（9）临时便道</w:t>
            </w:r>
          </w:p>
          <w:p w14:paraId="54D810A3">
            <w:pPr>
              <w:adjustRightInd w:val="0"/>
              <w:snapToGrid w:val="0"/>
              <w:spacing w:line="500" w:lineRule="exact"/>
              <w:ind w:firstLine="420" w:firstLineChars="200"/>
              <w:rPr>
                <w:szCs w:val="21"/>
              </w:rPr>
            </w:pPr>
            <w:r>
              <w:rPr>
                <w:szCs w:val="21"/>
              </w:rPr>
              <w:t>因项目周边交通路网已成熟，项目施工</w:t>
            </w:r>
            <w:r>
              <w:rPr>
                <w:rFonts w:hint="eastAsia"/>
                <w:szCs w:val="21"/>
              </w:rPr>
              <w:t>便道依托已有道路，</w:t>
            </w:r>
            <w:r>
              <w:rPr>
                <w:szCs w:val="21"/>
              </w:rPr>
              <w:t>无需</w:t>
            </w:r>
            <w:r>
              <w:rPr>
                <w:rFonts w:hint="eastAsia"/>
                <w:szCs w:val="21"/>
              </w:rPr>
              <w:t>新</w:t>
            </w:r>
            <w:r>
              <w:rPr>
                <w:szCs w:val="21"/>
              </w:rPr>
              <w:t>设临时便道。</w:t>
            </w:r>
          </w:p>
          <w:p w14:paraId="238374C4">
            <w:pPr>
              <w:adjustRightInd w:val="0"/>
              <w:snapToGrid w:val="0"/>
              <w:spacing w:line="500" w:lineRule="exact"/>
              <w:ind w:firstLine="422" w:firstLineChars="200"/>
              <w:jc w:val="left"/>
              <w:rPr>
                <w:b/>
                <w:bCs/>
                <w:szCs w:val="21"/>
              </w:rPr>
            </w:pPr>
            <w:r>
              <w:rPr>
                <w:rFonts w:hint="eastAsia"/>
                <w:b/>
                <w:bCs/>
                <w:szCs w:val="21"/>
              </w:rPr>
              <w:t>十三、交通量预测</w:t>
            </w:r>
          </w:p>
          <w:p w14:paraId="669E096B">
            <w:pPr>
              <w:widowControl/>
              <w:spacing w:line="500" w:lineRule="exact"/>
              <w:ind w:firstLine="420" w:firstLineChars="200"/>
              <w:rPr>
                <w:szCs w:val="21"/>
              </w:rPr>
            </w:pPr>
            <w:r>
              <w:rPr>
                <w:szCs w:val="21"/>
              </w:rPr>
              <w:t>根据</w:t>
            </w:r>
            <w:r>
              <w:rPr>
                <w:rFonts w:hint="eastAsia"/>
                <w:szCs w:val="21"/>
              </w:rPr>
              <w:t>《博罗县城体育大道东延段建设工程可行性研究报告》，本项目预计2026年建成通车，</w:t>
            </w:r>
            <w:bookmarkStart w:id="26" w:name="_Hlk117671643"/>
            <w:r>
              <w:rPr>
                <w:rFonts w:hint="eastAsia"/>
                <w:szCs w:val="21"/>
              </w:rPr>
              <w:t>道路等级为城市主干路</w:t>
            </w:r>
            <w:bookmarkEnd w:id="26"/>
            <w:r>
              <w:rPr>
                <w:rFonts w:hint="eastAsia"/>
                <w:szCs w:val="21"/>
              </w:rPr>
              <w:t>。根据《环境影响评价技术导则</w:t>
            </w:r>
            <w:r>
              <w:rPr>
                <w:szCs w:val="21"/>
              </w:rPr>
              <w:t xml:space="preserve"> </w:t>
            </w:r>
            <w:r>
              <w:rPr>
                <w:rFonts w:hint="eastAsia"/>
                <w:szCs w:val="21"/>
              </w:rPr>
              <w:t>公路建设项目》（HJ1358—2024）5.2.9，“运营期应取公路竣工投入运营后第</w:t>
            </w:r>
            <w:r>
              <w:rPr>
                <w:szCs w:val="21"/>
              </w:rPr>
              <w:t>1</w:t>
            </w:r>
            <w:r>
              <w:rPr>
                <w:rFonts w:hint="eastAsia"/>
                <w:szCs w:val="21"/>
              </w:rPr>
              <w:t>年、第</w:t>
            </w:r>
            <w:r>
              <w:rPr>
                <w:szCs w:val="21"/>
              </w:rPr>
              <w:t>7</w:t>
            </w:r>
            <w:r>
              <w:rPr>
                <w:rFonts w:hint="eastAsia"/>
                <w:szCs w:val="21"/>
              </w:rPr>
              <w:t>年和第</w:t>
            </w:r>
            <w:r>
              <w:rPr>
                <w:szCs w:val="21"/>
              </w:rPr>
              <w:t>15</w:t>
            </w:r>
            <w:r>
              <w:rPr>
                <w:rFonts w:hint="eastAsia"/>
                <w:szCs w:val="21"/>
              </w:rPr>
              <w:t>年分别代表运营近期、中期、远期进行评价”。因此，预测特征年为</w:t>
            </w:r>
            <w:r>
              <w:rPr>
                <w:szCs w:val="21"/>
              </w:rPr>
              <w:t>202</w:t>
            </w:r>
            <w:r>
              <w:rPr>
                <w:rFonts w:hint="eastAsia"/>
                <w:szCs w:val="21"/>
              </w:rPr>
              <w:t>6年、</w:t>
            </w:r>
            <w:r>
              <w:rPr>
                <w:szCs w:val="21"/>
              </w:rPr>
              <w:t>203</w:t>
            </w:r>
            <w:r>
              <w:rPr>
                <w:rFonts w:hint="eastAsia"/>
                <w:szCs w:val="21"/>
              </w:rPr>
              <w:t>2</w:t>
            </w:r>
            <w:r>
              <w:rPr>
                <w:szCs w:val="21"/>
              </w:rPr>
              <w:t xml:space="preserve"> </w:t>
            </w:r>
            <w:r>
              <w:rPr>
                <w:rFonts w:hint="eastAsia"/>
                <w:szCs w:val="21"/>
              </w:rPr>
              <w:t>年、</w:t>
            </w:r>
            <w:r>
              <w:rPr>
                <w:szCs w:val="21"/>
              </w:rPr>
              <w:t>20</w:t>
            </w:r>
            <w:r>
              <w:rPr>
                <w:rFonts w:hint="eastAsia"/>
                <w:szCs w:val="21"/>
              </w:rPr>
              <w:t>40年。</w:t>
            </w:r>
          </w:p>
          <w:p w14:paraId="13733E1D">
            <w:pPr>
              <w:widowControl/>
              <w:spacing w:line="500" w:lineRule="exact"/>
              <w:ind w:firstLine="420" w:firstLineChars="200"/>
              <w:jc w:val="left"/>
              <w:rPr>
                <w:szCs w:val="21"/>
              </w:rPr>
            </w:pPr>
            <w:r>
              <w:rPr>
                <w:rFonts w:hint="eastAsia"/>
                <w:szCs w:val="21"/>
              </w:rPr>
              <w:t>根据主体设计提供的项目申请核准报告和初步设计说明中交通量，利用插值法计算本项目特征年交通量。经计算，得出特征年研究道路的路段城市年平均日交通量如下表</w:t>
            </w:r>
            <w:r>
              <w:rPr>
                <w:szCs w:val="21"/>
              </w:rPr>
              <w:t xml:space="preserve">。 </w:t>
            </w:r>
          </w:p>
          <w:p w14:paraId="7F0D88E2">
            <w:pPr>
              <w:autoSpaceDE w:val="0"/>
              <w:autoSpaceDN w:val="0"/>
              <w:adjustRightInd w:val="0"/>
              <w:spacing w:line="500" w:lineRule="exact"/>
              <w:jc w:val="center"/>
              <w:rPr>
                <w:b/>
                <w:bCs/>
                <w:kern w:val="0"/>
                <w:szCs w:val="21"/>
              </w:rPr>
            </w:pPr>
            <w:r>
              <w:rPr>
                <w:b/>
                <w:bCs/>
                <w:kern w:val="0"/>
                <w:szCs w:val="21"/>
              </w:rPr>
              <w:t>表2-</w:t>
            </w:r>
            <w:r>
              <w:rPr>
                <w:rFonts w:hint="eastAsia"/>
                <w:b/>
                <w:bCs/>
                <w:kern w:val="0"/>
                <w:szCs w:val="21"/>
              </w:rPr>
              <w:t>5</w:t>
            </w:r>
            <w:r>
              <w:rPr>
                <w:b/>
                <w:bCs/>
                <w:kern w:val="0"/>
                <w:szCs w:val="21"/>
              </w:rPr>
              <w:t xml:space="preserve"> 项目交通量预测结果（单位：pcu/d）</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8"/>
              <w:gridCol w:w="2243"/>
              <w:gridCol w:w="2385"/>
              <w:gridCol w:w="2077"/>
            </w:tblGrid>
            <w:tr w14:paraId="0ABF86D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59" w:type="pct"/>
                  <w:vAlign w:val="center"/>
                </w:tcPr>
                <w:p w14:paraId="05AFFB37">
                  <w:pPr>
                    <w:jc w:val="center"/>
                    <w:rPr>
                      <w:b/>
                      <w:bCs/>
                      <w:szCs w:val="21"/>
                    </w:rPr>
                  </w:pPr>
                  <w:r>
                    <w:rPr>
                      <w:b/>
                      <w:bCs/>
                      <w:szCs w:val="21"/>
                      <w:lang w:bidi="ar"/>
                    </w:rPr>
                    <w:t>道路名称</w:t>
                  </w:r>
                </w:p>
              </w:tc>
              <w:tc>
                <w:tcPr>
                  <w:tcW w:w="1151" w:type="pct"/>
                  <w:vAlign w:val="center"/>
                </w:tcPr>
                <w:p w14:paraId="417D83A6">
                  <w:pPr>
                    <w:jc w:val="center"/>
                    <w:rPr>
                      <w:b/>
                      <w:bCs/>
                      <w:szCs w:val="21"/>
                    </w:rPr>
                  </w:pPr>
                  <w:r>
                    <w:rPr>
                      <w:b/>
                      <w:bCs/>
                      <w:szCs w:val="21"/>
                      <w:lang w:bidi="ar"/>
                    </w:rPr>
                    <w:t>202</w:t>
                  </w:r>
                  <w:r>
                    <w:rPr>
                      <w:rFonts w:hint="eastAsia"/>
                      <w:b/>
                      <w:bCs/>
                      <w:szCs w:val="21"/>
                      <w:lang w:bidi="ar"/>
                    </w:rPr>
                    <w:t>6</w:t>
                  </w:r>
                  <w:r>
                    <w:rPr>
                      <w:b/>
                      <w:bCs/>
                      <w:szCs w:val="21"/>
                      <w:lang w:bidi="ar"/>
                    </w:rPr>
                    <w:t>年</w:t>
                  </w:r>
                </w:p>
              </w:tc>
              <w:tc>
                <w:tcPr>
                  <w:tcW w:w="1224" w:type="pct"/>
                  <w:vAlign w:val="center"/>
                </w:tcPr>
                <w:p w14:paraId="26DDBC01">
                  <w:pPr>
                    <w:jc w:val="center"/>
                    <w:rPr>
                      <w:b/>
                      <w:bCs/>
                      <w:szCs w:val="21"/>
                    </w:rPr>
                  </w:pPr>
                  <w:r>
                    <w:rPr>
                      <w:b/>
                      <w:bCs/>
                      <w:szCs w:val="21"/>
                      <w:lang w:bidi="ar"/>
                    </w:rPr>
                    <w:t>203</w:t>
                  </w:r>
                  <w:r>
                    <w:rPr>
                      <w:rFonts w:hint="eastAsia"/>
                      <w:b/>
                      <w:bCs/>
                      <w:szCs w:val="21"/>
                      <w:lang w:bidi="ar"/>
                    </w:rPr>
                    <w:t>2</w:t>
                  </w:r>
                  <w:r>
                    <w:rPr>
                      <w:b/>
                      <w:bCs/>
                      <w:szCs w:val="21"/>
                      <w:lang w:bidi="ar"/>
                    </w:rPr>
                    <w:t>年</w:t>
                  </w:r>
                </w:p>
              </w:tc>
              <w:tc>
                <w:tcPr>
                  <w:tcW w:w="1066" w:type="pct"/>
                  <w:vAlign w:val="center"/>
                </w:tcPr>
                <w:p w14:paraId="266C10E3">
                  <w:pPr>
                    <w:jc w:val="center"/>
                    <w:rPr>
                      <w:b/>
                      <w:bCs/>
                      <w:szCs w:val="21"/>
                    </w:rPr>
                  </w:pPr>
                  <w:r>
                    <w:rPr>
                      <w:b/>
                      <w:bCs/>
                      <w:szCs w:val="21"/>
                      <w:lang w:bidi="ar"/>
                    </w:rPr>
                    <w:t>20</w:t>
                  </w:r>
                  <w:r>
                    <w:rPr>
                      <w:rFonts w:hint="eastAsia"/>
                      <w:b/>
                      <w:bCs/>
                      <w:szCs w:val="21"/>
                      <w:lang w:bidi="ar"/>
                    </w:rPr>
                    <w:t>40</w:t>
                  </w:r>
                  <w:r>
                    <w:rPr>
                      <w:b/>
                      <w:bCs/>
                      <w:szCs w:val="21"/>
                      <w:lang w:bidi="ar"/>
                    </w:rPr>
                    <w:t>年</w:t>
                  </w:r>
                </w:p>
              </w:tc>
            </w:tr>
            <w:tr w14:paraId="5BC6D03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59" w:type="pct"/>
                  <w:vAlign w:val="center"/>
                </w:tcPr>
                <w:p w14:paraId="4B637196">
                  <w:pPr>
                    <w:jc w:val="center"/>
                    <w:rPr>
                      <w:szCs w:val="21"/>
                    </w:rPr>
                  </w:pPr>
                  <w:r>
                    <w:rPr>
                      <w:rFonts w:hint="eastAsia" w:ascii="宋体" w:hAnsi="宋体" w:cs="宋体"/>
                      <w:szCs w:val="21"/>
                    </w:rPr>
                    <w:t>体育大道东延段</w:t>
                  </w:r>
                </w:p>
              </w:tc>
              <w:tc>
                <w:tcPr>
                  <w:tcW w:w="1151" w:type="pct"/>
                  <w:vAlign w:val="center"/>
                </w:tcPr>
                <w:p w14:paraId="7BDB8BC9">
                  <w:pPr>
                    <w:jc w:val="center"/>
                    <w:rPr>
                      <w:szCs w:val="21"/>
                    </w:rPr>
                  </w:pPr>
                  <w:r>
                    <w:rPr>
                      <w:rFonts w:hint="eastAsia"/>
                      <w:szCs w:val="21"/>
                    </w:rPr>
                    <w:t>28259</w:t>
                  </w:r>
                </w:p>
              </w:tc>
              <w:tc>
                <w:tcPr>
                  <w:tcW w:w="1224" w:type="pct"/>
                  <w:vAlign w:val="center"/>
                </w:tcPr>
                <w:p w14:paraId="146BEF3F">
                  <w:pPr>
                    <w:jc w:val="center"/>
                    <w:rPr>
                      <w:szCs w:val="21"/>
                    </w:rPr>
                  </w:pPr>
                  <w:r>
                    <w:rPr>
                      <w:rFonts w:hint="eastAsia"/>
                      <w:szCs w:val="21"/>
                    </w:rPr>
                    <w:t>40230</w:t>
                  </w:r>
                </w:p>
              </w:tc>
              <w:tc>
                <w:tcPr>
                  <w:tcW w:w="1066" w:type="pct"/>
                  <w:vAlign w:val="center"/>
                </w:tcPr>
                <w:p w14:paraId="274F0F93">
                  <w:pPr>
                    <w:jc w:val="center"/>
                    <w:rPr>
                      <w:szCs w:val="21"/>
                    </w:rPr>
                  </w:pPr>
                  <w:r>
                    <w:rPr>
                      <w:rFonts w:hint="eastAsia"/>
                      <w:szCs w:val="21"/>
                    </w:rPr>
                    <w:t>60783</w:t>
                  </w:r>
                </w:p>
              </w:tc>
            </w:tr>
          </w:tbl>
          <w:p w14:paraId="44969AC1">
            <w:pPr>
              <w:spacing w:line="500" w:lineRule="exact"/>
              <w:ind w:firstLine="420" w:firstLineChars="200"/>
              <w:rPr>
                <w:szCs w:val="21"/>
              </w:rPr>
            </w:pPr>
            <w:r>
              <w:rPr>
                <w:rFonts w:hint="eastAsia"/>
                <w:szCs w:val="21"/>
              </w:rPr>
              <w:t>根据《环境影响评价技术导则声环境》</w:t>
            </w:r>
            <w:r>
              <w:rPr>
                <w:szCs w:val="21"/>
              </w:rPr>
              <w:t>(HJ2.4-2021)</w:t>
            </w:r>
            <w:r>
              <w:rPr>
                <w:rFonts w:hint="eastAsia"/>
                <w:szCs w:val="21"/>
              </w:rPr>
              <w:t>，车型分类方法按照《公路工程技术标准》（</w:t>
            </w:r>
            <w:r>
              <w:rPr>
                <w:szCs w:val="21"/>
              </w:rPr>
              <w:t>JTG B01-2014）中的分类进</w:t>
            </w:r>
            <w:r>
              <w:rPr>
                <w:rFonts w:hint="eastAsia"/>
                <w:szCs w:val="21"/>
              </w:rPr>
              <w:t>行，交通量换算采用小客车为标准车型，按照不同折算系数分别进行计算。参考《公路工程技术标准》（JTG B01-2014）车型分类标准。将汽车按照总质量、座位数分为小型、中型、大型三种，</w:t>
            </w:r>
            <w:r>
              <w:rPr>
                <w:szCs w:val="21"/>
              </w:rPr>
              <w:t>各个车型分类标准及所占比例见</w:t>
            </w:r>
            <w:r>
              <w:rPr>
                <w:rFonts w:hint="eastAsia"/>
                <w:szCs w:val="21"/>
              </w:rPr>
              <w:t>下表</w:t>
            </w:r>
            <w:r>
              <w:rPr>
                <w:szCs w:val="21"/>
              </w:rPr>
              <w:t>。</w:t>
            </w:r>
          </w:p>
          <w:p w14:paraId="55F35B56">
            <w:pPr>
              <w:autoSpaceDE w:val="0"/>
              <w:autoSpaceDN w:val="0"/>
              <w:adjustRightInd w:val="0"/>
              <w:spacing w:line="360" w:lineRule="auto"/>
              <w:jc w:val="center"/>
              <w:rPr>
                <w:b/>
                <w:bCs/>
                <w:kern w:val="0"/>
                <w:szCs w:val="21"/>
              </w:rPr>
            </w:pPr>
          </w:p>
          <w:p w14:paraId="2046376E">
            <w:pPr>
              <w:autoSpaceDE w:val="0"/>
              <w:autoSpaceDN w:val="0"/>
              <w:adjustRightInd w:val="0"/>
              <w:spacing w:line="360" w:lineRule="auto"/>
              <w:jc w:val="center"/>
              <w:rPr>
                <w:b/>
                <w:bCs/>
                <w:kern w:val="0"/>
                <w:szCs w:val="21"/>
              </w:rPr>
            </w:pPr>
            <w:r>
              <w:rPr>
                <w:b/>
                <w:bCs/>
                <w:kern w:val="0"/>
                <w:szCs w:val="21"/>
              </w:rPr>
              <w:t>表2-</w:t>
            </w:r>
            <w:r>
              <w:rPr>
                <w:rFonts w:hint="eastAsia"/>
                <w:b/>
                <w:bCs/>
                <w:kern w:val="0"/>
                <w:szCs w:val="21"/>
              </w:rPr>
              <w:t>6</w:t>
            </w:r>
            <w:r>
              <w:rPr>
                <w:b/>
                <w:bCs/>
                <w:kern w:val="0"/>
                <w:szCs w:val="21"/>
              </w:rPr>
              <w:t xml:space="preserve"> 各类车辆pcu折算系数</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5"/>
              <w:gridCol w:w="2436"/>
              <w:gridCol w:w="2436"/>
              <w:gridCol w:w="2436"/>
            </w:tblGrid>
            <w:tr w14:paraId="1F588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shd w:val="clear" w:color="auto" w:fill="auto"/>
                  <w:vAlign w:val="center"/>
                </w:tcPr>
                <w:p w14:paraId="4F04C414">
                  <w:pPr>
                    <w:jc w:val="center"/>
                    <w:rPr>
                      <w:b/>
                      <w:bCs/>
                      <w:szCs w:val="21"/>
                    </w:rPr>
                  </w:pPr>
                  <w:r>
                    <w:rPr>
                      <w:b/>
                      <w:bCs/>
                      <w:szCs w:val="21"/>
                    </w:rPr>
                    <w:t>车辆类型</w:t>
                  </w:r>
                </w:p>
              </w:tc>
              <w:tc>
                <w:tcPr>
                  <w:tcW w:w="1250" w:type="pct"/>
                  <w:shd w:val="clear" w:color="auto" w:fill="auto"/>
                  <w:vAlign w:val="center"/>
                </w:tcPr>
                <w:p w14:paraId="21C0B21C">
                  <w:pPr>
                    <w:jc w:val="center"/>
                    <w:rPr>
                      <w:b/>
                      <w:bCs/>
                      <w:szCs w:val="21"/>
                    </w:rPr>
                  </w:pPr>
                  <w:r>
                    <w:rPr>
                      <w:b/>
                      <w:bCs/>
                      <w:szCs w:val="21"/>
                    </w:rPr>
                    <w:t>折算系数</w:t>
                  </w:r>
                </w:p>
              </w:tc>
              <w:tc>
                <w:tcPr>
                  <w:tcW w:w="1250" w:type="pct"/>
                  <w:shd w:val="clear" w:color="auto" w:fill="auto"/>
                  <w:vAlign w:val="center"/>
                </w:tcPr>
                <w:p w14:paraId="1A978537">
                  <w:pPr>
                    <w:jc w:val="center"/>
                    <w:rPr>
                      <w:b/>
                      <w:bCs/>
                      <w:szCs w:val="21"/>
                    </w:rPr>
                  </w:pPr>
                  <w:r>
                    <w:rPr>
                      <w:b/>
                      <w:bCs/>
                      <w:szCs w:val="21"/>
                    </w:rPr>
                    <w:t>额定荷载参数</w:t>
                  </w:r>
                </w:p>
              </w:tc>
              <w:tc>
                <w:tcPr>
                  <w:tcW w:w="1250" w:type="pct"/>
                  <w:shd w:val="clear" w:color="auto" w:fill="auto"/>
                  <w:vAlign w:val="center"/>
                </w:tcPr>
                <w:p w14:paraId="29B81C50">
                  <w:pPr>
                    <w:jc w:val="center"/>
                    <w:rPr>
                      <w:b/>
                      <w:bCs/>
                      <w:szCs w:val="21"/>
                    </w:rPr>
                  </w:pPr>
                  <w:r>
                    <w:rPr>
                      <w:b/>
                      <w:bCs/>
                      <w:szCs w:val="21"/>
                    </w:rPr>
                    <w:t>备注</w:t>
                  </w:r>
                </w:p>
              </w:tc>
            </w:tr>
            <w:tr w14:paraId="5D04D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shd w:val="clear" w:color="auto" w:fill="auto"/>
                  <w:vAlign w:val="center"/>
                </w:tcPr>
                <w:p w14:paraId="447FD43A">
                  <w:pPr>
                    <w:jc w:val="center"/>
                    <w:rPr>
                      <w:szCs w:val="21"/>
                    </w:rPr>
                  </w:pPr>
                  <w:r>
                    <w:rPr>
                      <w:szCs w:val="21"/>
                    </w:rPr>
                    <w:t>小型车</w:t>
                  </w:r>
                </w:p>
              </w:tc>
              <w:tc>
                <w:tcPr>
                  <w:tcW w:w="1250" w:type="pct"/>
                  <w:shd w:val="clear" w:color="auto" w:fill="auto"/>
                  <w:vAlign w:val="center"/>
                </w:tcPr>
                <w:p w14:paraId="3CD72218">
                  <w:pPr>
                    <w:jc w:val="center"/>
                    <w:rPr>
                      <w:szCs w:val="21"/>
                    </w:rPr>
                  </w:pPr>
                  <w:r>
                    <w:rPr>
                      <w:szCs w:val="21"/>
                    </w:rPr>
                    <w:t>1.0</w:t>
                  </w:r>
                </w:p>
              </w:tc>
              <w:tc>
                <w:tcPr>
                  <w:tcW w:w="1250" w:type="pct"/>
                  <w:shd w:val="clear" w:color="auto" w:fill="auto"/>
                  <w:vAlign w:val="center"/>
                </w:tcPr>
                <w:p w14:paraId="72F0BD9B">
                  <w:pPr>
                    <w:jc w:val="center"/>
                    <w:rPr>
                      <w:szCs w:val="21"/>
                    </w:rPr>
                  </w:pPr>
                  <w:r>
                    <w:rPr>
                      <w:szCs w:val="21"/>
                    </w:rPr>
                    <w:t>座位≤19座的客车和载</w:t>
                  </w:r>
                  <w:r>
                    <w:rPr>
                      <w:rFonts w:hint="eastAsia"/>
                      <w:szCs w:val="21"/>
                    </w:rPr>
                    <w:t>重</w:t>
                  </w:r>
                  <w:r>
                    <w:rPr>
                      <w:szCs w:val="21"/>
                    </w:rPr>
                    <w:t>量≤2t的货车</w:t>
                  </w:r>
                </w:p>
              </w:tc>
              <w:tc>
                <w:tcPr>
                  <w:tcW w:w="1250" w:type="pct"/>
                  <w:shd w:val="clear" w:color="auto" w:fill="auto"/>
                  <w:vAlign w:val="center"/>
                </w:tcPr>
                <w:p w14:paraId="053AB801">
                  <w:pPr>
                    <w:jc w:val="center"/>
                    <w:rPr>
                      <w:szCs w:val="21"/>
                    </w:rPr>
                  </w:pPr>
                  <w:r>
                    <w:rPr>
                      <w:szCs w:val="21"/>
                    </w:rPr>
                    <w:t>小客车</w:t>
                  </w:r>
                </w:p>
              </w:tc>
            </w:tr>
            <w:tr w14:paraId="5A5DC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shd w:val="clear" w:color="auto" w:fill="auto"/>
                  <w:vAlign w:val="center"/>
                </w:tcPr>
                <w:p w14:paraId="2D2FE056">
                  <w:pPr>
                    <w:jc w:val="center"/>
                    <w:rPr>
                      <w:szCs w:val="21"/>
                    </w:rPr>
                  </w:pPr>
                  <w:r>
                    <w:rPr>
                      <w:szCs w:val="21"/>
                    </w:rPr>
                    <w:t>中型车</w:t>
                  </w:r>
                </w:p>
              </w:tc>
              <w:tc>
                <w:tcPr>
                  <w:tcW w:w="1250" w:type="pct"/>
                  <w:shd w:val="clear" w:color="auto" w:fill="auto"/>
                  <w:vAlign w:val="center"/>
                </w:tcPr>
                <w:p w14:paraId="58835859">
                  <w:pPr>
                    <w:jc w:val="center"/>
                    <w:rPr>
                      <w:szCs w:val="21"/>
                    </w:rPr>
                  </w:pPr>
                  <w:r>
                    <w:rPr>
                      <w:szCs w:val="21"/>
                    </w:rPr>
                    <w:t>1.5</w:t>
                  </w:r>
                </w:p>
              </w:tc>
              <w:tc>
                <w:tcPr>
                  <w:tcW w:w="1250" w:type="pct"/>
                  <w:shd w:val="clear" w:color="auto" w:fill="auto"/>
                  <w:vAlign w:val="center"/>
                </w:tcPr>
                <w:p w14:paraId="37ADAC66">
                  <w:pPr>
                    <w:jc w:val="center"/>
                    <w:rPr>
                      <w:szCs w:val="21"/>
                    </w:rPr>
                  </w:pPr>
                  <w:r>
                    <w:rPr>
                      <w:szCs w:val="21"/>
                    </w:rPr>
                    <w:t>座位＞19座的客车和2t＜</w:t>
                  </w:r>
                  <w:r>
                    <w:rPr>
                      <w:rFonts w:hint="eastAsia"/>
                      <w:szCs w:val="21"/>
                    </w:rPr>
                    <w:t>载重量</w:t>
                  </w:r>
                  <w:r>
                    <w:rPr>
                      <w:szCs w:val="21"/>
                    </w:rPr>
                    <w:t>≤7t的货车</w:t>
                  </w:r>
                </w:p>
              </w:tc>
              <w:tc>
                <w:tcPr>
                  <w:tcW w:w="1250" w:type="pct"/>
                  <w:shd w:val="clear" w:color="auto" w:fill="auto"/>
                  <w:vAlign w:val="center"/>
                </w:tcPr>
                <w:p w14:paraId="63333A0B">
                  <w:pPr>
                    <w:jc w:val="center"/>
                    <w:rPr>
                      <w:szCs w:val="21"/>
                    </w:rPr>
                  </w:pPr>
                  <w:r>
                    <w:rPr>
                      <w:szCs w:val="21"/>
                    </w:rPr>
                    <w:t>中型车</w:t>
                  </w:r>
                </w:p>
              </w:tc>
            </w:tr>
            <w:tr w14:paraId="7EC03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shd w:val="clear" w:color="auto" w:fill="auto"/>
                  <w:vAlign w:val="center"/>
                </w:tcPr>
                <w:p w14:paraId="72C0509C">
                  <w:pPr>
                    <w:jc w:val="center"/>
                    <w:rPr>
                      <w:szCs w:val="21"/>
                    </w:rPr>
                  </w:pPr>
                  <w:r>
                    <w:rPr>
                      <w:szCs w:val="21"/>
                    </w:rPr>
                    <w:t>大型车</w:t>
                  </w:r>
                </w:p>
              </w:tc>
              <w:tc>
                <w:tcPr>
                  <w:tcW w:w="1250" w:type="pct"/>
                  <w:shd w:val="clear" w:color="auto" w:fill="auto"/>
                  <w:vAlign w:val="center"/>
                </w:tcPr>
                <w:p w14:paraId="3E63A08C">
                  <w:pPr>
                    <w:jc w:val="center"/>
                    <w:rPr>
                      <w:szCs w:val="21"/>
                    </w:rPr>
                  </w:pPr>
                  <w:r>
                    <w:rPr>
                      <w:szCs w:val="21"/>
                    </w:rPr>
                    <w:t>2.5</w:t>
                  </w:r>
                </w:p>
              </w:tc>
              <w:tc>
                <w:tcPr>
                  <w:tcW w:w="1250" w:type="pct"/>
                  <w:shd w:val="clear" w:color="auto" w:fill="auto"/>
                  <w:vAlign w:val="center"/>
                </w:tcPr>
                <w:p w14:paraId="2B71DA7B">
                  <w:pPr>
                    <w:jc w:val="center"/>
                    <w:rPr>
                      <w:szCs w:val="21"/>
                    </w:rPr>
                  </w:pPr>
                  <w:r>
                    <w:rPr>
                      <w:szCs w:val="21"/>
                    </w:rPr>
                    <w:t>7t＜</w:t>
                  </w:r>
                  <w:r>
                    <w:rPr>
                      <w:rFonts w:hint="eastAsia"/>
                      <w:szCs w:val="21"/>
                    </w:rPr>
                    <w:t>载重量</w:t>
                  </w:r>
                  <w:r>
                    <w:rPr>
                      <w:szCs w:val="21"/>
                    </w:rPr>
                    <w:t>≤20t的货车</w:t>
                  </w:r>
                </w:p>
              </w:tc>
              <w:tc>
                <w:tcPr>
                  <w:tcW w:w="1250" w:type="pct"/>
                  <w:shd w:val="clear" w:color="auto" w:fill="auto"/>
                  <w:vAlign w:val="center"/>
                </w:tcPr>
                <w:p w14:paraId="30DDCDBB">
                  <w:pPr>
                    <w:jc w:val="center"/>
                    <w:rPr>
                      <w:szCs w:val="21"/>
                    </w:rPr>
                  </w:pPr>
                  <w:r>
                    <w:rPr>
                      <w:szCs w:val="21"/>
                    </w:rPr>
                    <w:t>大型车</w:t>
                  </w:r>
                </w:p>
              </w:tc>
            </w:tr>
            <w:tr w14:paraId="6D5A1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shd w:val="clear" w:color="auto" w:fill="auto"/>
                  <w:vAlign w:val="center"/>
                </w:tcPr>
                <w:p w14:paraId="33B9847F">
                  <w:pPr>
                    <w:jc w:val="center"/>
                    <w:rPr>
                      <w:szCs w:val="21"/>
                    </w:rPr>
                  </w:pPr>
                  <w:r>
                    <w:rPr>
                      <w:rFonts w:hint="eastAsia"/>
                      <w:szCs w:val="21"/>
                    </w:rPr>
                    <w:t>汽车列车</w:t>
                  </w:r>
                </w:p>
              </w:tc>
              <w:tc>
                <w:tcPr>
                  <w:tcW w:w="1250" w:type="pct"/>
                  <w:shd w:val="clear" w:color="auto" w:fill="auto"/>
                  <w:vAlign w:val="center"/>
                </w:tcPr>
                <w:p w14:paraId="2049A428">
                  <w:pPr>
                    <w:jc w:val="center"/>
                    <w:rPr>
                      <w:szCs w:val="21"/>
                    </w:rPr>
                  </w:pPr>
                  <w:r>
                    <w:rPr>
                      <w:rFonts w:hint="eastAsia"/>
                      <w:szCs w:val="21"/>
                    </w:rPr>
                    <w:t>4</w:t>
                  </w:r>
                  <w:r>
                    <w:rPr>
                      <w:szCs w:val="21"/>
                    </w:rPr>
                    <w:t>.0</w:t>
                  </w:r>
                </w:p>
              </w:tc>
              <w:tc>
                <w:tcPr>
                  <w:tcW w:w="1250" w:type="pct"/>
                  <w:shd w:val="clear" w:color="auto" w:fill="auto"/>
                  <w:vAlign w:val="center"/>
                </w:tcPr>
                <w:p w14:paraId="3C0B81D1">
                  <w:pPr>
                    <w:jc w:val="center"/>
                    <w:rPr>
                      <w:szCs w:val="21"/>
                    </w:rPr>
                  </w:pPr>
                  <w:r>
                    <w:rPr>
                      <w:rFonts w:hint="eastAsia"/>
                      <w:szCs w:val="21"/>
                    </w:rPr>
                    <w:t>载重量＞2</w:t>
                  </w:r>
                  <w:r>
                    <w:rPr>
                      <w:szCs w:val="21"/>
                    </w:rPr>
                    <w:t>0t</w:t>
                  </w:r>
                  <w:r>
                    <w:rPr>
                      <w:rFonts w:hint="eastAsia"/>
                      <w:szCs w:val="21"/>
                    </w:rPr>
                    <w:t>的货车</w:t>
                  </w:r>
                </w:p>
              </w:tc>
              <w:tc>
                <w:tcPr>
                  <w:tcW w:w="1250" w:type="pct"/>
                  <w:shd w:val="clear" w:color="auto" w:fill="auto"/>
                  <w:vAlign w:val="center"/>
                </w:tcPr>
                <w:p w14:paraId="3711A505">
                  <w:pPr>
                    <w:jc w:val="center"/>
                    <w:rPr>
                      <w:szCs w:val="21"/>
                    </w:rPr>
                  </w:pPr>
                </w:p>
              </w:tc>
            </w:tr>
          </w:tbl>
          <w:p w14:paraId="16D22D2E">
            <w:pPr>
              <w:autoSpaceDE w:val="0"/>
              <w:autoSpaceDN w:val="0"/>
              <w:adjustRightInd w:val="0"/>
              <w:spacing w:before="120" w:beforeLines="50" w:line="360" w:lineRule="auto"/>
              <w:jc w:val="center"/>
              <w:rPr>
                <w:b/>
                <w:bCs/>
                <w:kern w:val="0"/>
                <w:szCs w:val="21"/>
              </w:rPr>
            </w:pPr>
            <w:r>
              <w:rPr>
                <w:b/>
                <w:bCs/>
                <w:kern w:val="0"/>
                <w:szCs w:val="21"/>
              </w:rPr>
              <w:t>表2-</w:t>
            </w:r>
            <w:r>
              <w:rPr>
                <w:rFonts w:hint="eastAsia"/>
                <w:b/>
                <w:bCs/>
                <w:kern w:val="0"/>
                <w:szCs w:val="21"/>
              </w:rPr>
              <w:t>7</w:t>
            </w:r>
            <w:r>
              <w:rPr>
                <w:b/>
                <w:bCs/>
                <w:kern w:val="0"/>
                <w:szCs w:val="21"/>
              </w:rPr>
              <w:t xml:space="preserve"> 项目建成通车后各个车型分类标准及所占比例</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8"/>
              <w:gridCol w:w="1948"/>
              <w:gridCol w:w="1949"/>
              <w:gridCol w:w="1949"/>
              <w:gridCol w:w="1949"/>
            </w:tblGrid>
            <w:tr w14:paraId="292D0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shd w:val="clear" w:color="auto" w:fill="auto"/>
                  <w:vAlign w:val="center"/>
                </w:tcPr>
                <w:p w14:paraId="1ADE0BC3">
                  <w:pPr>
                    <w:jc w:val="center"/>
                    <w:rPr>
                      <w:b/>
                      <w:bCs/>
                      <w:szCs w:val="21"/>
                    </w:rPr>
                  </w:pPr>
                  <w:r>
                    <w:rPr>
                      <w:b/>
                      <w:bCs/>
                      <w:szCs w:val="21"/>
                      <w:lang w:bidi="ar"/>
                    </w:rPr>
                    <w:t>车型</w:t>
                  </w:r>
                </w:p>
              </w:tc>
              <w:tc>
                <w:tcPr>
                  <w:tcW w:w="1000" w:type="pct"/>
                  <w:shd w:val="clear" w:color="auto" w:fill="auto"/>
                  <w:vAlign w:val="center"/>
                </w:tcPr>
                <w:p w14:paraId="4B1F8F70">
                  <w:pPr>
                    <w:jc w:val="center"/>
                    <w:rPr>
                      <w:b/>
                      <w:bCs/>
                      <w:szCs w:val="21"/>
                    </w:rPr>
                  </w:pPr>
                  <w:r>
                    <w:rPr>
                      <w:b/>
                      <w:bCs/>
                      <w:szCs w:val="21"/>
                      <w:lang w:bidi="ar"/>
                    </w:rPr>
                    <w:t>小型车</w:t>
                  </w:r>
                </w:p>
              </w:tc>
              <w:tc>
                <w:tcPr>
                  <w:tcW w:w="1000" w:type="pct"/>
                  <w:shd w:val="clear" w:color="auto" w:fill="auto"/>
                  <w:vAlign w:val="center"/>
                </w:tcPr>
                <w:p w14:paraId="6E5D47EE">
                  <w:pPr>
                    <w:jc w:val="center"/>
                    <w:rPr>
                      <w:b/>
                      <w:bCs/>
                      <w:szCs w:val="21"/>
                    </w:rPr>
                  </w:pPr>
                  <w:r>
                    <w:rPr>
                      <w:b/>
                      <w:bCs/>
                      <w:szCs w:val="21"/>
                      <w:lang w:bidi="ar"/>
                    </w:rPr>
                    <w:t>中型车</w:t>
                  </w:r>
                </w:p>
              </w:tc>
              <w:tc>
                <w:tcPr>
                  <w:tcW w:w="1000" w:type="pct"/>
                  <w:shd w:val="clear" w:color="auto" w:fill="auto"/>
                  <w:vAlign w:val="center"/>
                </w:tcPr>
                <w:p w14:paraId="5B01E8A6">
                  <w:pPr>
                    <w:jc w:val="center"/>
                    <w:rPr>
                      <w:b/>
                      <w:bCs/>
                      <w:szCs w:val="21"/>
                    </w:rPr>
                  </w:pPr>
                  <w:r>
                    <w:rPr>
                      <w:b/>
                      <w:bCs/>
                      <w:szCs w:val="21"/>
                      <w:lang w:bidi="ar"/>
                    </w:rPr>
                    <w:t>大型车</w:t>
                  </w:r>
                </w:p>
              </w:tc>
              <w:tc>
                <w:tcPr>
                  <w:tcW w:w="1000" w:type="pct"/>
                  <w:vAlign w:val="center"/>
                </w:tcPr>
                <w:p w14:paraId="59B58F96">
                  <w:pPr>
                    <w:jc w:val="center"/>
                    <w:rPr>
                      <w:b/>
                      <w:bCs/>
                      <w:szCs w:val="21"/>
                      <w:lang w:bidi="ar"/>
                    </w:rPr>
                  </w:pPr>
                  <w:r>
                    <w:rPr>
                      <w:rFonts w:hint="eastAsia"/>
                      <w:b/>
                      <w:bCs/>
                      <w:szCs w:val="21"/>
                    </w:rPr>
                    <w:t>汽车列车</w:t>
                  </w:r>
                </w:p>
              </w:tc>
            </w:tr>
            <w:tr w14:paraId="2FA77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shd w:val="clear" w:color="auto" w:fill="auto"/>
                  <w:vAlign w:val="center"/>
                </w:tcPr>
                <w:p w14:paraId="6F69661E">
                  <w:pPr>
                    <w:jc w:val="center"/>
                    <w:rPr>
                      <w:szCs w:val="21"/>
                    </w:rPr>
                  </w:pPr>
                  <w:r>
                    <w:rPr>
                      <w:szCs w:val="21"/>
                      <w:lang w:bidi="ar"/>
                    </w:rPr>
                    <w:t>车型占比</w:t>
                  </w:r>
                </w:p>
              </w:tc>
              <w:tc>
                <w:tcPr>
                  <w:tcW w:w="1000" w:type="pct"/>
                  <w:shd w:val="clear" w:color="auto" w:fill="auto"/>
                  <w:vAlign w:val="center"/>
                </w:tcPr>
                <w:p w14:paraId="22180F52">
                  <w:pPr>
                    <w:jc w:val="center"/>
                    <w:rPr>
                      <w:szCs w:val="21"/>
                    </w:rPr>
                  </w:pPr>
                  <w:r>
                    <w:rPr>
                      <w:rFonts w:hint="eastAsia"/>
                      <w:szCs w:val="21"/>
                    </w:rPr>
                    <w:t>72.5</w:t>
                  </w:r>
                  <w:r>
                    <w:rPr>
                      <w:szCs w:val="21"/>
                    </w:rPr>
                    <w:t>%</w:t>
                  </w:r>
                </w:p>
              </w:tc>
              <w:tc>
                <w:tcPr>
                  <w:tcW w:w="1000" w:type="pct"/>
                  <w:shd w:val="clear" w:color="auto" w:fill="auto"/>
                  <w:vAlign w:val="center"/>
                </w:tcPr>
                <w:p w14:paraId="22D83C46">
                  <w:pPr>
                    <w:jc w:val="center"/>
                    <w:rPr>
                      <w:szCs w:val="21"/>
                    </w:rPr>
                  </w:pPr>
                  <w:r>
                    <w:rPr>
                      <w:rFonts w:hint="eastAsia"/>
                      <w:szCs w:val="21"/>
                    </w:rPr>
                    <w:t>23.7</w:t>
                  </w:r>
                  <w:r>
                    <w:rPr>
                      <w:szCs w:val="21"/>
                    </w:rPr>
                    <w:t>%</w:t>
                  </w:r>
                </w:p>
              </w:tc>
              <w:tc>
                <w:tcPr>
                  <w:tcW w:w="1000" w:type="pct"/>
                  <w:shd w:val="clear" w:color="auto" w:fill="auto"/>
                  <w:vAlign w:val="center"/>
                </w:tcPr>
                <w:p w14:paraId="66B9C699">
                  <w:pPr>
                    <w:jc w:val="center"/>
                    <w:rPr>
                      <w:szCs w:val="21"/>
                    </w:rPr>
                  </w:pPr>
                  <w:r>
                    <w:rPr>
                      <w:rFonts w:hint="eastAsia"/>
                      <w:szCs w:val="21"/>
                    </w:rPr>
                    <w:t>3.5</w:t>
                  </w:r>
                  <w:r>
                    <w:rPr>
                      <w:szCs w:val="21"/>
                    </w:rPr>
                    <w:t>%</w:t>
                  </w:r>
                </w:p>
              </w:tc>
              <w:tc>
                <w:tcPr>
                  <w:tcW w:w="1000" w:type="pct"/>
                  <w:vAlign w:val="center"/>
                </w:tcPr>
                <w:p w14:paraId="02B7796F">
                  <w:pPr>
                    <w:jc w:val="center"/>
                    <w:rPr>
                      <w:szCs w:val="21"/>
                    </w:rPr>
                  </w:pPr>
                  <w:r>
                    <w:rPr>
                      <w:rFonts w:hint="eastAsia"/>
                      <w:szCs w:val="21"/>
                    </w:rPr>
                    <w:t>0.3%</w:t>
                  </w:r>
                </w:p>
              </w:tc>
            </w:tr>
          </w:tbl>
          <w:p w14:paraId="1CFF6BC6">
            <w:pPr>
              <w:spacing w:line="500" w:lineRule="exact"/>
              <w:ind w:firstLine="420" w:firstLineChars="200"/>
              <w:jc w:val="left"/>
              <w:rPr>
                <w:szCs w:val="21"/>
              </w:rPr>
            </w:pPr>
            <w:r>
              <w:rPr>
                <w:rFonts w:hint="eastAsia"/>
                <w:szCs w:val="21"/>
              </w:rPr>
              <w:t>根据其折算系数对预测车流量进行转换，各型车自然车流量(单位:辆/日)按照下列公式计算：</w:t>
            </w:r>
          </w:p>
          <w:p w14:paraId="54534411">
            <w:pPr>
              <w:jc w:val="center"/>
              <w:rPr>
                <w:szCs w:val="21"/>
              </w:rPr>
            </w:pPr>
            <w:r>
              <w:rPr>
                <w:szCs w:val="21"/>
              </w:rPr>
              <w:drawing>
                <wp:inline distT="0" distB="0" distL="0" distR="0">
                  <wp:extent cx="1424305" cy="523875"/>
                  <wp:effectExtent l="0" t="0" r="4445" b="9525"/>
                  <wp:docPr id="4626978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697818" name="图片 1"/>
                          <pic:cNvPicPr>
                            <a:picLocks noChangeAspect="1"/>
                          </pic:cNvPicPr>
                        </pic:nvPicPr>
                        <pic:blipFill>
                          <a:blip r:embed="rId18"/>
                          <a:stretch>
                            <a:fillRect/>
                          </a:stretch>
                        </pic:blipFill>
                        <pic:spPr>
                          <a:xfrm>
                            <a:off x="0" y="0"/>
                            <a:ext cx="1445037" cy="531509"/>
                          </a:xfrm>
                          <a:prstGeom prst="rect">
                            <a:avLst/>
                          </a:prstGeom>
                        </pic:spPr>
                      </pic:pic>
                    </a:graphicData>
                  </a:graphic>
                </wp:inline>
              </w:drawing>
            </w:r>
          </w:p>
          <w:p w14:paraId="00CE71C0">
            <w:pPr>
              <w:spacing w:line="500" w:lineRule="exact"/>
              <w:ind w:firstLine="420" w:firstLineChars="200"/>
              <w:jc w:val="left"/>
              <w:rPr>
                <w:szCs w:val="21"/>
              </w:rPr>
            </w:pPr>
            <w:r>
              <w:rPr>
                <w:rFonts w:hint="eastAsia"/>
                <w:szCs w:val="21"/>
              </w:rPr>
              <w:t>式中：Nd—日均自然车流量，辆/d；</w:t>
            </w:r>
          </w:p>
          <w:p w14:paraId="56F91825">
            <w:pPr>
              <w:spacing w:line="500" w:lineRule="exact"/>
              <w:ind w:firstLine="420" w:firstLineChars="200"/>
              <w:jc w:val="left"/>
              <w:rPr>
                <w:szCs w:val="21"/>
              </w:rPr>
            </w:pPr>
            <w:r>
              <w:rPr>
                <w:szCs w:val="21"/>
              </w:rPr>
              <w:t>N</w:t>
            </w:r>
            <w:r>
              <w:rPr>
                <w:rFonts w:hint="eastAsia"/>
                <w:szCs w:val="21"/>
              </w:rPr>
              <w:t>p—路段涉及日均车流量，pcu/d；</w:t>
            </w:r>
          </w:p>
          <w:p w14:paraId="0135CE6F">
            <w:pPr>
              <w:spacing w:line="500" w:lineRule="exact"/>
              <w:ind w:firstLine="420" w:firstLineChars="200"/>
              <w:jc w:val="left"/>
              <w:rPr>
                <w:szCs w:val="21"/>
              </w:rPr>
            </w:pPr>
            <w:r>
              <w:rPr>
                <w:rFonts w:hint="eastAsia"/>
                <w:szCs w:val="21"/>
              </w:rPr>
              <w:t>αi—第i型车的车辆折算系数，无量纲；</w:t>
            </w:r>
          </w:p>
          <w:p w14:paraId="38B560FD">
            <w:pPr>
              <w:spacing w:line="500" w:lineRule="exact"/>
              <w:ind w:firstLine="420" w:firstLineChars="200"/>
              <w:jc w:val="left"/>
              <w:rPr>
                <w:szCs w:val="21"/>
              </w:rPr>
            </w:pPr>
            <w:r>
              <w:rPr>
                <w:rFonts w:hint="eastAsia"/>
                <w:szCs w:val="21"/>
              </w:rPr>
              <w:t>βi—第i型车的自然车流量比例，%；</w:t>
            </w:r>
          </w:p>
          <w:p w14:paraId="20EA942A">
            <w:pPr>
              <w:spacing w:line="500" w:lineRule="exact"/>
              <w:ind w:firstLine="420" w:firstLineChars="200"/>
              <w:jc w:val="left"/>
              <w:rPr>
                <w:szCs w:val="21"/>
              </w:rPr>
            </w:pPr>
            <w:r>
              <w:rPr>
                <w:rFonts w:hint="eastAsia"/>
                <w:szCs w:val="21"/>
              </w:rPr>
              <w:t>由上式计算可得，本项目各类机动车日均自然车流量见下表。</w:t>
            </w:r>
          </w:p>
          <w:p w14:paraId="6204DE12">
            <w:pPr>
              <w:autoSpaceDE w:val="0"/>
              <w:autoSpaceDN w:val="0"/>
              <w:adjustRightInd w:val="0"/>
              <w:spacing w:line="500" w:lineRule="exact"/>
              <w:jc w:val="center"/>
              <w:rPr>
                <w:b/>
                <w:bCs/>
                <w:kern w:val="0"/>
                <w:szCs w:val="21"/>
              </w:rPr>
            </w:pPr>
            <w:r>
              <w:rPr>
                <w:b/>
                <w:bCs/>
                <w:kern w:val="0"/>
                <w:szCs w:val="21"/>
              </w:rPr>
              <w:t>表2-</w:t>
            </w:r>
            <w:r>
              <w:rPr>
                <w:rFonts w:hint="eastAsia"/>
                <w:b/>
                <w:bCs/>
                <w:kern w:val="0"/>
                <w:szCs w:val="21"/>
              </w:rPr>
              <w:t>8</w:t>
            </w:r>
            <w:r>
              <w:rPr>
                <w:b/>
                <w:bCs/>
                <w:kern w:val="0"/>
                <w:szCs w:val="21"/>
              </w:rPr>
              <w:t xml:space="preserve"> 项目</w:t>
            </w:r>
            <w:r>
              <w:rPr>
                <w:rFonts w:hint="eastAsia"/>
                <w:b/>
                <w:bCs/>
                <w:kern w:val="0"/>
                <w:szCs w:val="21"/>
              </w:rPr>
              <w:t>日均自然车流量</w:t>
            </w:r>
            <w:r>
              <w:rPr>
                <w:b/>
                <w:bCs/>
                <w:kern w:val="0"/>
                <w:szCs w:val="21"/>
              </w:rPr>
              <w:t>（单位：</w:t>
            </w:r>
            <w:r>
              <w:rPr>
                <w:rFonts w:hint="eastAsia"/>
                <w:b/>
                <w:bCs/>
                <w:kern w:val="0"/>
                <w:szCs w:val="21"/>
              </w:rPr>
              <w:t>俩</w:t>
            </w:r>
            <w:r>
              <w:rPr>
                <w:b/>
                <w:bCs/>
                <w:kern w:val="0"/>
                <w:szCs w:val="21"/>
              </w:rPr>
              <w:t>/d）</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8"/>
              <w:gridCol w:w="2243"/>
              <w:gridCol w:w="2385"/>
              <w:gridCol w:w="2077"/>
            </w:tblGrid>
            <w:tr w14:paraId="67DF73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59" w:type="pct"/>
                  <w:vAlign w:val="center"/>
                </w:tcPr>
                <w:p w14:paraId="6ED85245">
                  <w:pPr>
                    <w:jc w:val="center"/>
                    <w:rPr>
                      <w:b/>
                      <w:bCs/>
                      <w:szCs w:val="21"/>
                    </w:rPr>
                  </w:pPr>
                  <w:r>
                    <w:rPr>
                      <w:b/>
                      <w:bCs/>
                      <w:szCs w:val="21"/>
                      <w:lang w:bidi="ar"/>
                    </w:rPr>
                    <w:t>道路名称</w:t>
                  </w:r>
                </w:p>
              </w:tc>
              <w:tc>
                <w:tcPr>
                  <w:tcW w:w="1151" w:type="pct"/>
                  <w:vAlign w:val="center"/>
                </w:tcPr>
                <w:p w14:paraId="59835B31">
                  <w:pPr>
                    <w:jc w:val="center"/>
                    <w:rPr>
                      <w:b/>
                      <w:bCs/>
                      <w:szCs w:val="21"/>
                    </w:rPr>
                  </w:pPr>
                  <w:r>
                    <w:rPr>
                      <w:b/>
                      <w:bCs/>
                      <w:szCs w:val="21"/>
                      <w:lang w:bidi="ar"/>
                    </w:rPr>
                    <w:t>202</w:t>
                  </w:r>
                  <w:r>
                    <w:rPr>
                      <w:rFonts w:hint="eastAsia"/>
                      <w:b/>
                      <w:bCs/>
                      <w:szCs w:val="21"/>
                      <w:lang w:bidi="ar"/>
                    </w:rPr>
                    <w:t>6</w:t>
                  </w:r>
                  <w:r>
                    <w:rPr>
                      <w:b/>
                      <w:bCs/>
                      <w:szCs w:val="21"/>
                      <w:lang w:bidi="ar"/>
                    </w:rPr>
                    <w:t>年</w:t>
                  </w:r>
                </w:p>
              </w:tc>
              <w:tc>
                <w:tcPr>
                  <w:tcW w:w="1224" w:type="pct"/>
                  <w:vAlign w:val="center"/>
                </w:tcPr>
                <w:p w14:paraId="7FF441D9">
                  <w:pPr>
                    <w:jc w:val="center"/>
                    <w:rPr>
                      <w:b/>
                      <w:bCs/>
                      <w:szCs w:val="21"/>
                    </w:rPr>
                  </w:pPr>
                  <w:r>
                    <w:rPr>
                      <w:b/>
                      <w:bCs/>
                      <w:szCs w:val="21"/>
                      <w:lang w:bidi="ar"/>
                    </w:rPr>
                    <w:t>203</w:t>
                  </w:r>
                  <w:r>
                    <w:rPr>
                      <w:rFonts w:hint="eastAsia"/>
                      <w:b/>
                      <w:bCs/>
                      <w:szCs w:val="21"/>
                      <w:lang w:bidi="ar"/>
                    </w:rPr>
                    <w:t>2</w:t>
                  </w:r>
                  <w:r>
                    <w:rPr>
                      <w:b/>
                      <w:bCs/>
                      <w:szCs w:val="21"/>
                      <w:lang w:bidi="ar"/>
                    </w:rPr>
                    <w:t>年</w:t>
                  </w:r>
                </w:p>
              </w:tc>
              <w:tc>
                <w:tcPr>
                  <w:tcW w:w="1066" w:type="pct"/>
                  <w:vAlign w:val="center"/>
                </w:tcPr>
                <w:p w14:paraId="6D9A4594">
                  <w:pPr>
                    <w:jc w:val="center"/>
                    <w:rPr>
                      <w:b/>
                      <w:bCs/>
                      <w:szCs w:val="21"/>
                    </w:rPr>
                  </w:pPr>
                  <w:r>
                    <w:rPr>
                      <w:b/>
                      <w:bCs/>
                      <w:szCs w:val="21"/>
                      <w:lang w:bidi="ar"/>
                    </w:rPr>
                    <w:t>20</w:t>
                  </w:r>
                  <w:r>
                    <w:rPr>
                      <w:rFonts w:hint="eastAsia"/>
                      <w:b/>
                      <w:bCs/>
                      <w:szCs w:val="21"/>
                      <w:lang w:bidi="ar"/>
                    </w:rPr>
                    <w:t>40</w:t>
                  </w:r>
                  <w:r>
                    <w:rPr>
                      <w:b/>
                      <w:bCs/>
                      <w:szCs w:val="21"/>
                      <w:lang w:bidi="ar"/>
                    </w:rPr>
                    <w:t>年</w:t>
                  </w:r>
                </w:p>
              </w:tc>
            </w:tr>
            <w:tr w14:paraId="34A33BD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59" w:type="pct"/>
                  <w:vAlign w:val="center"/>
                </w:tcPr>
                <w:p w14:paraId="51EBAEB4">
                  <w:pPr>
                    <w:jc w:val="center"/>
                    <w:rPr>
                      <w:szCs w:val="21"/>
                    </w:rPr>
                  </w:pPr>
                  <w:r>
                    <w:rPr>
                      <w:rFonts w:hint="eastAsia" w:ascii="宋体" w:hAnsi="宋体" w:cs="宋体"/>
                      <w:szCs w:val="21"/>
                    </w:rPr>
                    <w:t>体育大道东延段</w:t>
                  </w:r>
                </w:p>
              </w:tc>
              <w:tc>
                <w:tcPr>
                  <w:tcW w:w="1151" w:type="pct"/>
                  <w:vAlign w:val="center"/>
                </w:tcPr>
                <w:p w14:paraId="7E475463">
                  <w:pPr>
                    <w:jc w:val="center"/>
                    <w:rPr>
                      <w:szCs w:val="21"/>
                    </w:rPr>
                  </w:pPr>
                  <w:r>
                    <w:rPr>
                      <w:szCs w:val="21"/>
                    </w:rPr>
                    <w:t>23948</w:t>
                  </w:r>
                </w:p>
              </w:tc>
              <w:tc>
                <w:tcPr>
                  <w:tcW w:w="1224" w:type="pct"/>
                  <w:vAlign w:val="center"/>
                </w:tcPr>
                <w:p w14:paraId="05A475E6">
                  <w:pPr>
                    <w:jc w:val="center"/>
                    <w:rPr>
                      <w:szCs w:val="21"/>
                    </w:rPr>
                  </w:pPr>
                  <w:r>
                    <w:rPr>
                      <w:szCs w:val="21"/>
                    </w:rPr>
                    <w:t>34093</w:t>
                  </w:r>
                </w:p>
              </w:tc>
              <w:tc>
                <w:tcPr>
                  <w:tcW w:w="1066" w:type="pct"/>
                  <w:vAlign w:val="center"/>
                </w:tcPr>
                <w:p w14:paraId="31EB8C32">
                  <w:pPr>
                    <w:jc w:val="center"/>
                    <w:rPr>
                      <w:szCs w:val="21"/>
                    </w:rPr>
                  </w:pPr>
                  <w:r>
                    <w:rPr>
                      <w:rFonts w:hint="eastAsia"/>
                      <w:szCs w:val="21"/>
                    </w:rPr>
                    <w:t>51511</w:t>
                  </w:r>
                </w:p>
              </w:tc>
            </w:tr>
          </w:tbl>
          <w:p w14:paraId="446282F3">
            <w:pPr>
              <w:spacing w:line="500" w:lineRule="exact"/>
              <w:ind w:firstLine="420" w:firstLineChars="200"/>
              <w:jc w:val="left"/>
              <w:rPr>
                <w:szCs w:val="21"/>
              </w:rPr>
            </w:pPr>
            <w:r>
              <w:rPr>
                <w:rFonts w:hint="eastAsia"/>
                <w:szCs w:val="21"/>
              </w:rPr>
              <w:t>根据设计提供的资料，昼间（16 小时）小时车流量占全日交通量的90%，夜间（8小时，指22：00～6：00时间段）的车流量占全日交通量的10%，高峰小时车流量占全日交通量的10%计算</w:t>
            </w:r>
            <w:r>
              <w:rPr>
                <w:szCs w:val="21"/>
              </w:rPr>
              <w:t>。</w:t>
            </w:r>
          </w:p>
          <w:p w14:paraId="084182F0">
            <w:pPr>
              <w:spacing w:line="500" w:lineRule="exact"/>
              <w:ind w:firstLine="420" w:firstLineChars="200"/>
              <w:jc w:val="left"/>
              <w:rPr>
                <w:szCs w:val="21"/>
              </w:rPr>
            </w:pPr>
            <w:r>
              <w:rPr>
                <w:szCs w:val="21"/>
              </w:rPr>
              <w:t>由上述设计车流量、车型比例及车型换算系数，计算得到项目各预测年各类型车高峰小时、昼间平均及夜间平均车流量见</w:t>
            </w:r>
            <w:r>
              <w:rPr>
                <w:rFonts w:hint="eastAsia"/>
                <w:szCs w:val="21"/>
              </w:rPr>
              <w:t>下表</w:t>
            </w:r>
            <w:r>
              <w:rPr>
                <w:szCs w:val="21"/>
              </w:rPr>
              <w:t>。</w:t>
            </w:r>
          </w:p>
          <w:p w14:paraId="794C9413">
            <w:pPr>
              <w:autoSpaceDE w:val="0"/>
              <w:autoSpaceDN w:val="0"/>
              <w:adjustRightInd w:val="0"/>
              <w:spacing w:line="500" w:lineRule="exact"/>
              <w:jc w:val="center"/>
              <w:rPr>
                <w:b/>
                <w:bCs/>
                <w:kern w:val="0"/>
                <w:szCs w:val="21"/>
              </w:rPr>
            </w:pPr>
            <w:r>
              <w:rPr>
                <w:b/>
                <w:bCs/>
                <w:kern w:val="0"/>
                <w:szCs w:val="21"/>
              </w:rPr>
              <w:t>表2-</w:t>
            </w:r>
            <w:r>
              <w:rPr>
                <w:rFonts w:hint="eastAsia"/>
                <w:b/>
                <w:bCs/>
                <w:kern w:val="0"/>
                <w:szCs w:val="21"/>
              </w:rPr>
              <w:t>9</w:t>
            </w:r>
            <w:r>
              <w:rPr>
                <w:b/>
                <w:bCs/>
                <w:kern w:val="0"/>
                <w:szCs w:val="21"/>
              </w:rPr>
              <w:t xml:space="preserve"> 项目各车型的车流量预测结果一览表（辆/小时）</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810"/>
              <w:gridCol w:w="887"/>
              <w:gridCol w:w="853"/>
              <w:gridCol w:w="853"/>
              <w:gridCol w:w="891"/>
              <w:gridCol w:w="852"/>
              <w:gridCol w:w="853"/>
              <w:gridCol w:w="852"/>
              <w:gridCol w:w="852"/>
              <w:gridCol w:w="848"/>
            </w:tblGrid>
            <w:tr w14:paraId="51F18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2" w:type="pct"/>
                  <w:vMerge w:val="restart"/>
                  <w:shd w:val="clear" w:color="auto" w:fill="auto"/>
                  <w:vAlign w:val="center"/>
                </w:tcPr>
                <w:p w14:paraId="0EB09E9B">
                  <w:pPr>
                    <w:jc w:val="center"/>
                    <w:rPr>
                      <w:b/>
                      <w:bCs/>
                      <w:szCs w:val="21"/>
                    </w:rPr>
                  </w:pPr>
                  <w:r>
                    <w:rPr>
                      <w:b/>
                      <w:bCs/>
                      <w:szCs w:val="21"/>
                    </w:rPr>
                    <w:t>路段</w:t>
                  </w:r>
                </w:p>
              </w:tc>
              <w:tc>
                <w:tcPr>
                  <w:tcW w:w="416" w:type="pct"/>
                  <w:vMerge w:val="restart"/>
                  <w:shd w:val="clear" w:color="auto" w:fill="auto"/>
                  <w:vAlign w:val="center"/>
                </w:tcPr>
                <w:p w14:paraId="57A3F8BA">
                  <w:pPr>
                    <w:jc w:val="center"/>
                    <w:rPr>
                      <w:b/>
                      <w:bCs/>
                      <w:szCs w:val="21"/>
                    </w:rPr>
                  </w:pPr>
                  <w:r>
                    <w:rPr>
                      <w:b/>
                      <w:bCs/>
                      <w:szCs w:val="21"/>
                    </w:rPr>
                    <w:t>预测年</w:t>
                  </w:r>
                </w:p>
              </w:tc>
              <w:tc>
                <w:tcPr>
                  <w:tcW w:w="1330" w:type="pct"/>
                  <w:gridSpan w:val="3"/>
                  <w:shd w:val="clear" w:color="auto" w:fill="auto"/>
                  <w:vAlign w:val="center"/>
                </w:tcPr>
                <w:p w14:paraId="71B9798E">
                  <w:pPr>
                    <w:jc w:val="center"/>
                    <w:rPr>
                      <w:b/>
                      <w:bCs/>
                      <w:szCs w:val="21"/>
                    </w:rPr>
                  </w:pPr>
                  <w:r>
                    <w:rPr>
                      <w:b/>
                      <w:bCs/>
                      <w:szCs w:val="21"/>
                    </w:rPr>
                    <w:t>高峰时段</w:t>
                  </w:r>
                </w:p>
              </w:tc>
              <w:tc>
                <w:tcPr>
                  <w:tcW w:w="1331" w:type="pct"/>
                  <w:gridSpan w:val="3"/>
                  <w:shd w:val="clear" w:color="auto" w:fill="auto"/>
                  <w:vAlign w:val="center"/>
                </w:tcPr>
                <w:p w14:paraId="76F6E215">
                  <w:pPr>
                    <w:jc w:val="center"/>
                    <w:rPr>
                      <w:b/>
                      <w:bCs/>
                      <w:szCs w:val="21"/>
                    </w:rPr>
                  </w:pPr>
                  <w:r>
                    <w:rPr>
                      <w:b/>
                      <w:bCs/>
                      <w:kern w:val="0"/>
                      <w:szCs w:val="21"/>
                    </w:rPr>
                    <w:t>昼间平均</w:t>
                  </w:r>
                </w:p>
              </w:tc>
              <w:tc>
                <w:tcPr>
                  <w:tcW w:w="1310" w:type="pct"/>
                  <w:gridSpan w:val="3"/>
                  <w:shd w:val="clear" w:color="auto" w:fill="auto"/>
                  <w:vAlign w:val="center"/>
                </w:tcPr>
                <w:p w14:paraId="7D832C7E">
                  <w:pPr>
                    <w:jc w:val="center"/>
                    <w:rPr>
                      <w:b/>
                      <w:bCs/>
                      <w:szCs w:val="21"/>
                    </w:rPr>
                  </w:pPr>
                  <w:r>
                    <w:rPr>
                      <w:b/>
                      <w:bCs/>
                      <w:kern w:val="0"/>
                      <w:szCs w:val="21"/>
                    </w:rPr>
                    <w:t>夜间平均</w:t>
                  </w:r>
                </w:p>
              </w:tc>
            </w:tr>
            <w:tr w14:paraId="18655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2" w:type="pct"/>
                  <w:vMerge w:val="continue"/>
                  <w:shd w:val="clear" w:color="auto" w:fill="auto"/>
                  <w:vAlign w:val="center"/>
                </w:tcPr>
                <w:p w14:paraId="2BCB03A9">
                  <w:pPr>
                    <w:jc w:val="center"/>
                    <w:rPr>
                      <w:b/>
                      <w:bCs/>
                      <w:szCs w:val="21"/>
                    </w:rPr>
                  </w:pPr>
                </w:p>
              </w:tc>
              <w:tc>
                <w:tcPr>
                  <w:tcW w:w="416" w:type="pct"/>
                  <w:vMerge w:val="continue"/>
                  <w:shd w:val="clear" w:color="auto" w:fill="auto"/>
                  <w:vAlign w:val="center"/>
                </w:tcPr>
                <w:p w14:paraId="4D54F50D">
                  <w:pPr>
                    <w:jc w:val="center"/>
                    <w:rPr>
                      <w:b/>
                      <w:bCs/>
                      <w:szCs w:val="21"/>
                    </w:rPr>
                  </w:pPr>
                </w:p>
              </w:tc>
              <w:tc>
                <w:tcPr>
                  <w:tcW w:w="455" w:type="pct"/>
                  <w:shd w:val="clear" w:color="auto" w:fill="auto"/>
                  <w:vAlign w:val="center"/>
                </w:tcPr>
                <w:p w14:paraId="7F2C44CB">
                  <w:pPr>
                    <w:jc w:val="center"/>
                    <w:rPr>
                      <w:b/>
                      <w:bCs/>
                      <w:kern w:val="0"/>
                      <w:szCs w:val="21"/>
                    </w:rPr>
                  </w:pPr>
                  <w:r>
                    <w:rPr>
                      <w:b/>
                      <w:bCs/>
                      <w:kern w:val="0"/>
                      <w:szCs w:val="21"/>
                    </w:rPr>
                    <w:t>小型车</w:t>
                  </w:r>
                </w:p>
              </w:tc>
              <w:tc>
                <w:tcPr>
                  <w:tcW w:w="438" w:type="pct"/>
                  <w:shd w:val="clear" w:color="auto" w:fill="auto"/>
                  <w:vAlign w:val="center"/>
                </w:tcPr>
                <w:p w14:paraId="3413960D">
                  <w:pPr>
                    <w:jc w:val="center"/>
                    <w:rPr>
                      <w:b/>
                      <w:bCs/>
                      <w:kern w:val="0"/>
                      <w:szCs w:val="21"/>
                    </w:rPr>
                  </w:pPr>
                  <w:r>
                    <w:rPr>
                      <w:b/>
                      <w:bCs/>
                      <w:kern w:val="0"/>
                      <w:szCs w:val="21"/>
                    </w:rPr>
                    <w:t>中型车</w:t>
                  </w:r>
                </w:p>
              </w:tc>
              <w:tc>
                <w:tcPr>
                  <w:tcW w:w="438" w:type="pct"/>
                  <w:shd w:val="clear" w:color="auto" w:fill="auto"/>
                  <w:vAlign w:val="center"/>
                </w:tcPr>
                <w:p w14:paraId="6A016D37">
                  <w:pPr>
                    <w:jc w:val="center"/>
                    <w:rPr>
                      <w:b/>
                      <w:bCs/>
                      <w:kern w:val="0"/>
                      <w:szCs w:val="21"/>
                    </w:rPr>
                  </w:pPr>
                  <w:r>
                    <w:rPr>
                      <w:b/>
                      <w:bCs/>
                      <w:kern w:val="0"/>
                      <w:szCs w:val="21"/>
                    </w:rPr>
                    <w:t>大型车</w:t>
                  </w:r>
                </w:p>
              </w:tc>
              <w:tc>
                <w:tcPr>
                  <w:tcW w:w="457" w:type="pct"/>
                  <w:shd w:val="clear" w:color="auto" w:fill="auto"/>
                  <w:vAlign w:val="center"/>
                </w:tcPr>
                <w:p w14:paraId="34B5459D">
                  <w:pPr>
                    <w:jc w:val="center"/>
                    <w:rPr>
                      <w:b/>
                      <w:bCs/>
                      <w:kern w:val="0"/>
                      <w:szCs w:val="21"/>
                    </w:rPr>
                  </w:pPr>
                  <w:r>
                    <w:rPr>
                      <w:b/>
                      <w:bCs/>
                      <w:kern w:val="0"/>
                      <w:szCs w:val="21"/>
                    </w:rPr>
                    <w:t>小型车</w:t>
                  </w:r>
                </w:p>
              </w:tc>
              <w:tc>
                <w:tcPr>
                  <w:tcW w:w="437" w:type="pct"/>
                  <w:shd w:val="clear" w:color="auto" w:fill="auto"/>
                  <w:vAlign w:val="center"/>
                </w:tcPr>
                <w:p w14:paraId="0C0FD30D">
                  <w:pPr>
                    <w:jc w:val="center"/>
                    <w:rPr>
                      <w:b/>
                      <w:bCs/>
                      <w:kern w:val="0"/>
                      <w:szCs w:val="21"/>
                    </w:rPr>
                  </w:pPr>
                  <w:r>
                    <w:rPr>
                      <w:b/>
                      <w:bCs/>
                      <w:kern w:val="0"/>
                      <w:szCs w:val="21"/>
                    </w:rPr>
                    <w:t>中型车</w:t>
                  </w:r>
                </w:p>
              </w:tc>
              <w:tc>
                <w:tcPr>
                  <w:tcW w:w="438" w:type="pct"/>
                  <w:shd w:val="clear" w:color="auto" w:fill="auto"/>
                  <w:vAlign w:val="center"/>
                </w:tcPr>
                <w:p w14:paraId="52749A0F">
                  <w:pPr>
                    <w:jc w:val="center"/>
                    <w:rPr>
                      <w:b/>
                      <w:bCs/>
                      <w:kern w:val="0"/>
                      <w:szCs w:val="21"/>
                    </w:rPr>
                  </w:pPr>
                  <w:r>
                    <w:rPr>
                      <w:b/>
                      <w:bCs/>
                      <w:kern w:val="0"/>
                      <w:szCs w:val="21"/>
                    </w:rPr>
                    <w:t>大型车</w:t>
                  </w:r>
                </w:p>
              </w:tc>
              <w:tc>
                <w:tcPr>
                  <w:tcW w:w="437" w:type="pct"/>
                  <w:shd w:val="clear" w:color="auto" w:fill="auto"/>
                  <w:vAlign w:val="center"/>
                </w:tcPr>
                <w:p w14:paraId="366259C5">
                  <w:pPr>
                    <w:jc w:val="center"/>
                    <w:rPr>
                      <w:b/>
                      <w:bCs/>
                      <w:kern w:val="0"/>
                      <w:szCs w:val="21"/>
                    </w:rPr>
                  </w:pPr>
                  <w:r>
                    <w:rPr>
                      <w:b/>
                      <w:bCs/>
                      <w:kern w:val="0"/>
                      <w:szCs w:val="21"/>
                    </w:rPr>
                    <w:t>小型车</w:t>
                  </w:r>
                </w:p>
              </w:tc>
              <w:tc>
                <w:tcPr>
                  <w:tcW w:w="437" w:type="pct"/>
                  <w:shd w:val="clear" w:color="auto" w:fill="auto"/>
                  <w:vAlign w:val="center"/>
                </w:tcPr>
                <w:p w14:paraId="15A845E3">
                  <w:pPr>
                    <w:jc w:val="center"/>
                    <w:rPr>
                      <w:b/>
                      <w:bCs/>
                      <w:kern w:val="0"/>
                      <w:szCs w:val="21"/>
                    </w:rPr>
                  </w:pPr>
                  <w:r>
                    <w:rPr>
                      <w:b/>
                      <w:bCs/>
                      <w:kern w:val="0"/>
                      <w:szCs w:val="21"/>
                    </w:rPr>
                    <w:t>中型车</w:t>
                  </w:r>
                </w:p>
              </w:tc>
              <w:tc>
                <w:tcPr>
                  <w:tcW w:w="437" w:type="pct"/>
                  <w:shd w:val="clear" w:color="auto" w:fill="auto"/>
                  <w:vAlign w:val="center"/>
                </w:tcPr>
                <w:p w14:paraId="567A7B89">
                  <w:pPr>
                    <w:jc w:val="center"/>
                    <w:rPr>
                      <w:b/>
                      <w:bCs/>
                      <w:kern w:val="0"/>
                      <w:szCs w:val="21"/>
                    </w:rPr>
                  </w:pPr>
                  <w:r>
                    <w:rPr>
                      <w:b/>
                      <w:bCs/>
                      <w:kern w:val="0"/>
                      <w:szCs w:val="21"/>
                    </w:rPr>
                    <w:t>大型车</w:t>
                  </w:r>
                </w:p>
              </w:tc>
            </w:tr>
            <w:tr w14:paraId="2274E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2" w:type="pct"/>
                  <w:vMerge w:val="restart"/>
                  <w:shd w:val="clear" w:color="auto" w:fill="auto"/>
                  <w:vAlign w:val="center"/>
                </w:tcPr>
                <w:p w14:paraId="0C31A903">
                  <w:pPr>
                    <w:jc w:val="center"/>
                    <w:rPr>
                      <w:szCs w:val="21"/>
                    </w:rPr>
                  </w:pPr>
                  <w:r>
                    <w:rPr>
                      <w:rFonts w:hint="eastAsia"/>
                      <w:szCs w:val="21"/>
                    </w:rPr>
                    <w:t>体育大道东延段</w:t>
                  </w:r>
                </w:p>
              </w:tc>
              <w:tc>
                <w:tcPr>
                  <w:tcW w:w="416" w:type="pct"/>
                  <w:shd w:val="clear" w:color="auto" w:fill="auto"/>
                  <w:vAlign w:val="center"/>
                </w:tcPr>
                <w:p w14:paraId="58A33EEE">
                  <w:pPr>
                    <w:jc w:val="center"/>
                    <w:rPr>
                      <w:szCs w:val="21"/>
                    </w:rPr>
                  </w:pPr>
                  <w:r>
                    <w:rPr>
                      <w:rFonts w:hint="eastAsia"/>
                      <w:szCs w:val="21"/>
                    </w:rPr>
                    <w:t>2026</w:t>
                  </w:r>
                </w:p>
              </w:tc>
              <w:tc>
                <w:tcPr>
                  <w:tcW w:w="455" w:type="pct"/>
                  <w:shd w:val="clear" w:color="auto" w:fill="auto"/>
                  <w:vAlign w:val="center"/>
                </w:tcPr>
                <w:p w14:paraId="6C365344">
                  <w:pPr>
                    <w:jc w:val="center"/>
                    <w:rPr>
                      <w:szCs w:val="21"/>
                    </w:rPr>
                  </w:pPr>
                  <w:r>
                    <w:rPr>
                      <w:rFonts w:eastAsia="等线"/>
                      <w:szCs w:val="21"/>
                    </w:rPr>
                    <w:t>1736</w:t>
                  </w:r>
                </w:p>
              </w:tc>
              <w:tc>
                <w:tcPr>
                  <w:tcW w:w="438" w:type="pct"/>
                  <w:shd w:val="clear" w:color="auto" w:fill="auto"/>
                  <w:vAlign w:val="center"/>
                </w:tcPr>
                <w:p w14:paraId="2CAA6699">
                  <w:pPr>
                    <w:jc w:val="center"/>
                    <w:rPr>
                      <w:szCs w:val="21"/>
                    </w:rPr>
                  </w:pPr>
                  <w:r>
                    <w:rPr>
                      <w:rFonts w:eastAsia="等线"/>
                      <w:szCs w:val="21"/>
                    </w:rPr>
                    <w:t>568</w:t>
                  </w:r>
                </w:p>
              </w:tc>
              <w:tc>
                <w:tcPr>
                  <w:tcW w:w="438" w:type="pct"/>
                  <w:shd w:val="clear" w:color="auto" w:fill="auto"/>
                  <w:vAlign w:val="center"/>
                </w:tcPr>
                <w:p w14:paraId="6850110A">
                  <w:pPr>
                    <w:jc w:val="center"/>
                    <w:rPr>
                      <w:szCs w:val="21"/>
                    </w:rPr>
                  </w:pPr>
                  <w:r>
                    <w:rPr>
                      <w:rFonts w:eastAsia="等线"/>
                      <w:szCs w:val="21"/>
                    </w:rPr>
                    <w:t>91</w:t>
                  </w:r>
                </w:p>
              </w:tc>
              <w:tc>
                <w:tcPr>
                  <w:tcW w:w="457" w:type="pct"/>
                  <w:shd w:val="clear" w:color="auto" w:fill="auto"/>
                  <w:vAlign w:val="center"/>
                </w:tcPr>
                <w:p w14:paraId="11367ACE">
                  <w:pPr>
                    <w:jc w:val="center"/>
                    <w:rPr>
                      <w:szCs w:val="21"/>
                    </w:rPr>
                  </w:pPr>
                  <w:r>
                    <w:rPr>
                      <w:rFonts w:eastAsia="等线"/>
                      <w:szCs w:val="21"/>
                    </w:rPr>
                    <w:t>977</w:t>
                  </w:r>
                </w:p>
              </w:tc>
              <w:tc>
                <w:tcPr>
                  <w:tcW w:w="437" w:type="pct"/>
                  <w:shd w:val="clear" w:color="auto" w:fill="auto"/>
                  <w:vAlign w:val="center"/>
                </w:tcPr>
                <w:p w14:paraId="3726343F">
                  <w:pPr>
                    <w:jc w:val="center"/>
                    <w:rPr>
                      <w:szCs w:val="21"/>
                    </w:rPr>
                  </w:pPr>
                  <w:r>
                    <w:rPr>
                      <w:rFonts w:eastAsia="等线"/>
                      <w:szCs w:val="21"/>
                    </w:rPr>
                    <w:t>319</w:t>
                  </w:r>
                </w:p>
              </w:tc>
              <w:tc>
                <w:tcPr>
                  <w:tcW w:w="438" w:type="pct"/>
                  <w:shd w:val="clear" w:color="auto" w:fill="auto"/>
                  <w:vAlign w:val="center"/>
                </w:tcPr>
                <w:p w14:paraId="2F43F6AD">
                  <w:pPr>
                    <w:jc w:val="center"/>
                    <w:rPr>
                      <w:szCs w:val="21"/>
                    </w:rPr>
                  </w:pPr>
                  <w:r>
                    <w:rPr>
                      <w:rFonts w:eastAsia="等线"/>
                      <w:szCs w:val="21"/>
                    </w:rPr>
                    <w:t>51</w:t>
                  </w:r>
                </w:p>
              </w:tc>
              <w:tc>
                <w:tcPr>
                  <w:tcW w:w="437" w:type="pct"/>
                  <w:shd w:val="clear" w:color="auto" w:fill="auto"/>
                  <w:vAlign w:val="center"/>
                </w:tcPr>
                <w:p w14:paraId="0E7648FE">
                  <w:pPr>
                    <w:jc w:val="center"/>
                    <w:rPr>
                      <w:szCs w:val="21"/>
                    </w:rPr>
                  </w:pPr>
                  <w:r>
                    <w:rPr>
                      <w:rFonts w:eastAsia="等线"/>
                      <w:szCs w:val="21"/>
                    </w:rPr>
                    <w:t>217</w:t>
                  </w:r>
                </w:p>
              </w:tc>
              <w:tc>
                <w:tcPr>
                  <w:tcW w:w="437" w:type="pct"/>
                  <w:shd w:val="clear" w:color="auto" w:fill="auto"/>
                  <w:vAlign w:val="center"/>
                </w:tcPr>
                <w:p w14:paraId="517B1A56">
                  <w:pPr>
                    <w:jc w:val="center"/>
                    <w:rPr>
                      <w:szCs w:val="21"/>
                    </w:rPr>
                  </w:pPr>
                  <w:r>
                    <w:rPr>
                      <w:rFonts w:eastAsia="等线"/>
                      <w:szCs w:val="21"/>
                    </w:rPr>
                    <w:t>71</w:t>
                  </w:r>
                </w:p>
              </w:tc>
              <w:tc>
                <w:tcPr>
                  <w:tcW w:w="437" w:type="pct"/>
                  <w:shd w:val="clear" w:color="auto" w:fill="auto"/>
                  <w:vAlign w:val="center"/>
                </w:tcPr>
                <w:p w14:paraId="6C5AD590">
                  <w:pPr>
                    <w:jc w:val="center"/>
                    <w:rPr>
                      <w:szCs w:val="21"/>
                    </w:rPr>
                  </w:pPr>
                  <w:r>
                    <w:rPr>
                      <w:rFonts w:eastAsia="等线"/>
                      <w:szCs w:val="21"/>
                    </w:rPr>
                    <w:t>11</w:t>
                  </w:r>
                </w:p>
              </w:tc>
            </w:tr>
            <w:tr w14:paraId="52148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2" w:type="pct"/>
                  <w:vMerge w:val="continue"/>
                  <w:shd w:val="clear" w:color="auto" w:fill="auto"/>
                  <w:vAlign w:val="center"/>
                </w:tcPr>
                <w:p w14:paraId="5309012A">
                  <w:pPr>
                    <w:jc w:val="center"/>
                    <w:rPr>
                      <w:szCs w:val="21"/>
                    </w:rPr>
                  </w:pPr>
                </w:p>
              </w:tc>
              <w:tc>
                <w:tcPr>
                  <w:tcW w:w="416" w:type="pct"/>
                  <w:shd w:val="clear" w:color="auto" w:fill="auto"/>
                  <w:vAlign w:val="center"/>
                </w:tcPr>
                <w:p w14:paraId="52166D8B">
                  <w:pPr>
                    <w:jc w:val="center"/>
                    <w:rPr>
                      <w:szCs w:val="21"/>
                    </w:rPr>
                  </w:pPr>
                  <w:r>
                    <w:rPr>
                      <w:rFonts w:hint="eastAsia"/>
                      <w:szCs w:val="21"/>
                    </w:rPr>
                    <w:t>2032</w:t>
                  </w:r>
                </w:p>
              </w:tc>
              <w:tc>
                <w:tcPr>
                  <w:tcW w:w="455" w:type="pct"/>
                  <w:shd w:val="clear" w:color="auto" w:fill="auto"/>
                  <w:vAlign w:val="center"/>
                </w:tcPr>
                <w:p w14:paraId="62FCB110">
                  <w:pPr>
                    <w:jc w:val="center"/>
                    <w:rPr>
                      <w:szCs w:val="21"/>
                    </w:rPr>
                  </w:pPr>
                  <w:r>
                    <w:rPr>
                      <w:rFonts w:eastAsia="等线"/>
                      <w:szCs w:val="21"/>
                    </w:rPr>
                    <w:t>2472</w:t>
                  </w:r>
                </w:p>
              </w:tc>
              <w:tc>
                <w:tcPr>
                  <w:tcW w:w="438" w:type="pct"/>
                  <w:shd w:val="clear" w:color="auto" w:fill="auto"/>
                  <w:vAlign w:val="center"/>
                </w:tcPr>
                <w:p w14:paraId="653E20DB">
                  <w:pPr>
                    <w:jc w:val="center"/>
                    <w:rPr>
                      <w:szCs w:val="21"/>
                    </w:rPr>
                  </w:pPr>
                  <w:r>
                    <w:rPr>
                      <w:rFonts w:eastAsia="等线"/>
                      <w:szCs w:val="21"/>
                    </w:rPr>
                    <w:t>808</w:t>
                  </w:r>
                </w:p>
              </w:tc>
              <w:tc>
                <w:tcPr>
                  <w:tcW w:w="438" w:type="pct"/>
                  <w:shd w:val="clear" w:color="auto" w:fill="auto"/>
                  <w:vAlign w:val="center"/>
                </w:tcPr>
                <w:p w14:paraId="1A111FC3">
                  <w:pPr>
                    <w:jc w:val="center"/>
                    <w:rPr>
                      <w:szCs w:val="21"/>
                    </w:rPr>
                  </w:pPr>
                  <w:r>
                    <w:rPr>
                      <w:rFonts w:eastAsia="等线"/>
                      <w:szCs w:val="21"/>
                    </w:rPr>
                    <w:t>130</w:t>
                  </w:r>
                </w:p>
              </w:tc>
              <w:tc>
                <w:tcPr>
                  <w:tcW w:w="457" w:type="pct"/>
                  <w:shd w:val="clear" w:color="auto" w:fill="auto"/>
                  <w:vAlign w:val="center"/>
                </w:tcPr>
                <w:p w14:paraId="073E7FC3">
                  <w:pPr>
                    <w:jc w:val="center"/>
                    <w:rPr>
                      <w:szCs w:val="21"/>
                    </w:rPr>
                  </w:pPr>
                  <w:r>
                    <w:rPr>
                      <w:rFonts w:eastAsia="等线"/>
                      <w:szCs w:val="21"/>
                    </w:rPr>
                    <w:t>1390</w:t>
                  </w:r>
                </w:p>
              </w:tc>
              <w:tc>
                <w:tcPr>
                  <w:tcW w:w="437" w:type="pct"/>
                  <w:shd w:val="clear" w:color="auto" w:fill="auto"/>
                  <w:vAlign w:val="center"/>
                </w:tcPr>
                <w:p w14:paraId="0416AFF1">
                  <w:pPr>
                    <w:jc w:val="center"/>
                    <w:rPr>
                      <w:szCs w:val="21"/>
                    </w:rPr>
                  </w:pPr>
                  <w:r>
                    <w:rPr>
                      <w:rFonts w:eastAsia="等线"/>
                      <w:szCs w:val="21"/>
                    </w:rPr>
                    <w:t>455</w:t>
                  </w:r>
                </w:p>
              </w:tc>
              <w:tc>
                <w:tcPr>
                  <w:tcW w:w="438" w:type="pct"/>
                  <w:shd w:val="clear" w:color="auto" w:fill="auto"/>
                  <w:vAlign w:val="center"/>
                </w:tcPr>
                <w:p w14:paraId="0A7D0FB6">
                  <w:pPr>
                    <w:jc w:val="center"/>
                    <w:rPr>
                      <w:szCs w:val="21"/>
                    </w:rPr>
                  </w:pPr>
                  <w:r>
                    <w:rPr>
                      <w:rFonts w:eastAsia="等线"/>
                      <w:szCs w:val="21"/>
                    </w:rPr>
                    <w:t>73</w:t>
                  </w:r>
                </w:p>
              </w:tc>
              <w:tc>
                <w:tcPr>
                  <w:tcW w:w="437" w:type="pct"/>
                  <w:shd w:val="clear" w:color="auto" w:fill="auto"/>
                  <w:vAlign w:val="center"/>
                </w:tcPr>
                <w:p w14:paraId="550326A1">
                  <w:pPr>
                    <w:jc w:val="center"/>
                    <w:rPr>
                      <w:szCs w:val="21"/>
                    </w:rPr>
                  </w:pPr>
                  <w:r>
                    <w:rPr>
                      <w:rFonts w:eastAsia="等线"/>
                      <w:szCs w:val="21"/>
                    </w:rPr>
                    <w:t>309</w:t>
                  </w:r>
                </w:p>
              </w:tc>
              <w:tc>
                <w:tcPr>
                  <w:tcW w:w="437" w:type="pct"/>
                  <w:shd w:val="clear" w:color="auto" w:fill="auto"/>
                  <w:vAlign w:val="center"/>
                </w:tcPr>
                <w:p w14:paraId="123107B5">
                  <w:pPr>
                    <w:jc w:val="center"/>
                    <w:rPr>
                      <w:szCs w:val="21"/>
                    </w:rPr>
                  </w:pPr>
                  <w:r>
                    <w:rPr>
                      <w:rFonts w:eastAsia="等线"/>
                      <w:szCs w:val="21"/>
                    </w:rPr>
                    <w:t>101</w:t>
                  </w:r>
                </w:p>
              </w:tc>
              <w:tc>
                <w:tcPr>
                  <w:tcW w:w="437" w:type="pct"/>
                  <w:shd w:val="clear" w:color="auto" w:fill="auto"/>
                  <w:vAlign w:val="center"/>
                </w:tcPr>
                <w:p w14:paraId="46394B16">
                  <w:pPr>
                    <w:jc w:val="center"/>
                    <w:rPr>
                      <w:szCs w:val="21"/>
                    </w:rPr>
                  </w:pPr>
                  <w:r>
                    <w:rPr>
                      <w:rFonts w:eastAsia="等线"/>
                      <w:szCs w:val="21"/>
                    </w:rPr>
                    <w:t>16</w:t>
                  </w:r>
                </w:p>
              </w:tc>
            </w:tr>
            <w:tr w14:paraId="5D965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2" w:type="pct"/>
                  <w:vMerge w:val="continue"/>
                  <w:shd w:val="clear" w:color="auto" w:fill="auto"/>
                  <w:vAlign w:val="center"/>
                </w:tcPr>
                <w:p w14:paraId="18A741E4">
                  <w:pPr>
                    <w:jc w:val="center"/>
                    <w:rPr>
                      <w:szCs w:val="21"/>
                    </w:rPr>
                  </w:pPr>
                </w:p>
              </w:tc>
              <w:tc>
                <w:tcPr>
                  <w:tcW w:w="416" w:type="pct"/>
                  <w:shd w:val="clear" w:color="auto" w:fill="auto"/>
                  <w:vAlign w:val="center"/>
                </w:tcPr>
                <w:p w14:paraId="7BE297B7">
                  <w:pPr>
                    <w:jc w:val="center"/>
                    <w:rPr>
                      <w:szCs w:val="21"/>
                    </w:rPr>
                  </w:pPr>
                  <w:r>
                    <w:rPr>
                      <w:rFonts w:hint="eastAsia"/>
                      <w:szCs w:val="21"/>
                    </w:rPr>
                    <w:t>2040</w:t>
                  </w:r>
                </w:p>
              </w:tc>
              <w:tc>
                <w:tcPr>
                  <w:tcW w:w="455" w:type="pct"/>
                  <w:shd w:val="clear" w:color="auto" w:fill="auto"/>
                  <w:vAlign w:val="center"/>
                </w:tcPr>
                <w:p w14:paraId="561F1F0A">
                  <w:pPr>
                    <w:jc w:val="center"/>
                    <w:rPr>
                      <w:szCs w:val="21"/>
                    </w:rPr>
                  </w:pPr>
                  <w:r>
                    <w:rPr>
                      <w:rFonts w:eastAsia="等线"/>
                      <w:szCs w:val="21"/>
                    </w:rPr>
                    <w:t xml:space="preserve">3735 </w:t>
                  </w:r>
                </w:p>
              </w:tc>
              <w:tc>
                <w:tcPr>
                  <w:tcW w:w="438" w:type="pct"/>
                  <w:shd w:val="clear" w:color="auto" w:fill="auto"/>
                  <w:vAlign w:val="center"/>
                </w:tcPr>
                <w:p w14:paraId="64D395FF">
                  <w:pPr>
                    <w:jc w:val="center"/>
                    <w:rPr>
                      <w:szCs w:val="21"/>
                    </w:rPr>
                  </w:pPr>
                  <w:r>
                    <w:rPr>
                      <w:rFonts w:eastAsia="等线"/>
                      <w:szCs w:val="21"/>
                    </w:rPr>
                    <w:t xml:space="preserve">1221 </w:t>
                  </w:r>
                </w:p>
              </w:tc>
              <w:tc>
                <w:tcPr>
                  <w:tcW w:w="438" w:type="pct"/>
                  <w:shd w:val="clear" w:color="auto" w:fill="auto"/>
                  <w:vAlign w:val="center"/>
                </w:tcPr>
                <w:p w14:paraId="72D20672">
                  <w:pPr>
                    <w:jc w:val="center"/>
                    <w:rPr>
                      <w:szCs w:val="21"/>
                    </w:rPr>
                  </w:pPr>
                  <w:r>
                    <w:rPr>
                      <w:rFonts w:eastAsia="等线"/>
                      <w:szCs w:val="21"/>
                    </w:rPr>
                    <w:t xml:space="preserve">196 </w:t>
                  </w:r>
                </w:p>
              </w:tc>
              <w:tc>
                <w:tcPr>
                  <w:tcW w:w="457" w:type="pct"/>
                  <w:shd w:val="clear" w:color="auto" w:fill="auto"/>
                  <w:vAlign w:val="center"/>
                </w:tcPr>
                <w:p w14:paraId="4921A21B">
                  <w:pPr>
                    <w:jc w:val="center"/>
                    <w:rPr>
                      <w:szCs w:val="21"/>
                    </w:rPr>
                  </w:pPr>
                  <w:r>
                    <w:rPr>
                      <w:rFonts w:eastAsia="等线"/>
                      <w:szCs w:val="21"/>
                    </w:rPr>
                    <w:t xml:space="preserve">2101 </w:t>
                  </w:r>
                </w:p>
              </w:tc>
              <w:tc>
                <w:tcPr>
                  <w:tcW w:w="437" w:type="pct"/>
                  <w:shd w:val="clear" w:color="auto" w:fill="auto"/>
                  <w:vAlign w:val="center"/>
                </w:tcPr>
                <w:p w14:paraId="5DE30152">
                  <w:pPr>
                    <w:jc w:val="center"/>
                    <w:rPr>
                      <w:szCs w:val="21"/>
                    </w:rPr>
                  </w:pPr>
                  <w:r>
                    <w:rPr>
                      <w:rFonts w:eastAsia="等线"/>
                      <w:szCs w:val="21"/>
                    </w:rPr>
                    <w:t xml:space="preserve">687 </w:t>
                  </w:r>
                </w:p>
              </w:tc>
              <w:tc>
                <w:tcPr>
                  <w:tcW w:w="438" w:type="pct"/>
                  <w:shd w:val="clear" w:color="auto" w:fill="auto"/>
                  <w:vAlign w:val="center"/>
                </w:tcPr>
                <w:p w14:paraId="0F2839C9">
                  <w:pPr>
                    <w:jc w:val="center"/>
                    <w:rPr>
                      <w:szCs w:val="21"/>
                    </w:rPr>
                  </w:pPr>
                  <w:r>
                    <w:rPr>
                      <w:rFonts w:eastAsia="等线"/>
                      <w:szCs w:val="21"/>
                    </w:rPr>
                    <w:t xml:space="preserve">110 </w:t>
                  </w:r>
                </w:p>
              </w:tc>
              <w:tc>
                <w:tcPr>
                  <w:tcW w:w="437" w:type="pct"/>
                  <w:shd w:val="clear" w:color="auto" w:fill="auto"/>
                  <w:vAlign w:val="center"/>
                </w:tcPr>
                <w:p w14:paraId="43E9E3BA">
                  <w:pPr>
                    <w:jc w:val="center"/>
                    <w:rPr>
                      <w:szCs w:val="21"/>
                    </w:rPr>
                  </w:pPr>
                  <w:r>
                    <w:rPr>
                      <w:rFonts w:eastAsia="等线"/>
                      <w:szCs w:val="21"/>
                    </w:rPr>
                    <w:t xml:space="preserve">467 </w:t>
                  </w:r>
                </w:p>
              </w:tc>
              <w:tc>
                <w:tcPr>
                  <w:tcW w:w="437" w:type="pct"/>
                  <w:shd w:val="clear" w:color="auto" w:fill="auto"/>
                  <w:vAlign w:val="center"/>
                </w:tcPr>
                <w:p w14:paraId="507E24C5">
                  <w:pPr>
                    <w:jc w:val="center"/>
                    <w:rPr>
                      <w:szCs w:val="21"/>
                    </w:rPr>
                  </w:pPr>
                  <w:r>
                    <w:rPr>
                      <w:rFonts w:eastAsia="等线"/>
                      <w:szCs w:val="21"/>
                    </w:rPr>
                    <w:t xml:space="preserve">153 </w:t>
                  </w:r>
                </w:p>
              </w:tc>
              <w:tc>
                <w:tcPr>
                  <w:tcW w:w="437" w:type="pct"/>
                  <w:shd w:val="clear" w:color="auto" w:fill="auto"/>
                  <w:vAlign w:val="center"/>
                </w:tcPr>
                <w:p w14:paraId="0831119F">
                  <w:pPr>
                    <w:jc w:val="center"/>
                    <w:rPr>
                      <w:szCs w:val="21"/>
                    </w:rPr>
                  </w:pPr>
                  <w:r>
                    <w:rPr>
                      <w:rFonts w:eastAsia="等线"/>
                      <w:szCs w:val="21"/>
                    </w:rPr>
                    <w:t xml:space="preserve">24 </w:t>
                  </w:r>
                </w:p>
              </w:tc>
            </w:tr>
          </w:tbl>
          <w:p w14:paraId="5230358A">
            <w:pPr>
              <w:rPr>
                <w:szCs w:val="21"/>
              </w:rPr>
            </w:pPr>
            <w:r>
              <w:rPr>
                <w:rFonts w:hint="eastAsia"/>
                <w:szCs w:val="21"/>
              </w:rPr>
              <w:t xml:space="preserve"> </w:t>
            </w:r>
            <w:r>
              <w:rPr>
                <w:szCs w:val="21"/>
              </w:rPr>
              <w:t xml:space="preserve">   </w:t>
            </w:r>
          </w:p>
        </w:tc>
      </w:tr>
      <w:tr w14:paraId="69E2B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2" w:hRule="atLeast"/>
        </w:trPr>
        <w:tc>
          <w:tcPr>
            <w:tcW w:w="391" w:type="pct"/>
            <w:vAlign w:val="center"/>
          </w:tcPr>
          <w:p w14:paraId="35CBBEE3">
            <w:pPr>
              <w:adjustRightInd w:val="0"/>
              <w:snapToGrid w:val="0"/>
              <w:jc w:val="center"/>
              <w:rPr>
                <w:rFonts w:hint="eastAsia" w:ascii="宋体" w:hAnsi="宋体" w:cs="宋体"/>
                <w:kern w:val="0"/>
                <w:szCs w:val="21"/>
              </w:rPr>
            </w:pPr>
            <w:r>
              <w:rPr>
                <w:rFonts w:hint="eastAsia" w:ascii="宋体" w:hAnsi="宋体" w:cs="宋体"/>
                <w:kern w:val="0"/>
                <w:szCs w:val="21"/>
              </w:rPr>
              <w:t>总平面及现场布置</w:t>
            </w:r>
          </w:p>
        </w:tc>
        <w:tc>
          <w:tcPr>
            <w:tcW w:w="4609" w:type="pct"/>
            <w:vAlign w:val="center"/>
          </w:tcPr>
          <w:p w14:paraId="20A5D6E1">
            <w:pPr>
              <w:autoSpaceDE w:val="0"/>
              <w:autoSpaceDN w:val="0"/>
              <w:adjustRightInd w:val="0"/>
              <w:spacing w:line="500" w:lineRule="exact"/>
              <w:ind w:firstLine="422" w:firstLineChars="200"/>
              <w:rPr>
                <w:b/>
                <w:bCs/>
                <w:szCs w:val="21"/>
              </w:rPr>
            </w:pPr>
            <w:r>
              <w:rPr>
                <w:rFonts w:hint="eastAsia"/>
                <w:b/>
                <w:bCs/>
                <w:szCs w:val="21"/>
              </w:rPr>
              <w:t>一、</w:t>
            </w:r>
            <w:r>
              <w:rPr>
                <w:b/>
                <w:bCs/>
                <w:szCs w:val="21"/>
              </w:rPr>
              <w:t>工程总平面布置</w:t>
            </w:r>
          </w:p>
          <w:p w14:paraId="2312BCFF">
            <w:pPr>
              <w:spacing w:line="500" w:lineRule="exact"/>
              <w:ind w:firstLine="420" w:firstLineChars="200"/>
              <w:rPr>
                <w:szCs w:val="21"/>
              </w:rPr>
            </w:pPr>
            <w:r>
              <w:rPr>
                <w:rFonts w:hint="eastAsia"/>
                <w:szCs w:val="21"/>
              </w:rPr>
              <w:t>本工程实施范围为体育大道东延段(K0+878.712~K1+210.007)，起点西起体育大道东延段(二期)终点(K0+878.712)，与惠霞高速立交匝道相接(该立交已纳入惠霞高速公路(原惠州湾高速公路)建设范围)后向东延伸，终点东顺接已设计白石渠中桥(K1+210.007)，总长约332m，道路红线宽34.5m，道路等级为城市主干路，双向6车道，设计速度为60km/h。</w:t>
            </w:r>
          </w:p>
          <w:p w14:paraId="467A2DA6">
            <w:pPr>
              <w:spacing w:line="500" w:lineRule="exact"/>
              <w:ind w:firstLine="420" w:firstLineChars="200"/>
              <w:rPr>
                <w:szCs w:val="21"/>
              </w:rPr>
            </w:pPr>
            <w:r>
              <w:rPr>
                <w:rFonts w:hint="eastAsia"/>
                <w:szCs w:val="21"/>
              </w:rPr>
              <w:t>本项目总占地面积为3.43hm</w:t>
            </w:r>
            <w:r>
              <w:rPr>
                <w:rFonts w:hint="eastAsia"/>
                <w:szCs w:val="21"/>
                <w:vertAlign w:val="superscript"/>
              </w:rPr>
              <w:t>2</w:t>
            </w:r>
            <w:r>
              <w:rPr>
                <w:rFonts w:hint="eastAsia"/>
                <w:szCs w:val="21"/>
              </w:rPr>
              <w:t>，均为永久征地，原始占地类型为林地、草地、水域及水利设施用地和其他土地。本项目土石方挖填总量为10.58万m</w:t>
            </w:r>
            <w:r>
              <w:rPr>
                <w:rFonts w:hint="eastAsia"/>
                <w:szCs w:val="21"/>
                <w:vertAlign w:val="superscript"/>
              </w:rPr>
              <w:t>3</w:t>
            </w:r>
            <w:r>
              <w:rPr>
                <w:rFonts w:hint="eastAsia"/>
                <w:szCs w:val="21"/>
              </w:rPr>
              <w:t>，其中挖方总量9.24万m</w:t>
            </w:r>
            <w:r>
              <w:rPr>
                <w:rFonts w:hint="eastAsia"/>
                <w:szCs w:val="21"/>
                <w:vertAlign w:val="superscript"/>
              </w:rPr>
              <w:t>3</w:t>
            </w:r>
            <w:r>
              <w:rPr>
                <w:rFonts w:hint="eastAsia"/>
                <w:szCs w:val="21"/>
              </w:rPr>
              <w:t>(包括土方8.88万m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)；填方总量1.34万m</w:t>
            </w:r>
            <w:r>
              <w:rPr>
                <w:rFonts w:hint="eastAsia"/>
                <w:szCs w:val="21"/>
                <w:vertAlign w:val="superscript"/>
              </w:rPr>
              <w:t>3</w:t>
            </w:r>
            <w:r>
              <w:rPr>
                <w:rFonts w:hint="eastAsia"/>
                <w:szCs w:val="21"/>
              </w:rPr>
              <w:t>(均为土方)；无借方；弃方总量7.90万m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)，运至博罗县 2013年度第72、73批次县储备用地。</w:t>
            </w:r>
          </w:p>
          <w:p w14:paraId="74E4F97E">
            <w:pPr>
              <w:autoSpaceDE w:val="0"/>
              <w:autoSpaceDN w:val="0"/>
              <w:adjustRightInd w:val="0"/>
              <w:spacing w:line="500" w:lineRule="exact"/>
              <w:ind w:firstLine="422" w:firstLineChars="200"/>
              <w:jc w:val="left"/>
              <w:rPr>
                <w:b/>
                <w:bCs/>
                <w:szCs w:val="21"/>
              </w:rPr>
            </w:pPr>
            <w:r>
              <w:rPr>
                <w:rFonts w:hint="eastAsia"/>
                <w:b/>
                <w:bCs/>
                <w:szCs w:val="21"/>
              </w:rPr>
              <w:t>二、</w:t>
            </w:r>
            <w:r>
              <w:rPr>
                <w:b/>
                <w:bCs/>
                <w:szCs w:val="21"/>
              </w:rPr>
              <w:t>施工布置</w:t>
            </w:r>
          </w:p>
          <w:p w14:paraId="4C4406F1">
            <w:pPr>
              <w:spacing w:line="500" w:lineRule="exact"/>
              <w:ind w:firstLine="422" w:firstLineChars="200"/>
              <w:jc w:val="left"/>
              <w:rPr>
                <w:b/>
                <w:bCs/>
                <w:szCs w:val="21"/>
              </w:rPr>
            </w:pPr>
            <w:r>
              <w:rPr>
                <w:rFonts w:hint="eastAsia"/>
                <w:b/>
                <w:bCs/>
                <w:szCs w:val="21"/>
              </w:rPr>
              <w:t>1、施工条件</w:t>
            </w:r>
          </w:p>
          <w:p w14:paraId="72929EA7">
            <w:pPr>
              <w:spacing w:line="500" w:lineRule="exact"/>
              <w:ind w:firstLine="420" w:firstLineChars="200"/>
              <w:jc w:val="left"/>
              <w:rPr>
                <w:szCs w:val="21"/>
              </w:rPr>
            </w:pPr>
            <w:r>
              <w:rPr>
                <w:rFonts w:hint="eastAsia"/>
                <w:szCs w:val="21"/>
              </w:rPr>
              <w:t>（1）对外交通、通讯项目区域内已建的道路有：博罗大道、惠博沿江路、体育大道西延段、曙光路宝瑞一路、博中路等，路网发达，陆路运输条件较好，主要建筑材料可以通过体育大道西延段、曙光路等，由陆路运输至施工现场。</w:t>
            </w:r>
          </w:p>
          <w:p w14:paraId="0D48AE14">
            <w:pPr>
              <w:spacing w:line="500" w:lineRule="exact"/>
              <w:ind w:firstLine="420" w:firstLineChars="200"/>
              <w:jc w:val="left"/>
              <w:rPr>
                <w:szCs w:val="21"/>
              </w:rPr>
            </w:pPr>
            <w:r>
              <w:rPr>
                <w:rFonts w:hint="eastAsia"/>
                <w:szCs w:val="21"/>
              </w:rPr>
              <w:t>本工程对外通信极为方便，有线、无线通信均无干扰，通信条件良好，配置部分移动电话，能够及时全程管理建设现场，采用移动通信。</w:t>
            </w:r>
          </w:p>
          <w:p w14:paraId="4F94C4BD">
            <w:pPr>
              <w:spacing w:line="500" w:lineRule="exact"/>
              <w:ind w:firstLine="420" w:firstLineChars="200"/>
              <w:jc w:val="left"/>
              <w:rPr>
                <w:szCs w:val="21"/>
              </w:rPr>
            </w:pPr>
            <w:r>
              <w:rPr>
                <w:rFonts w:hint="eastAsia"/>
                <w:szCs w:val="21"/>
              </w:rPr>
              <w:t>（2）施工材料供应</w:t>
            </w:r>
          </w:p>
          <w:p w14:paraId="2443CFF5">
            <w:pPr>
              <w:spacing w:line="500" w:lineRule="exact"/>
              <w:ind w:firstLine="420" w:firstLineChars="200"/>
              <w:jc w:val="left"/>
              <w:rPr>
                <w:szCs w:val="21"/>
              </w:rPr>
            </w:pPr>
            <w:r>
              <w:rPr>
                <w:rFonts w:hint="eastAsia"/>
                <w:szCs w:val="21"/>
              </w:rPr>
              <w:t>1)路基填料</w:t>
            </w:r>
          </w:p>
          <w:p w14:paraId="68996DAF">
            <w:pPr>
              <w:spacing w:line="500" w:lineRule="exact"/>
              <w:ind w:firstLine="420" w:firstLineChars="200"/>
              <w:jc w:val="left"/>
              <w:rPr>
                <w:szCs w:val="21"/>
              </w:rPr>
            </w:pPr>
            <w:r>
              <w:rPr>
                <w:rFonts w:hint="eastAsia"/>
                <w:szCs w:val="21"/>
              </w:rPr>
              <w:t>填方路基应优先采用级配较好的砾类土、砂类土等粗粒土作为填料，填料粒径&lt;150mm。泥炭、淤泥、冻土、强膨胀土、有机质土及易溶盐超过允许含量的土等,不得直接用于填筑路基。填料应均匀、密实，严格按照规范规定进行分层回填(松铺厚度为30cm左右)分层碾压。</w:t>
            </w:r>
          </w:p>
          <w:p w14:paraId="13E774DB">
            <w:pPr>
              <w:spacing w:line="500" w:lineRule="exact"/>
              <w:ind w:firstLine="420" w:firstLineChars="200"/>
              <w:jc w:val="left"/>
              <w:rPr>
                <w:szCs w:val="21"/>
              </w:rPr>
            </w:pPr>
            <w:r>
              <w:rPr>
                <w:rFonts w:hint="eastAsia"/>
                <w:szCs w:val="21"/>
              </w:rPr>
              <w:t>2)砂石料</w:t>
            </w:r>
          </w:p>
          <w:p w14:paraId="2C41A346">
            <w:pPr>
              <w:spacing w:line="500" w:lineRule="exact"/>
              <w:ind w:firstLine="420" w:firstLineChars="200"/>
              <w:jc w:val="left"/>
              <w:rPr>
                <w:szCs w:val="21"/>
              </w:rPr>
            </w:pPr>
            <w:r>
              <w:rPr>
                <w:rFonts w:hint="eastAsia"/>
                <w:szCs w:val="21"/>
              </w:rPr>
              <w:t>本项目所在地附近有多个石场，储量丰富，可以满足建设石料的需要，也可以利用现状开山石。</w:t>
            </w:r>
          </w:p>
          <w:p w14:paraId="4A414828">
            <w:pPr>
              <w:spacing w:line="500" w:lineRule="exact"/>
              <w:ind w:firstLine="420" w:firstLineChars="200"/>
              <w:jc w:val="left"/>
              <w:rPr>
                <w:szCs w:val="21"/>
              </w:rPr>
            </w:pPr>
            <w:r>
              <w:rPr>
                <w:rFonts w:hint="eastAsia"/>
                <w:szCs w:val="21"/>
              </w:rPr>
              <w:t>路线与东江相邻，东江砂料丰富，砂质纯净，不含或含少量的侵蚀质矿物和有机质，级配良好，是筑路的好材料，可以充分利用这一有利条件，工程沿线有多个砂场，也可满足砂料的需要。</w:t>
            </w:r>
          </w:p>
          <w:p w14:paraId="3310D5BB">
            <w:pPr>
              <w:spacing w:line="500" w:lineRule="exact"/>
              <w:ind w:firstLine="420" w:firstLineChars="200"/>
              <w:jc w:val="left"/>
              <w:rPr>
                <w:szCs w:val="21"/>
              </w:rPr>
            </w:pPr>
            <w:r>
              <w:rPr>
                <w:rFonts w:hint="eastAsia"/>
                <w:szCs w:val="21"/>
              </w:rPr>
              <w:t>3)水泥1钢材/木材/沥青砼</w:t>
            </w:r>
          </w:p>
          <w:p w14:paraId="7F3A468B">
            <w:pPr>
              <w:spacing w:line="500" w:lineRule="exact"/>
              <w:ind w:firstLine="420" w:firstLineChars="200"/>
              <w:jc w:val="left"/>
              <w:rPr>
                <w:szCs w:val="21"/>
              </w:rPr>
            </w:pPr>
            <w:r>
              <w:rPr>
                <w:rFonts w:hint="eastAsia"/>
                <w:szCs w:val="21"/>
              </w:rPr>
              <w:t>惠州是广东的工业、矿产以及建材等的重要基地之一，可以提供必要的水泥、钢材、木材和沥青等，特殊的短缺建筑材料可以从深圳、东莞等城市定购。</w:t>
            </w:r>
          </w:p>
          <w:p w14:paraId="206A0DD2">
            <w:pPr>
              <w:spacing w:line="500" w:lineRule="exact"/>
              <w:ind w:firstLine="420" w:firstLineChars="200"/>
              <w:jc w:val="left"/>
              <w:rPr>
                <w:szCs w:val="21"/>
              </w:rPr>
            </w:pPr>
            <w:r>
              <w:rPr>
                <w:rFonts w:hint="eastAsia"/>
                <w:szCs w:val="21"/>
              </w:rPr>
              <w:t>（3）施工用水、用电</w:t>
            </w:r>
          </w:p>
          <w:p w14:paraId="237498C2">
            <w:pPr>
              <w:spacing w:line="500" w:lineRule="exact"/>
              <w:ind w:firstLine="420" w:firstLineChars="200"/>
              <w:jc w:val="left"/>
              <w:rPr>
                <w:szCs w:val="21"/>
              </w:rPr>
            </w:pPr>
            <w:r>
              <w:rPr>
                <w:rFonts w:hint="eastAsia"/>
                <w:szCs w:val="21"/>
              </w:rPr>
              <w:t>本项目路线所处地区雨量充沛，周边鱼塘或河沟及附近居民建筑可提供本项目工程和生活用水的接驳点；沿线电网发达，可就近取电，能够满足工程及生活用电需要。</w:t>
            </w:r>
          </w:p>
          <w:p w14:paraId="23B78E15">
            <w:pPr>
              <w:spacing w:line="500" w:lineRule="exact"/>
              <w:ind w:firstLine="422" w:firstLineChars="200"/>
              <w:jc w:val="left"/>
              <w:rPr>
                <w:b/>
                <w:bCs/>
                <w:szCs w:val="21"/>
              </w:rPr>
            </w:pPr>
            <w:r>
              <w:rPr>
                <w:rFonts w:hint="eastAsia"/>
                <w:b/>
                <w:bCs/>
                <w:szCs w:val="21"/>
              </w:rPr>
              <w:t>2、施工总体布置</w:t>
            </w:r>
          </w:p>
          <w:p w14:paraId="5287F116">
            <w:pPr>
              <w:spacing w:line="500" w:lineRule="exact"/>
              <w:ind w:firstLine="420" w:firstLineChars="200"/>
              <w:jc w:val="left"/>
              <w:rPr>
                <w:szCs w:val="21"/>
              </w:rPr>
            </w:pPr>
            <w:r>
              <w:rPr>
                <w:rFonts w:hint="eastAsia"/>
                <w:szCs w:val="21"/>
              </w:rPr>
              <w:t>（1）施工围蔽</w:t>
            </w:r>
          </w:p>
          <w:p w14:paraId="67209959">
            <w:pPr>
              <w:spacing w:line="500" w:lineRule="exact"/>
              <w:ind w:firstLine="420" w:firstLineChars="200"/>
              <w:jc w:val="left"/>
              <w:rPr>
                <w:szCs w:val="21"/>
              </w:rPr>
            </w:pPr>
            <w:r>
              <w:rPr>
                <w:rFonts w:hint="eastAsia"/>
                <w:szCs w:val="21"/>
              </w:rPr>
              <w:t>施工期间建设单位将在项目施工场地布设标示牌、警示灯、护栏等，施工围蔽结合施工情况合理布置。</w:t>
            </w:r>
          </w:p>
          <w:p w14:paraId="2750C344">
            <w:pPr>
              <w:spacing w:line="500" w:lineRule="exact"/>
              <w:ind w:firstLine="420" w:firstLineChars="200"/>
              <w:jc w:val="left"/>
              <w:rPr>
                <w:szCs w:val="21"/>
              </w:rPr>
            </w:pPr>
            <w:r>
              <w:rPr>
                <w:rFonts w:hint="eastAsia"/>
                <w:szCs w:val="21"/>
              </w:rPr>
              <w:t>（2）施工临建区</w:t>
            </w:r>
          </w:p>
          <w:p w14:paraId="70E9923B">
            <w:pPr>
              <w:spacing w:line="500" w:lineRule="exact"/>
              <w:ind w:firstLine="420" w:firstLineChars="200"/>
              <w:jc w:val="left"/>
              <w:rPr>
                <w:szCs w:val="21"/>
              </w:rPr>
            </w:pPr>
            <w:r>
              <w:rPr>
                <w:rFonts w:hint="eastAsia"/>
                <w:szCs w:val="21"/>
              </w:rPr>
              <w:t>本项目施工人员采用租赁附近民房形式解决住房，施工期间材料堆放于场地内部空闲用地，无需新增临时占地。</w:t>
            </w:r>
          </w:p>
          <w:p w14:paraId="6A59B6CD">
            <w:pPr>
              <w:spacing w:line="500" w:lineRule="exact"/>
              <w:ind w:firstLine="420" w:firstLineChars="200"/>
              <w:jc w:val="left"/>
              <w:rPr>
                <w:szCs w:val="21"/>
              </w:rPr>
            </w:pPr>
            <w:r>
              <w:rPr>
                <w:rFonts w:hint="eastAsia"/>
                <w:szCs w:val="21"/>
              </w:rPr>
              <w:t>（3）施工临时排水</w:t>
            </w:r>
          </w:p>
          <w:p w14:paraId="111060A4">
            <w:pPr>
              <w:spacing w:line="500" w:lineRule="exact"/>
              <w:ind w:firstLine="420" w:firstLineChars="200"/>
              <w:jc w:val="left"/>
              <w:rPr>
                <w:szCs w:val="21"/>
              </w:rPr>
            </w:pPr>
            <w:r>
              <w:rPr>
                <w:rFonts w:hint="eastAsia"/>
                <w:szCs w:val="21"/>
              </w:rPr>
              <w:t>主体设计有较完善的截排水系统，包括路面工程区两侧边沟、人行道路区一侧盖板边沟及路基边坡截排水系统，施工期间挖方边坡雨水经截水沟、急流等收集后排入人行道路区盖板边沟，最终经本项目新增沉沙池沉淀后排入低洼地；填方边坡雨水经排水沟收集并经本项目新增沉沙池沉淀后排入东侧白石排洪渠及低洼地。</w:t>
            </w:r>
          </w:p>
        </w:tc>
      </w:tr>
      <w:tr w14:paraId="1E7750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9" w:hRule="atLeast"/>
        </w:trPr>
        <w:tc>
          <w:tcPr>
            <w:tcW w:w="391" w:type="pct"/>
            <w:vAlign w:val="center"/>
          </w:tcPr>
          <w:p w14:paraId="36B83DCA">
            <w:pPr>
              <w:adjustRightInd w:val="0"/>
              <w:snapToGrid w:val="0"/>
              <w:jc w:val="center"/>
              <w:rPr>
                <w:rFonts w:hint="eastAsia" w:ascii="宋体" w:hAnsi="宋体" w:cs="宋体"/>
                <w:kern w:val="0"/>
                <w:szCs w:val="21"/>
              </w:rPr>
            </w:pPr>
            <w:r>
              <w:rPr>
                <w:rFonts w:hint="eastAsia" w:ascii="宋体" w:hAnsi="宋体" w:cs="宋体"/>
                <w:kern w:val="0"/>
                <w:szCs w:val="21"/>
              </w:rPr>
              <w:t>施工方案</w:t>
            </w:r>
          </w:p>
        </w:tc>
        <w:tc>
          <w:tcPr>
            <w:tcW w:w="4609" w:type="pct"/>
            <w:vAlign w:val="center"/>
          </w:tcPr>
          <w:p w14:paraId="478E498A">
            <w:pPr>
              <w:autoSpaceDE w:val="0"/>
              <w:autoSpaceDN w:val="0"/>
              <w:adjustRightInd w:val="0"/>
              <w:spacing w:line="500" w:lineRule="exact"/>
              <w:ind w:firstLine="422" w:firstLineChars="200"/>
              <w:jc w:val="left"/>
              <w:rPr>
                <w:b/>
                <w:bCs/>
                <w:szCs w:val="21"/>
              </w:rPr>
            </w:pPr>
            <w:r>
              <w:rPr>
                <w:rFonts w:hint="eastAsia"/>
                <w:b/>
                <w:bCs/>
                <w:szCs w:val="21"/>
              </w:rPr>
              <w:t>一、施工工序</w:t>
            </w:r>
          </w:p>
          <w:p w14:paraId="4C5240D9">
            <w:pPr>
              <w:autoSpaceDE w:val="0"/>
              <w:autoSpaceDN w:val="0"/>
              <w:adjustRightInd w:val="0"/>
              <w:spacing w:line="500" w:lineRule="exact"/>
              <w:ind w:firstLine="420" w:firstLineChars="200"/>
              <w:jc w:val="left"/>
              <w:rPr>
                <w:szCs w:val="21"/>
              </w:rPr>
            </w:pPr>
            <w:r>
              <w:rPr>
                <w:rFonts w:hint="eastAsia"/>
                <w:szCs w:val="21"/>
              </w:rPr>
              <w:t>准备工作、材料运输→测量放线→边坡开挖→边坡回填→路基工程→路面工程→交通工程及沿线设施→边坡防护、排水工程→通信、安装、机电等→绿化工程→竣工验收。</w:t>
            </w:r>
          </w:p>
          <w:p w14:paraId="65A2766D">
            <w:pPr>
              <w:autoSpaceDE w:val="0"/>
              <w:autoSpaceDN w:val="0"/>
              <w:adjustRightInd w:val="0"/>
              <w:spacing w:line="500" w:lineRule="exact"/>
              <w:ind w:firstLine="422" w:firstLineChars="200"/>
              <w:jc w:val="left"/>
              <w:rPr>
                <w:b/>
                <w:bCs/>
                <w:szCs w:val="21"/>
              </w:rPr>
            </w:pPr>
            <w:r>
              <w:rPr>
                <w:rFonts w:hint="eastAsia"/>
                <w:b/>
                <w:bCs/>
                <w:szCs w:val="21"/>
              </w:rPr>
              <w:t>二、施工工艺说明</w:t>
            </w:r>
          </w:p>
          <w:p w14:paraId="2809A68C">
            <w:pPr>
              <w:autoSpaceDE w:val="0"/>
              <w:autoSpaceDN w:val="0"/>
              <w:adjustRightInd w:val="0"/>
              <w:spacing w:line="500" w:lineRule="exact"/>
              <w:ind w:firstLine="422" w:firstLineChars="200"/>
              <w:jc w:val="left"/>
              <w:rPr>
                <w:b/>
                <w:bCs/>
                <w:szCs w:val="21"/>
              </w:rPr>
            </w:pPr>
            <w:r>
              <w:rPr>
                <w:rFonts w:hint="eastAsia"/>
                <w:b/>
                <w:bCs/>
                <w:szCs w:val="21"/>
              </w:rPr>
              <w:t>1、道路工程施工</w:t>
            </w:r>
          </w:p>
          <w:p w14:paraId="29399915">
            <w:pPr>
              <w:autoSpaceDE w:val="0"/>
              <w:autoSpaceDN w:val="0"/>
              <w:adjustRightInd w:val="0"/>
              <w:spacing w:line="500" w:lineRule="exact"/>
              <w:ind w:firstLine="420" w:firstLineChars="200"/>
              <w:jc w:val="left"/>
              <w:rPr>
                <w:szCs w:val="21"/>
              </w:rPr>
            </w:pPr>
            <w:r>
              <w:rPr>
                <w:rFonts w:hint="eastAsia"/>
                <w:szCs w:val="21"/>
              </w:rPr>
              <w:t>（1）路基施工</w:t>
            </w:r>
          </w:p>
          <w:p w14:paraId="018F9CF5">
            <w:pPr>
              <w:autoSpaceDE w:val="0"/>
              <w:autoSpaceDN w:val="0"/>
              <w:adjustRightInd w:val="0"/>
              <w:spacing w:line="500" w:lineRule="exact"/>
              <w:ind w:firstLine="420" w:firstLineChars="200"/>
              <w:rPr>
                <w:szCs w:val="21"/>
              </w:rPr>
            </w:pPr>
            <w:r>
              <w:rPr>
                <w:rFonts w:hint="eastAsia"/>
                <w:szCs w:val="21"/>
              </w:rPr>
              <w:t>1)路基设计时对填方路段基底为耕地、草地时考虑平均清除30厘米厚的地表腐殖土，并清除路基范围内的树根和草皮，挖除田埂，清表后应在填筑前进行夯实；若基底松散土层厚度大于30厘米时，应翻挖再回填分层压实。</w:t>
            </w:r>
          </w:p>
          <w:p w14:paraId="27610314">
            <w:pPr>
              <w:autoSpaceDE w:val="0"/>
              <w:autoSpaceDN w:val="0"/>
              <w:adjustRightInd w:val="0"/>
              <w:spacing w:line="500" w:lineRule="exact"/>
              <w:ind w:firstLine="420" w:firstLineChars="200"/>
              <w:rPr>
                <w:szCs w:val="21"/>
              </w:rPr>
            </w:pPr>
            <w:r>
              <w:rPr>
                <w:rFonts w:hint="eastAsia"/>
                <w:szCs w:val="21"/>
              </w:rPr>
              <w:t>2)若路堤底范围内地表水或地下水影响路基稳定时，应采取拦截、引排等措施，或在路堤底部填筑不易风化的片石、块石、碎石或砂砾等透水性材料。</w:t>
            </w:r>
          </w:p>
          <w:p w14:paraId="10513EF0">
            <w:pPr>
              <w:autoSpaceDE w:val="0"/>
              <w:autoSpaceDN w:val="0"/>
              <w:adjustRightInd w:val="0"/>
              <w:spacing w:line="500" w:lineRule="exact"/>
              <w:ind w:firstLine="420" w:firstLineChars="200"/>
              <w:rPr>
                <w:szCs w:val="21"/>
              </w:rPr>
            </w:pPr>
            <w:r>
              <w:rPr>
                <w:rFonts w:hint="eastAsia"/>
                <w:szCs w:val="21"/>
              </w:rPr>
              <w:t>3)当原地面坡度陡于1:5时，无论是纵向还是横向，均应把原地面挖向内倾斜2%的台阶，台阶宽度不小于2.0m。</w:t>
            </w:r>
          </w:p>
          <w:p w14:paraId="4BA40426">
            <w:pPr>
              <w:autoSpaceDE w:val="0"/>
              <w:autoSpaceDN w:val="0"/>
              <w:adjustRightInd w:val="0"/>
              <w:spacing w:line="500" w:lineRule="exact"/>
              <w:ind w:firstLine="420" w:firstLineChars="200"/>
              <w:rPr>
                <w:szCs w:val="21"/>
              </w:rPr>
            </w:pPr>
            <w:r>
              <w:rPr>
                <w:rFonts w:hint="eastAsia"/>
                <w:szCs w:val="21"/>
              </w:rPr>
              <w:t>4)低填方和零填地段，当路床强度达不到要求(或按压实度要求达不到94%)时，路床顶面以下80cm深度范围内挖除换填满足规范要求的山地平整土方，对不满足部分进行砂性土的回填，填料必须满足上路床填料要求。</w:t>
            </w:r>
          </w:p>
          <w:p w14:paraId="4EB8D49A">
            <w:pPr>
              <w:autoSpaceDE w:val="0"/>
              <w:autoSpaceDN w:val="0"/>
              <w:adjustRightInd w:val="0"/>
              <w:spacing w:line="500" w:lineRule="exact"/>
              <w:ind w:firstLine="420" w:firstLineChars="200"/>
              <w:rPr>
                <w:szCs w:val="21"/>
              </w:rPr>
            </w:pPr>
            <w:r>
              <w:rPr>
                <w:rFonts w:hint="eastAsia"/>
                <w:szCs w:val="21"/>
              </w:rPr>
              <w:t>（2）路面工程施工</w:t>
            </w:r>
          </w:p>
          <w:p w14:paraId="676149B2">
            <w:pPr>
              <w:autoSpaceDE w:val="0"/>
              <w:autoSpaceDN w:val="0"/>
              <w:adjustRightInd w:val="0"/>
              <w:spacing w:line="500" w:lineRule="exact"/>
              <w:ind w:firstLine="420" w:firstLineChars="200"/>
              <w:rPr>
                <w:szCs w:val="21"/>
              </w:rPr>
            </w:pPr>
            <w:r>
              <w:rPr>
                <w:rFonts w:hint="eastAsia"/>
                <w:szCs w:val="21"/>
              </w:rPr>
              <w:t>1)车行道施工</w:t>
            </w:r>
          </w:p>
          <w:p w14:paraId="04E4D282">
            <w:pPr>
              <w:autoSpaceDE w:val="0"/>
              <w:autoSpaceDN w:val="0"/>
              <w:adjustRightInd w:val="0"/>
              <w:spacing w:line="500" w:lineRule="exact"/>
              <w:ind w:firstLine="420" w:firstLineChars="200"/>
              <w:rPr>
                <w:szCs w:val="21"/>
              </w:rPr>
            </w:pPr>
            <w:r>
              <w:rPr>
                <w:rFonts w:hint="eastAsia"/>
                <w:szCs w:val="21"/>
              </w:rPr>
              <w:t>本工程采用沥青混凝土路面，施工时应保证路面强度、稳定性、表面平整度、抗滑性能、少尘性等并符合施工验收规范的要求。路面施工采用全机械化施工方案引进高效的宽幅摊铺机和配套的搅拌设备，实现全集中拌合，严格控制材料用量和材料组成，施行严格的工序管理，做好现场监理与工序监测，确保施工质量。</w:t>
            </w:r>
          </w:p>
          <w:p w14:paraId="68B0AE6A">
            <w:pPr>
              <w:autoSpaceDE w:val="0"/>
              <w:autoSpaceDN w:val="0"/>
              <w:adjustRightInd w:val="0"/>
              <w:spacing w:line="500" w:lineRule="exact"/>
              <w:ind w:firstLine="420" w:firstLineChars="200"/>
              <w:rPr>
                <w:szCs w:val="21"/>
              </w:rPr>
            </w:pPr>
            <w:r>
              <w:rPr>
                <w:rFonts w:hint="eastAsia"/>
                <w:szCs w:val="21"/>
              </w:rPr>
              <w:t>2)人行道施工填料取用项目开挖土石方，开挖后直接填筑，分层填筑，推土机初平、平地机整平、压路机碾压成型后回填上一层，填至设计标高后，在进行人行道修建和绿化种植。</w:t>
            </w:r>
          </w:p>
          <w:p w14:paraId="1AC3B299">
            <w:pPr>
              <w:autoSpaceDE w:val="0"/>
              <w:autoSpaceDN w:val="0"/>
              <w:adjustRightInd w:val="0"/>
              <w:spacing w:line="500" w:lineRule="exact"/>
              <w:ind w:firstLine="420" w:firstLineChars="200"/>
              <w:rPr>
                <w:szCs w:val="21"/>
              </w:rPr>
            </w:pPr>
            <w:r>
              <w:rPr>
                <w:rFonts w:hint="eastAsia"/>
                <w:szCs w:val="21"/>
              </w:rPr>
              <w:t>(3)路基防护施工</w:t>
            </w:r>
          </w:p>
          <w:p w14:paraId="6B1E84E1">
            <w:pPr>
              <w:autoSpaceDE w:val="0"/>
              <w:autoSpaceDN w:val="0"/>
              <w:adjustRightInd w:val="0"/>
              <w:spacing w:line="500" w:lineRule="exact"/>
              <w:ind w:firstLine="420" w:firstLineChars="200"/>
              <w:rPr>
                <w:szCs w:val="21"/>
              </w:rPr>
            </w:pPr>
            <w:r>
              <w:rPr>
                <w:rFonts w:hint="eastAsia"/>
                <w:szCs w:val="21"/>
              </w:rPr>
              <w:t>喷播植草一般由草种、木纤维、保水剂、粘合剂、肥料、染色剂等与水组成的混合物草种应结合气候、土质、施工季节、周边环境等因素选用，宜采用易成活生成快、根系发达、叶茎矮或有匍匐茎的多年生草种。必须选用两种或以上的草种进行混播，并掺加30%的灌木种。对于不利于草类生长的土质，应在坡面先铺一层厚度不小于10cm的种植土再栽植或播种。</w:t>
            </w:r>
          </w:p>
          <w:p w14:paraId="75298E8E">
            <w:pPr>
              <w:autoSpaceDE w:val="0"/>
              <w:autoSpaceDN w:val="0"/>
              <w:adjustRightInd w:val="0"/>
              <w:spacing w:line="500" w:lineRule="exact"/>
              <w:ind w:firstLine="420" w:firstLineChars="200"/>
              <w:jc w:val="left"/>
              <w:rPr>
                <w:szCs w:val="21"/>
              </w:rPr>
            </w:pPr>
            <w:r>
              <w:rPr>
                <w:rFonts w:hint="eastAsia"/>
                <w:szCs w:val="21"/>
              </w:rPr>
              <w:t>施工顺序：平整坡面→回填种植土→播草施工→盖无纺布→前期养护。</w:t>
            </w:r>
          </w:p>
          <w:p w14:paraId="2CEEF22C">
            <w:pPr>
              <w:autoSpaceDE w:val="0"/>
              <w:autoSpaceDN w:val="0"/>
              <w:adjustRightInd w:val="0"/>
              <w:spacing w:line="500" w:lineRule="exact"/>
              <w:ind w:firstLine="420" w:firstLineChars="200"/>
              <w:rPr>
                <w:szCs w:val="21"/>
              </w:rPr>
            </w:pPr>
            <w:r>
              <w:rPr>
                <w:rFonts w:hint="eastAsia"/>
                <w:szCs w:val="21"/>
              </w:rPr>
              <w:t>三维网植草：</w:t>
            </w:r>
          </w:p>
          <w:p w14:paraId="3C80FA11">
            <w:pPr>
              <w:autoSpaceDE w:val="0"/>
              <w:autoSpaceDN w:val="0"/>
              <w:adjustRightInd w:val="0"/>
              <w:spacing w:line="500" w:lineRule="exact"/>
              <w:ind w:firstLine="420" w:firstLineChars="200"/>
              <w:rPr>
                <w:szCs w:val="21"/>
              </w:rPr>
            </w:pPr>
            <w:r>
              <w:rPr>
                <w:rFonts w:hint="eastAsia"/>
                <w:szCs w:val="21"/>
              </w:rPr>
              <w:t>对于永久边坡的边坡高度4m&lt;H&lt;8m的路段，采用挂三维网植草防护。三维植被网采用NSS塑料三维土工网其纵横向拉仲强度不得低于4kN/m，抗光老化等级应达到Ⅲ级，厚度&gt;18mm，单位质量&gt;430g/m。</w:t>
            </w:r>
          </w:p>
          <w:p w14:paraId="005A1B0D">
            <w:pPr>
              <w:autoSpaceDE w:val="0"/>
              <w:autoSpaceDN w:val="0"/>
              <w:adjustRightInd w:val="0"/>
              <w:spacing w:line="500" w:lineRule="exact"/>
              <w:ind w:firstLine="420" w:firstLineChars="200"/>
              <w:rPr>
                <w:szCs w:val="21"/>
              </w:rPr>
            </w:pPr>
            <w:r>
              <w:rPr>
                <w:rFonts w:hint="eastAsia"/>
                <w:szCs w:val="21"/>
              </w:rPr>
              <w:t>三维网植草施工顺序：整平坡面→挂三维网→锚钉施工→网上培土→喷播植草一覆膜养护。也可先在易于施工处将三维植被网制作成草皮后再贴于覆有营养土的坡面上。</w:t>
            </w:r>
          </w:p>
          <w:p w14:paraId="6204603F">
            <w:pPr>
              <w:autoSpaceDE w:val="0"/>
              <w:autoSpaceDN w:val="0"/>
              <w:adjustRightInd w:val="0"/>
              <w:spacing w:line="500" w:lineRule="exact"/>
              <w:ind w:firstLine="420" w:firstLineChars="200"/>
              <w:rPr>
                <w:szCs w:val="21"/>
              </w:rPr>
            </w:pPr>
            <w:r>
              <w:rPr>
                <w:rFonts w:hint="eastAsia"/>
                <w:szCs w:val="21"/>
              </w:rPr>
              <w:t>（4）路基排水</w:t>
            </w:r>
          </w:p>
          <w:p w14:paraId="012B9F49">
            <w:pPr>
              <w:autoSpaceDE w:val="0"/>
              <w:autoSpaceDN w:val="0"/>
              <w:adjustRightInd w:val="0"/>
              <w:spacing w:line="500" w:lineRule="exact"/>
              <w:ind w:firstLine="420" w:firstLineChars="200"/>
              <w:rPr>
                <w:szCs w:val="21"/>
              </w:rPr>
            </w:pPr>
            <w:r>
              <w:rPr>
                <w:rFonts w:hint="eastAsia"/>
                <w:szCs w:val="21"/>
              </w:rPr>
              <w:t>1)排水沟施工时应注意进出水口的高程，保证施工后边沟能将路基水迅速排除至沟边。当出水口的地形发生变化，影响出水口排水时，应结合监理及设计代表调整排水设计。</w:t>
            </w:r>
          </w:p>
          <w:p w14:paraId="17C7C114">
            <w:pPr>
              <w:autoSpaceDE w:val="0"/>
              <w:autoSpaceDN w:val="0"/>
              <w:adjustRightInd w:val="0"/>
              <w:spacing w:line="500" w:lineRule="exact"/>
              <w:ind w:firstLine="420" w:firstLineChars="200"/>
              <w:rPr>
                <w:szCs w:val="21"/>
              </w:rPr>
            </w:pPr>
            <w:r>
              <w:rPr>
                <w:rFonts w:hint="eastAsia"/>
                <w:szCs w:val="21"/>
              </w:rPr>
              <w:t>2)排水施工应做到有始有终，各种排水设施应相互连接好，做好连接处的加固防护，不遗漏任何薄弱环节。</w:t>
            </w:r>
          </w:p>
          <w:p w14:paraId="0318F0DA">
            <w:pPr>
              <w:autoSpaceDE w:val="0"/>
              <w:autoSpaceDN w:val="0"/>
              <w:adjustRightInd w:val="0"/>
              <w:spacing w:line="500" w:lineRule="exact"/>
              <w:ind w:firstLine="420" w:firstLineChars="200"/>
              <w:rPr>
                <w:szCs w:val="21"/>
              </w:rPr>
            </w:pPr>
            <w:r>
              <w:rPr>
                <w:rFonts w:hint="eastAsia"/>
                <w:szCs w:val="21"/>
              </w:rPr>
              <w:t>3)坡面防护应与路基路面排水设施及构造物相结合，同时结合景观设计综合考虑。</w:t>
            </w:r>
          </w:p>
          <w:p w14:paraId="14FBC44D">
            <w:pPr>
              <w:autoSpaceDE w:val="0"/>
              <w:autoSpaceDN w:val="0"/>
              <w:adjustRightInd w:val="0"/>
              <w:spacing w:line="500" w:lineRule="exact"/>
              <w:ind w:firstLine="420" w:firstLineChars="200"/>
              <w:rPr>
                <w:szCs w:val="21"/>
              </w:rPr>
            </w:pPr>
            <w:r>
              <w:rPr>
                <w:rFonts w:hint="eastAsia"/>
                <w:szCs w:val="21"/>
              </w:rPr>
              <w:t>（5）路堑边坡开挖施工</w:t>
            </w:r>
          </w:p>
          <w:p w14:paraId="2771A47E">
            <w:pPr>
              <w:autoSpaceDE w:val="0"/>
              <w:autoSpaceDN w:val="0"/>
              <w:adjustRightInd w:val="0"/>
              <w:spacing w:line="500" w:lineRule="exact"/>
              <w:ind w:firstLine="420" w:firstLineChars="200"/>
              <w:rPr>
                <w:szCs w:val="21"/>
              </w:rPr>
            </w:pPr>
            <w:r>
              <w:rPr>
                <w:rFonts w:hint="eastAsia"/>
                <w:szCs w:val="21"/>
              </w:rPr>
              <w:t>应贯彻“动态设计、信息化施工的原则”，建立信息反馈制度，并设置相应的边坡监测措施，将开挖过程视为再勘察的过程对待，及时进行地质编录，并注意核对地质情况，发现实际地质情况与设计不符时，或地质情况异常，应立即通报业主、监理和设计单位，以便对设计进行调整，保证工程质量和安全。做好施工组织设计，严格按合理工序施工，采取先进、有效的施工方法和施工工艺。土石方开挖禁止大爆破施工，靠近路堑设计边坡时，如需爆破，应采用控制爆破或光面爆破方法。雨季到来之前，应做好地面排水工程。雨季施工应做好组织安排，避免无序大填大挖。挖深较大的路堑高边坡，应尽量不在雨季施工。密切注意天气预报，做好边坡坡面的临时防护工作(如在坡面铺设防水塑料薄膜和修建临时排水沟)，防止表水冲刷坡面和下渗。遇地下水集中出露者应做好引排切忌盲目封堵。植草草种应选择适合当地生长、根系发达、枝繁叶茂的优良品种。宜采用适宜两季及两季以上生长的不同草种和灌木种子混播。</w:t>
            </w:r>
          </w:p>
          <w:p w14:paraId="4E39FCB7">
            <w:pPr>
              <w:autoSpaceDE w:val="0"/>
              <w:autoSpaceDN w:val="0"/>
              <w:adjustRightInd w:val="0"/>
              <w:spacing w:line="500" w:lineRule="exact"/>
              <w:ind w:firstLine="422" w:firstLineChars="200"/>
              <w:jc w:val="left"/>
              <w:rPr>
                <w:b/>
                <w:bCs/>
                <w:szCs w:val="21"/>
              </w:rPr>
            </w:pPr>
            <w:r>
              <w:rPr>
                <w:rFonts w:hint="eastAsia"/>
                <w:b/>
                <w:bCs/>
                <w:szCs w:val="21"/>
              </w:rPr>
              <w:t>2、管线工程施工</w:t>
            </w:r>
          </w:p>
          <w:p w14:paraId="188D972B">
            <w:pPr>
              <w:autoSpaceDE w:val="0"/>
              <w:autoSpaceDN w:val="0"/>
              <w:adjustRightInd w:val="0"/>
              <w:spacing w:line="500" w:lineRule="exact"/>
              <w:ind w:firstLine="420" w:firstLineChars="200"/>
              <w:rPr>
                <w:szCs w:val="21"/>
              </w:rPr>
            </w:pPr>
            <w:r>
              <w:rPr>
                <w:rFonts w:hint="eastAsia"/>
                <w:szCs w:val="21"/>
              </w:rPr>
              <w:t>电力、给水、通信和燃气布置在人行道下，雨水管线布置在机动车道下。在机动道下管线的最小覆土深度为0.7米；在人行道可适当降低，但以不妨碍工程管线安全为原则。当管道覆土不满足时，应考虑加包管等技术防护措施。</w:t>
            </w:r>
          </w:p>
          <w:p w14:paraId="3168FC60">
            <w:pPr>
              <w:autoSpaceDE w:val="0"/>
              <w:autoSpaceDN w:val="0"/>
              <w:adjustRightInd w:val="0"/>
              <w:spacing w:line="500" w:lineRule="exact"/>
              <w:ind w:firstLine="420" w:firstLineChars="200"/>
              <w:rPr>
                <w:szCs w:val="21"/>
              </w:rPr>
            </w:pPr>
            <w:r>
              <w:rPr>
                <w:rFonts w:hint="eastAsia"/>
                <w:szCs w:val="21"/>
              </w:rPr>
              <w:t>工程管线高程上自地表面向下排列的顺序为：通信管线、电力管线、给水管线燃气管线、雨水管线。各种工程管线之间的水平、垂直净距应满足规范要求。</w:t>
            </w:r>
          </w:p>
          <w:p w14:paraId="4E210F71">
            <w:pPr>
              <w:autoSpaceDE w:val="0"/>
              <w:autoSpaceDN w:val="0"/>
              <w:adjustRightInd w:val="0"/>
              <w:spacing w:line="500" w:lineRule="exact"/>
              <w:ind w:firstLine="420" w:firstLineChars="200"/>
              <w:rPr>
                <w:szCs w:val="21"/>
              </w:rPr>
            </w:pPr>
            <w:r>
              <w:rPr>
                <w:rFonts w:hint="eastAsia"/>
                <w:szCs w:val="21"/>
              </w:rPr>
              <w:t>在管线发生交叉时，按照压力管让重力管，小管径让大管径，易弯曲管道让不易弯曲管道，临时管道让永久管道，工程量小让工程量大的原则进行处理。</w:t>
            </w:r>
          </w:p>
          <w:p w14:paraId="48F8ED19">
            <w:pPr>
              <w:autoSpaceDE w:val="0"/>
              <w:autoSpaceDN w:val="0"/>
              <w:adjustRightInd w:val="0"/>
              <w:spacing w:line="500" w:lineRule="exact"/>
              <w:ind w:firstLine="420" w:firstLineChars="200"/>
              <w:rPr>
                <w:szCs w:val="21"/>
              </w:rPr>
            </w:pPr>
            <w:r>
              <w:rPr>
                <w:rFonts w:hint="eastAsia"/>
                <w:szCs w:val="21"/>
              </w:rPr>
              <w:t>在各种管线中只有排水管线为重力管线，必须坡向下游，高程只能降低，不能抬高，而电力管线等可以根据地形的变化及实际空间的要求，相应调整高程，局部可通过增设少量的管件，从而减少了各种管线的埋深，这样也就必然节省了配套管线的投资规模。</w:t>
            </w:r>
          </w:p>
          <w:p w14:paraId="0E29ECD8">
            <w:pPr>
              <w:autoSpaceDE w:val="0"/>
              <w:autoSpaceDN w:val="0"/>
              <w:adjustRightInd w:val="0"/>
              <w:spacing w:line="500" w:lineRule="exact"/>
              <w:ind w:firstLine="422" w:firstLineChars="200"/>
              <w:jc w:val="left"/>
              <w:rPr>
                <w:b/>
                <w:bCs/>
                <w:szCs w:val="21"/>
              </w:rPr>
            </w:pPr>
            <w:r>
              <w:rPr>
                <w:rFonts w:hint="eastAsia"/>
                <w:b/>
                <w:bCs/>
                <w:szCs w:val="21"/>
              </w:rPr>
              <w:t>3、管线工程施工</w:t>
            </w:r>
          </w:p>
          <w:p w14:paraId="53E9966A">
            <w:pPr>
              <w:autoSpaceDE w:val="0"/>
              <w:autoSpaceDN w:val="0"/>
              <w:adjustRightInd w:val="0"/>
              <w:spacing w:line="500" w:lineRule="exact"/>
              <w:ind w:firstLine="420" w:firstLineChars="200"/>
              <w:jc w:val="left"/>
              <w:rPr>
                <w:szCs w:val="21"/>
              </w:rPr>
            </w:pPr>
            <w:r>
              <w:rPr>
                <w:rFonts w:hint="eastAsia"/>
                <w:szCs w:val="21"/>
              </w:rPr>
              <w:t>标志定位与设置→基础施工→标志牌立柱施工→标志版面制作→储存和运输→安装。</w:t>
            </w:r>
          </w:p>
          <w:p w14:paraId="16B586F6">
            <w:pPr>
              <w:autoSpaceDE w:val="0"/>
              <w:autoSpaceDN w:val="0"/>
              <w:adjustRightInd w:val="0"/>
              <w:spacing w:line="500" w:lineRule="exact"/>
              <w:ind w:firstLine="422" w:firstLineChars="200"/>
              <w:jc w:val="left"/>
              <w:rPr>
                <w:b/>
                <w:bCs/>
                <w:szCs w:val="21"/>
              </w:rPr>
            </w:pPr>
            <w:r>
              <w:rPr>
                <w:rFonts w:hint="eastAsia"/>
                <w:b/>
                <w:bCs/>
                <w:szCs w:val="21"/>
              </w:rPr>
              <w:t>4、绿化工程施工</w:t>
            </w:r>
          </w:p>
          <w:p w14:paraId="43507051">
            <w:pPr>
              <w:autoSpaceDE w:val="0"/>
              <w:autoSpaceDN w:val="0"/>
              <w:adjustRightInd w:val="0"/>
              <w:spacing w:line="500" w:lineRule="exact"/>
              <w:ind w:firstLine="420" w:firstLineChars="200"/>
              <w:rPr>
                <w:szCs w:val="21"/>
              </w:rPr>
            </w:pPr>
            <w:r>
              <w:rPr>
                <w:rFonts w:hint="eastAsia"/>
                <w:szCs w:val="21"/>
              </w:rPr>
              <w:t>（1）清理场地：对施工场地内所有垃圾、杂草杂物等进行全面清理。</w:t>
            </w:r>
          </w:p>
          <w:p w14:paraId="5FD5ABB5">
            <w:pPr>
              <w:autoSpaceDE w:val="0"/>
              <w:autoSpaceDN w:val="0"/>
              <w:adjustRightInd w:val="0"/>
              <w:spacing w:line="500" w:lineRule="exact"/>
              <w:ind w:firstLine="420" w:firstLineChars="200"/>
              <w:rPr>
                <w:szCs w:val="21"/>
              </w:rPr>
            </w:pPr>
            <w:r>
              <w:rPr>
                <w:rFonts w:hint="eastAsia"/>
                <w:szCs w:val="21"/>
              </w:rPr>
              <w:t>（2）场地平整：按设计要求土方开挖、回填平整至设计标高。</w:t>
            </w:r>
          </w:p>
          <w:p w14:paraId="181A6C23">
            <w:pPr>
              <w:autoSpaceDE w:val="0"/>
              <w:autoSpaceDN w:val="0"/>
              <w:adjustRightInd w:val="0"/>
              <w:spacing w:line="500" w:lineRule="exact"/>
              <w:ind w:firstLine="420" w:firstLineChars="200"/>
              <w:rPr>
                <w:szCs w:val="21"/>
              </w:rPr>
            </w:pPr>
            <w:r>
              <w:rPr>
                <w:rFonts w:hint="eastAsia"/>
                <w:szCs w:val="21"/>
              </w:rPr>
              <w:t>（3）放线定点：根据设计图纸的要求，将设计图纸中各种树木的位置、布局反映到实际场地，保证苗木布局符合实际要求。</w:t>
            </w:r>
          </w:p>
          <w:p w14:paraId="3F83820D">
            <w:pPr>
              <w:autoSpaceDE w:val="0"/>
              <w:autoSpaceDN w:val="0"/>
              <w:adjustRightInd w:val="0"/>
              <w:spacing w:line="500" w:lineRule="exact"/>
              <w:ind w:firstLine="420" w:firstLineChars="200"/>
              <w:rPr>
                <w:szCs w:val="21"/>
              </w:rPr>
            </w:pPr>
            <w:r>
              <w:rPr>
                <w:rFonts w:hint="eastAsia"/>
                <w:szCs w:val="21"/>
              </w:rPr>
              <w:t>（4）挖植穴：根据定点放样的标线，树木土球的大小确定植穴的规格，一般树穴的直径比规定的土球直径要大20cm~30cm。</w:t>
            </w:r>
          </w:p>
          <w:p w14:paraId="29ADD7F2">
            <w:pPr>
              <w:autoSpaceDE w:val="0"/>
              <w:autoSpaceDN w:val="0"/>
              <w:adjustRightInd w:val="0"/>
              <w:spacing w:line="500" w:lineRule="exact"/>
              <w:ind w:firstLine="420" w:firstLineChars="200"/>
              <w:rPr>
                <w:szCs w:val="21"/>
              </w:rPr>
            </w:pPr>
            <w:r>
              <w:rPr>
                <w:rFonts w:hint="eastAsia"/>
                <w:szCs w:val="21"/>
              </w:rPr>
              <w:t>（5）下肥泥、土杂肥：与泥土混匀，回填树穴底部，绿化带散施深翻30cm，使土肥充分混匀。</w:t>
            </w:r>
          </w:p>
          <w:p w14:paraId="4D820AB7">
            <w:pPr>
              <w:autoSpaceDE w:val="0"/>
              <w:autoSpaceDN w:val="0"/>
              <w:adjustRightInd w:val="0"/>
              <w:spacing w:line="500" w:lineRule="exact"/>
              <w:ind w:firstLine="420" w:firstLineChars="200"/>
              <w:rPr>
                <w:szCs w:val="21"/>
              </w:rPr>
            </w:pPr>
            <w:r>
              <w:rPr>
                <w:rFonts w:hint="eastAsia"/>
                <w:szCs w:val="21"/>
              </w:rPr>
              <w:t>（6）苗木种植</w:t>
            </w:r>
          </w:p>
          <w:p w14:paraId="4F543C9C">
            <w:pPr>
              <w:autoSpaceDE w:val="0"/>
              <w:autoSpaceDN w:val="0"/>
              <w:adjustRightInd w:val="0"/>
              <w:spacing w:line="500" w:lineRule="exact"/>
              <w:ind w:firstLine="420" w:firstLineChars="200"/>
              <w:rPr>
                <w:szCs w:val="21"/>
              </w:rPr>
            </w:pPr>
            <w:r>
              <w:rPr>
                <w:rFonts w:hint="eastAsia"/>
                <w:szCs w:val="21"/>
              </w:rPr>
              <w:t>①乔木种植</w:t>
            </w:r>
          </w:p>
          <w:p w14:paraId="0890504B">
            <w:pPr>
              <w:autoSpaceDE w:val="0"/>
              <w:autoSpaceDN w:val="0"/>
              <w:adjustRightInd w:val="0"/>
              <w:spacing w:line="500" w:lineRule="exact"/>
              <w:ind w:firstLine="420" w:firstLineChars="200"/>
              <w:rPr>
                <w:szCs w:val="21"/>
              </w:rPr>
            </w:pPr>
            <w:r>
              <w:rPr>
                <w:rFonts w:hint="eastAsia"/>
                <w:szCs w:val="21"/>
              </w:rPr>
              <w:t>先将树木放入树穴中，把生长好的一面朝外，栽直看齐后，垫少量的土固定球根，填肥泥混合土到树穴的一半，用锹将土球四周的松土插实，至填满压实。最后开窝淋定根水。在高温反季节栽植时，必须做好准备，合理安排程序，务必做到随起挖、随运、随栽植。环环紧扣，尽可能缩短施工时间，栽植后及时淋水，并经常进行叶面喷水。高温强阳时要采取防日灼措施，提高苗木成活率。乔木栽植完毕后，均需在树木周围挖保水圈，直径以60-80cm为适宜。</w:t>
            </w:r>
          </w:p>
          <w:p w14:paraId="4C938090">
            <w:pPr>
              <w:autoSpaceDE w:val="0"/>
              <w:autoSpaceDN w:val="0"/>
              <w:adjustRightInd w:val="0"/>
              <w:spacing w:line="500" w:lineRule="exact"/>
              <w:ind w:firstLine="420" w:firstLineChars="200"/>
              <w:rPr>
                <w:szCs w:val="21"/>
              </w:rPr>
            </w:pPr>
            <w:r>
              <w:rPr>
                <w:rFonts w:hint="eastAsia"/>
                <w:szCs w:val="21"/>
              </w:rPr>
              <w:t>②绿化带苗木种植</w:t>
            </w:r>
          </w:p>
          <w:p w14:paraId="02C6BA60">
            <w:pPr>
              <w:autoSpaceDE w:val="0"/>
              <w:autoSpaceDN w:val="0"/>
              <w:adjustRightInd w:val="0"/>
              <w:spacing w:line="500" w:lineRule="exact"/>
              <w:ind w:firstLine="420" w:firstLineChars="200"/>
              <w:rPr>
                <w:szCs w:val="21"/>
              </w:rPr>
            </w:pPr>
            <w:r>
              <w:rPr>
                <w:rFonts w:hint="eastAsia"/>
                <w:szCs w:val="21"/>
              </w:rPr>
              <w:t>种植时注意疏密一致，所有的树木种植按照由内向外，由大到小，先乔木，后灌木，再地被草坪的顺序进行种植。种植时注意调整好树冠的朝向，还要调整树形姿状，树形适宜横卧、倾斜的，就要将树干栽成横、斜状态。地被栽植应注意到场后即时栽种，从中央纹样开始栽，再向边缘部分扩展栽下去。地被按设计标高施工平整场地，要保证绿地地面土质必须符合土质要求，清理杂物，然后普遍进行一次耕翻，使肥泥与土充分拌匀。</w:t>
            </w:r>
          </w:p>
          <w:p w14:paraId="7AC73A85">
            <w:pPr>
              <w:autoSpaceDE w:val="0"/>
              <w:autoSpaceDN w:val="0"/>
              <w:adjustRightInd w:val="0"/>
              <w:spacing w:line="500" w:lineRule="exact"/>
              <w:ind w:firstLine="422" w:firstLineChars="200"/>
              <w:jc w:val="left"/>
              <w:rPr>
                <w:b/>
                <w:bCs/>
                <w:szCs w:val="21"/>
              </w:rPr>
            </w:pPr>
            <w:r>
              <w:rPr>
                <w:rFonts w:hint="eastAsia"/>
                <w:b/>
                <w:bCs/>
                <w:szCs w:val="21"/>
              </w:rPr>
              <w:t>三、施工劳动定员和施工周期</w:t>
            </w:r>
          </w:p>
          <w:p w14:paraId="421BE73F">
            <w:pPr>
              <w:autoSpaceDE w:val="0"/>
              <w:autoSpaceDN w:val="0"/>
              <w:adjustRightInd w:val="0"/>
              <w:spacing w:line="500" w:lineRule="exact"/>
              <w:ind w:firstLine="420" w:firstLineChars="200"/>
              <w:jc w:val="left"/>
              <w:rPr>
                <w:szCs w:val="21"/>
              </w:rPr>
            </w:pPr>
            <w:r>
              <w:rPr>
                <w:rFonts w:hint="eastAsia"/>
                <w:szCs w:val="21"/>
              </w:rPr>
              <w:t>项目施工高峰期人数约为50人，项目不设施工营地，施工人员食宿自行解决。项目施工总工期为12个月，计划于</w:t>
            </w:r>
            <w:r>
              <w:rPr>
                <w:szCs w:val="21"/>
              </w:rPr>
              <w:t>202</w:t>
            </w:r>
            <w:r>
              <w:rPr>
                <w:rFonts w:hint="eastAsia"/>
                <w:szCs w:val="21"/>
              </w:rPr>
              <w:t>5年6月开始施工准备，</w:t>
            </w:r>
            <w:r>
              <w:rPr>
                <w:szCs w:val="21"/>
              </w:rPr>
              <w:t>202</w:t>
            </w:r>
            <w:r>
              <w:rPr>
                <w:rFonts w:hint="eastAsia"/>
                <w:szCs w:val="21"/>
              </w:rPr>
              <w:t>6年6月完工。</w:t>
            </w:r>
          </w:p>
        </w:tc>
      </w:tr>
      <w:tr w14:paraId="51ACFC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83" w:hRule="atLeast"/>
        </w:trPr>
        <w:tc>
          <w:tcPr>
            <w:tcW w:w="391" w:type="pct"/>
            <w:vAlign w:val="center"/>
          </w:tcPr>
          <w:p w14:paraId="3567B15E">
            <w:pPr>
              <w:adjustRightInd w:val="0"/>
              <w:snapToGrid w:val="0"/>
              <w:jc w:val="center"/>
              <w:rPr>
                <w:rFonts w:hint="eastAsia" w:ascii="宋体" w:hAnsi="宋体" w:cs="宋体"/>
                <w:kern w:val="0"/>
                <w:szCs w:val="21"/>
              </w:rPr>
            </w:pPr>
            <w:r>
              <w:rPr>
                <w:rFonts w:hint="eastAsia" w:ascii="宋体" w:hAnsi="宋体" w:cs="宋体"/>
                <w:kern w:val="0"/>
                <w:szCs w:val="21"/>
              </w:rPr>
              <w:t>其他</w:t>
            </w:r>
          </w:p>
        </w:tc>
        <w:tc>
          <w:tcPr>
            <w:tcW w:w="4609" w:type="pct"/>
            <w:vAlign w:val="center"/>
          </w:tcPr>
          <w:p w14:paraId="45187F35">
            <w:pPr>
              <w:jc w:val="center"/>
              <w:rPr>
                <w:rFonts w:hint="eastAsia" w:ascii="宋体" w:hAnsi="宋体"/>
                <w:szCs w:val="21"/>
              </w:rPr>
            </w:pPr>
            <w:r>
              <w:rPr>
                <w:rFonts w:hint="eastAsia" w:ascii="宋体" w:hAnsi="宋体"/>
                <w:szCs w:val="21"/>
              </w:rPr>
              <w:t>无</w:t>
            </w:r>
          </w:p>
        </w:tc>
      </w:tr>
    </w:tbl>
    <w:p w14:paraId="44CE73E4">
      <w:pPr>
        <w:pStyle w:val="30"/>
        <w:widowControl w:val="0"/>
        <w:numPr>
          <w:ilvl w:val="0"/>
          <w:numId w:val="3"/>
        </w:numPr>
        <w:snapToGrid w:val="0"/>
        <w:spacing w:before="0" w:beforeAutospacing="0" w:after="0" w:afterAutospacing="0"/>
        <w:jc w:val="center"/>
        <w:outlineLvl w:val="0"/>
        <w:rPr>
          <w:rFonts w:hint="eastAsia" w:ascii="黑体" w:hAnsi="黑体" w:eastAsia="黑体"/>
          <w:snapToGrid w:val="0"/>
          <w:sz w:val="30"/>
          <w:szCs w:val="30"/>
        </w:rPr>
      </w:pPr>
      <w:r>
        <w:rPr>
          <w:rFonts w:eastAsia="仿宋_GB2312"/>
          <w:b/>
          <w:bCs/>
        </w:rPr>
        <w:br w:type="page"/>
      </w:r>
      <w:bookmarkStart w:id="27" w:name="_Toc191907543"/>
      <w:bookmarkStart w:id="28" w:name="_Toc187243656"/>
      <w:bookmarkStart w:id="29" w:name="_Toc18297"/>
      <w:bookmarkStart w:id="30" w:name="_Toc185524001"/>
      <w:bookmarkStart w:id="31" w:name="_Toc185523893"/>
      <w:r>
        <w:rPr>
          <w:rFonts w:hint="eastAsia" w:ascii="黑体" w:hAnsi="黑体" w:eastAsia="黑体"/>
          <w:snapToGrid w:val="0"/>
          <w:sz w:val="30"/>
          <w:szCs w:val="30"/>
        </w:rPr>
        <w:t>生态环境现状、保护目标及评价标准</w:t>
      </w:r>
      <w:bookmarkEnd w:id="27"/>
      <w:bookmarkEnd w:id="28"/>
      <w:bookmarkEnd w:id="29"/>
      <w:bookmarkEnd w:id="30"/>
      <w:bookmarkEnd w:id="31"/>
    </w:p>
    <w:tbl>
      <w:tblPr>
        <w:tblStyle w:val="33"/>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256"/>
      </w:tblGrid>
      <w:tr w14:paraId="7DB74C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9" w:type="pct"/>
            <w:vAlign w:val="center"/>
          </w:tcPr>
          <w:p w14:paraId="2907D4ED">
            <w:pPr>
              <w:adjustRightInd w:val="0"/>
              <w:snapToGrid w:val="0"/>
              <w:jc w:val="center"/>
              <w:rPr>
                <w:rFonts w:hint="eastAsia" w:ascii="宋体" w:hAnsi="宋体" w:cs="宋体"/>
                <w:kern w:val="0"/>
                <w:szCs w:val="21"/>
              </w:rPr>
            </w:pPr>
            <w:r>
              <w:rPr>
                <w:rFonts w:hint="eastAsia" w:ascii="宋体" w:hAnsi="宋体" w:cs="宋体"/>
                <w:kern w:val="0"/>
                <w:szCs w:val="21"/>
              </w:rPr>
              <w:t>生态环境现状</w:t>
            </w:r>
          </w:p>
        </w:tc>
        <w:tc>
          <w:tcPr>
            <w:tcW w:w="4800" w:type="pct"/>
            <w:vAlign w:val="center"/>
          </w:tcPr>
          <w:p w14:paraId="78D48071">
            <w:pPr>
              <w:autoSpaceDE w:val="0"/>
              <w:autoSpaceDN w:val="0"/>
              <w:adjustRightInd w:val="0"/>
              <w:spacing w:line="500" w:lineRule="exact"/>
              <w:ind w:firstLine="422" w:firstLineChars="200"/>
              <w:jc w:val="left"/>
              <w:rPr>
                <w:b/>
                <w:bCs/>
                <w:kern w:val="0"/>
                <w:szCs w:val="21"/>
              </w:rPr>
            </w:pPr>
            <w:r>
              <w:rPr>
                <w:b/>
                <w:bCs/>
                <w:kern w:val="0"/>
                <w:szCs w:val="21"/>
              </w:rPr>
              <w:t>一、环境功能区划</w:t>
            </w:r>
          </w:p>
          <w:p w14:paraId="161CDE2F">
            <w:pPr>
              <w:autoSpaceDE w:val="0"/>
              <w:autoSpaceDN w:val="0"/>
              <w:adjustRightInd w:val="0"/>
              <w:spacing w:line="500" w:lineRule="exact"/>
              <w:ind w:firstLine="422" w:firstLineChars="200"/>
              <w:jc w:val="left"/>
              <w:rPr>
                <w:kern w:val="0"/>
                <w:szCs w:val="21"/>
              </w:rPr>
            </w:pPr>
            <w:r>
              <w:rPr>
                <w:b/>
                <w:bCs/>
                <w:kern w:val="0"/>
                <w:szCs w:val="21"/>
              </w:rPr>
              <w:t>（1）主体功能区规划</w:t>
            </w:r>
            <w:r>
              <w:rPr>
                <w:kern w:val="0"/>
                <w:szCs w:val="21"/>
              </w:rPr>
              <w:t>：根据《惠州市人民政府关于印发惠州市“三线一单”生态环境分区管控方案的通知》（惠府【2021】23号）</w:t>
            </w:r>
            <w:r>
              <w:rPr>
                <w:rFonts w:hint="eastAsia"/>
                <w:kern w:val="0"/>
                <w:szCs w:val="21"/>
              </w:rPr>
              <w:t>、</w:t>
            </w:r>
            <w:r>
              <w:t>《博罗县生态保护红线、环境质量底线、资源利用上线和环境准入清单研究报告》</w:t>
            </w:r>
            <w:r>
              <w:rPr>
                <w:kern w:val="0"/>
                <w:szCs w:val="21"/>
              </w:rPr>
              <w:t>、《惠州市环境管控单元图》（见</w:t>
            </w:r>
            <w:r>
              <w:rPr>
                <w:b/>
                <w:bCs/>
                <w:kern w:val="0"/>
                <w:szCs w:val="21"/>
              </w:rPr>
              <w:t>附图</w:t>
            </w:r>
            <w:r>
              <w:rPr>
                <w:rFonts w:hint="eastAsia"/>
                <w:b/>
                <w:bCs/>
                <w:kern w:val="0"/>
                <w:szCs w:val="21"/>
              </w:rPr>
              <w:t>15</w:t>
            </w:r>
            <w:r>
              <w:rPr>
                <w:kern w:val="0"/>
                <w:szCs w:val="21"/>
              </w:rPr>
              <w:t>），项目所在地属于</w:t>
            </w:r>
            <w:r>
              <w:rPr>
                <w:rFonts w:hint="eastAsia" w:ascii="宋体" w:hAnsi="宋体"/>
                <w:b/>
                <w:szCs w:val="21"/>
              </w:rPr>
              <w:t>博罗东江干流重点管控单元（单元编码：ZH44132220002）</w:t>
            </w:r>
            <w:r>
              <w:rPr>
                <w:kern w:val="0"/>
                <w:szCs w:val="21"/>
              </w:rPr>
              <w:t>。</w:t>
            </w:r>
          </w:p>
          <w:p w14:paraId="06FB33F9">
            <w:pPr>
              <w:spacing w:line="500" w:lineRule="exact"/>
              <w:ind w:firstLine="422" w:firstLineChars="200"/>
              <w:jc w:val="left"/>
              <w:rPr>
                <w:szCs w:val="21"/>
              </w:rPr>
            </w:pPr>
            <w:r>
              <w:rPr>
                <w:b/>
                <w:bCs/>
                <w:kern w:val="0"/>
                <w:szCs w:val="21"/>
              </w:rPr>
              <w:t>（2）</w:t>
            </w:r>
            <w:r>
              <w:rPr>
                <w:b/>
                <w:szCs w:val="21"/>
              </w:rPr>
              <w:t>地表水环境功能区划：</w:t>
            </w:r>
            <w:r>
              <w:rPr>
                <w:kern w:val="0"/>
                <w:szCs w:val="21"/>
              </w:rPr>
              <w:t>项目所在区域河流为</w:t>
            </w:r>
            <w:r>
              <w:rPr>
                <w:rFonts w:hint="eastAsia"/>
                <w:kern w:val="0"/>
                <w:szCs w:val="21"/>
              </w:rPr>
              <w:t>白石排洪渠</w:t>
            </w:r>
            <w:r>
              <w:rPr>
                <w:kern w:val="0"/>
                <w:szCs w:val="21"/>
              </w:rPr>
              <w:t>，</w:t>
            </w:r>
            <w:r>
              <w:rPr>
                <w:rFonts w:hint="eastAsia"/>
                <w:kern w:val="0"/>
                <w:szCs w:val="21"/>
              </w:rPr>
              <w:t>根据</w:t>
            </w:r>
            <w:r>
              <w:rPr>
                <w:rFonts w:hint="eastAsia"/>
              </w:rPr>
              <w:t>《关于印发&lt;博罗县2024年水污染防治工作方案&gt;的通知》（博环攻坚办〔2024〕68号</w:t>
            </w:r>
            <w:r>
              <w:rPr>
                <w:rFonts w:hint="eastAsia"/>
                <w:kern w:val="0"/>
                <w:szCs w:val="21"/>
              </w:rPr>
              <w:t>），</w:t>
            </w:r>
            <w:bookmarkStart w:id="32" w:name="OLE_LINK131"/>
            <w:r>
              <w:rPr>
                <w:rFonts w:hint="eastAsia"/>
                <w:kern w:val="0"/>
                <w:szCs w:val="21"/>
              </w:rPr>
              <w:t>白石渠</w:t>
            </w:r>
            <w:r>
              <w:rPr>
                <w:rFonts w:hint="eastAsia"/>
              </w:rPr>
              <w:t>（博罗段）</w:t>
            </w:r>
            <w:bookmarkEnd w:id="32"/>
            <w:r>
              <w:rPr>
                <w:rFonts w:hint="eastAsia"/>
                <w:kern w:val="0"/>
                <w:szCs w:val="21"/>
              </w:rPr>
              <w:t>2024年水质目标为V类。</w:t>
            </w:r>
          </w:p>
          <w:p w14:paraId="01A11687">
            <w:pPr>
              <w:widowControl/>
              <w:spacing w:line="500" w:lineRule="exact"/>
              <w:ind w:firstLine="422" w:firstLineChars="200"/>
              <w:jc w:val="left"/>
              <w:rPr>
                <w:szCs w:val="21"/>
              </w:rPr>
            </w:pPr>
            <w:r>
              <w:rPr>
                <w:rFonts w:hint="eastAsia"/>
                <w:b/>
                <w:bCs/>
                <w:szCs w:val="21"/>
              </w:rPr>
              <w:t>（3）</w:t>
            </w:r>
            <w:r>
              <w:rPr>
                <w:b/>
                <w:bCs/>
                <w:szCs w:val="21"/>
              </w:rPr>
              <w:t>大</w:t>
            </w:r>
            <w:r>
              <w:rPr>
                <w:b/>
                <w:szCs w:val="21"/>
              </w:rPr>
              <w:t>气环境功能区划</w:t>
            </w:r>
            <w:r>
              <w:rPr>
                <w:szCs w:val="21"/>
              </w:rPr>
              <w:t>：根据 《惠州市环境空气质量功能区划（202</w:t>
            </w:r>
            <w:r>
              <w:rPr>
                <w:rFonts w:hint="eastAsia"/>
                <w:szCs w:val="21"/>
              </w:rPr>
              <w:t>4</w:t>
            </w:r>
            <w:r>
              <w:rPr>
                <w:szCs w:val="21"/>
              </w:rPr>
              <w:t>年修订）》，项目位于环境空气质量二类功能区，执行《环境空气质量标准》（GB3095-2012）及其修改单二级标准。</w:t>
            </w:r>
          </w:p>
          <w:p w14:paraId="6BA846B3">
            <w:pPr>
              <w:widowControl/>
              <w:spacing w:line="500" w:lineRule="exact"/>
              <w:ind w:firstLine="422" w:firstLineChars="200"/>
              <w:jc w:val="left"/>
              <w:rPr>
                <w:szCs w:val="21"/>
              </w:rPr>
            </w:pPr>
            <w:r>
              <w:rPr>
                <w:b/>
                <w:bCs/>
                <w:szCs w:val="21"/>
              </w:rPr>
              <w:t>（4）声环境功能</w:t>
            </w:r>
            <w:r>
              <w:rPr>
                <w:b/>
                <w:szCs w:val="21"/>
              </w:rPr>
              <w:t>区划：</w:t>
            </w:r>
            <w:r>
              <w:rPr>
                <w:szCs w:val="21"/>
              </w:rPr>
              <w:t>根据</w:t>
            </w:r>
            <w:r>
              <w:rPr>
                <w:rFonts w:hint="eastAsia"/>
                <w:szCs w:val="21"/>
              </w:rPr>
              <w:t>《惠州市声环境功能区划分方案（2022年）》</w:t>
            </w:r>
            <w:r>
              <w:rPr>
                <w:szCs w:val="21"/>
              </w:rPr>
              <w:t>（</w:t>
            </w:r>
            <w:r>
              <w:rPr>
                <w:rFonts w:hint="eastAsia"/>
                <w:szCs w:val="21"/>
              </w:rPr>
              <w:t>惠市环〔2022〕33号</w:t>
            </w:r>
            <w:r>
              <w:rPr>
                <w:szCs w:val="21"/>
              </w:rPr>
              <w:t>），本项目所在区域属于声环境2类功能区，</w:t>
            </w:r>
            <w:r>
              <w:rPr>
                <w:szCs w:val="21"/>
                <w:lang w:bidi="ar"/>
              </w:rPr>
              <w:t>且项目为城市</w:t>
            </w:r>
            <w:r>
              <w:rPr>
                <w:rFonts w:hint="eastAsia"/>
                <w:szCs w:val="21"/>
                <w:lang w:bidi="ar"/>
              </w:rPr>
              <w:t>主</w:t>
            </w:r>
            <w:r>
              <w:rPr>
                <w:szCs w:val="21"/>
                <w:lang w:bidi="ar"/>
              </w:rPr>
              <w:t>干路，则项目道路边界线两侧35m内为声环境4类功能区，执行《声环境质量标准》（GB3096-2008）4a类标准，项目</w:t>
            </w:r>
            <w:bookmarkStart w:id="33" w:name="OLE_LINK130"/>
            <w:r>
              <w:rPr>
                <w:szCs w:val="21"/>
                <w:lang w:bidi="ar"/>
              </w:rPr>
              <w:t>道路边界线</w:t>
            </w:r>
            <w:bookmarkEnd w:id="33"/>
            <w:r>
              <w:rPr>
                <w:szCs w:val="21"/>
                <w:lang w:bidi="ar"/>
              </w:rPr>
              <w:t>两侧35m外为声环境2类功能区，执行《声环境质量标准》（GB3096-2008）2类标准。</w:t>
            </w:r>
          </w:p>
          <w:p w14:paraId="68F3E2CF">
            <w:pPr>
              <w:spacing w:line="500" w:lineRule="exact"/>
              <w:ind w:firstLine="422" w:firstLineChars="200"/>
              <w:jc w:val="left"/>
              <w:rPr>
                <w:szCs w:val="21"/>
              </w:rPr>
            </w:pPr>
            <w:r>
              <w:rPr>
                <w:b/>
                <w:bCs/>
                <w:szCs w:val="21"/>
              </w:rPr>
              <w:t>（</w:t>
            </w:r>
            <w:r>
              <w:rPr>
                <w:rFonts w:hint="eastAsia"/>
                <w:b/>
                <w:bCs/>
                <w:szCs w:val="21"/>
              </w:rPr>
              <w:t>5</w:t>
            </w:r>
            <w:r>
              <w:rPr>
                <w:b/>
                <w:bCs/>
                <w:szCs w:val="21"/>
              </w:rPr>
              <w:t>）土地利用情况</w:t>
            </w:r>
            <w:r>
              <w:rPr>
                <w:szCs w:val="21"/>
              </w:rPr>
              <w:t>：</w:t>
            </w:r>
            <w:r>
              <w:rPr>
                <w:rFonts w:hint="eastAsia"/>
                <w:kern w:val="0"/>
                <w:szCs w:val="21"/>
              </w:rPr>
              <w:t>本项目为新建道路工程，道路沿线以农林用地为主。</w:t>
            </w:r>
            <w:r>
              <w:rPr>
                <w:rFonts w:hint="eastAsia"/>
                <w:szCs w:val="21"/>
              </w:rPr>
              <w:t>本项目总占地面积为3.43hm</w:t>
            </w:r>
            <w:r>
              <w:rPr>
                <w:rFonts w:hint="eastAsia"/>
                <w:szCs w:val="21"/>
                <w:vertAlign w:val="superscript"/>
              </w:rPr>
              <w:t>2</w:t>
            </w:r>
            <w:r>
              <w:rPr>
                <w:rFonts w:hint="eastAsia"/>
                <w:szCs w:val="21"/>
              </w:rPr>
              <w:t>，均为永久征地，原始占地类型为林地、草地、水域及水利设施用地和其他土地</w:t>
            </w:r>
            <w:r>
              <w:rPr>
                <w:rFonts w:hint="eastAsia"/>
                <w:kern w:val="0"/>
                <w:szCs w:val="21"/>
              </w:rPr>
              <w:t>。</w:t>
            </w:r>
            <w:r>
              <w:rPr>
                <w:rStyle w:val="41"/>
                <w:kern w:val="0"/>
                <w:szCs w:val="21"/>
              </w:rPr>
              <w:t>评价范围不涉及基本农田</w:t>
            </w:r>
            <w:r>
              <w:rPr>
                <w:szCs w:val="21"/>
                <w:lang w:bidi="ar"/>
              </w:rPr>
              <w:t>。</w:t>
            </w:r>
          </w:p>
          <w:p w14:paraId="27FB8735">
            <w:pPr>
              <w:widowControl/>
              <w:spacing w:line="500" w:lineRule="exact"/>
              <w:ind w:firstLine="420" w:firstLineChars="200"/>
              <w:jc w:val="left"/>
              <w:rPr>
                <w:b/>
                <w:bCs/>
                <w:kern w:val="0"/>
                <w:szCs w:val="21"/>
              </w:rPr>
            </w:pPr>
            <w:r>
              <w:rPr>
                <w:szCs w:val="21"/>
              </w:rPr>
              <w:t>项目区域环境功能属性汇总如下表。</w:t>
            </w:r>
          </w:p>
          <w:p w14:paraId="3FDEE6A3">
            <w:pPr>
              <w:autoSpaceDE w:val="0"/>
              <w:autoSpaceDN w:val="0"/>
              <w:adjustRightInd w:val="0"/>
              <w:snapToGrid w:val="0"/>
              <w:spacing w:before="120" w:beforeLines="50" w:line="360" w:lineRule="auto"/>
              <w:jc w:val="center"/>
              <w:rPr>
                <w:b/>
                <w:bCs/>
                <w:kern w:val="0"/>
                <w:szCs w:val="21"/>
              </w:rPr>
            </w:pPr>
            <w:r>
              <w:rPr>
                <w:b/>
                <w:bCs/>
                <w:kern w:val="0"/>
                <w:szCs w:val="21"/>
              </w:rPr>
              <w:t>表</w:t>
            </w:r>
            <w:r>
              <w:rPr>
                <w:rFonts w:hint="eastAsia"/>
                <w:b/>
                <w:bCs/>
                <w:kern w:val="0"/>
                <w:szCs w:val="21"/>
              </w:rPr>
              <w:t>3</w:t>
            </w:r>
            <w:r>
              <w:rPr>
                <w:b/>
                <w:bCs/>
                <w:kern w:val="0"/>
                <w:szCs w:val="21"/>
              </w:rPr>
              <w:t>-1 项目区域环境功能属性汇总表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3206"/>
              <w:gridCol w:w="5813"/>
            </w:tblGrid>
            <w:tr w14:paraId="52A17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tcBorders>
                    <w:top w:val="single" w:color="auto" w:sz="18" w:space="0"/>
                  </w:tcBorders>
                  <w:shd w:val="clear" w:color="auto" w:fill="auto"/>
                  <w:vAlign w:val="center"/>
                </w:tcPr>
                <w:p w14:paraId="48A3DA06">
                  <w:pPr>
                    <w:pStyle w:val="14"/>
                    <w:ind w:firstLine="0" w:firstLineChars="0"/>
                    <w:jc w:val="center"/>
                    <w:rPr>
                      <w:b/>
                      <w:bCs/>
                      <w:sz w:val="21"/>
                      <w:szCs w:val="21"/>
                    </w:rPr>
                  </w:pPr>
                  <w:r>
                    <w:rPr>
                      <w:b/>
                      <w:bCs/>
                      <w:sz w:val="21"/>
                      <w:szCs w:val="21"/>
                    </w:rPr>
                    <w:t>编号</w:t>
                  </w:r>
                </w:p>
              </w:tc>
              <w:tc>
                <w:tcPr>
                  <w:tcW w:w="1598" w:type="pct"/>
                  <w:tcBorders>
                    <w:top w:val="single" w:color="auto" w:sz="18" w:space="0"/>
                  </w:tcBorders>
                  <w:shd w:val="clear" w:color="auto" w:fill="auto"/>
                  <w:vAlign w:val="center"/>
                </w:tcPr>
                <w:p w14:paraId="44717792">
                  <w:pPr>
                    <w:pStyle w:val="14"/>
                    <w:ind w:firstLine="0" w:firstLineChars="0"/>
                    <w:jc w:val="center"/>
                    <w:rPr>
                      <w:b/>
                      <w:bCs/>
                      <w:sz w:val="21"/>
                      <w:szCs w:val="21"/>
                    </w:rPr>
                  </w:pPr>
                  <w:r>
                    <w:rPr>
                      <w:b/>
                      <w:bCs/>
                      <w:sz w:val="21"/>
                      <w:szCs w:val="21"/>
                    </w:rPr>
                    <w:t>项目</w:t>
                  </w:r>
                </w:p>
              </w:tc>
              <w:tc>
                <w:tcPr>
                  <w:tcW w:w="2898" w:type="pct"/>
                  <w:tcBorders>
                    <w:top w:val="single" w:color="auto" w:sz="18" w:space="0"/>
                  </w:tcBorders>
                  <w:shd w:val="clear" w:color="auto" w:fill="auto"/>
                  <w:vAlign w:val="center"/>
                </w:tcPr>
                <w:p w14:paraId="7A8E04FC">
                  <w:pPr>
                    <w:pStyle w:val="14"/>
                    <w:ind w:firstLine="0" w:firstLineChars="0"/>
                    <w:jc w:val="center"/>
                    <w:rPr>
                      <w:b/>
                      <w:bCs/>
                      <w:sz w:val="21"/>
                      <w:szCs w:val="21"/>
                    </w:rPr>
                  </w:pPr>
                  <w:r>
                    <w:rPr>
                      <w:b/>
                      <w:bCs/>
                      <w:sz w:val="21"/>
                      <w:szCs w:val="21"/>
                    </w:rPr>
                    <w:t>功能属性及执行标准</w:t>
                  </w:r>
                </w:p>
              </w:tc>
            </w:tr>
            <w:tr w14:paraId="1CF1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45BFFEC9">
                  <w:pPr>
                    <w:pStyle w:val="14"/>
                    <w:numPr>
                      <w:ilvl w:val="0"/>
                      <w:numId w:val="4"/>
                    </w:numPr>
                    <w:ind w:firstLineChars="0"/>
                    <w:jc w:val="center"/>
                    <w:rPr>
                      <w:sz w:val="21"/>
                      <w:szCs w:val="21"/>
                    </w:rPr>
                  </w:pPr>
                </w:p>
              </w:tc>
              <w:tc>
                <w:tcPr>
                  <w:tcW w:w="1598" w:type="pct"/>
                  <w:shd w:val="clear" w:color="auto" w:fill="auto"/>
                  <w:vAlign w:val="center"/>
                </w:tcPr>
                <w:p w14:paraId="1E1EE1B1">
                  <w:pPr>
                    <w:pStyle w:val="14"/>
                    <w:ind w:firstLine="0" w:firstLineChars="0"/>
                    <w:jc w:val="center"/>
                    <w:rPr>
                      <w:sz w:val="21"/>
                      <w:szCs w:val="21"/>
                    </w:rPr>
                  </w:pPr>
                  <w:r>
                    <w:rPr>
                      <w:rFonts w:hint="eastAsia"/>
                      <w:sz w:val="21"/>
                      <w:szCs w:val="21"/>
                    </w:rPr>
                    <w:t>主体功能区规划</w:t>
                  </w:r>
                </w:p>
              </w:tc>
              <w:tc>
                <w:tcPr>
                  <w:tcW w:w="2898" w:type="pct"/>
                  <w:shd w:val="clear" w:color="auto" w:fill="auto"/>
                  <w:vAlign w:val="center"/>
                </w:tcPr>
                <w:p w14:paraId="5C2CF919">
                  <w:pPr>
                    <w:jc w:val="center"/>
                    <w:rPr>
                      <w:szCs w:val="21"/>
                    </w:rPr>
                  </w:pPr>
                  <w:r>
                    <w:rPr>
                      <w:kern w:val="0"/>
                      <w:szCs w:val="21"/>
                    </w:rPr>
                    <w:t>重点管控单元（单元编号：ZH44132220002）</w:t>
                  </w:r>
                </w:p>
              </w:tc>
            </w:tr>
            <w:tr w14:paraId="1CA5A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0ECBBF5E">
                  <w:pPr>
                    <w:pStyle w:val="14"/>
                    <w:numPr>
                      <w:ilvl w:val="0"/>
                      <w:numId w:val="4"/>
                    </w:numPr>
                    <w:ind w:firstLineChars="0"/>
                    <w:jc w:val="center"/>
                    <w:rPr>
                      <w:sz w:val="21"/>
                      <w:szCs w:val="21"/>
                    </w:rPr>
                  </w:pPr>
                </w:p>
              </w:tc>
              <w:tc>
                <w:tcPr>
                  <w:tcW w:w="1598" w:type="pct"/>
                  <w:shd w:val="clear" w:color="auto" w:fill="auto"/>
                  <w:vAlign w:val="center"/>
                </w:tcPr>
                <w:p w14:paraId="090C71F0">
                  <w:pPr>
                    <w:jc w:val="center"/>
                    <w:rPr>
                      <w:szCs w:val="21"/>
                    </w:rPr>
                  </w:pPr>
                  <w:r>
                    <w:rPr>
                      <w:rFonts w:hint="eastAsia"/>
                      <w:szCs w:val="21"/>
                    </w:rPr>
                    <w:t>地表</w:t>
                  </w:r>
                  <w:r>
                    <w:rPr>
                      <w:szCs w:val="21"/>
                    </w:rPr>
                    <w:t>水环境功能区</w:t>
                  </w:r>
                </w:p>
              </w:tc>
              <w:tc>
                <w:tcPr>
                  <w:tcW w:w="2898" w:type="pct"/>
                  <w:shd w:val="clear" w:color="auto" w:fill="auto"/>
                  <w:vAlign w:val="center"/>
                </w:tcPr>
                <w:p w14:paraId="21992A99">
                  <w:pPr>
                    <w:jc w:val="center"/>
                    <w:rPr>
                      <w:szCs w:val="21"/>
                    </w:rPr>
                  </w:pPr>
                  <w:r>
                    <w:rPr>
                      <w:rFonts w:hint="eastAsia"/>
                      <w:kern w:val="0"/>
                      <w:szCs w:val="21"/>
                    </w:rPr>
                    <w:t>白石排洪渠</w:t>
                  </w:r>
                  <w:r>
                    <w:rPr>
                      <w:bCs/>
                      <w:szCs w:val="21"/>
                    </w:rPr>
                    <w:t>Ⅴ</w:t>
                  </w:r>
                  <w:r>
                    <w:rPr>
                      <w:szCs w:val="21"/>
                    </w:rPr>
                    <w:t>类，执行《地表水环境质量标准》（GB3838-2002）</w:t>
                  </w:r>
                  <w:r>
                    <w:rPr>
                      <w:bCs/>
                      <w:szCs w:val="21"/>
                    </w:rPr>
                    <w:t>Ⅴ</w:t>
                  </w:r>
                  <w:r>
                    <w:rPr>
                      <w:szCs w:val="21"/>
                    </w:rPr>
                    <w:t>类标准</w:t>
                  </w:r>
                </w:p>
              </w:tc>
            </w:tr>
            <w:tr w14:paraId="3D5A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7D55F2EF">
                  <w:pPr>
                    <w:pStyle w:val="14"/>
                    <w:numPr>
                      <w:ilvl w:val="0"/>
                      <w:numId w:val="4"/>
                    </w:numPr>
                    <w:ind w:firstLineChars="0"/>
                    <w:jc w:val="center"/>
                    <w:rPr>
                      <w:sz w:val="21"/>
                      <w:szCs w:val="21"/>
                    </w:rPr>
                  </w:pPr>
                </w:p>
              </w:tc>
              <w:tc>
                <w:tcPr>
                  <w:tcW w:w="1598" w:type="pct"/>
                  <w:shd w:val="clear" w:color="auto" w:fill="auto"/>
                  <w:vAlign w:val="center"/>
                </w:tcPr>
                <w:p w14:paraId="4A2A690E">
                  <w:pPr>
                    <w:pStyle w:val="14"/>
                    <w:ind w:firstLine="0" w:firstLineChars="0"/>
                    <w:jc w:val="center"/>
                    <w:rPr>
                      <w:sz w:val="21"/>
                      <w:szCs w:val="21"/>
                    </w:rPr>
                  </w:pPr>
                  <w:r>
                    <w:rPr>
                      <w:sz w:val="21"/>
                      <w:szCs w:val="21"/>
                    </w:rPr>
                    <w:t>环境空气质量功能区</w:t>
                  </w:r>
                </w:p>
              </w:tc>
              <w:tc>
                <w:tcPr>
                  <w:tcW w:w="2898" w:type="pct"/>
                  <w:shd w:val="clear" w:color="auto" w:fill="auto"/>
                  <w:vAlign w:val="center"/>
                </w:tcPr>
                <w:p w14:paraId="6CC29D2B">
                  <w:pPr>
                    <w:jc w:val="center"/>
                    <w:rPr>
                      <w:szCs w:val="21"/>
                    </w:rPr>
                  </w:pPr>
                  <w:r>
                    <w:rPr>
                      <w:szCs w:val="21"/>
                    </w:rPr>
                    <w:t>二类区，执行《环境空气质量标准》(GB3095-2012)及其修改单中的二级标准</w:t>
                  </w:r>
                </w:p>
              </w:tc>
            </w:tr>
            <w:tr w14:paraId="13838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567155B7">
                  <w:pPr>
                    <w:pStyle w:val="14"/>
                    <w:numPr>
                      <w:ilvl w:val="0"/>
                      <w:numId w:val="4"/>
                    </w:numPr>
                    <w:ind w:firstLineChars="0"/>
                    <w:jc w:val="center"/>
                    <w:rPr>
                      <w:sz w:val="21"/>
                      <w:szCs w:val="21"/>
                    </w:rPr>
                  </w:pPr>
                </w:p>
              </w:tc>
              <w:tc>
                <w:tcPr>
                  <w:tcW w:w="1598" w:type="pct"/>
                  <w:shd w:val="clear" w:color="auto" w:fill="auto"/>
                  <w:vAlign w:val="center"/>
                </w:tcPr>
                <w:p w14:paraId="4C0D0FF9">
                  <w:pPr>
                    <w:jc w:val="center"/>
                    <w:rPr>
                      <w:kern w:val="0"/>
                      <w:szCs w:val="21"/>
                    </w:rPr>
                  </w:pPr>
                  <w:r>
                    <w:rPr>
                      <w:szCs w:val="21"/>
                    </w:rPr>
                    <w:t>声环境功能区</w:t>
                  </w:r>
                </w:p>
              </w:tc>
              <w:tc>
                <w:tcPr>
                  <w:tcW w:w="2898" w:type="pct"/>
                  <w:shd w:val="clear" w:color="auto" w:fill="auto"/>
                  <w:vAlign w:val="center"/>
                </w:tcPr>
                <w:p w14:paraId="58FB0996">
                  <w:pPr>
                    <w:jc w:val="center"/>
                    <w:rPr>
                      <w:kern w:val="0"/>
                      <w:szCs w:val="21"/>
                    </w:rPr>
                  </w:pPr>
                  <w:r>
                    <w:rPr>
                      <w:szCs w:val="21"/>
                      <w:lang w:bidi="ar"/>
                    </w:rPr>
                    <w:t>《声环境质量标准》（GB3096-2008）2、4a类标准</w:t>
                  </w:r>
                </w:p>
              </w:tc>
            </w:tr>
            <w:tr w14:paraId="3B4C6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26C3E32C">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5676C6F9">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是否饮用水源保区</w:t>
                  </w:r>
                </w:p>
              </w:tc>
              <w:tc>
                <w:tcPr>
                  <w:tcW w:w="2898" w:type="pct"/>
                  <w:shd w:val="clear" w:color="auto" w:fill="auto"/>
                  <w:vAlign w:val="center"/>
                </w:tcPr>
                <w:p w14:paraId="6C68C40A">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6B8D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67172E55">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6B16AD26">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是否自然保护区</w:t>
                  </w:r>
                </w:p>
              </w:tc>
              <w:tc>
                <w:tcPr>
                  <w:tcW w:w="2898" w:type="pct"/>
                  <w:shd w:val="clear" w:color="auto" w:fill="auto"/>
                  <w:vAlign w:val="center"/>
                </w:tcPr>
                <w:p w14:paraId="1CE6ED20">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3E2A5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7E9C147E">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59F8C4C4">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是否风景名胜保护区</w:t>
                  </w:r>
                </w:p>
              </w:tc>
              <w:tc>
                <w:tcPr>
                  <w:tcW w:w="2898" w:type="pct"/>
                  <w:shd w:val="clear" w:color="auto" w:fill="auto"/>
                  <w:vAlign w:val="center"/>
                </w:tcPr>
                <w:p w14:paraId="63349E85">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26F15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315967CB">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411E8551">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是否基本农田保护区</w:t>
                  </w:r>
                </w:p>
              </w:tc>
              <w:tc>
                <w:tcPr>
                  <w:tcW w:w="2898" w:type="pct"/>
                  <w:shd w:val="clear" w:color="auto" w:fill="auto"/>
                  <w:vAlign w:val="center"/>
                </w:tcPr>
                <w:p w14:paraId="3337DB6F">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3167D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73F32FF8">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480CD426">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是否生态敏感与脆弱区</w:t>
                  </w:r>
                </w:p>
              </w:tc>
              <w:tc>
                <w:tcPr>
                  <w:tcW w:w="2898" w:type="pct"/>
                  <w:shd w:val="clear" w:color="auto" w:fill="auto"/>
                  <w:vAlign w:val="center"/>
                </w:tcPr>
                <w:p w14:paraId="157B594D">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10B7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23EFDE83">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272BF8AC">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是否人口密集区</w:t>
                  </w:r>
                </w:p>
              </w:tc>
              <w:tc>
                <w:tcPr>
                  <w:tcW w:w="2898" w:type="pct"/>
                  <w:shd w:val="clear" w:color="auto" w:fill="auto"/>
                  <w:vAlign w:val="center"/>
                </w:tcPr>
                <w:p w14:paraId="209EDFA4">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132D0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07FD1DC2">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263BD388">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是否重点文物保护单位</w:t>
                  </w:r>
                </w:p>
              </w:tc>
              <w:tc>
                <w:tcPr>
                  <w:tcW w:w="2898" w:type="pct"/>
                  <w:shd w:val="clear" w:color="auto" w:fill="auto"/>
                  <w:vAlign w:val="center"/>
                </w:tcPr>
                <w:p w14:paraId="069F3C79">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3AD88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6FCAE925">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148EDA4D">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是否三河、三湖区</w:t>
                  </w:r>
                </w:p>
              </w:tc>
              <w:tc>
                <w:tcPr>
                  <w:tcW w:w="2898" w:type="pct"/>
                  <w:shd w:val="clear" w:color="auto" w:fill="auto"/>
                  <w:vAlign w:val="center"/>
                </w:tcPr>
                <w:p w14:paraId="5EFBB395">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否</w:t>
                  </w:r>
                </w:p>
              </w:tc>
            </w:tr>
            <w:tr w14:paraId="4BC20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2A53CB0C">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shd w:val="clear" w:color="auto" w:fill="auto"/>
                  <w:vAlign w:val="center"/>
                </w:tcPr>
                <w:p w14:paraId="1B45F01A">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是否两控区</w:t>
                  </w:r>
                </w:p>
              </w:tc>
              <w:tc>
                <w:tcPr>
                  <w:tcW w:w="2898" w:type="pct"/>
                  <w:shd w:val="clear" w:color="auto" w:fill="auto"/>
                  <w:vAlign w:val="center"/>
                </w:tcPr>
                <w:p w14:paraId="40F5D485">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是，酸雨控制区</w:t>
                  </w:r>
                </w:p>
              </w:tc>
            </w:tr>
            <w:tr w14:paraId="5489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shd w:val="clear" w:color="auto" w:fill="auto"/>
                  <w:vAlign w:val="center"/>
                </w:tcPr>
                <w:p w14:paraId="3EA49606">
                  <w:pPr>
                    <w:numPr>
                      <w:ilvl w:val="0"/>
                      <w:numId w:val="4"/>
                    </w:numPr>
                    <w:jc w:val="center"/>
                    <w:rPr>
                      <w:szCs w:val="21"/>
                    </w:rPr>
                  </w:pPr>
                </w:p>
              </w:tc>
              <w:tc>
                <w:tcPr>
                  <w:tcW w:w="1598" w:type="pct"/>
                  <w:shd w:val="clear" w:color="auto" w:fill="auto"/>
                  <w:vAlign w:val="center"/>
                </w:tcPr>
                <w:p w14:paraId="772DEFD5">
                  <w:pPr>
                    <w:jc w:val="center"/>
                    <w:rPr>
                      <w:szCs w:val="21"/>
                    </w:rPr>
                  </w:pPr>
                  <w:r>
                    <w:rPr>
                      <w:szCs w:val="21"/>
                    </w:rPr>
                    <w:t>是否属于生态敏感与脆弱区</w:t>
                  </w:r>
                </w:p>
              </w:tc>
              <w:tc>
                <w:tcPr>
                  <w:tcW w:w="2898" w:type="pct"/>
                  <w:shd w:val="clear" w:color="auto" w:fill="auto"/>
                  <w:vAlign w:val="center"/>
                </w:tcPr>
                <w:p w14:paraId="73A1EAD5">
                  <w:pPr>
                    <w:jc w:val="center"/>
                    <w:rPr>
                      <w:szCs w:val="21"/>
                    </w:rPr>
                  </w:pPr>
                  <w:r>
                    <w:rPr>
                      <w:szCs w:val="21"/>
                    </w:rPr>
                    <w:t>否</w:t>
                  </w:r>
                </w:p>
              </w:tc>
            </w:tr>
            <w:tr w14:paraId="2C11F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pct"/>
                  <w:tcBorders>
                    <w:bottom w:val="single" w:color="auto" w:sz="18" w:space="0"/>
                  </w:tcBorders>
                  <w:shd w:val="clear" w:color="auto" w:fill="auto"/>
                  <w:vAlign w:val="center"/>
                </w:tcPr>
                <w:p w14:paraId="211C818D">
                  <w:pPr>
                    <w:pStyle w:val="30"/>
                    <w:widowControl w:val="0"/>
                    <w:numPr>
                      <w:ilvl w:val="0"/>
                      <w:numId w:val="4"/>
                    </w:numPr>
                    <w:spacing w:before="0" w:beforeAutospacing="0" w:after="0" w:afterAutospacing="0"/>
                    <w:jc w:val="center"/>
                    <w:rPr>
                      <w:rFonts w:ascii="Times New Roman" w:hAnsi="Times New Roman"/>
                      <w:kern w:val="2"/>
                      <w:sz w:val="21"/>
                      <w:szCs w:val="21"/>
                    </w:rPr>
                  </w:pPr>
                </w:p>
              </w:tc>
              <w:tc>
                <w:tcPr>
                  <w:tcW w:w="1598" w:type="pct"/>
                  <w:tcBorders>
                    <w:bottom w:val="single" w:color="auto" w:sz="18" w:space="0"/>
                  </w:tcBorders>
                  <w:shd w:val="clear" w:color="auto" w:fill="auto"/>
                  <w:vAlign w:val="center"/>
                </w:tcPr>
                <w:p w14:paraId="7729E765">
                  <w:pPr>
                    <w:pStyle w:val="30"/>
                    <w:widowControl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是否城市污水处理厂纳污范围</w:t>
                  </w:r>
                </w:p>
              </w:tc>
              <w:tc>
                <w:tcPr>
                  <w:tcW w:w="2898" w:type="pct"/>
                  <w:tcBorders>
                    <w:bottom w:val="single" w:color="auto" w:sz="18" w:space="0"/>
                  </w:tcBorders>
                  <w:shd w:val="clear" w:color="auto" w:fill="auto"/>
                  <w:vAlign w:val="center"/>
                </w:tcPr>
                <w:p w14:paraId="795FCE89">
                  <w:pPr>
                    <w:pStyle w:val="30"/>
                    <w:widowControl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不涉及</w:t>
                  </w:r>
                </w:p>
              </w:tc>
            </w:tr>
          </w:tbl>
          <w:p w14:paraId="067C4391">
            <w:pPr>
              <w:pStyle w:val="70"/>
              <w:spacing w:line="500" w:lineRule="exact"/>
              <w:ind w:firstLine="422"/>
              <w:jc w:val="left"/>
              <w:rPr>
                <w:kern w:val="2"/>
                <w:sz w:val="21"/>
                <w:szCs w:val="21"/>
              </w:rPr>
            </w:pPr>
            <w:r>
              <w:rPr>
                <w:b/>
                <w:kern w:val="2"/>
                <w:sz w:val="21"/>
                <w:szCs w:val="21"/>
              </w:rPr>
              <w:t>二、环境</w:t>
            </w:r>
            <w:r>
              <w:rPr>
                <w:b/>
                <w:bCs/>
                <w:sz w:val="21"/>
                <w:szCs w:val="21"/>
              </w:rPr>
              <w:t>质量现状</w:t>
            </w:r>
          </w:p>
          <w:p w14:paraId="6B5EFF7B">
            <w:pPr>
              <w:widowControl/>
              <w:spacing w:line="500" w:lineRule="exact"/>
              <w:ind w:firstLine="422" w:firstLineChars="200"/>
              <w:jc w:val="left"/>
              <w:rPr>
                <w:b/>
                <w:szCs w:val="21"/>
              </w:rPr>
            </w:pPr>
            <w:r>
              <w:rPr>
                <w:rFonts w:hint="eastAsia"/>
                <w:b/>
                <w:szCs w:val="21"/>
              </w:rPr>
              <w:t>1、大气环境</w:t>
            </w:r>
          </w:p>
          <w:p w14:paraId="7D9837DD">
            <w:pPr>
              <w:widowControl/>
              <w:spacing w:line="500" w:lineRule="exact"/>
              <w:ind w:firstLine="420" w:firstLineChars="200"/>
              <w:jc w:val="left"/>
              <w:rPr>
                <w:szCs w:val="21"/>
              </w:rPr>
            </w:pPr>
            <w:r>
              <w:rPr>
                <w:rFonts w:hint="eastAsia"/>
                <w:szCs w:val="21"/>
              </w:rPr>
              <w:t>根据《惠州市环境空气质量功能区划（2024年修订）》（</w:t>
            </w:r>
            <w:r>
              <w:rPr>
                <w:szCs w:val="21"/>
              </w:rPr>
              <w:t>惠市环[202</w:t>
            </w:r>
            <w:r>
              <w:rPr>
                <w:rFonts w:hint="eastAsia"/>
                <w:szCs w:val="21"/>
              </w:rPr>
              <w:t>4</w:t>
            </w:r>
            <w:r>
              <w:rPr>
                <w:szCs w:val="21"/>
              </w:rPr>
              <w:t>]1</w:t>
            </w:r>
            <w:r>
              <w:rPr>
                <w:rFonts w:hint="eastAsia"/>
                <w:szCs w:val="21"/>
              </w:rPr>
              <w:t>6</w:t>
            </w:r>
            <w:r>
              <w:rPr>
                <w:szCs w:val="21"/>
              </w:rPr>
              <w:t>号</w:t>
            </w:r>
            <w:r>
              <w:rPr>
                <w:rFonts w:hint="eastAsia"/>
                <w:szCs w:val="21"/>
              </w:rPr>
              <w:t>），项目所在区域属二类功能区，执行《环境空气质量标准》（GB3095-2012）及其修改单二级标准。</w:t>
            </w:r>
          </w:p>
          <w:p w14:paraId="608FC4E9">
            <w:pPr>
              <w:widowControl/>
              <w:spacing w:line="500" w:lineRule="exact"/>
              <w:ind w:firstLine="422" w:firstLineChars="200"/>
              <w:jc w:val="left"/>
              <w:rPr>
                <w:b/>
                <w:szCs w:val="21"/>
              </w:rPr>
            </w:pPr>
            <w:r>
              <w:rPr>
                <w:b/>
                <w:szCs w:val="21"/>
              </w:rPr>
              <w:t>（1）区域环境质量现状</w:t>
            </w:r>
          </w:p>
          <w:p w14:paraId="776295A0">
            <w:pPr>
              <w:widowControl/>
              <w:spacing w:line="500" w:lineRule="exact"/>
              <w:ind w:firstLine="420" w:firstLineChars="200"/>
              <w:jc w:val="left"/>
              <w:rPr>
                <w:szCs w:val="21"/>
              </w:rPr>
            </w:pPr>
            <w:r>
              <w:rPr>
                <w:szCs w:val="21"/>
              </w:rPr>
              <w:t>根据《202</w:t>
            </w:r>
            <w:r>
              <w:rPr>
                <w:rFonts w:hint="eastAsia"/>
                <w:szCs w:val="21"/>
              </w:rPr>
              <w:t>3</w:t>
            </w:r>
            <w:r>
              <w:rPr>
                <w:szCs w:val="21"/>
              </w:rPr>
              <w:t>年惠州市生态环境状况公报》</w:t>
            </w:r>
            <w:r>
              <w:rPr>
                <w:rFonts w:hint="eastAsia"/>
                <w:szCs w:val="21"/>
              </w:rPr>
              <w:t>，惠州市环境空气质量保持优良</w:t>
            </w:r>
            <w:r>
              <w:rPr>
                <w:szCs w:val="21"/>
              </w:rPr>
              <w:t>。</w:t>
            </w:r>
          </w:p>
          <w:p w14:paraId="5A59B341">
            <w:pPr>
              <w:widowControl/>
              <w:spacing w:line="500" w:lineRule="exact"/>
              <w:ind w:firstLine="422" w:firstLineChars="200"/>
              <w:jc w:val="left"/>
              <w:rPr>
                <w:kern w:val="0"/>
                <w:szCs w:val="21"/>
              </w:rPr>
            </w:pPr>
            <w:r>
              <w:rPr>
                <w:rFonts w:hint="eastAsia"/>
                <w:b/>
                <w:bCs/>
                <w:kern w:val="0"/>
                <w:szCs w:val="21"/>
              </w:rPr>
              <w:t>城市空气质量：</w:t>
            </w:r>
            <w:r>
              <w:rPr>
                <w:rFonts w:hint="eastAsia"/>
                <w:kern w:val="0"/>
                <w:szCs w:val="21"/>
              </w:rPr>
              <w:t>2023年，惠州市环境空气质量优良。六项污染物年评价浓度均达标，其中，二氧化硫、二氧化氮、一氧化碳和可吸入颗粒物PM</w:t>
            </w:r>
            <w:r>
              <w:rPr>
                <w:rFonts w:hint="eastAsia"/>
                <w:kern w:val="0"/>
                <w:szCs w:val="21"/>
                <w:vertAlign w:val="subscript"/>
              </w:rPr>
              <w:t>10</w:t>
            </w:r>
            <w:r>
              <w:rPr>
                <w:rFonts w:hint="eastAsia"/>
                <w:kern w:val="0"/>
                <w:szCs w:val="21"/>
              </w:rPr>
              <w:t>年评价浓度达到国家一级标准；细颗粒物PM</w:t>
            </w:r>
            <w:r>
              <w:rPr>
                <w:rFonts w:hint="eastAsia"/>
                <w:kern w:val="0"/>
                <w:szCs w:val="21"/>
                <w:vertAlign w:val="subscript"/>
              </w:rPr>
              <w:t>2.5</w:t>
            </w:r>
            <w:r>
              <w:rPr>
                <w:rFonts w:hint="eastAsia"/>
                <w:kern w:val="0"/>
                <w:szCs w:val="21"/>
              </w:rPr>
              <w:t>和臭氧年评价浓度达到国家二级标准。综合指数为2.56，AQI达标率为98.4%，其中，优225天，良134天，轻度污染6天，无中度及以上污染，超标污染物为臭氧。</w:t>
            </w:r>
          </w:p>
          <w:p w14:paraId="4E6E1A03">
            <w:pPr>
              <w:widowControl/>
              <w:spacing w:line="500" w:lineRule="exact"/>
              <w:ind w:firstLine="420" w:firstLineChars="200"/>
              <w:jc w:val="left"/>
              <w:rPr>
                <w:kern w:val="0"/>
                <w:szCs w:val="21"/>
              </w:rPr>
            </w:pPr>
            <w:r>
              <w:rPr>
                <w:rFonts w:hint="eastAsia"/>
                <w:kern w:val="0"/>
                <w:szCs w:val="21"/>
              </w:rPr>
              <w:t>与2022年相比，惠州市环境空气质量有所改善。综合指数下降0.8%，AQI达标率上升4.7个百分点，臭氧下降13.9%，一氧化碳和二氧化氮持平，可吸入颗粒物PM</w:t>
            </w:r>
            <w:r>
              <w:rPr>
                <w:rFonts w:hint="eastAsia"/>
                <w:kern w:val="0"/>
                <w:szCs w:val="21"/>
                <w:vertAlign w:val="subscript"/>
              </w:rPr>
              <w:t>10</w:t>
            </w:r>
            <w:r>
              <w:rPr>
                <w:rFonts w:hint="eastAsia"/>
                <w:kern w:val="0"/>
                <w:szCs w:val="21"/>
              </w:rPr>
              <w:t>、细颗粒物PM</w:t>
            </w:r>
            <w:r>
              <w:rPr>
                <w:rFonts w:hint="eastAsia"/>
                <w:kern w:val="0"/>
                <w:szCs w:val="21"/>
                <w:vertAlign w:val="subscript"/>
              </w:rPr>
              <w:t>2.5</w:t>
            </w:r>
            <w:r>
              <w:rPr>
                <w:rFonts w:hint="eastAsia"/>
                <w:kern w:val="0"/>
                <w:szCs w:val="21"/>
              </w:rPr>
              <w:t>、二氧化硫分别上升9.1%、11.8%、20.0%。</w:t>
            </w:r>
          </w:p>
          <w:p w14:paraId="42801EDE">
            <w:pPr>
              <w:widowControl/>
              <w:spacing w:line="500" w:lineRule="exact"/>
              <w:ind w:firstLine="422" w:firstLineChars="200"/>
              <w:jc w:val="left"/>
              <w:rPr>
                <w:kern w:val="0"/>
                <w:szCs w:val="21"/>
              </w:rPr>
            </w:pPr>
            <w:r>
              <w:rPr>
                <w:rFonts w:hint="eastAsia"/>
                <w:b/>
                <w:bCs/>
                <w:kern w:val="0"/>
                <w:szCs w:val="21"/>
              </w:rPr>
              <w:t>县区空气质量：</w:t>
            </w:r>
            <w:r>
              <w:rPr>
                <w:rFonts w:hint="eastAsia"/>
                <w:kern w:val="0"/>
                <w:szCs w:val="21"/>
              </w:rPr>
              <w:t>2023年，各县区环境空气质量总体优良。六项污染物年评价浓度均达标，综合指数2.06（龙门县）～2.75（博罗县），AQI达标率94.4%（仲恺区）～99.5%（大亚湾区），超标污染物均为臭氧。按环境空气质量综合指数排名，由好到差依次为龙门县、大亚湾区、惠东县、惠阳区、仲恺区、惠城区、博罗县。与2022年相比，惠东县、大亚湾区、博罗县空气质量略微变差，其余县区空气质量略有改善。</w:t>
            </w:r>
          </w:p>
          <w:p w14:paraId="3541FB76">
            <w:pPr>
              <w:adjustRightInd w:val="0"/>
              <w:snapToGrid w:val="0"/>
              <w:spacing w:line="500" w:lineRule="exact"/>
              <w:ind w:firstLine="420" w:firstLineChars="200"/>
              <w:jc w:val="left"/>
              <w:rPr>
                <w:szCs w:val="21"/>
              </w:rPr>
            </w:pPr>
            <w:r>
              <w:rPr>
                <w:szCs w:val="21"/>
              </w:rPr>
              <w:t>根据《202</w:t>
            </w:r>
            <w:r>
              <w:rPr>
                <w:rFonts w:hint="eastAsia"/>
                <w:szCs w:val="21"/>
              </w:rPr>
              <w:t>3</w:t>
            </w:r>
            <w:r>
              <w:rPr>
                <w:szCs w:val="21"/>
              </w:rPr>
              <w:t>年惠州市生态环境状况公报》，</w:t>
            </w:r>
            <w:r>
              <w:rPr>
                <w:b/>
                <w:bCs/>
                <w:szCs w:val="21"/>
              </w:rPr>
              <w:t>项目所在区域属于空气环境达标区</w:t>
            </w:r>
            <w:r>
              <w:rPr>
                <w:szCs w:val="21"/>
              </w:rPr>
              <w:t>。</w:t>
            </w:r>
          </w:p>
          <w:p w14:paraId="48058C24">
            <w:pPr>
              <w:adjustRightInd w:val="0"/>
              <w:snapToGrid w:val="0"/>
              <w:spacing w:line="500" w:lineRule="exact"/>
              <w:ind w:firstLine="422" w:firstLineChars="200"/>
              <w:jc w:val="left"/>
              <w:rPr>
                <w:szCs w:val="21"/>
              </w:rPr>
            </w:pPr>
            <w:r>
              <w:rPr>
                <w:b/>
                <w:szCs w:val="21"/>
              </w:rPr>
              <w:t>（</w:t>
            </w:r>
            <w:r>
              <w:rPr>
                <w:rFonts w:hint="eastAsia"/>
                <w:b/>
                <w:szCs w:val="21"/>
              </w:rPr>
              <w:t>2</w:t>
            </w:r>
            <w:r>
              <w:rPr>
                <w:b/>
                <w:szCs w:val="21"/>
              </w:rPr>
              <w:t>）</w:t>
            </w:r>
            <w:r>
              <w:rPr>
                <w:rFonts w:hint="eastAsia"/>
                <w:b/>
              </w:rPr>
              <w:t>特征因子</w:t>
            </w:r>
          </w:p>
          <w:p w14:paraId="210D9324">
            <w:pPr>
              <w:adjustRightInd w:val="0"/>
              <w:snapToGrid w:val="0"/>
              <w:spacing w:line="500" w:lineRule="exact"/>
              <w:ind w:firstLine="420" w:firstLineChars="200"/>
              <w:jc w:val="left"/>
              <w:rPr>
                <w:szCs w:val="21"/>
              </w:rPr>
            </w:pPr>
            <w:r>
              <w:rPr>
                <w:rFonts w:hint="eastAsia"/>
                <w:szCs w:val="21"/>
              </w:rPr>
              <w:t>本项目特征因子主要为TSP，建设单位委托广东惠利通环境科技有限公司于2025年4月12日~2025年4月14日对项目所在区域的TSP因子进行了环境空气质量监测，监测点G1龙光天禧小区，位于本项目当季主导风向下风向700m（当季主导风向为东南风），监测点位图详见</w:t>
            </w:r>
            <w:r>
              <w:rPr>
                <w:rFonts w:hint="eastAsia"/>
                <w:b/>
                <w:bCs/>
                <w:szCs w:val="21"/>
              </w:rPr>
              <w:t>附图13</w:t>
            </w:r>
            <w:r>
              <w:rPr>
                <w:rFonts w:hint="eastAsia"/>
                <w:szCs w:val="21"/>
              </w:rPr>
              <w:t>，监测报告详见</w:t>
            </w:r>
            <w:r>
              <w:rPr>
                <w:rFonts w:hint="eastAsia"/>
                <w:b/>
                <w:bCs/>
                <w:szCs w:val="21"/>
              </w:rPr>
              <w:t>附件15</w:t>
            </w:r>
            <w:r>
              <w:rPr>
                <w:rFonts w:hint="eastAsia"/>
                <w:szCs w:val="21"/>
              </w:rPr>
              <w:t>。</w:t>
            </w:r>
          </w:p>
          <w:p w14:paraId="60B5852F">
            <w:pPr>
              <w:adjustRightInd w:val="0"/>
              <w:snapToGrid w:val="0"/>
              <w:spacing w:line="500" w:lineRule="exact"/>
              <w:ind w:firstLine="420" w:firstLineChars="200"/>
              <w:jc w:val="left"/>
              <w:rPr>
                <w:szCs w:val="21"/>
              </w:rPr>
            </w:pPr>
            <w:r>
              <w:t>现状监测结果见下表。</w:t>
            </w:r>
          </w:p>
          <w:p w14:paraId="182F424E">
            <w:pPr>
              <w:pStyle w:val="72"/>
              <w:spacing w:line="360" w:lineRule="auto"/>
              <w:rPr>
                <w:rFonts w:hint="eastAsia"/>
              </w:rPr>
            </w:pPr>
            <w:r>
              <w:t>表3-</w:t>
            </w:r>
            <w:r>
              <w:rPr>
                <w:rFonts w:hint="eastAsia"/>
              </w:rPr>
              <w:t xml:space="preserve">2 </w:t>
            </w:r>
            <w:r>
              <w:t xml:space="preserve"> 特征污染因子现状评价表</w:t>
            </w:r>
          </w:p>
          <w:tbl>
            <w:tblPr>
              <w:tblStyle w:val="33"/>
              <w:tblW w:w="9485" w:type="dxa"/>
              <w:tblInd w:w="108" w:type="dxa"/>
              <w:tblBorders>
                <w:top w:val="single" w:color="auto" w:sz="18" w:space="0"/>
                <w:left w:val="single" w:color="auto" w:sz="2" w:space="0"/>
                <w:bottom w:val="single" w:color="auto" w:sz="18"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304"/>
              <w:gridCol w:w="1852"/>
              <w:gridCol w:w="2074"/>
              <w:gridCol w:w="1839"/>
              <w:gridCol w:w="1577"/>
              <w:gridCol w:w="839"/>
            </w:tblGrid>
            <w:tr w14:paraId="270EDAC2">
              <w:tblPrEx>
                <w:tblBorders>
                  <w:top w:val="single" w:color="auto" w:sz="18" w:space="0"/>
                  <w:left w:val="single" w:color="auto" w:sz="2" w:space="0"/>
                  <w:bottom w:val="single" w:color="auto" w:sz="18"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688" w:type="pct"/>
                  <w:tcBorders>
                    <w:top w:val="single" w:color="auto" w:sz="12" w:space="0"/>
                  </w:tcBorders>
                  <w:vAlign w:val="center"/>
                </w:tcPr>
                <w:p w14:paraId="70F645A1">
                  <w:pPr>
                    <w:pStyle w:val="72"/>
                    <w:adjustRightInd w:val="0"/>
                    <w:spacing w:line="240" w:lineRule="auto"/>
                    <w:rPr>
                      <w:rFonts w:ascii="Times New Roman" w:hAnsi="Times New Roman" w:cs="Times New Roman"/>
                    </w:rPr>
                  </w:pPr>
                  <w:r>
                    <w:rPr>
                      <w:rFonts w:ascii="Times New Roman" w:hAnsi="Times New Roman" w:cs="Times New Roman"/>
                    </w:rPr>
                    <w:t>监测点</w:t>
                  </w:r>
                </w:p>
              </w:tc>
              <w:tc>
                <w:tcPr>
                  <w:tcW w:w="976" w:type="pct"/>
                  <w:tcBorders>
                    <w:top w:val="single" w:color="auto" w:sz="12" w:space="0"/>
                  </w:tcBorders>
                  <w:vAlign w:val="center"/>
                </w:tcPr>
                <w:p w14:paraId="1E3AE888">
                  <w:pPr>
                    <w:pStyle w:val="72"/>
                    <w:adjustRightInd w:val="0"/>
                    <w:spacing w:line="240" w:lineRule="auto"/>
                    <w:rPr>
                      <w:rFonts w:ascii="Times New Roman" w:hAnsi="Times New Roman" w:cs="Times New Roman"/>
                    </w:rPr>
                  </w:pPr>
                  <w:r>
                    <w:rPr>
                      <w:rFonts w:ascii="Times New Roman" w:hAnsi="Times New Roman" w:cs="Times New Roman"/>
                    </w:rPr>
                    <w:t>监测项目</w:t>
                  </w:r>
                </w:p>
              </w:tc>
              <w:tc>
                <w:tcPr>
                  <w:tcW w:w="1093" w:type="pct"/>
                  <w:tcBorders>
                    <w:top w:val="single" w:color="auto" w:sz="12" w:space="0"/>
                  </w:tcBorders>
                  <w:vAlign w:val="center"/>
                </w:tcPr>
                <w:p w14:paraId="4177BCCF">
                  <w:pPr>
                    <w:pStyle w:val="72"/>
                    <w:adjustRightInd w:val="0"/>
                    <w:spacing w:line="240" w:lineRule="auto"/>
                    <w:rPr>
                      <w:rFonts w:ascii="Times New Roman" w:hAnsi="Times New Roman" w:cs="Times New Roman"/>
                    </w:rPr>
                  </w:pPr>
                  <w:r>
                    <w:rPr>
                      <w:rFonts w:ascii="Times New Roman" w:hAnsi="Times New Roman" w:cs="Times New Roman"/>
                    </w:rPr>
                    <w:t>浓度范围（</w:t>
                  </w:r>
                  <w:r>
                    <w:rPr>
                      <w:rFonts w:ascii="Times New Roman" w:hAnsi="Times New Roman" w:cs="Times New Roman"/>
                      <w:kern w:val="18"/>
                    </w:rPr>
                    <w:t>mg/m</w:t>
                  </w:r>
                  <w:r>
                    <w:rPr>
                      <w:rFonts w:ascii="Times New Roman" w:hAnsi="Times New Roman" w:cs="Times New Roman"/>
                      <w:kern w:val="18"/>
                      <w:vertAlign w:val="superscript"/>
                    </w:rPr>
                    <w:t>3</w:t>
                  </w:r>
                  <w:r>
                    <w:rPr>
                      <w:rFonts w:ascii="Times New Roman" w:hAnsi="Times New Roman" w:cs="Times New Roman"/>
                      <w:kern w:val="18"/>
                    </w:rPr>
                    <w:t>）</w:t>
                  </w:r>
                </w:p>
              </w:tc>
              <w:tc>
                <w:tcPr>
                  <w:tcW w:w="969" w:type="pct"/>
                  <w:tcBorders>
                    <w:top w:val="single" w:color="auto" w:sz="12" w:space="0"/>
                  </w:tcBorders>
                  <w:vAlign w:val="center"/>
                </w:tcPr>
                <w:p w14:paraId="1B08A268">
                  <w:pPr>
                    <w:pStyle w:val="72"/>
                    <w:adjustRightInd w:val="0"/>
                    <w:spacing w:line="240" w:lineRule="auto"/>
                    <w:rPr>
                      <w:rFonts w:ascii="Times New Roman" w:hAnsi="Times New Roman" w:cs="Times New Roman"/>
                    </w:rPr>
                  </w:pPr>
                  <w:r>
                    <w:rPr>
                      <w:rFonts w:ascii="Times New Roman" w:hAnsi="Times New Roman" w:cs="Times New Roman"/>
                    </w:rPr>
                    <w:t>标准值（</w:t>
                  </w:r>
                  <w:r>
                    <w:rPr>
                      <w:rFonts w:ascii="Times New Roman" w:hAnsi="Times New Roman" w:cs="Times New Roman"/>
                      <w:kern w:val="18"/>
                    </w:rPr>
                    <w:t>mg/m</w:t>
                  </w:r>
                  <w:r>
                    <w:rPr>
                      <w:rFonts w:ascii="Times New Roman" w:hAnsi="Times New Roman" w:cs="Times New Roman"/>
                      <w:kern w:val="18"/>
                      <w:vertAlign w:val="superscript"/>
                    </w:rPr>
                    <w:t>3</w:t>
                  </w:r>
                  <w:r>
                    <w:rPr>
                      <w:rFonts w:ascii="Times New Roman" w:hAnsi="Times New Roman" w:cs="Times New Roman"/>
                      <w:kern w:val="18"/>
                    </w:rPr>
                    <w:t>）</w:t>
                  </w:r>
                </w:p>
              </w:tc>
              <w:tc>
                <w:tcPr>
                  <w:tcW w:w="831" w:type="pct"/>
                  <w:tcBorders>
                    <w:top w:val="single" w:color="auto" w:sz="12" w:space="0"/>
                  </w:tcBorders>
                  <w:vAlign w:val="center"/>
                </w:tcPr>
                <w:p w14:paraId="44976240">
                  <w:pPr>
                    <w:pStyle w:val="72"/>
                    <w:adjustRightInd w:val="0"/>
                    <w:spacing w:line="240" w:lineRule="auto"/>
                    <w:rPr>
                      <w:rFonts w:ascii="Times New Roman" w:hAnsi="Times New Roman" w:cs="Times New Roman"/>
                    </w:rPr>
                  </w:pPr>
                  <w:r>
                    <w:rPr>
                      <w:rFonts w:ascii="Times New Roman" w:hAnsi="Times New Roman" w:cs="Times New Roman"/>
                    </w:rPr>
                    <w:t>最大浓度占标率（%）</w:t>
                  </w:r>
                </w:p>
              </w:tc>
              <w:tc>
                <w:tcPr>
                  <w:tcW w:w="442" w:type="pct"/>
                  <w:tcBorders>
                    <w:top w:val="single" w:color="auto" w:sz="12" w:space="0"/>
                  </w:tcBorders>
                  <w:vAlign w:val="center"/>
                </w:tcPr>
                <w:p w14:paraId="6163366D">
                  <w:pPr>
                    <w:pStyle w:val="72"/>
                    <w:adjustRightInd w:val="0"/>
                    <w:spacing w:line="240" w:lineRule="auto"/>
                    <w:rPr>
                      <w:rFonts w:ascii="Times New Roman" w:hAnsi="Times New Roman" w:cs="Times New Roman"/>
                    </w:rPr>
                  </w:pPr>
                  <w:r>
                    <w:rPr>
                      <w:rFonts w:ascii="Times New Roman" w:hAnsi="Times New Roman" w:cs="Times New Roman"/>
                    </w:rPr>
                    <w:t>达标情况</w:t>
                  </w:r>
                </w:p>
              </w:tc>
            </w:tr>
            <w:tr w14:paraId="30E06A33">
              <w:tblPrEx>
                <w:tblBorders>
                  <w:top w:val="single" w:color="auto" w:sz="18" w:space="0"/>
                  <w:left w:val="single" w:color="auto" w:sz="2" w:space="0"/>
                  <w:bottom w:val="single" w:color="auto" w:sz="18"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688" w:type="pct"/>
                  <w:tcBorders>
                    <w:bottom w:val="single" w:color="auto" w:sz="12" w:space="0"/>
                  </w:tcBorders>
                  <w:vAlign w:val="center"/>
                </w:tcPr>
                <w:p w14:paraId="326AF8A5">
                  <w:pPr>
                    <w:pStyle w:val="72"/>
                    <w:adjustRightInd w:val="0"/>
                    <w:spacing w:line="240" w:lineRule="auto"/>
                    <w:rPr>
                      <w:rFonts w:ascii="Times New Roman" w:hAnsi="Times New Roman" w:cs="Times New Roman"/>
                      <w:b w:val="0"/>
                      <w:bCs/>
                    </w:rPr>
                  </w:pPr>
                  <w:r>
                    <w:rPr>
                      <w:rFonts w:ascii="Times New Roman" w:hAnsi="Times New Roman" w:cs="Times New Roman"/>
                      <w:b w:val="0"/>
                      <w:bCs/>
                      <w:szCs w:val="21"/>
                    </w:rPr>
                    <w:t>G1龙光天禧小区</w:t>
                  </w:r>
                </w:p>
              </w:tc>
              <w:tc>
                <w:tcPr>
                  <w:tcW w:w="976" w:type="pct"/>
                  <w:tcBorders>
                    <w:bottom w:val="single" w:color="auto" w:sz="12" w:space="0"/>
                  </w:tcBorders>
                  <w:vAlign w:val="center"/>
                </w:tcPr>
                <w:p w14:paraId="0167B598">
                  <w:pPr>
                    <w:pStyle w:val="72"/>
                    <w:adjustRightInd w:val="0"/>
                    <w:spacing w:line="240" w:lineRule="auto"/>
                    <w:rPr>
                      <w:rFonts w:ascii="Times New Roman" w:hAnsi="Times New Roman" w:cs="Times New Roman"/>
                      <w:b w:val="0"/>
                      <w:bCs/>
                    </w:rPr>
                  </w:pPr>
                  <w:r>
                    <w:rPr>
                      <w:rFonts w:ascii="Times New Roman" w:hAnsi="Times New Roman" w:cs="Times New Roman"/>
                      <w:b w:val="0"/>
                      <w:bCs/>
                    </w:rPr>
                    <w:t>TSP</w:t>
                  </w:r>
                </w:p>
              </w:tc>
              <w:tc>
                <w:tcPr>
                  <w:tcW w:w="1093" w:type="pct"/>
                  <w:tcBorders>
                    <w:bottom w:val="single" w:color="auto" w:sz="12" w:space="0"/>
                  </w:tcBorders>
                  <w:vAlign w:val="center"/>
                </w:tcPr>
                <w:p w14:paraId="2E0C0EB1">
                  <w:pPr>
                    <w:pStyle w:val="72"/>
                    <w:adjustRightInd w:val="0"/>
                    <w:spacing w:line="240" w:lineRule="auto"/>
                    <w:rPr>
                      <w:rFonts w:ascii="Times New Roman" w:hAnsi="Times New Roman" w:cs="Times New Roman"/>
                      <w:b w:val="0"/>
                      <w:bCs/>
                    </w:rPr>
                  </w:pPr>
                  <w:r>
                    <w:rPr>
                      <w:rFonts w:hint="eastAsia" w:ascii="Times New Roman" w:hAnsi="Times New Roman" w:cs="Times New Roman"/>
                      <w:b w:val="0"/>
                      <w:bCs/>
                    </w:rPr>
                    <w:t>0.177</w:t>
                  </w:r>
                  <w:r>
                    <w:rPr>
                      <w:rFonts w:ascii="Times New Roman" w:hAnsi="Times New Roman" w:cs="Times New Roman"/>
                      <w:b w:val="0"/>
                      <w:bCs/>
                    </w:rPr>
                    <w:t>~</w:t>
                  </w:r>
                  <w:r>
                    <w:rPr>
                      <w:rFonts w:hint="eastAsia" w:ascii="Times New Roman" w:hAnsi="Times New Roman" w:cs="Times New Roman"/>
                      <w:b w:val="0"/>
                      <w:bCs/>
                    </w:rPr>
                    <w:t>0.194</w:t>
                  </w:r>
                </w:p>
              </w:tc>
              <w:tc>
                <w:tcPr>
                  <w:tcW w:w="969" w:type="pct"/>
                  <w:tcBorders>
                    <w:bottom w:val="single" w:color="auto" w:sz="12" w:space="0"/>
                  </w:tcBorders>
                  <w:vAlign w:val="center"/>
                </w:tcPr>
                <w:p w14:paraId="168C8620">
                  <w:pPr>
                    <w:pStyle w:val="72"/>
                    <w:adjustRightInd w:val="0"/>
                    <w:spacing w:line="240" w:lineRule="auto"/>
                    <w:rPr>
                      <w:rFonts w:ascii="Times New Roman" w:hAnsi="Times New Roman" w:cs="Times New Roman"/>
                      <w:b w:val="0"/>
                      <w:bCs/>
                    </w:rPr>
                  </w:pPr>
                  <w:r>
                    <w:rPr>
                      <w:rFonts w:ascii="Times New Roman" w:hAnsi="Times New Roman" w:cs="Times New Roman"/>
                      <w:b w:val="0"/>
                      <w:bCs/>
                    </w:rPr>
                    <w:t>0.3</w:t>
                  </w:r>
                </w:p>
              </w:tc>
              <w:tc>
                <w:tcPr>
                  <w:tcW w:w="831" w:type="pct"/>
                  <w:tcBorders>
                    <w:bottom w:val="single" w:color="auto" w:sz="12" w:space="0"/>
                  </w:tcBorders>
                  <w:vAlign w:val="center"/>
                </w:tcPr>
                <w:p w14:paraId="439DE370">
                  <w:pPr>
                    <w:pStyle w:val="72"/>
                    <w:adjustRightInd w:val="0"/>
                    <w:spacing w:line="240" w:lineRule="auto"/>
                    <w:rPr>
                      <w:rFonts w:ascii="Times New Roman" w:hAnsi="Times New Roman" w:cs="Times New Roman"/>
                      <w:b w:val="0"/>
                      <w:bCs/>
                    </w:rPr>
                  </w:pPr>
                  <w:r>
                    <w:rPr>
                      <w:rFonts w:hint="eastAsia" w:ascii="Times New Roman" w:hAnsi="Times New Roman" w:cs="Times New Roman"/>
                      <w:b w:val="0"/>
                      <w:bCs/>
                    </w:rPr>
                    <w:t>64.7</w:t>
                  </w:r>
                </w:p>
              </w:tc>
              <w:tc>
                <w:tcPr>
                  <w:tcW w:w="442" w:type="pct"/>
                  <w:tcBorders>
                    <w:bottom w:val="single" w:color="auto" w:sz="12" w:space="0"/>
                  </w:tcBorders>
                  <w:vAlign w:val="center"/>
                </w:tcPr>
                <w:p w14:paraId="62A7D47F">
                  <w:pPr>
                    <w:pStyle w:val="72"/>
                    <w:adjustRightInd w:val="0"/>
                    <w:spacing w:line="240" w:lineRule="auto"/>
                    <w:rPr>
                      <w:rFonts w:ascii="Times New Roman" w:hAnsi="Times New Roman" w:cs="Times New Roman"/>
                      <w:b w:val="0"/>
                      <w:bCs/>
                    </w:rPr>
                  </w:pPr>
                  <w:r>
                    <w:rPr>
                      <w:rFonts w:ascii="Times New Roman" w:hAnsi="Times New Roman" w:cs="Times New Roman"/>
                      <w:b w:val="0"/>
                      <w:bCs/>
                    </w:rPr>
                    <w:t>达标</w:t>
                  </w:r>
                </w:p>
              </w:tc>
            </w:tr>
          </w:tbl>
          <w:p w14:paraId="1E2DDFAC">
            <w:pPr>
              <w:adjustRightInd w:val="0"/>
              <w:snapToGrid w:val="0"/>
              <w:spacing w:line="500" w:lineRule="exact"/>
              <w:ind w:firstLine="436" w:firstLineChars="200"/>
              <w:jc w:val="left"/>
              <w:rPr>
                <w:szCs w:val="21"/>
              </w:rPr>
            </w:pPr>
            <w:r>
              <w:rPr>
                <w:bCs/>
                <w:spacing w:val="4"/>
                <w:kern w:val="18"/>
              </w:rPr>
              <w:t>监测结果表明，项目所在区域，TSP达到</w:t>
            </w:r>
            <w:r>
              <w:rPr>
                <w:bCs/>
              </w:rPr>
              <w:t>《环境空气质量标准》（GB3095-2012）及其修改单二级标准，</w:t>
            </w:r>
            <w:r>
              <w:rPr>
                <w:bCs/>
                <w:spacing w:val="4"/>
                <w:kern w:val="18"/>
              </w:rPr>
              <w:t>达标率均为100%。</w:t>
            </w:r>
          </w:p>
          <w:p w14:paraId="01A108DC">
            <w:pPr>
              <w:pStyle w:val="73"/>
              <w:spacing w:before="36"/>
              <w:ind w:firstLine="0"/>
              <w:rPr>
                <w:rFonts w:ascii="Times New Roman"/>
                <w:sz w:val="21"/>
              </w:rPr>
            </w:pPr>
            <w:r>
              <w:rPr>
                <w:sz w:val="21"/>
              </w:rPr>
              <w:drawing>
                <wp:inline distT="0" distB="0" distL="0" distR="0">
                  <wp:extent cx="5617210" cy="4038600"/>
                  <wp:effectExtent l="19050" t="19050" r="2540" b="0"/>
                  <wp:docPr id="1661286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286543" name="图片 1"/>
                          <pic:cNvPicPr>
                            <a:picLocks noChangeAspect="1"/>
                          </pic:cNvPicPr>
                        </pic:nvPicPr>
                        <pic:blipFill>
                          <a:blip r:embed="rId19"/>
                          <a:stretch>
                            <a:fillRect/>
                          </a:stretch>
                        </pic:blipFill>
                        <pic:spPr>
                          <a:xfrm>
                            <a:off x="0" y="0"/>
                            <a:ext cx="5625717" cy="4044476"/>
                          </a:xfrm>
                          <a:prstGeom prst="rect">
                            <a:avLst/>
                          </a:prstGeom>
                          <a:ln>
                            <a:solidFill>
                              <a:schemeClr val="tx1"/>
                            </a:solidFill>
                          </a:ln>
                        </pic:spPr>
                      </pic:pic>
                    </a:graphicData>
                  </a:graphic>
                </wp:inline>
              </w:drawing>
            </w:r>
          </w:p>
          <w:p w14:paraId="76052D86">
            <w:pPr>
              <w:pStyle w:val="143"/>
              <w:ind w:firstLine="0"/>
              <w:jc w:val="center"/>
              <w:rPr>
                <w:color w:val="auto"/>
                <w:sz w:val="21"/>
                <w:szCs w:val="21"/>
              </w:rPr>
            </w:pPr>
            <w:r>
              <w:rPr>
                <w:rFonts w:hint="eastAsia"/>
                <w:b/>
                <w:color w:val="auto"/>
                <w:sz w:val="21"/>
                <w:szCs w:val="21"/>
              </w:rPr>
              <w:t>图3-1 惠州市生态环境状况公报截图</w:t>
            </w:r>
          </w:p>
          <w:p w14:paraId="4EA3FAFF">
            <w:pPr>
              <w:spacing w:line="500" w:lineRule="exact"/>
              <w:ind w:firstLine="422" w:firstLineChars="200"/>
              <w:jc w:val="left"/>
              <w:rPr>
                <w:b/>
                <w:bCs/>
                <w:szCs w:val="21"/>
              </w:rPr>
            </w:pPr>
            <w:r>
              <w:rPr>
                <w:b/>
                <w:bCs/>
                <w:szCs w:val="21"/>
                <w:lang w:bidi="ar"/>
              </w:rPr>
              <w:t>2、地表水环境质量现状</w:t>
            </w:r>
          </w:p>
          <w:p w14:paraId="0FDDC2D6">
            <w:pPr>
              <w:adjustRightInd w:val="0"/>
              <w:snapToGrid w:val="0"/>
              <w:spacing w:line="500" w:lineRule="exact"/>
              <w:ind w:firstLine="420" w:firstLineChars="200"/>
              <w:jc w:val="left"/>
              <w:rPr>
                <w:szCs w:val="21"/>
                <w:lang w:bidi="ar"/>
              </w:rPr>
            </w:pPr>
            <w:r>
              <w:rPr>
                <w:rFonts w:hint="eastAsia"/>
                <w:szCs w:val="21"/>
                <w:lang w:bidi="ar"/>
              </w:rPr>
              <w:t>白石渠为风门坳右岸一级支流，发源于汤泉林场的白田嶂(338.1m)，河道整体上为自北向南流，穿过广惠高速、广汕公路后沿着山脚向南流，流经汤泉开发区、白石村后穿隧洞流入风门坳，汇入口位于风门坳白沙堆段，距离风门坳东江口约700m，属惠州大堤北堤堤外范围。白石渠流域面积为8.9km</w:t>
            </w:r>
            <w:r>
              <w:rPr>
                <w:rFonts w:hint="eastAsia"/>
                <w:szCs w:val="21"/>
                <w:vertAlign w:val="superscript"/>
                <w:lang w:bidi="ar"/>
              </w:rPr>
              <w:t>2</w:t>
            </w:r>
            <w:r>
              <w:rPr>
                <w:rFonts w:hint="eastAsia"/>
                <w:szCs w:val="21"/>
                <w:lang w:bidi="ar"/>
              </w:rPr>
              <w:t>，干流河长8.93km，干流平均坡降0.0058，现状情况下，白石渠在惠河高速下布置有罗屋角溢流堰，当水位超过溢流堰堰顶时部分洪水通过溢流堰经白石支渠排入风门坳河。规划情况下，白石渠20年一遇洪水不下泄，此时白石支渠仅作为风门坳涝区的内涝河道，白石渠超过20年一遇洪水才通过拆除重建后的罗屋角溢流堰排入到白石支渠后入风门坳河。</w:t>
            </w:r>
          </w:p>
          <w:p w14:paraId="1A81D728">
            <w:pPr>
              <w:adjustRightInd w:val="0"/>
              <w:snapToGrid w:val="0"/>
              <w:spacing w:line="500" w:lineRule="exact"/>
              <w:ind w:firstLine="420" w:firstLineChars="200"/>
              <w:jc w:val="left"/>
              <w:rPr>
                <w:szCs w:val="21"/>
                <w:lang w:bidi="ar"/>
              </w:rPr>
            </w:pPr>
            <w:r>
              <w:rPr>
                <w:rFonts w:hint="eastAsia"/>
                <w:szCs w:val="21"/>
                <w:lang w:bidi="ar"/>
              </w:rPr>
              <w:t>白石渠属于高水高排工程，位于小金口街道的西部。为提高风门坳片区的保护效益，防止山洪水直冲耕地，沿山坡开挖白石渠，1973年开始兴建堤防，于1974年冬建成，原设计标准为10年一遇，但实际上未按标准完成，渠底高低不一，过水面积普遍较小，渠堤低矮单薄，洪水时经常漫顶，1986年在现惠河高速附近河道兴建溢洪堰，堰顶高程为19.17m，堰宽约12m。白石渠出口设计为无压隧洞，长约358m，坡度为0.01，洞宽仅约3.3m，洞高约3.7m。</w:t>
            </w:r>
          </w:p>
          <w:p w14:paraId="19C23DB5">
            <w:pPr>
              <w:adjustRightInd w:val="0"/>
              <w:snapToGrid w:val="0"/>
              <w:spacing w:line="500" w:lineRule="exact"/>
              <w:ind w:firstLine="420" w:firstLineChars="200"/>
              <w:jc w:val="left"/>
              <w:rPr>
                <w:szCs w:val="21"/>
                <w:lang w:bidi="ar"/>
              </w:rPr>
            </w:pPr>
            <w:r>
              <w:rPr>
                <w:rFonts w:hint="eastAsia"/>
                <w:szCs w:val="21"/>
                <w:lang w:bidi="ar"/>
              </w:rPr>
              <w:t>白石渠的环境质量现状引用《惠州市赣深高铁惠州北站片区防洪排涝工程环境影响报告书》(审批文号：惠市环建(2022)80号)中对白石渠</w:t>
            </w:r>
            <w:bookmarkStart w:id="34" w:name="OLE_LINK123"/>
            <w:r>
              <w:rPr>
                <w:rFonts w:hint="eastAsia"/>
                <w:szCs w:val="21"/>
                <w:lang w:bidi="ar"/>
              </w:rPr>
              <w:t>金裕惠博新城</w:t>
            </w:r>
            <w:bookmarkEnd w:id="34"/>
            <w:r>
              <w:rPr>
                <w:rFonts w:hint="eastAsia"/>
                <w:szCs w:val="21"/>
                <w:lang w:bidi="ar"/>
              </w:rPr>
              <w:t>段的监测结果(监测报告编号：中大惠院检29064)，监测时间为2022年9月6日-7日，监测数据具有时效性。引用地表水现状监测点位图详见附图14。</w:t>
            </w:r>
          </w:p>
          <w:p w14:paraId="61641380">
            <w:pPr>
              <w:pStyle w:val="15"/>
              <w:keepNext/>
              <w:spacing w:line="500" w:lineRule="exact"/>
              <w:jc w:val="center"/>
              <w:rPr>
                <w:rFonts w:ascii="Times New Roman" w:hAnsi="Times New Roman" w:eastAsia="宋体"/>
                <w:b/>
                <w:bCs/>
                <w:sz w:val="21"/>
                <w:szCs w:val="21"/>
                <w:lang w:bidi="ar"/>
              </w:rPr>
            </w:pPr>
            <w:r>
              <w:rPr>
                <w:rFonts w:hint="eastAsia" w:ascii="Times New Roman" w:hAnsi="Times New Roman" w:eastAsia="宋体"/>
                <w:b/>
                <w:bCs/>
                <w:sz w:val="21"/>
                <w:szCs w:val="21"/>
                <w:lang w:bidi="ar"/>
              </w:rPr>
              <w:t>表3</w:t>
            </w:r>
            <w:r>
              <w:rPr>
                <w:rFonts w:ascii="Times New Roman" w:hAnsi="Times New Roman" w:eastAsia="宋体"/>
                <w:b/>
                <w:bCs/>
                <w:sz w:val="21"/>
                <w:szCs w:val="21"/>
                <w:lang w:bidi="ar"/>
              </w:rPr>
              <w:t xml:space="preserve">-2 </w:t>
            </w:r>
            <w:r>
              <w:rPr>
                <w:rFonts w:hint="eastAsia" w:ascii="Times New Roman" w:hAnsi="Times New Roman" w:eastAsia="宋体"/>
                <w:b/>
                <w:bCs/>
                <w:sz w:val="21"/>
                <w:szCs w:val="21"/>
                <w:lang w:bidi="ar"/>
              </w:rPr>
              <w:t xml:space="preserve"> 白石渠水质监测结果单位:mg，特殊注明除外</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7"/>
              <w:gridCol w:w="2507"/>
              <w:gridCol w:w="2508"/>
              <w:gridCol w:w="2508"/>
            </w:tblGrid>
            <w:tr w14:paraId="2C5AA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tcBorders>
                    <w:top w:val="single" w:color="auto" w:sz="18" w:space="0"/>
                  </w:tcBorders>
                  <w:shd w:val="clear" w:color="auto" w:fill="auto"/>
                  <w:vAlign w:val="center"/>
                </w:tcPr>
                <w:p w14:paraId="2B0738F5">
                  <w:pPr>
                    <w:pStyle w:val="14"/>
                    <w:ind w:firstLine="0" w:firstLineChars="0"/>
                    <w:jc w:val="center"/>
                    <w:rPr>
                      <w:b/>
                      <w:bCs/>
                      <w:sz w:val="21"/>
                      <w:szCs w:val="21"/>
                    </w:rPr>
                  </w:pPr>
                  <w:r>
                    <w:rPr>
                      <w:rFonts w:hint="eastAsia"/>
                      <w:b/>
                      <w:bCs/>
                      <w:sz w:val="21"/>
                      <w:szCs w:val="21"/>
                    </w:rPr>
                    <w:t>监测因子</w:t>
                  </w:r>
                </w:p>
              </w:tc>
              <w:tc>
                <w:tcPr>
                  <w:tcW w:w="1250" w:type="pct"/>
                  <w:tcBorders>
                    <w:top w:val="single" w:color="auto" w:sz="18" w:space="0"/>
                  </w:tcBorders>
                  <w:shd w:val="clear" w:color="auto" w:fill="auto"/>
                  <w:vAlign w:val="center"/>
                </w:tcPr>
                <w:p w14:paraId="1598EF66">
                  <w:pPr>
                    <w:pStyle w:val="14"/>
                    <w:ind w:firstLine="0" w:firstLineChars="0"/>
                    <w:jc w:val="center"/>
                    <w:rPr>
                      <w:b/>
                      <w:bCs/>
                      <w:sz w:val="21"/>
                      <w:szCs w:val="21"/>
                    </w:rPr>
                  </w:pPr>
                  <w:r>
                    <w:rPr>
                      <w:rFonts w:hint="eastAsia"/>
                      <w:b/>
                      <w:bCs/>
                      <w:sz w:val="21"/>
                      <w:szCs w:val="21"/>
                    </w:rPr>
                    <w:t>监测时间</w:t>
                  </w:r>
                </w:p>
              </w:tc>
              <w:tc>
                <w:tcPr>
                  <w:tcW w:w="1250" w:type="pct"/>
                  <w:tcBorders>
                    <w:top w:val="single" w:color="auto" w:sz="18" w:space="0"/>
                  </w:tcBorders>
                  <w:shd w:val="clear" w:color="auto" w:fill="auto"/>
                  <w:vAlign w:val="center"/>
                </w:tcPr>
                <w:p w14:paraId="25673662">
                  <w:pPr>
                    <w:pStyle w:val="14"/>
                    <w:ind w:firstLine="0" w:firstLineChars="0"/>
                    <w:jc w:val="center"/>
                    <w:rPr>
                      <w:b/>
                      <w:bCs/>
                      <w:sz w:val="21"/>
                      <w:szCs w:val="21"/>
                    </w:rPr>
                  </w:pPr>
                  <w:r>
                    <w:rPr>
                      <w:rFonts w:hint="eastAsia"/>
                      <w:b/>
                      <w:bCs/>
                      <w:sz w:val="21"/>
                      <w:szCs w:val="21"/>
                    </w:rPr>
                    <w:t>监测结果</w:t>
                  </w:r>
                </w:p>
              </w:tc>
              <w:tc>
                <w:tcPr>
                  <w:tcW w:w="1250" w:type="pct"/>
                  <w:tcBorders>
                    <w:top w:val="single" w:color="auto" w:sz="18" w:space="0"/>
                  </w:tcBorders>
                  <w:shd w:val="clear" w:color="auto" w:fill="auto"/>
                  <w:vAlign w:val="center"/>
                </w:tcPr>
                <w:p w14:paraId="6902CBE1">
                  <w:pPr>
                    <w:pStyle w:val="14"/>
                    <w:ind w:firstLine="0" w:firstLineChars="0"/>
                    <w:jc w:val="center"/>
                    <w:rPr>
                      <w:b/>
                      <w:bCs/>
                      <w:sz w:val="21"/>
                      <w:szCs w:val="21"/>
                    </w:rPr>
                  </w:pPr>
                  <w:r>
                    <w:rPr>
                      <w:rFonts w:hint="eastAsia"/>
                      <w:b/>
                      <w:bCs/>
                      <w:sz w:val="21"/>
                      <w:szCs w:val="21"/>
                    </w:rPr>
                    <w:t>标准指数</w:t>
                  </w:r>
                </w:p>
              </w:tc>
            </w:tr>
            <w:tr w14:paraId="6363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29BB3B41">
                  <w:pPr>
                    <w:pStyle w:val="14"/>
                    <w:ind w:firstLine="0" w:firstLineChars="0"/>
                    <w:jc w:val="center"/>
                    <w:rPr>
                      <w:sz w:val="21"/>
                      <w:szCs w:val="21"/>
                    </w:rPr>
                  </w:pPr>
                  <w:r>
                    <w:rPr>
                      <w:rFonts w:hint="eastAsia"/>
                      <w:sz w:val="21"/>
                      <w:szCs w:val="21"/>
                    </w:rPr>
                    <w:t>pH 值(无量纲)</w:t>
                  </w:r>
                </w:p>
              </w:tc>
              <w:tc>
                <w:tcPr>
                  <w:tcW w:w="1250" w:type="pct"/>
                  <w:shd w:val="clear" w:color="auto" w:fill="auto"/>
                  <w:vAlign w:val="center"/>
                </w:tcPr>
                <w:p w14:paraId="2DC8D1BA">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597CABF6">
                  <w:pPr>
                    <w:pStyle w:val="14"/>
                    <w:ind w:firstLine="0" w:firstLineChars="0"/>
                    <w:jc w:val="center"/>
                    <w:rPr>
                      <w:sz w:val="21"/>
                      <w:szCs w:val="21"/>
                    </w:rPr>
                  </w:pPr>
                  <w:r>
                    <w:rPr>
                      <w:rFonts w:hint="eastAsia"/>
                      <w:sz w:val="21"/>
                      <w:szCs w:val="21"/>
                    </w:rPr>
                    <w:t>7.2</w:t>
                  </w:r>
                </w:p>
              </w:tc>
              <w:tc>
                <w:tcPr>
                  <w:tcW w:w="1250" w:type="pct"/>
                  <w:shd w:val="clear" w:color="auto" w:fill="auto"/>
                  <w:vAlign w:val="center"/>
                </w:tcPr>
                <w:p w14:paraId="24054CBF">
                  <w:pPr>
                    <w:pStyle w:val="14"/>
                    <w:ind w:firstLine="0" w:firstLineChars="0"/>
                    <w:jc w:val="center"/>
                    <w:rPr>
                      <w:sz w:val="21"/>
                      <w:szCs w:val="21"/>
                    </w:rPr>
                  </w:pPr>
                  <w:r>
                    <w:rPr>
                      <w:rFonts w:hint="eastAsia"/>
                      <w:sz w:val="21"/>
                      <w:szCs w:val="21"/>
                    </w:rPr>
                    <w:t>0.1</w:t>
                  </w:r>
                </w:p>
              </w:tc>
            </w:tr>
            <w:tr w14:paraId="396EE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2CDCADB5">
                  <w:pPr>
                    <w:pStyle w:val="14"/>
                    <w:ind w:firstLine="0" w:firstLineChars="0"/>
                    <w:jc w:val="center"/>
                    <w:rPr>
                      <w:sz w:val="21"/>
                      <w:szCs w:val="21"/>
                    </w:rPr>
                  </w:pPr>
                </w:p>
              </w:tc>
              <w:tc>
                <w:tcPr>
                  <w:tcW w:w="1250" w:type="pct"/>
                  <w:shd w:val="clear" w:color="auto" w:fill="auto"/>
                  <w:vAlign w:val="center"/>
                </w:tcPr>
                <w:p w14:paraId="095C8860">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3DEF0E6A">
                  <w:pPr>
                    <w:pStyle w:val="14"/>
                    <w:ind w:firstLine="0" w:firstLineChars="0"/>
                    <w:jc w:val="center"/>
                    <w:rPr>
                      <w:sz w:val="21"/>
                      <w:szCs w:val="21"/>
                    </w:rPr>
                  </w:pPr>
                  <w:r>
                    <w:rPr>
                      <w:rFonts w:hint="eastAsia"/>
                      <w:sz w:val="21"/>
                      <w:szCs w:val="21"/>
                    </w:rPr>
                    <w:t>7.2</w:t>
                  </w:r>
                </w:p>
              </w:tc>
              <w:tc>
                <w:tcPr>
                  <w:tcW w:w="1250" w:type="pct"/>
                  <w:shd w:val="clear" w:color="auto" w:fill="auto"/>
                  <w:vAlign w:val="center"/>
                </w:tcPr>
                <w:p w14:paraId="6CB26D3F">
                  <w:pPr>
                    <w:pStyle w:val="14"/>
                    <w:ind w:firstLine="0" w:firstLineChars="0"/>
                    <w:jc w:val="center"/>
                    <w:rPr>
                      <w:sz w:val="21"/>
                      <w:szCs w:val="21"/>
                    </w:rPr>
                  </w:pPr>
                  <w:r>
                    <w:rPr>
                      <w:rFonts w:hint="eastAsia"/>
                      <w:sz w:val="21"/>
                      <w:szCs w:val="21"/>
                    </w:rPr>
                    <w:t>0.1</w:t>
                  </w:r>
                </w:p>
              </w:tc>
            </w:tr>
            <w:tr w14:paraId="2DFF2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6CB146CF">
                  <w:pPr>
                    <w:pStyle w:val="14"/>
                    <w:ind w:firstLine="0" w:firstLineChars="0"/>
                    <w:jc w:val="center"/>
                    <w:rPr>
                      <w:sz w:val="21"/>
                      <w:szCs w:val="21"/>
                    </w:rPr>
                  </w:pPr>
                  <w:r>
                    <w:rPr>
                      <w:rFonts w:hint="eastAsia"/>
                      <w:sz w:val="21"/>
                      <w:szCs w:val="21"/>
                    </w:rPr>
                    <w:t>溶解氧</w:t>
                  </w:r>
                </w:p>
              </w:tc>
              <w:tc>
                <w:tcPr>
                  <w:tcW w:w="1250" w:type="pct"/>
                  <w:shd w:val="clear" w:color="auto" w:fill="auto"/>
                  <w:vAlign w:val="center"/>
                </w:tcPr>
                <w:p w14:paraId="0ED90E46">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752780D2">
                  <w:pPr>
                    <w:pStyle w:val="14"/>
                    <w:ind w:firstLine="0" w:firstLineChars="0"/>
                    <w:jc w:val="center"/>
                    <w:rPr>
                      <w:sz w:val="21"/>
                      <w:szCs w:val="21"/>
                    </w:rPr>
                  </w:pPr>
                  <w:r>
                    <w:rPr>
                      <w:rFonts w:hint="eastAsia"/>
                      <w:sz w:val="21"/>
                      <w:szCs w:val="21"/>
                    </w:rPr>
                    <w:t>5.29</w:t>
                  </w:r>
                </w:p>
              </w:tc>
              <w:tc>
                <w:tcPr>
                  <w:tcW w:w="1250" w:type="pct"/>
                  <w:shd w:val="clear" w:color="auto" w:fill="auto"/>
                  <w:vAlign w:val="center"/>
                </w:tcPr>
                <w:p w14:paraId="538FCAC9">
                  <w:pPr>
                    <w:pStyle w:val="14"/>
                    <w:ind w:firstLine="0" w:firstLineChars="0"/>
                    <w:jc w:val="center"/>
                    <w:rPr>
                      <w:sz w:val="21"/>
                      <w:szCs w:val="21"/>
                    </w:rPr>
                  </w:pPr>
                  <w:r>
                    <w:rPr>
                      <w:rFonts w:hint="eastAsia"/>
                      <w:sz w:val="21"/>
                      <w:szCs w:val="21"/>
                    </w:rPr>
                    <w:t>0.38</w:t>
                  </w:r>
                </w:p>
              </w:tc>
            </w:tr>
            <w:tr w14:paraId="1B36A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1DD3311E">
                  <w:pPr>
                    <w:pStyle w:val="14"/>
                    <w:ind w:firstLine="0" w:firstLineChars="0"/>
                    <w:jc w:val="center"/>
                    <w:rPr>
                      <w:sz w:val="21"/>
                      <w:szCs w:val="21"/>
                    </w:rPr>
                  </w:pPr>
                </w:p>
              </w:tc>
              <w:tc>
                <w:tcPr>
                  <w:tcW w:w="1250" w:type="pct"/>
                  <w:shd w:val="clear" w:color="auto" w:fill="auto"/>
                  <w:vAlign w:val="center"/>
                </w:tcPr>
                <w:p w14:paraId="3652A619">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2FC2815F">
                  <w:pPr>
                    <w:pStyle w:val="14"/>
                    <w:ind w:firstLine="0" w:firstLineChars="0"/>
                    <w:jc w:val="center"/>
                    <w:rPr>
                      <w:sz w:val="21"/>
                      <w:szCs w:val="21"/>
                    </w:rPr>
                  </w:pPr>
                  <w:r>
                    <w:rPr>
                      <w:rFonts w:hint="eastAsia"/>
                      <w:sz w:val="21"/>
                      <w:szCs w:val="21"/>
                    </w:rPr>
                    <w:t>5.64</w:t>
                  </w:r>
                </w:p>
              </w:tc>
              <w:tc>
                <w:tcPr>
                  <w:tcW w:w="1250" w:type="pct"/>
                  <w:shd w:val="clear" w:color="auto" w:fill="auto"/>
                  <w:vAlign w:val="center"/>
                </w:tcPr>
                <w:p w14:paraId="4CCBF979">
                  <w:pPr>
                    <w:pStyle w:val="14"/>
                    <w:ind w:firstLine="0" w:firstLineChars="0"/>
                    <w:jc w:val="center"/>
                    <w:rPr>
                      <w:sz w:val="21"/>
                      <w:szCs w:val="21"/>
                    </w:rPr>
                  </w:pPr>
                  <w:r>
                    <w:rPr>
                      <w:rFonts w:hint="eastAsia"/>
                      <w:sz w:val="21"/>
                      <w:szCs w:val="21"/>
                    </w:rPr>
                    <w:t>0.34</w:t>
                  </w:r>
                </w:p>
              </w:tc>
            </w:tr>
            <w:tr w14:paraId="493F9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01824CD2">
                  <w:pPr>
                    <w:pStyle w:val="14"/>
                    <w:ind w:firstLine="0" w:firstLineChars="0"/>
                    <w:jc w:val="center"/>
                    <w:rPr>
                      <w:sz w:val="21"/>
                      <w:szCs w:val="21"/>
                    </w:rPr>
                  </w:pPr>
                  <w:r>
                    <w:rPr>
                      <w:rFonts w:hint="eastAsia"/>
                      <w:sz w:val="21"/>
                      <w:szCs w:val="21"/>
                    </w:rPr>
                    <w:t>高锰酸盐指数</w:t>
                  </w:r>
                </w:p>
              </w:tc>
              <w:tc>
                <w:tcPr>
                  <w:tcW w:w="1250" w:type="pct"/>
                  <w:shd w:val="clear" w:color="auto" w:fill="auto"/>
                  <w:vAlign w:val="center"/>
                </w:tcPr>
                <w:p w14:paraId="6AACDDBA">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4C51B1EA">
                  <w:pPr>
                    <w:pStyle w:val="14"/>
                    <w:ind w:firstLine="0" w:firstLineChars="0"/>
                    <w:jc w:val="center"/>
                    <w:rPr>
                      <w:sz w:val="21"/>
                      <w:szCs w:val="21"/>
                    </w:rPr>
                  </w:pPr>
                  <w:r>
                    <w:rPr>
                      <w:rFonts w:hint="eastAsia"/>
                      <w:sz w:val="21"/>
                      <w:szCs w:val="21"/>
                    </w:rPr>
                    <w:t>1.8</w:t>
                  </w:r>
                </w:p>
              </w:tc>
              <w:tc>
                <w:tcPr>
                  <w:tcW w:w="1250" w:type="pct"/>
                  <w:shd w:val="clear" w:color="auto" w:fill="auto"/>
                  <w:vAlign w:val="center"/>
                </w:tcPr>
                <w:p w14:paraId="14A88367">
                  <w:pPr>
                    <w:pStyle w:val="14"/>
                    <w:ind w:firstLine="0" w:firstLineChars="0"/>
                    <w:jc w:val="center"/>
                    <w:rPr>
                      <w:sz w:val="21"/>
                      <w:szCs w:val="21"/>
                    </w:rPr>
                  </w:pPr>
                  <w:r>
                    <w:rPr>
                      <w:rFonts w:hint="eastAsia"/>
                      <w:sz w:val="21"/>
                      <w:szCs w:val="21"/>
                    </w:rPr>
                    <w:t>0.12</w:t>
                  </w:r>
                </w:p>
              </w:tc>
            </w:tr>
            <w:tr w14:paraId="13863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3285AD9C">
                  <w:pPr>
                    <w:pStyle w:val="14"/>
                    <w:ind w:firstLine="0" w:firstLineChars="0"/>
                    <w:jc w:val="center"/>
                    <w:rPr>
                      <w:sz w:val="21"/>
                      <w:szCs w:val="21"/>
                    </w:rPr>
                  </w:pPr>
                </w:p>
              </w:tc>
              <w:tc>
                <w:tcPr>
                  <w:tcW w:w="1250" w:type="pct"/>
                  <w:shd w:val="clear" w:color="auto" w:fill="auto"/>
                  <w:vAlign w:val="center"/>
                </w:tcPr>
                <w:p w14:paraId="1CF8122F">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2B076C41">
                  <w:pPr>
                    <w:pStyle w:val="14"/>
                    <w:ind w:firstLine="0" w:firstLineChars="0"/>
                    <w:jc w:val="center"/>
                    <w:rPr>
                      <w:sz w:val="21"/>
                      <w:szCs w:val="21"/>
                    </w:rPr>
                  </w:pPr>
                  <w:r>
                    <w:rPr>
                      <w:rFonts w:hint="eastAsia"/>
                      <w:sz w:val="21"/>
                      <w:szCs w:val="21"/>
                    </w:rPr>
                    <w:t>2.0</w:t>
                  </w:r>
                </w:p>
              </w:tc>
              <w:tc>
                <w:tcPr>
                  <w:tcW w:w="1250" w:type="pct"/>
                  <w:shd w:val="clear" w:color="auto" w:fill="auto"/>
                  <w:vAlign w:val="center"/>
                </w:tcPr>
                <w:p w14:paraId="08899017">
                  <w:pPr>
                    <w:pStyle w:val="14"/>
                    <w:ind w:firstLine="0" w:firstLineChars="0"/>
                    <w:jc w:val="center"/>
                    <w:rPr>
                      <w:sz w:val="21"/>
                      <w:szCs w:val="21"/>
                    </w:rPr>
                  </w:pPr>
                  <w:r>
                    <w:rPr>
                      <w:rFonts w:hint="eastAsia"/>
                      <w:sz w:val="21"/>
                      <w:szCs w:val="21"/>
                    </w:rPr>
                    <w:t>0.13</w:t>
                  </w:r>
                </w:p>
              </w:tc>
            </w:tr>
            <w:tr w14:paraId="4C27A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4F366589">
                  <w:pPr>
                    <w:pStyle w:val="14"/>
                    <w:ind w:firstLine="0" w:firstLineChars="0"/>
                    <w:jc w:val="center"/>
                    <w:rPr>
                      <w:sz w:val="21"/>
                      <w:szCs w:val="21"/>
                    </w:rPr>
                  </w:pPr>
                  <w:r>
                    <w:rPr>
                      <w:sz w:val="21"/>
                      <w:szCs w:val="21"/>
                    </w:rPr>
                    <w:t>COD</w:t>
                  </w:r>
                  <w:r>
                    <w:rPr>
                      <w:rFonts w:hint="eastAsia"/>
                      <w:sz w:val="21"/>
                      <w:szCs w:val="21"/>
                    </w:rPr>
                    <w:t>cr</w:t>
                  </w:r>
                </w:p>
              </w:tc>
              <w:tc>
                <w:tcPr>
                  <w:tcW w:w="1250" w:type="pct"/>
                  <w:shd w:val="clear" w:color="auto" w:fill="auto"/>
                  <w:vAlign w:val="center"/>
                </w:tcPr>
                <w:p w14:paraId="2720BD46">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1E01B943">
                  <w:pPr>
                    <w:pStyle w:val="14"/>
                    <w:ind w:firstLine="0" w:firstLineChars="0"/>
                    <w:jc w:val="center"/>
                    <w:rPr>
                      <w:sz w:val="21"/>
                      <w:szCs w:val="21"/>
                    </w:rPr>
                  </w:pPr>
                  <w:r>
                    <w:rPr>
                      <w:rFonts w:hint="eastAsia"/>
                      <w:sz w:val="21"/>
                      <w:szCs w:val="21"/>
                    </w:rPr>
                    <w:t>12</w:t>
                  </w:r>
                </w:p>
              </w:tc>
              <w:tc>
                <w:tcPr>
                  <w:tcW w:w="1250" w:type="pct"/>
                  <w:shd w:val="clear" w:color="auto" w:fill="auto"/>
                  <w:vAlign w:val="center"/>
                </w:tcPr>
                <w:p w14:paraId="45CC4628">
                  <w:pPr>
                    <w:pStyle w:val="14"/>
                    <w:ind w:firstLine="0" w:firstLineChars="0"/>
                    <w:jc w:val="center"/>
                    <w:rPr>
                      <w:sz w:val="21"/>
                      <w:szCs w:val="21"/>
                    </w:rPr>
                  </w:pPr>
                  <w:r>
                    <w:rPr>
                      <w:rFonts w:hint="eastAsia"/>
                      <w:sz w:val="21"/>
                      <w:szCs w:val="21"/>
                    </w:rPr>
                    <w:t>0.30</w:t>
                  </w:r>
                </w:p>
              </w:tc>
            </w:tr>
            <w:tr w14:paraId="434C4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16E5F6A3">
                  <w:pPr>
                    <w:pStyle w:val="14"/>
                    <w:ind w:firstLine="0" w:firstLineChars="0"/>
                    <w:jc w:val="center"/>
                    <w:rPr>
                      <w:sz w:val="21"/>
                      <w:szCs w:val="21"/>
                    </w:rPr>
                  </w:pPr>
                </w:p>
              </w:tc>
              <w:tc>
                <w:tcPr>
                  <w:tcW w:w="1250" w:type="pct"/>
                  <w:shd w:val="clear" w:color="auto" w:fill="auto"/>
                  <w:vAlign w:val="center"/>
                </w:tcPr>
                <w:p w14:paraId="6DBED2DC">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65649FAF">
                  <w:pPr>
                    <w:pStyle w:val="14"/>
                    <w:ind w:firstLine="0" w:firstLineChars="0"/>
                    <w:jc w:val="center"/>
                    <w:rPr>
                      <w:sz w:val="21"/>
                      <w:szCs w:val="21"/>
                    </w:rPr>
                  </w:pPr>
                  <w:r>
                    <w:rPr>
                      <w:rFonts w:hint="eastAsia"/>
                      <w:sz w:val="21"/>
                      <w:szCs w:val="21"/>
                    </w:rPr>
                    <w:t>13</w:t>
                  </w:r>
                </w:p>
              </w:tc>
              <w:tc>
                <w:tcPr>
                  <w:tcW w:w="1250" w:type="pct"/>
                  <w:shd w:val="clear" w:color="auto" w:fill="auto"/>
                  <w:vAlign w:val="center"/>
                </w:tcPr>
                <w:p w14:paraId="71C5981B">
                  <w:pPr>
                    <w:pStyle w:val="14"/>
                    <w:ind w:firstLine="0" w:firstLineChars="0"/>
                    <w:jc w:val="center"/>
                    <w:rPr>
                      <w:sz w:val="21"/>
                      <w:szCs w:val="21"/>
                    </w:rPr>
                  </w:pPr>
                  <w:r>
                    <w:rPr>
                      <w:rFonts w:hint="eastAsia"/>
                      <w:sz w:val="21"/>
                      <w:szCs w:val="21"/>
                    </w:rPr>
                    <w:t>0.33</w:t>
                  </w:r>
                </w:p>
              </w:tc>
            </w:tr>
            <w:tr w14:paraId="7916E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3A4C0677">
                  <w:pPr>
                    <w:pStyle w:val="14"/>
                    <w:ind w:firstLine="0" w:firstLineChars="0"/>
                    <w:jc w:val="center"/>
                    <w:rPr>
                      <w:sz w:val="21"/>
                      <w:szCs w:val="21"/>
                    </w:rPr>
                  </w:pPr>
                  <w:r>
                    <w:rPr>
                      <w:sz w:val="21"/>
                      <w:szCs w:val="21"/>
                    </w:rPr>
                    <w:t>BOD</w:t>
                  </w:r>
                  <w:r>
                    <w:rPr>
                      <w:rFonts w:hint="eastAsia"/>
                      <w:sz w:val="21"/>
                      <w:szCs w:val="21"/>
                    </w:rPr>
                    <w:t>5</w:t>
                  </w:r>
                </w:p>
              </w:tc>
              <w:tc>
                <w:tcPr>
                  <w:tcW w:w="1250" w:type="pct"/>
                  <w:shd w:val="clear" w:color="auto" w:fill="auto"/>
                  <w:vAlign w:val="center"/>
                </w:tcPr>
                <w:p w14:paraId="79D030B0">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0707A5BF">
                  <w:pPr>
                    <w:pStyle w:val="14"/>
                    <w:ind w:firstLine="0" w:firstLineChars="0"/>
                    <w:jc w:val="center"/>
                    <w:rPr>
                      <w:sz w:val="21"/>
                      <w:szCs w:val="21"/>
                    </w:rPr>
                  </w:pPr>
                  <w:r>
                    <w:rPr>
                      <w:rFonts w:hint="eastAsia"/>
                      <w:sz w:val="21"/>
                      <w:szCs w:val="21"/>
                    </w:rPr>
                    <w:t>2.2</w:t>
                  </w:r>
                </w:p>
              </w:tc>
              <w:tc>
                <w:tcPr>
                  <w:tcW w:w="1250" w:type="pct"/>
                  <w:shd w:val="clear" w:color="auto" w:fill="auto"/>
                  <w:vAlign w:val="center"/>
                </w:tcPr>
                <w:p w14:paraId="5A87127D">
                  <w:pPr>
                    <w:pStyle w:val="14"/>
                    <w:ind w:firstLine="0" w:firstLineChars="0"/>
                    <w:jc w:val="center"/>
                    <w:rPr>
                      <w:sz w:val="21"/>
                      <w:szCs w:val="21"/>
                    </w:rPr>
                  </w:pPr>
                  <w:r>
                    <w:rPr>
                      <w:rFonts w:hint="eastAsia"/>
                      <w:sz w:val="21"/>
                      <w:szCs w:val="21"/>
                    </w:rPr>
                    <w:t>0.22</w:t>
                  </w:r>
                </w:p>
              </w:tc>
            </w:tr>
            <w:tr w14:paraId="77DB9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6805402F">
                  <w:pPr>
                    <w:pStyle w:val="14"/>
                    <w:ind w:firstLine="0" w:firstLineChars="0"/>
                    <w:jc w:val="center"/>
                    <w:rPr>
                      <w:sz w:val="21"/>
                      <w:szCs w:val="21"/>
                    </w:rPr>
                  </w:pPr>
                </w:p>
              </w:tc>
              <w:tc>
                <w:tcPr>
                  <w:tcW w:w="1250" w:type="pct"/>
                  <w:shd w:val="clear" w:color="auto" w:fill="auto"/>
                  <w:vAlign w:val="center"/>
                </w:tcPr>
                <w:p w14:paraId="6ABBA0C3">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59C25F38">
                  <w:pPr>
                    <w:pStyle w:val="14"/>
                    <w:ind w:firstLine="0" w:firstLineChars="0"/>
                    <w:jc w:val="center"/>
                    <w:rPr>
                      <w:sz w:val="21"/>
                      <w:szCs w:val="21"/>
                    </w:rPr>
                  </w:pPr>
                  <w:r>
                    <w:rPr>
                      <w:rFonts w:hint="eastAsia"/>
                      <w:sz w:val="21"/>
                      <w:szCs w:val="21"/>
                    </w:rPr>
                    <w:t>2.0</w:t>
                  </w:r>
                </w:p>
              </w:tc>
              <w:tc>
                <w:tcPr>
                  <w:tcW w:w="1250" w:type="pct"/>
                  <w:shd w:val="clear" w:color="auto" w:fill="auto"/>
                  <w:vAlign w:val="center"/>
                </w:tcPr>
                <w:p w14:paraId="7A40F310">
                  <w:pPr>
                    <w:pStyle w:val="14"/>
                    <w:ind w:firstLine="0" w:firstLineChars="0"/>
                    <w:jc w:val="center"/>
                    <w:rPr>
                      <w:sz w:val="21"/>
                      <w:szCs w:val="21"/>
                    </w:rPr>
                  </w:pPr>
                  <w:r>
                    <w:rPr>
                      <w:rFonts w:hint="eastAsia"/>
                      <w:sz w:val="21"/>
                      <w:szCs w:val="21"/>
                    </w:rPr>
                    <w:t>0.20</w:t>
                  </w:r>
                </w:p>
              </w:tc>
            </w:tr>
            <w:tr w14:paraId="2E6F8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11F1982B">
                  <w:pPr>
                    <w:pStyle w:val="14"/>
                    <w:ind w:firstLine="0" w:firstLineChars="0"/>
                    <w:jc w:val="center"/>
                    <w:rPr>
                      <w:sz w:val="21"/>
                      <w:szCs w:val="21"/>
                    </w:rPr>
                  </w:pPr>
                  <w:r>
                    <w:rPr>
                      <w:rFonts w:hint="eastAsia"/>
                      <w:sz w:val="21"/>
                      <w:szCs w:val="21"/>
                    </w:rPr>
                    <w:t>氨氮</w:t>
                  </w:r>
                </w:p>
              </w:tc>
              <w:tc>
                <w:tcPr>
                  <w:tcW w:w="1250" w:type="pct"/>
                  <w:shd w:val="clear" w:color="auto" w:fill="auto"/>
                  <w:vAlign w:val="center"/>
                </w:tcPr>
                <w:p w14:paraId="76E0A72C">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1CE42AFB">
                  <w:pPr>
                    <w:pStyle w:val="14"/>
                    <w:ind w:firstLine="0" w:firstLineChars="0"/>
                    <w:jc w:val="center"/>
                    <w:rPr>
                      <w:sz w:val="21"/>
                      <w:szCs w:val="21"/>
                    </w:rPr>
                  </w:pPr>
                  <w:r>
                    <w:rPr>
                      <w:rFonts w:hint="eastAsia"/>
                      <w:sz w:val="21"/>
                      <w:szCs w:val="21"/>
                    </w:rPr>
                    <w:t>0.163</w:t>
                  </w:r>
                </w:p>
              </w:tc>
              <w:tc>
                <w:tcPr>
                  <w:tcW w:w="1250" w:type="pct"/>
                  <w:shd w:val="clear" w:color="auto" w:fill="auto"/>
                  <w:vAlign w:val="center"/>
                </w:tcPr>
                <w:p w14:paraId="2F67AEC4">
                  <w:pPr>
                    <w:pStyle w:val="14"/>
                    <w:ind w:firstLine="0" w:firstLineChars="0"/>
                    <w:jc w:val="center"/>
                    <w:rPr>
                      <w:sz w:val="21"/>
                      <w:szCs w:val="21"/>
                    </w:rPr>
                  </w:pPr>
                  <w:r>
                    <w:rPr>
                      <w:rFonts w:hint="eastAsia"/>
                      <w:sz w:val="21"/>
                      <w:szCs w:val="21"/>
                    </w:rPr>
                    <w:t>0.082</w:t>
                  </w:r>
                </w:p>
              </w:tc>
            </w:tr>
            <w:tr w14:paraId="6FFCE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46702F67">
                  <w:pPr>
                    <w:pStyle w:val="14"/>
                    <w:ind w:firstLine="0" w:firstLineChars="0"/>
                    <w:jc w:val="center"/>
                    <w:rPr>
                      <w:sz w:val="21"/>
                      <w:szCs w:val="21"/>
                    </w:rPr>
                  </w:pPr>
                </w:p>
              </w:tc>
              <w:tc>
                <w:tcPr>
                  <w:tcW w:w="1250" w:type="pct"/>
                  <w:shd w:val="clear" w:color="auto" w:fill="auto"/>
                  <w:vAlign w:val="center"/>
                </w:tcPr>
                <w:p w14:paraId="6C00CDCC">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08F73883">
                  <w:pPr>
                    <w:pStyle w:val="14"/>
                    <w:ind w:firstLine="0" w:firstLineChars="0"/>
                    <w:jc w:val="center"/>
                    <w:rPr>
                      <w:sz w:val="21"/>
                      <w:szCs w:val="21"/>
                    </w:rPr>
                  </w:pPr>
                  <w:r>
                    <w:rPr>
                      <w:rFonts w:hint="eastAsia"/>
                      <w:sz w:val="21"/>
                      <w:szCs w:val="21"/>
                    </w:rPr>
                    <w:t>0.128</w:t>
                  </w:r>
                </w:p>
              </w:tc>
              <w:tc>
                <w:tcPr>
                  <w:tcW w:w="1250" w:type="pct"/>
                  <w:shd w:val="clear" w:color="auto" w:fill="auto"/>
                  <w:vAlign w:val="center"/>
                </w:tcPr>
                <w:p w14:paraId="528B62F2">
                  <w:pPr>
                    <w:pStyle w:val="14"/>
                    <w:ind w:firstLine="0" w:firstLineChars="0"/>
                    <w:jc w:val="center"/>
                    <w:rPr>
                      <w:sz w:val="21"/>
                      <w:szCs w:val="21"/>
                    </w:rPr>
                  </w:pPr>
                  <w:r>
                    <w:rPr>
                      <w:rFonts w:hint="eastAsia"/>
                      <w:sz w:val="21"/>
                      <w:szCs w:val="21"/>
                    </w:rPr>
                    <w:t>0.064</w:t>
                  </w:r>
                </w:p>
              </w:tc>
            </w:tr>
            <w:tr w14:paraId="61D0C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4F94E6E4">
                  <w:pPr>
                    <w:pStyle w:val="14"/>
                    <w:ind w:firstLine="0" w:firstLineChars="0"/>
                    <w:jc w:val="center"/>
                    <w:rPr>
                      <w:sz w:val="21"/>
                      <w:szCs w:val="21"/>
                    </w:rPr>
                  </w:pPr>
                  <w:r>
                    <w:rPr>
                      <w:rFonts w:hint="eastAsia"/>
                      <w:sz w:val="21"/>
                      <w:szCs w:val="21"/>
                    </w:rPr>
                    <w:t>总磷</w:t>
                  </w:r>
                </w:p>
              </w:tc>
              <w:tc>
                <w:tcPr>
                  <w:tcW w:w="1250" w:type="pct"/>
                  <w:shd w:val="clear" w:color="auto" w:fill="auto"/>
                  <w:vAlign w:val="center"/>
                </w:tcPr>
                <w:p w14:paraId="2B276E1D">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69788005">
                  <w:pPr>
                    <w:pStyle w:val="14"/>
                    <w:ind w:firstLine="0" w:firstLineChars="0"/>
                    <w:jc w:val="center"/>
                    <w:rPr>
                      <w:sz w:val="21"/>
                      <w:szCs w:val="21"/>
                    </w:rPr>
                  </w:pPr>
                  <w:r>
                    <w:rPr>
                      <w:rFonts w:hint="eastAsia"/>
                      <w:sz w:val="21"/>
                      <w:szCs w:val="21"/>
                    </w:rPr>
                    <w:t>0.01</w:t>
                  </w:r>
                </w:p>
              </w:tc>
              <w:tc>
                <w:tcPr>
                  <w:tcW w:w="1250" w:type="pct"/>
                  <w:shd w:val="clear" w:color="auto" w:fill="auto"/>
                  <w:vAlign w:val="center"/>
                </w:tcPr>
                <w:p w14:paraId="3F2DB625">
                  <w:pPr>
                    <w:pStyle w:val="14"/>
                    <w:ind w:firstLine="0" w:firstLineChars="0"/>
                    <w:jc w:val="center"/>
                    <w:rPr>
                      <w:sz w:val="21"/>
                      <w:szCs w:val="21"/>
                    </w:rPr>
                  </w:pPr>
                  <w:r>
                    <w:rPr>
                      <w:rFonts w:hint="eastAsia"/>
                      <w:sz w:val="21"/>
                      <w:szCs w:val="21"/>
                    </w:rPr>
                    <w:t>0.025</w:t>
                  </w:r>
                </w:p>
              </w:tc>
            </w:tr>
            <w:tr w14:paraId="6C1FF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3CC1FB62">
                  <w:pPr>
                    <w:pStyle w:val="14"/>
                    <w:ind w:firstLine="0" w:firstLineChars="0"/>
                    <w:jc w:val="center"/>
                    <w:rPr>
                      <w:sz w:val="21"/>
                      <w:szCs w:val="21"/>
                    </w:rPr>
                  </w:pPr>
                </w:p>
              </w:tc>
              <w:tc>
                <w:tcPr>
                  <w:tcW w:w="1250" w:type="pct"/>
                  <w:shd w:val="clear" w:color="auto" w:fill="auto"/>
                  <w:vAlign w:val="center"/>
                </w:tcPr>
                <w:p w14:paraId="65719FC1">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7FCD6918">
                  <w:pPr>
                    <w:pStyle w:val="14"/>
                    <w:ind w:firstLine="0" w:firstLineChars="0"/>
                    <w:jc w:val="center"/>
                    <w:rPr>
                      <w:sz w:val="21"/>
                      <w:szCs w:val="21"/>
                    </w:rPr>
                  </w:pPr>
                  <w:r>
                    <w:rPr>
                      <w:rFonts w:hint="eastAsia"/>
                      <w:sz w:val="21"/>
                      <w:szCs w:val="21"/>
                    </w:rPr>
                    <w:t>0.01</w:t>
                  </w:r>
                </w:p>
              </w:tc>
              <w:tc>
                <w:tcPr>
                  <w:tcW w:w="1250" w:type="pct"/>
                  <w:shd w:val="clear" w:color="auto" w:fill="auto"/>
                  <w:vAlign w:val="center"/>
                </w:tcPr>
                <w:p w14:paraId="0F0AF4CA">
                  <w:pPr>
                    <w:pStyle w:val="14"/>
                    <w:ind w:firstLine="0" w:firstLineChars="0"/>
                    <w:jc w:val="center"/>
                    <w:rPr>
                      <w:sz w:val="21"/>
                      <w:szCs w:val="21"/>
                    </w:rPr>
                  </w:pPr>
                  <w:r>
                    <w:rPr>
                      <w:rFonts w:hint="eastAsia"/>
                      <w:sz w:val="21"/>
                      <w:szCs w:val="21"/>
                    </w:rPr>
                    <w:t>0.025</w:t>
                  </w:r>
                </w:p>
              </w:tc>
            </w:tr>
            <w:tr w14:paraId="33331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2A1A6B86">
                  <w:pPr>
                    <w:pStyle w:val="14"/>
                    <w:ind w:firstLine="0" w:firstLineChars="0"/>
                    <w:jc w:val="center"/>
                    <w:rPr>
                      <w:sz w:val="21"/>
                      <w:szCs w:val="21"/>
                    </w:rPr>
                  </w:pPr>
                  <w:r>
                    <w:rPr>
                      <w:rFonts w:hint="eastAsia"/>
                      <w:sz w:val="21"/>
                      <w:szCs w:val="21"/>
                    </w:rPr>
                    <w:t>悬浮物</w:t>
                  </w:r>
                </w:p>
              </w:tc>
              <w:tc>
                <w:tcPr>
                  <w:tcW w:w="1250" w:type="pct"/>
                  <w:shd w:val="clear" w:color="auto" w:fill="auto"/>
                  <w:vAlign w:val="center"/>
                </w:tcPr>
                <w:p w14:paraId="6789D5FB">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0EDF929D">
                  <w:pPr>
                    <w:pStyle w:val="14"/>
                    <w:ind w:firstLine="0" w:firstLineChars="0"/>
                    <w:jc w:val="center"/>
                    <w:rPr>
                      <w:sz w:val="21"/>
                      <w:szCs w:val="21"/>
                    </w:rPr>
                  </w:pPr>
                  <w:r>
                    <w:rPr>
                      <w:rFonts w:hint="eastAsia"/>
                      <w:sz w:val="21"/>
                      <w:szCs w:val="21"/>
                    </w:rPr>
                    <w:t>12</w:t>
                  </w:r>
                </w:p>
              </w:tc>
              <w:tc>
                <w:tcPr>
                  <w:tcW w:w="1250" w:type="pct"/>
                  <w:shd w:val="clear" w:color="auto" w:fill="auto"/>
                  <w:vAlign w:val="center"/>
                </w:tcPr>
                <w:p w14:paraId="1C5D3A23">
                  <w:pPr>
                    <w:pStyle w:val="14"/>
                    <w:ind w:firstLine="0" w:firstLineChars="0"/>
                    <w:jc w:val="center"/>
                    <w:rPr>
                      <w:sz w:val="21"/>
                      <w:szCs w:val="21"/>
                    </w:rPr>
                  </w:pPr>
                  <w:r>
                    <w:rPr>
                      <w:rFonts w:hint="eastAsia"/>
                      <w:sz w:val="21"/>
                      <w:szCs w:val="21"/>
                    </w:rPr>
                    <w:t>0.20</w:t>
                  </w:r>
                </w:p>
              </w:tc>
            </w:tr>
            <w:tr w14:paraId="30EBC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shd w:val="clear" w:color="auto" w:fill="auto"/>
                  <w:vAlign w:val="center"/>
                </w:tcPr>
                <w:p w14:paraId="26CC6FA1">
                  <w:pPr>
                    <w:pStyle w:val="14"/>
                    <w:ind w:firstLine="0" w:firstLineChars="0"/>
                    <w:jc w:val="center"/>
                    <w:rPr>
                      <w:sz w:val="21"/>
                      <w:szCs w:val="21"/>
                    </w:rPr>
                  </w:pPr>
                </w:p>
              </w:tc>
              <w:tc>
                <w:tcPr>
                  <w:tcW w:w="1250" w:type="pct"/>
                  <w:shd w:val="clear" w:color="auto" w:fill="auto"/>
                  <w:vAlign w:val="center"/>
                </w:tcPr>
                <w:p w14:paraId="0AC9FFFF">
                  <w:pPr>
                    <w:pStyle w:val="14"/>
                    <w:ind w:firstLine="0" w:firstLineChars="0"/>
                    <w:jc w:val="center"/>
                    <w:rPr>
                      <w:sz w:val="21"/>
                      <w:szCs w:val="21"/>
                    </w:rPr>
                  </w:pPr>
                  <w:r>
                    <w:rPr>
                      <w:rFonts w:hint="eastAsia"/>
                      <w:sz w:val="21"/>
                      <w:szCs w:val="21"/>
                    </w:rPr>
                    <w:t>2022年9月7日</w:t>
                  </w:r>
                </w:p>
              </w:tc>
              <w:tc>
                <w:tcPr>
                  <w:tcW w:w="1250" w:type="pct"/>
                  <w:shd w:val="clear" w:color="auto" w:fill="auto"/>
                  <w:vAlign w:val="center"/>
                </w:tcPr>
                <w:p w14:paraId="690D3CD4">
                  <w:pPr>
                    <w:pStyle w:val="14"/>
                    <w:ind w:firstLine="0" w:firstLineChars="0"/>
                    <w:jc w:val="center"/>
                    <w:rPr>
                      <w:sz w:val="21"/>
                      <w:szCs w:val="21"/>
                    </w:rPr>
                  </w:pPr>
                  <w:r>
                    <w:rPr>
                      <w:rFonts w:hint="eastAsia"/>
                      <w:sz w:val="21"/>
                      <w:szCs w:val="21"/>
                    </w:rPr>
                    <w:t>11</w:t>
                  </w:r>
                </w:p>
              </w:tc>
              <w:tc>
                <w:tcPr>
                  <w:tcW w:w="1250" w:type="pct"/>
                  <w:shd w:val="clear" w:color="auto" w:fill="auto"/>
                  <w:vAlign w:val="center"/>
                </w:tcPr>
                <w:p w14:paraId="3799B920">
                  <w:pPr>
                    <w:pStyle w:val="14"/>
                    <w:ind w:firstLine="0" w:firstLineChars="0"/>
                    <w:jc w:val="center"/>
                    <w:rPr>
                      <w:sz w:val="21"/>
                      <w:szCs w:val="21"/>
                    </w:rPr>
                  </w:pPr>
                  <w:r>
                    <w:rPr>
                      <w:rFonts w:hint="eastAsia"/>
                      <w:sz w:val="21"/>
                      <w:szCs w:val="21"/>
                    </w:rPr>
                    <w:t>0.17</w:t>
                  </w:r>
                </w:p>
              </w:tc>
            </w:tr>
            <w:tr w14:paraId="48566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restart"/>
                  <w:shd w:val="clear" w:color="auto" w:fill="auto"/>
                  <w:vAlign w:val="center"/>
                </w:tcPr>
                <w:p w14:paraId="59AC6B53">
                  <w:pPr>
                    <w:pStyle w:val="14"/>
                    <w:ind w:firstLine="0" w:firstLineChars="0"/>
                    <w:jc w:val="center"/>
                    <w:rPr>
                      <w:sz w:val="21"/>
                      <w:szCs w:val="21"/>
                    </w:rPr>
                  </w:pPr>
                  <w:r>
                    <w:rPr>
                      <w:rFonts w:hint="eastAsia"/>
                      <w:sz w:val="21"/>
                      <w:szCs w:val="21"/>
                    </w:rPr>
                    <w:t>总氮</w:t>
                  </w:r>
                </w:p>
              </w:tc>
              <w:tc>
                <w:tcPr>
                  <w:tcW w:w="1250" w:type="pct"/>
                  <w:shd w:val="clear" w:color="auto" w:fill="auto"/>
                  <w:vAlign w:val="center"/>
                </w:tcPr>
                <w:p w14:paraId="727C47B9">
                  <w:pPr>
                    <w:pStyle w:val="14"/>
                    <w:ind w:firstLine="0" w:firstLineChars="0"/>
                    <w:jc w:val="center"/>
                    <w:rPr>
                      <w:sz w:val="21"/>
                      <w:szCs w:val="21"/>
                    </w:rPr>
                  </w:pPr>
                  <w:r>
                    <w:rPr>
                      <w:rFonts w:hint="eastAsia"/>
                      <w:sz w:val="21"/>
                      <w:szCs w:val="21"/>
                    </w:rPr>
                    <w:t>2022年9月6日</w:t>
                  </w:r>
                </w:p>
              </w:tc>
              <w:tc>
                <w:tcPr>
                  <w:tcW w:w="1250" w:type="pct"/>
                  <w:shd w:val="clear" w:color="auto" w:fill="auto"/>
                  <w:vAlign w:val="center"/>
                </w:tcPr>
                <w:p w14:paraId="4E313C9B">
                  <w:pPr>
                    <w:pStyle w:val="14"/>
                    <w:ind w:firstLine="0" w:firstLineChars="0"/>
                    <w:jc w:val="center"/>
                    <w:rPr>
                      <w:sz w:val="21"/>
                      <w:szCs w:val="21"/>
                    </w:rPr>
                  </w:pPr>
                  <w:r>
                    <w:rPr>
                      <w:rFonts w:hint="eastAsia"/>
                      <w:sz w:val="21"/>
                      <w:szCs w:val="21"/>
                    </w:rPr>
                    <w:t>0.66</w:t>
                  </w:r>
                </w:p>
              </w:tc>
              <w:tc>
                <w:tcPr>
                  <w:tcW w:w="1250" w:type="pct"/>
                  <w:shd w:val="clear" w:color="auto" w:fill="auto"/>
                  <w:vAlign w:val="center"/>
                </w:tcPr>
                <w:p w14:paraId="3E8E8091">
                  <w:pPr>
                    <w:pStyle w:val="14"/>
                    <w:ind w:firstLine="0" w:firstLineChars="0"/>
                    <w:jc w:val="center"/>
                    <w:rPr>
                      <w:sz w:val="21"/>
                      <w:szCs w:val="21"/>
                    </w:rPr>
                  </w:pPr>
                  <w:r>
                    <w:rPr>
                      <w:rFonts w:hint="eastAsia"/>
                      <w:sz w:val="21"/>
                      <w:szCs w:val="21"/>
                    </w:rPr>
                    <w:t>0.33</w:t>
                  </w:r>
                </w:p>
              </w:tc>
            </w:tr>
            <w:tr w14:paraId="2617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50" w:type="pct"/>
                  <w:vMerge w:val="continue"/>
                  <w:tcBorders>
                    <w:bottom w:val="single" w:color="auto" w:sz="18" w:space="0"/>
                  </w:tcBorders>
                  <w:shd w:val="clear" w:color="auto" w:fill="auto"/>
                  <w:vAlign w:val="center"/>
                </w:tcPr>
                <w:p w14:paraId="4BF009E5">
                  <w:pPr>
                    <w:pStyle w:val="14"/>
                    <w:ind w:firstLine="0" w:firstLineChars="0"/>
                    <w:jc w:val="center"/>
                    <w:rPr>
                      <w:sz w:val="21"/>
                      <w:szCs w:val="21"/>
                    </w:rPr>
                  </w:pPr>
                </w:p>
              </w:tc>
              <w:tc>
                <w:tcPr>
                  <w:tcW w:w="1250" w:type="pct"/>
                  <w:tcBorders>
                    <w:bottom w:val="single" w:color="auto" w:sz="18" w:space="0"/>
                  </w:tcBorders>
                  <w:shd w:val="clear" w:color="auto" w:fill="auto"/>
                  <w:vAlign w:val="center"/>
                </w:tcPr>
                <w:p w14:paraId="79C5F12F">
                  <w:pPr>
                    <w:pStyle w:val="14"/>
                    <w:ind w:firstLine="0" w:firstLineChars="0"/>
                    <w:jc w:val="center"/>
                    <w:rPr>
                      <w:sz w:val="21"/>
                      <w:szCs w:val="21"/>
                    </w:rPr>
                  </w:pPr>
                  <w:r>
                    <w:rPr>
                      <w:rFonts w:hint="eastAsia"/>
                      <w:sz w:val="21"/>
                      <w:szCs w:val="21"/>
                    </w:rPr>
                    <w:t>2022年9月7日</w:t>
                  </w:r>
                </w:p>
              </w:tc>
              <w:tc>
                <w:tcPr>
                  <w:tcW w:w="1250" w:type="pct"/>
                  <w:tcBorders>
                    <w:bottom w:val="single" w:color="auto" w:sz="18" w:space="0"/>
                  </w:tcBorders>
                  <w:shd w:val="clear" w:color="auto" w:fill="auto"/>
                  <w:vAlign w:val="center"/>
                </w:tcPr>
                <w:p w14:paraId="30F49780">
                  <w:pPr>
                    <w:pStyle w:val="14"/>
                    <w:ind w:firstLine="0" w:firstLineChars="0"/>
                    <w:jc w:val="center"/>
                    <w:rPr>
                      <w:sz w:val="21"/>
                      <w:szCs w:val="21"/>
                    </w:rPr>
                  </w:pPr>
                  <w:r>
                    <w:rPr>
                      <w:rFonts w:hint="eastAsia"/>
                      <w:sz w:val="21"/>
                      <w:szCs w:val="21"/>
                    </w:rPr>
                    <w:t>0.75</w:t>
                  </w:r>
                </w:p>
              </w:tc>
              <w:tc>
                <w:tcPr>
                  <w:tcW w:w="1250" w:type="pct"/>
                  <w:tcBorders>
                    <w:bottom w:val="single" w:color="auto" w:sz="18" w:space="0"/>
                  </w:tcBorders>
                  <w:shd w:val="clear" w:color="auto" w:fill="auto"/>
                  <w:vAlign w:val="center"/>
                </w:tcPr>
                <w:p w14:paraId="460CBF20">
                  <w:pPr>
                    <w:pStyle w:val="14"/>
                    <w:ind w:firstLine="0" w:firstLineChars="0"/>
                    <w:jc w:val="center"/>
                    <w:rPr>
                      <w:sz w:val="21"/>
                      <w:szCs w:val="21"/>
                    </w:rPr>
                  </w:pPr>
                  <w:r>
                    <w:rPr>
                      <w:rFonts w:hint="eastAsia"/>
                      <w:sz w:val="21"/>
                      <w:szCs w:val="21"/>
                    </w:rPr>
                    <w:t>0.38</w:t>
                  </w:r>
                </w:p>
              </w:tc>
            </w:tr>
          </w:tbl>
          <w:p w14:paraId="62857132">
            <w:pPr>
              <w:adjustRightInd w:val="0"/>
              <w:snapToGrid w:val="0"/>
              <w:spacing w:line="500" w:lineRule="exact"/>
              <w:ind w:firstLine="420" w:firstLineChars="200"/>
              <w:jc w:val="left"/>
              <w:rPr>
                <w:szCs w:val="21"/>
                <w:lang w:bidi="ar"/>
              </w:rPr>
            </w:pPr>
            <w:r>
              <w:rPr>
                <w:szCs w:val="21"/>
              </w:rPr>
              <w:t>从以上监测数据可知</w:t>
            </w:r>
            <w:r>
              <w:rPr>
                <w:rFonts w:hint="eastAsia"/>
                <w:szCs w:val="21"/>
              </w:rPr>
              <w:t>，白石渠各监测因子均满足《地表水环境质量标准》(GB3838-2002)V标准要求。</w:t>
            </w:r>
          </w:p>
          <w:p w14:paraId="2E6C40B8">
            <w:pPr>
              <w:spacing w:line="500" w:lineRule="exact"/>
              <w:ind w:firstLine="422" w:firstLineChars="200"/>
              <w:jc w:val="left"/>
              <w:rPr>
                <w:b/>
                <w:bCs/>
                <w:szCs w:val="21"/>
              </w:rPr>
            </w:pPr>
            <w:r>
              <w:rPr>
                <w:rFonts w:hint="eastAsia"/>
                <w:b/>
                <w:bCs/>
                <w:szCs w:val="21"/>
              </w:rPr>
              <w:t>3、</w:t>
            </w:r>
            <w:r>
              <w:rPr>
                <w:b/>
                <w:bCs/>
                <w:szCs w:val="21"/>
                <w:lang w:bidi="ar"/>
              </w:rPr>
              <w:t>声环境质量现状</w:t>
            </w:r>
          </w:p>
          <w:p w14:paraId="716DE362">
            <w:pPr>
              <w:spacing w:line="500" w:lineRule="exact"/>
              <w:ind w:firstLine="420" w:firstLineChars="200"/>
              <w:jc w:val="left"/>
              <w:rPr>
                <w:szCs w:val="21"/>
              </w:rPr>
            </w:pPr>
            <w:r>
              <w:rPr>
                <w:rFonts w:hint="eastAsia"/>
                <w:szCs w:val="21"/>
              </w:rPr>
              <w:t>为了解项目沿线的声环境现状，本评价委托广东惠利通环境科技有限公司于</w:t>
            </w:r>
            <w:r>
              <w:rPr>
                <w:szCs w:val="21"/>
              </w:rPr>
              <w:t>202</w:t>
            </w:r>
            <w:r>
              <w:rPr>
                <w:rFonts w:hint="eastAsia"/>
                <w:szCs w:val="21"/>
              </w:rPr>
              <w:t>4年12月19日</w:t>
            </w:r>
            <w:r>
              <w:rPr>
                <w:szCs w:val="21"/>
              </w:rPr>
              <w:t>-</w:t>
            </w:r>
            <w:r>
              <w:rPr>
                <w:rFonts w:hint="eastAsia"/>
                <w:szCs w:val="21"/>
              </w:rPr>
              <w:t>20日对项目区域进行了声环境现状监测。</w:t>
            </w:r>
          </w:p>
          <w:p w14:paraId="693C667D">
            <w:pPr>
              <w:spacing w:line="500" w:lineRule="exact"/>
              <w:ind w:firstLine="420" w:firstLineChars="200"/>
              <w:jc w:val="left"/>
              <w:rPr>
                <w:szCs w:val="21"/>
              </w:rPr>
            </w:pPr>
            <w:r>
              <w:rPr>
                <w:rFonts w:hint="eastAsia"/>
                <w:szCs w:val="21"/>
              </w:rPr>
              <w:t>根据监测结果可知，项目所在区域满足</w:t>
            </w:r>
            <w:r>
              <w:rPr>
                <w:rFonts w:hint="eastAsia"/>
                <w:szCs w:val="21"/>
                <w:lang w:bidi="ar"/>
              </w:rPr>
              <w:t>《声环境质量标准》（</w:t>
            </w:r>
            <w:r>
              <w:rPr>
                <w:szCs w:val="21"/>
                <w:lang w:bidi="ar"/>
              </w:rPr>
              <w:t>GB3096-2008</w:t>
            </w:r>
            <w:r>
              <w:rPr>
                <w:rFonts w:hint="eastAsia"/>
                <w:szCs w:val="21"/>
                <w:lang w:bidi="ar"/>
              </w:rPr>
              <w:t>）</w:t>
            </w:r>
            <w:r>
              <w:rPr>
                <w:szCs w:val="21"/>
                <w:lang w:bidi="ar"/>
              </w:rPr>
              <w:t>2类标准</w:t>
            </w:r>
            <w:r>
              <w:rPr>
                <w:rFonts w:hint="eastAsia"/>
                <w:szCs w:val="21"/>
                <w:lang w:bidi="ar"/>
              </w:rPr>
              <w:t>要求。</w:t>
            </w:r>
          </w:p>
          <w:p w14:paraId="5143CCAE">
            <w:pPr>
              <w:spacing w:line="500" w:lineRule="exact"/>
              <w:ind w:firstLine="422" w:firstLineChars="200"/>
              <w:jc w:val="left"/>
              <w:rPr>
                <w:szCs w:val="21"/>
                <w:lang w:bidi="ar"/>
              </w:rPr>
            </w:pPr>
            <w:r>
              <w:rPr>
                <w:rFonts w:hint="eastAsia"/>
                <w:b/>
                <w:bCs/>
                <w:szCs w:val="21"/>
              </w:rPr>
              <w:t>监测详细结果</w:t>
            </w:r>
            <w:r>
              <w:rPr>
                <w:b/>
                <w:szCs w:val="21"/>
                <w:lang w:bidi="ar"/>
              </w:rPr>
              <w:t>具体见声环境影响专项评价</w:t>
            </w:r>
            <w:r>
              <w:rPr>
                <w:rFonts w:hint="eastAsia"/>
                <w:szCs w:val="21"/>
                <w:lang w:bidi="ar"/>
              </w:rPr>
              <w:t>。</w:t>
            </w:r>
          </w:p>
          <w:p w14:paraId="111C8DD3">
            <w:pPr>
              <w:autoSpaceDE w:val="0"/>
              <w:autoSpaceDN w:val="0"/>
              <w:adjustRightInd w:val="0"/>
              <w:spacing w:line="500" w:lineRule="exact"/>
              <w:ind w:firstLine="422" w:firstLineChars="200"/>
              <w:rPr>
                <w:b/>
                <w:bCs/>
                <w:kern w:val="0"/>
                <w:szCs w:val="21"/>
              </w:rPr>
            </w:pPr>
            <w:r>
              <w:rPr>
                <w:rFonts w:hint="eastAsia"/>
                <w:b/>
                <w:bCs/>
                <w:kern w:val="0"/>
                <w:szCs w:val="21"/>
              </w:rPr>
              <w:t>4、</w:t>
            </w:r>
            <w:r>
              <w:rPr>
                <w:b/>
                <w:bCs/>
                <w:kern w:val="0"/>
                <w:szCs w:val="21"/>
              </w:rPr>
              <w:t>生态环境质量现状</w:t>
            </w:r>
          </w:p>
          <w:p w14:paraId="1798EC6F">
            <w:pPr>
              <w:autoSpaceDE w:val="0"/>
              <w:autoSpaceDN w:val="0"/>
              <w:adjustRightInd w:val="0"/>
              <w:spacing w:line="500" w:lineRule="exact"/>
              <w:ind w:firstLine="420" w:firstLineChars="200"/>
              <w:rPr>
                <w:kern w:val="0"/>
                <w:szCs w:val="21"/>
              </w:rPr>
            </w:pPr>
            <w:r>
              <w:rPr>
                <w:rFonts w:hint="eastAsia"/>
                <w:kern w:val="0"/>
                <w:szCs w:val="21"/>
              </w:rPr>
              <w:t>博罗县雨水充沛，植被丰富，地带性植被类型以亚热带常绿阔叶林为主。天然阔叶林主要树种有壳檫科、杨科、楝科壳斗科、桦木科、棒木科、金缕梅科和安息香科的落叶树种与壳斗科、樟科、山茶科、木兰科、杜鹃花科的常绿树种组成的山地常绿落叶阔叶混交林类型。低山丘陵地区主要分布为天然或人工种植的马尾松、湿地松、杉木林等针叶林。竹类主要有篱(厘)竹、南竹、毛竹、筋竹、勒竹、丹竹、紫竹、金竹、斑竹、苦竹、墨竹、鸡婆竹、青皮竹、黄竹、箭竹、丝毛竹、牛角竹等。灌木植被主要有芒箕、大芒、丝茅草、岗松、野牡丹、野古草、桃金娘、龙须草等。</w:t>
            </w:r>
          </w:p>
          <w:p w14:paraId="5F34A2A5">
            <w:pPr>
              <w:autoSpaceDE w:val="0"/>
              <w:autoSpaceDN w:val="0"/>
              <w:adjustRightInd w:val="0"/>
              <w:spacing w:line="500" w:lineRule="exact"/>
              <w:ind w:firstLine="420" w:firstLineChars="200"/>
              <w:rPr>
                <w:kern w:val="0"/>
                <w:szCs w:val="21"/>
              </w:rPr>
            </w:pPr>
            <w:r>
              <w:rPr>
                <w:rFonts w:hint="eastAsia"/>
                <w:kern w:val="0"/>
                <w:szCs w:val="21"/>
              </w:rPr>
              <w:t>本项目范围内原始占地类型为林地、草地、水域及水利设施用地和其他土地，其中林地和草地地表植被丰富，项目区占地范围内植被覆盖面积为3.40hm</w:t>
            </w:r>
            <w:r>
              <w:rPr>
                <w:rFonts w:hint="eastAsia"/>
                <w:kern w:val="0"/>
                <w:szCs w:val="21"/>
                <w:vertAlign w:val="superscript"/>
              </w:rPr>
              <w:t>2</w:t>
            </w:r>
            <w:r>
              <w:rPr>
                <w:rFonts w:hint="eastAsia"/>
                <w:kern w:val="0"/>
                <w:szCs w:val="21"/>
              </w:rPr>
              <w:t>，林草覆盖率约为99%。</w:t>
            </w:r>
          </w:p>
        </w:tc>
      </w:tr>
      <w:tr w14:paraId="28180E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3" w:hRule="atLeast"/>
        </w:trPr>
        <w:tc>
          <w:tcPr>
            <w:tcW w:w="199" w:type="pct"/>
            <w:vAlign w:val="center"/>
          </w:tcPr>
          <w:p w14:paraId="0F546CBE">
            <w:pPr>
              <w:adjustRightInd w:val="0"/>
              <w:snapToGrid w:val="0"/>
              <w:jc w:val="center"/>
              <w:rPr>
                <w:rFonts w:hint="eastAsia" w:ascii="宋体" w:hAnsi="宋体" w:cs="宋体"/>
                <w:kern w:val="0"/>
                <w:szCs w:val="21"/>
              </w:rPr>
            </w:pPr>
            <w:r>
              <w:rPr>
                <w:rFonts w:hint="eastAsia" w:ascii="宋体" w:hAnsi="宋体"/>
                <w:bCs/>
                <w:szCs w:val="21"/>
              </w:rPr>
              <w:t>与项目有关的原有环境污染和生态破坏问题</w:t>
            </w:r>
          </w:p>
        </w:tc>
        <w:tc>
          <w:tcPr>
            <w:tcW w:w="4800" w:type="pct"/>
            <w:vAlign w:val="center"/>
          </w:tcPr>
          <w:p w14:paraId="3A208854">
            <w:pPr>
              <w:spacing w:line="360" w:lineRule="auto"/>
              <w:ind w:firstLine="420" w:firstLineChars="200"/>
              <w:jc w:val="left"/>
              <w:rPr>
                <w:szCs w:val="21"/>
                <w:lang w:bidi="ar"/>
              </w:rPr>
            </w:pPr>
            <w:r>
              <w:rPr>
                <w:rFonts w:hint="eastAsia" w:ascii="宋体" w:hAnsi="宋体"/>
                <w:szCs w:val="21"/>
              </w:rPr>
              <w:t>本项目为新建道路工程，</w:t>
            </w:r>
            <w:r>
              <w:rPr>
                <w:szCs w:val="21"/>
                <w:lang w:bidi="ar"/>
              </w:rPr>
              <w:t>不存在与本项目有关的原有污染源。</w:t>
            </w:r>
          </w:p>
          <w:p w14:paraId="27EA1F15">
            <w:pPr>
              <w:spacing w:line="360" w:lineRule="auto"/>
              <w:ind w:firstLine="420" w:firstLineChars="200"/>
              <w:jc w:val="left"/>
              <w:rPr>
                <w:rFonts w:hint="eastAsia" w:ascii="宋体" w:hAnsi="宋体"/>
                <w:szCs w:val="21"/>
              </w:rPr>
            </w:pPr>
            <w:r>
              <w:rPr>
                <w:szCs w:val="21"/>
                <w:lang w:bidi="ar"/>
              </w:rPr>
              <w:t>项目周边主要为住宅区，无工业污染源，项目区域环境主要为居民日常生活产生的社会噪声及生活废水等。</w:t>
            </w:r>
          </w:p>
          <w:p w14:paraId="4E692D88">
            <w:pPr>
              <w:adjustRightInd w:val="0"/>
              <w:snapToGrid w:val="0"/>
              <w:rPr>
                <w:rFonts w:hint="eastAsia" w:ascii="宋体" w:hAnsi="宋体" w:cs="宋体"/>
                <w:kern w:val="0"/>
                <w:szCs w:val="21"/>
              </w:rPr>
            </w:pPr>
          </w:p>
        </w:tc>
      </w:tr>
      <w:tr w14:paraId="4935A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5" w:hRule="atLeast"/>
        </w:trPr>
        <w:tc>
          <w:tcPr>
            <w:tcW w:w="199" w:type="pct"/>
            <w:vAlign w:val="center"/>
          </w:tcPr>
          <w:p w14:paraId="410DA949">
            <w:pPr>
              <w:adjustRightInd w:val="0"/>
              <w:snapToGrid w:val="0"/>
              <w:jc w:val="center"/>
              <w:rPr>
                <w:rFonts w:hint="eastAsia" w:ascii="宋体" w:hAnsi="宋体" w:cs="宋体"/>
                <w:kern w:val="0"/>
                <w:szCs w:val="21"/>
              </w:rPr>
            </w:pPr>
            <w:r>
              <w:rPr>
                <w:rFonts w:hint="eastAsia" w:ascii="宋体" w:hAnsi="宋体" w:cs="宋体"/>
                <w:kern w:val="0"/>
                <w:szCs w:val="21"/>
              </w:rPr>
              <w:t>生态环境保护目标</w:t>
            </w:r>
          </w:p>
        </w:tc>
        <w:tc>
          <w:tcPr>
            <w:tcW w:w="4800" w:type="pct"/>
            <w:vAlign w:val="center"/>
          </w:tcPr>
          <w:p w14:paraId="7CF054E3">
            <w:pPr>
              <w:spacing w:line="500" w:lineRule="exact"/>
              <w:ind w:firstLine="422" w:firstLineChars="200"/>
              <w:jc w:val="left"/>
              <w:rPr>
                <w:b/>
                <w:bCs/>
                <w:szCs w:val="21"/>
              </w:rPr>
            </w:pPr>
            <w:r>
              <w:rPr>
                <w:b/>
                <w:bCs/>
                <w:szCs w:val="21"/>
                <w:lang w:bidi="ar"/>
              </w:rPr>
              <w:t>1、空气环境保护目标</w:t>
            </w:r>
          </w:p>
          <w:p w14:paraId="1635CD4A">
            <w:pPr>
              <w:spacing w:line="500" w:lineRule="exact"/>
              <w:ind w:firstLine="420" w:firstLineChars="200"/>
              <w:jc w:val="left"/>
              <w:rPr>
                <w:szCs w:val="21"/>
              </w:rPr>
            </w:pPr>
            <w:r>
              <w:rPr>
                <w:szCs w:val="21"/>
                <w:lang w:bidi="ar"/>
              </w:rPr>
              <w:t>保护项目所在区域的环境空气质量，</w:t>
            </w:r>
            <w:r>
              <w:rPr>
                <w:rFonts w:hint="eastAsia"/>
                <w:szCs w:val="21"/>
                <w:lang w:bidi="ar"/>
              </w:rPr>
              <w:t>使</w:t>
            </w:r>
            <w:r>
              <w:rPr>
                <w:szCs w:val="21"/>
                <w:lang w:bidi="ar"/>
              </w:rPr>
              <w:t>项目所在区域执行《环境空气质量标准》（GB3095-2012）及其修改单二级标准要求。</w:t>
            </w:r>
          </w:p>
          <w:p w14:paraId="083379BE">
            <w:pPr>
              <w:spacing w:line="500" w:lineRule="exact"/>
              <w:ind w:firstLine="422" w:firstLineChars="200"/>
              <w:jc w:val="left"/>
              <w:rPr>
                <w:b/>
                <w:bCs/>
                <w:szCs w:val="21"/>
              </w:rPr>
            </w:pPr>
            <w:r>
              <w:rPr>
                <w:b/>
                <w:bCs/>
                <w:szCs w:val="21"/>
                <w:lang w:bidi="ar"/>
              </w:rPr>
              <w:t>2、地表水环境保护目标</w:t>
            </w:r>
          </w:p>
          <w:p w14:paraId="08A2BEFC">
            <w:pPr>
              <w:spacing w:line="500" w:lineRule="exact"/>
              <w:ind w:firstLine="420" w:firstLineChars="200"/>
              <w:jc w:val="left"/>
              <w:rPr>
                <w:szCs w:val="21"/>
              </w:rPr>
            </w:pPr>
            <w:r>
              <w:rPr>
                <w:szCs w:val="21"/>
                <w:lang w:bidi="ar"/>
              </w:rPr>
              <w:t>本项目</w:t>
            </w:r>
            <w:r>
              <w:rPr>
                <w:rFonts w:hint="eastAsia"/>
                <w:szCs w:val="21"/>
                <w:lang w:bidi="ar"/>
              </w:rPr>
              <w:t>附近</w:t>
            </w:r>
            <w:r>
              <w:rPr>
                <w:szCs w:val="21"/>
                <w:lang w:bidi="ar"/>
              </w:rPr>
              <w:t>河流为</w:t>
            </w:r>
            <w:r>
              <w:rPr>
                <w:rFonts w:hint="eastAsia"/>
                <w:szCs w:val="21"/>
                <w:lang w:bidi="ar"/>
              </w:rPr>
              <w:t>白石渠</w:t>
            </w:r>
            <w:r>
              <w:rPr>
                <w:szCs w:val="21"/>
                <w:lang w:bidi="ar"/>
              </w:rPr>
              <w:t>，保护水体水质可以满足《地表水环境质量标准》（GB3838-2002）</w:t>
            </w:r>
            <w:r>
              <w:rPr>
                <w:bCs/>
                <w:szCs w:val="21"/>
              </w:rPr>
              <w:t>Ⅴ</w:t>
            </w:r>
            <w:r>
              <w:rPr>
                <w:szCs w:val="21"/>
                <w:lang w:bidi="ar"/>
              </w:rPr>
              <w:t>类标准，使之不因本项目的建设而加剧污染。</w:t>
            </w:r>
          </w:p>
          <w:p w14:paraId="16A6A173">
            <w:pPr>
              <w:spacing w:line="500" w:lineRule="exact"/>
              <w:ind w:firstLine="422" w:firstLineChars="200"/>
              <w:jc w:val="left"/>
              <w:rPr>
                <w:b/>
                <w:bCs/>
                <w:szCs w:val="21"/>
              </w:rPr>
            </w:pPr>
            <w:r>
              <w:rPr>
                <w:b/>
                <w:bCs/>
                <w:szCs w:val="21"/>
                <w:lang w:bidi="ar"/>
              </w:rPr>
              <w:t>3、声环境保护目标</w:t>
            </w:r>
          </w:p>
          <w:p w14:paraId="02113692">
            <w:pPr>
              <w:spacing w:line="500" w:lineRule="exact"/>
              <w:ind w:firstLine="420" w:firstLineChars="200"/>
              <w:jc w:val="left"/>
              <w:rPr>
                <w:szCs w:val="21"/>
              </w:rPr>
            </w:pPr>
            <w:r>
              <w:rPr>
                <w:szCs w:val="21"/>
                <w:lang w:bidi="ar"/>
              </w:rPr>
              <w:t>保护评价区内声环境质量，使其符合《声环境质量标准》（GB3096-2008）中的2类、4a类标准。</w:t>
            </w:r>
          </w:p>
          <w:p w14:paraId="1560EADD">
            <w:pPr>
              <w:spacing w:line="500" w:lineRule="exact"/>
              <w:ind w:firstLine="422" w:firstLineChars="200"/>
              <w:jc w:val="left"/>
              <w:rPr>
                <w:b/>
                <w:bCs/>
                <w:szCs w:val="21"/>
              </w:rPr>
            </w:pPr>
            <w:r>
              <w:rPr>
                <w:b/>
                <w:bCs/>
                <w:szCs w:val="21"/>
                <w:lang w:bidi="ar"/>
              </w:rPr>
              <w:t>4、环境敏感点</w:t>
            </w:r>
          </w:p>
          <w:p w14:paraId="1084B12F">
            <w:pPr>
              <w:spacing w:line="500" w:lineRule="exact"/>
              <w:ind w:firstLine="420" w:firstLineChars="200"/>
              <w:jc w:val="left"/>
              <w:rPr>
                <w:szCs w:val="21"/>
                <w:lang w:bidi="ar"/>
              </w:rPr>
            </w:pPr>
            <w:r>
              <w:rPr>
                <w:szCs w:val="21"/>
                <w:lang w:bidi="ar"/>
              </w:rPr>
              <w:t>根据现场踏勘，</w:t>
            </w:r>
            <w:r>
              <w:rPr>
                <w:rFonts w:hint="eastAsia"/>
                <w:szCs w:val="21"/>
                <w:lang w:bidi="ar"/>
              </w:rPr>
              <w:t>项目评价范围不涉及声环境保护目标，环境保护目标分布图见</w:t>
            </w:r>
            <w:r>
              <w:rPr>
                <w:rFonts w:hint="eastAsia"/>
                <w:b/>
                <w:bCs/>
                <w:szCs w:val="21"/>
                <w:lang w:bidi="ar"/>
              </w:rPr>
              <w:t>附图3。</w:t>
            </w:r>
          </w:p>
          <w:p w14:paraId="2BD065D8">
            <w:pPr>
              <w:adjustRightInd w:val="0"/>
              <w:snapToGrid w:val="0"/>
              <w:rPr>
                <w:rFonts w:hint="eastAsia" w:ascii="宋体" w:hAnsi="宋体" w:cs="宋体"/>
                <w:kern w:val="0"/>
                <w:szCs w:val="21"/>
              </w:rPr>
            </w:pPr>
          </w:p>
        </w:tc>
      </w:tr>
    </w:tbl>
    <w:p w14:paraId="0B3E13B6">
      <w:pPr>
        <w:pStyle w:val="30"/>
        <w:jc w:val="both"/>
        <w:rPr>
          <w:rFonts w:hint="eastAsia" w:ascii="黑体" w:hAnsi="黑体" w:eastAsia="黑体"/>
          <w:snapToGrid w:val="0"/>
          <w:sz w:val="30"/>
          <w:szCs w:val="30"/>
        </w:rPr>
      </w:pPr>
    </w:p>
    <w:p w14:paraId="46ED099E">
      <w:pPr>
        <w:pStyle w:val="30"/>
        <w:jc w:val="center"/>
        <w:outlineLvl w:val="0"/>
        <w:rPr>
          <w:rFonts w:hint="eastAsia" w:ascii="黑体" w:hAnsi="黑体" w:eastAsia="黑体"/>
          <w:snapToGrid w:val="0"/>
          <w:kern w:val="2"/>
          <w:sz w:val="21"/>
          <w:szCs w:val="21"/>
        </w:rPr>
        <w:sectPr>
          <w:pgSz w:w="11906" w:h="16838"/>
          <w:pgMar w:top="720" w:right="720" w:bottom="720" w:left="720" w:header="851" w:footer="567" w:gutter="0"/>
          <w:cols w:space="425" w:num="1"/>
          <w:docGrid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9656"/>
      </w:tblGrid>
      <w:tr w14:paraId="3EEB6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shd w:val="clear" w:color="auto" w:fill="auto"/>
            <w:vAlign w:val="center"/>
          </w:tcPr>
          <w:p w14:paraId="0A830133">
            <w:pPr>
              <w:adjustRightInd w:val="0"/>
              <w:snapToGrid w:val="0"/>
              <w:jc w:val="center"/>
              <w:rPr>
                <w:rFonts w:hint="eastAsia" w:ascii="宋体" w:hAnsi="宋体" w:cs="宋体"/>
                <w:kern w:val="0"/>
                <w:szCs w:val="21"/>
              </w:rPr>
            </w:pPr>
            <w:r>
              <w:rPr>
                <w:rFonts w:hint="eastAsia" w:ascii="宋体" w:hAnsi="宋体" w:cs="宋体"/>
                <w:kern w:val="0"/>
                <w:szCs w:val="21"/>
              </w:rPr>
              <w:t>评价</w:t>
            </w:r>
          </w:p>
          <w:p w14:paraId="53DD4598">
            <w:pPr>
              <w:pStyle w:val="30"/>
              <w:jc w:val="center"/>
              <w:outlineLvl w:val="0"/>
              <w:rPr>
                <w:rFonts w:hint="eastAsia" w:ascii="黑体" w:hAnsi="黑体" w:eastAsia="黑体"/>
                <w:snapToGrid w:val="0"/>
                <w:kern w:val="2"/>
                <w:sz w:val="21"/>
                <w:szCs w:val="21"/>
              </w:rPr>
            </w:pPr>
            <w:bookmarkStart w:id="35" w:name="_Toc185523894"/>
            <w:bookmarkStart w:id="36" w:name="_Toc20080"/>
            <w:bookmarkStart w:id="37" w:name="_Toc185524002"/>
            <w:bookmarkStart w:id="38" w:name="_Toc191907544"/>
            <w:bookmarkStart w:id="39" w:name="_Toc187243657"/>
            <w:r>
              <w:rPr>
                <w:rFonts w:hint="eastAsia" w:cs="宋体"/>
                <w:sz w:val="21"/>
                <w:szCs w:val="21"/>
              </w:rPr>
              <w:t>标准</w:t>
            </w:r>
            <w:bookmarkEnd w:id="35"/>
            <w:bookmarkEnd w:id="36"/>
            <w:bookmarkEnd w:id="37"/>
            <w:bookmarkEnd w:id="38"/>
            <w:bookmarkEnd w:id="39"/>
          </w:p>
        </w:tc>
        <w:tc>
          <w:tcPr>
            <w:tcW w:w="9656" w:type="dxa"/>
            <w:shd w:val="clear" w:color="auto" w:fill="auto"/>
            <w:vAlign w:val="center"/>
          </w:tcPr>
          <w:p w14:paraId="6AC6292A">
            <w:pPr>
              <w:adjustRightInd w:val="0"/>
              <w:snapToGrid w:val="0"/>
              <w:spacing w:line="500" w:lineRule="exact"/>
              <w:ind w:firstLine="422" w:firstLineChars="200"/>
              <w:jc w:val="left"/>
              <w:rPr>
                <w:b/>
                <w:bCs/>
                <w:kern w:val="0"/>
                <w:szCs w:val="21"/>
                <w:lang w:bidi="ar"/>
              </w:rPr>
            </w:pPr>
            <w:r>
              <w:rPr>
                <w:rFonts w:hint="eastAsia"/>
                <w:b/>
                <w:bCs/>
                <w:kern w:val="0"/>
                <w:szCs w:val="21"/>
                <w:lang w:bidi="ar"/>
              </w:rPr>
              <w:t>一</w:t>
            </w:r>
            <w:r>
              <w:rPr>
                <w:b/>
                <w:bCs/>
                <w:kern w:val="0"/>
                <w:szCs w:val="21"/>
                <w:lang w:bidi="ar"/>
              </w:rPr>
              <w:t>、环境质量标准</w:t>
            </w:r>
          </w:p>
          <w:p w14:paraId="2B0BF11A">
            <w:pPr>
              <w:spacing w:line="500" w:lineRule="exact"/>
              <w:ind w:firstLine="422" w:firstLineChars="200"/>
              <w:jc w:val="left"/>
              <w:rPr>
                <w:b/>
                <w:bCs/>
                <w:szCs w:val="21"/>
              </w:rPr>
            </w:pPr>
            <w:r>
              <w:rPr>
                <w:rFonts w:hint="eastAsia"/>
                <w:b/>
                <w:bCs/>
                <w:kern w:val="0"/>
                <w:szCs w:val="21"/>
                <w:lang w:bidi="ar"/>
              </w:rPr>
              <w:t>1、</w:t>
            </w:r>
            <w:r>
              <w:rPr>
                <w:b/>
                <w:bCs/>
                <w:szCs w:val="21"/>
                <w:lang w:bidi="ar"/>
              </w:rPr>
              <w:t>地表水环境质量标准</w:t>
            </w:r>
          </w:p>
          <w:p w14:paraId="1BF873D6">
            <w:pPr>
              <w:spacing w:line="500" w:lineRule="exact"/>
              <w:ind w:firstLine="420" w:firstLineChars="200"/>
              <w:jc w:val="left"/>
              <w:rPr>
                <w:szCs w:val="21"/>
                <w:lang w:bidi="ar"/>
              </w:rPr>
            </w:pPr>
            <w:r>
              <w:rPr>
                <w:kern w:val="0"/>
                <w:szCs w:val="21"/>
              </w:rPr>
              <w:t>项目所在区域河流为</w:t>
            </w:r>
            <w:r>
              <w:rPr>
                <w:rFonts w:hint="eastAsia"/>
                <w:kern w:val="0"/>
                <w:szCs w:val="21"/>
              </w:rPr>
              <w:t>白石排洪渠</w:t>
            </w:r>
            <w:r>
              <w:rPr>
                <w:kern w:val="0"/>
                <w:szCs w:val="21"/>
              </w:rPr>
              <w:t>，</w:t>
            </w:r>
            <w:r>
              <w:rPr>
                <w:rFonts w:hint="eastAsia"/>
                <w:kern w:val="0"/>
                <w:szCs w:val="21"/>
              </w:rPr>
              <w:t>白石渠（博罗段） 2024年水质目标为V类</w:t>
            </w:r>
            <w:r>
              <w:rPr>
                <w:szCs w:val="21"/>
                <w:lang w:bidi="ar"/>
              </w:rPr>
              <w:t>。执行国家《地表水环境质量标准》（GB3838-2002）</w:t>
            </w:r>
            <w:r>
              <w:rPr>
                <w:bCs/>
                <w:szCs w:val="21"/>
              </w:rPr>
              <w:t>Ⅴ</w:t>
            </w:r>
            <w:r>
              <w:rPr>
                <w:szCs w:val="21"/>
                <w:lang w:bidi="ar"/>
              </w:rPr>
              <w:t>类标准，具体见下表。</w:t>
            </w:r>
          </w:p>
          <w:p w14:paraId="32874B17">
            <w:pPr>
              <w:autoSpaceDE w:val="0"/>
              <w:autoSpaceDN w:val="0"/>
              <w:adjustRightInd w:val="0"/>
              <w:snapToGrid w:val="0"/>
              <w:spacing w:before="120" w:beforeLines="50" w:line="360" w:lineRule="auto"/>
              <w:jc w:val="center"/>
              <w:rPr>
                <w:b/>
                <w:bCs/>
                <w:kern w:val="0"/>
                <w:szCs w:val="21"/>
                <w:vertAlign w:val="superscript"/>
              </w:rPr>
            </w:pPr>
            <w:r>
              <w:rPr>
                <w:b/>
                <w:bCs/>
                <w:kern w:val="0"/>
                <w:szCs w:val="21"/>
              </w:rPr>
              <w:t>表3-</w:t>
            </w:r>
            <w:r>
              <w:rPr>
                <w:rFonts w:hint="eastAsia"/>
                <w:b/>
                <w:bCs/>
                <w:kern w:val="0"/>
                <w:szCs w:val="21"/>
              </w:rPr>
              <w:t xml:space="preserve">3 </w:t>
            </w:r>
            <w:r>
              <w:rPr>
                <w:rFonts w:hint="eastAsia"/>
                <w:b/>
                <w:bCs/>
                <w:szCs w:val="21"/>
              </w:rPr>
              <w:t xml:space="preserve">地表水水质标准一览表（摘录） </w:t>
            </w:r>
            <w:r>
              <w:rPr>
                <w:b/>
                <w:bCs/>
                <w:szCs w:val="21"/>
              </w:rPr>
              <w:t xml:space="preserve"> </w:t>
            </w:r>
            <w:r>
              <w:rPr>
                <w:rFonts w:hint="eastAsia"/>
                <w:b/>
                <w:bCs/>
                <w:szCs w:val="21"/>
              </w:rPr>
              <w:t>单位：</w:t>
            </w:r>
            <w:r>
              <w:rPr>
                <w:b/>
                <w:bCs/>
                <w:szCs w:val="21"/>
              </w:rPr>
              <w:t>mg/L</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2141"/>
              <w:gridCol w:w="1641"/>
              <w:gridCol w:w="1220"/>
              <w:gridCol w:w="1250"/>
              <w:gridCol w:w="1252"/>
              <w:gridCol w:w="1211"/>
            </w:tblGrid>
            <w:tr w14:paraId="15CF9F6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op w:val="single" w:color="auto" w:sz="18" w:space="0"/>
                  </w:tcBorders>
                  <w:shd w:val="clear" w:color="auto" w:fill="auto"/>
                  <w:vAlign w:val="center"/>
                </w:tcPr>
                <w:p w14:paraId="1B7E1AFA">
                  <w:pPr>
                    <w:jc w:val="center"/>
                    <w:rPr>
                      <w:b/>
                      <w:bCs/>
                      <w:szCs w:val="21"/>
                    </w:rPr>
                  </w:pPr>
                  <w:r>
                    <w:rPr>
                      <w:rFonts w:hint="eastAsia"/>
                      <w:b/>
                      <w:bCs/>
                      <w:szCs w:val="21"/>
                    </w:rPr>
                    <w:t>序号</w:t>
                  </w:r>
                </w:p>
              </w:tc>
              <w:tc>
                <w:tcPr>
                  <w:tcW w:w="1135" w:type="pct"/>
                  <w:tcBorders>
                    <w:top w:val="single" w:color="auto" w:sz="18" w:space="0"/>
                  </w:tcBorders>
                  <w:shd w:val="clear" w:color="auto" w:fill="auto"/>
                  <w:vAlign w:val="center"/>
                </w:tcPr>
                <w:p w14:paraId="6CD97788">
                  <w:pPr>
                    <w:jc w:val="center"/>
                    <w:rPr>
                      <w:b/>
                      <w:bCs/>
                      <w:szCs w:val="21"/>
                    </w:rPr>
                  </w:pPr>
                  <w:r>
                    <w:rPr>
                      <w:rFonts w:hint="eastAsia"/>
                      <w:b/>
                      <w:bCs/>
                      <w:szCs w:val="21"/>
                    </w:rPr>
                    <w:t>分类标准值项目</w:t>
                  </w:r>
                </w:p>
              </w:tc>
              <w:tc>
                <w:tcPr>
                  <w:tcW w:w="870" w:type="pct"/>
                  <w:tcBorders>
                    <w:top w:val="single" w:color="auto" w:sz="18" w:space="0"/>
                  </w:tcBorders>
                  <w:shd w:val="clear" w:color="auto" w:fill="auto"/>
                  <w:vAlign w:val="center"/>
                </w:tcPr>
                <w:p w14:paraId="257E452B">
                  <w:pPr>
                    <w:jc w:val="center"/>
                    <w:rPr>
                      <w:b/>
                      <w:bCs/>
                      <w:szCs w:val="21"/>
                    </w:rPr>
                  </w:pPr>
                  <w:r>
                    <w:rPr>
                      <w:b/>
                      <w:bCs/>
                      <w:szCs w:val="21"/>
                    </w:rPr>
                    <w:t>Ⅰ</w:t>
                  </w:r>
                  <w:r>
                    <w:rPr>
                      <w:rFonts w:hint="eastAsia"/>
                      <w:b/>
                      <w:bCs/>
                      <w:szCs w:val="21"/>
                    </w:rPr>
                    <w:t>类</w:t>
                  </w:r>
                </w:p>
              </w:tc>
              <w:tc>
                <w:tcPr>
                  <w:tcW w:w="647" w:type="pct"/>
                  <w:tcBorders>
                    <w:top w:val="single" w:color="auto" w:sz="18" w:space="0"/>
                  </w:tcBorders>
                  <w:shd w:val="clear" w:color="auto" w:fill="auto"/>
                  <w:vAlign w:val="center"/>
                </w:tcPr>
                <w:p w14:paraId="10E746D4">
                  <w:pPr>
                    <w:jc w:val="center"/>
                    <w:rPr>
                      <w:b/>
                      <w:bCs/>
                      <w:szCs w:val="21"/>
                    </w:rPr>
                  </w:pPr>
                  <w:r>
                    <w:rPr>
                      <w:b/>
                      <w:bCs/>
                      <w:szCs w:val="21"/>
                    </w:rPr>
                    <w:t>Ⅱ</w:t>
                  </w:r>
                  <w:r>
                    <w:rPr>
                      <w:rFonts w:hint="eastAsia"/>
                      <w:b/>
                      <w:bCs/>
                      <w:szCs w:val="21"/>
                    </w:rPr>
                    <w:t>类</w:t>
                  </w:r>
                </w:p>
              </w:tc>
              <w:tc>
                <w:tcPr>
                  <w:tcW w:w="663" w:type="pct"/>
                  <w:tcBorders>
                    <w:top w:val="single" w:color="auto" w:sz="18" w:space="0"/>
                  </w:tcBorders>
                  <w:shd w:val="clear" w:color="auto" w:fill="auto"/>
                  <w:vAlign w:val="center"/>
                </w:tcPr>
                <w:p w14:paraId="5C2ABA36">
                  <w:pPr>
                    <w:jc w:val="center"/>
                    <w:rPr>
                      <w:b/>
                      <w:bCs/>
                      <w:szCs w:val="21"/>
                    </w:rPr>
                  </w:pPr>
                  <w:r>
                    <w:rPr>
                      <w:b/>
                      <w:bCs/>
                      <w:szCs w:val="21"/>
                    </w:rPr>
                    <w:t>Ⅲ</w:t>
                  </w:r>
                  <w:r>
                    <w:rPr>
                      <w:rFonts w:hint="eastAsia"/>
                      <w:b/>
                      <w:bCs/>
                      <w:szCs w:val="21"/>
                    </w:rPr>
                    <w:t>类</w:t>
                  </w:r>
                </w:p>
              </w:tc>
              <w:tc>
                <w:tcPr>
                  <w:tcW w:w="664" w:type="pct"/>
                  <w:tcBorders>
                    <w:top w:val="single" w:color="auto" w:sz="18" w:space="0"/>
                  </w:tcBorders>
                  <w:shd w:val="clear" w:color="auto" w:fill="auto"/>
                  <w:vAlign w:val="center"/>
                </w:tcPr>
                <w:p w14:paraId="082F4700">
                  <w:pPr>
                    <w:jc w:val="center"/>
                    <w:rPr>
                      <w:b/>
                      <w:bCs/>
                      <w:szCs w:val="21"/>
                    </w:rPr>
                  </w:pPr>
                  <w:r>
                    <w:rPr>
                      <w:b/>
                      <w:bCs/>
                      <w:szCs w:val="21"/>
                    </w:rPr>
                    <w:t>Ⅳ</w:t>
                  </w:r>
                  <w:r>
                    <w:rPr>
                      <w:rFonts w:hint="eastAsia"/>
                      <w:b/>
                      <w:bCs/>
                      <w:szCs w:val="21"/>
                    </w:rPr>
                    <w:t>类</w:t>
                  </w:r>
                </w:p>
              </w:tc>
              <w:tc>
                <w:tcPr>
                  <w:tcW w:w="642" w:type="pct"/>
                  <w:tcBorders>
                    <w:top w:val="single" w:color="auto" w:sz="18" w:space="0"/>
                  </w:tcBorders>
                  <w:vAlign w:val="center"/>
                </w:tcPr>
                <w:p w14:paraId="76C4ABE4">
                  <w:pPr>
                    <w:jc w:val="center"/>
                    <w:rPr>
                      <w:b/>
                      <w:bCs/>
                      <w:szCs w:val="21"/>
                    </w:rPr>
                  </w:pPr>
                  <w:r>
                    <w:rPr>
                      <w:b/>
                      <w:bCs/>
                      <w:szCs w:val="21"/>
                    </w:rPr>
                    <w:t>Ⅴ</w:t>
                  </w:r>
                  <w:r>
                    <w:rPr>
                      <w:rFonts w:hint="eastAsia"/>
                      <w:b/>
                      <w:bCs/>
                      <w:szCs w:val="21"/>
                    </w:rPr>
                    <w:t>类</w:t>
                  </w:r>
                </w:p>
              </w:tc>
            </w:tr>
            <w:tr w14:paraId="7BAE19D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620590F2">
                  <w:pPr>
                    <w:jc w:val="center"/>
                    <w:rPr>
                      <w:szCs w:val="21"/>
                    </w:rPr>
                  </w:pPr>
                  <w:r>
                    <w:rPr>
                      <w:rFonts w:hint="eastAsia"/>
                      <w:szCs w:val="21"/>
                    </w:rPr>
                    <w:t>1</w:t>
                  </w:r>
                </w:p>
              </w:tc>
              <w:tc>
                <w:tcPr>
                  <w:tcW w:w="1135" w:type="pct"/>
                  <w:shd w:val="clear" w:color="auto" w:fill="auto"/>
                  <w:vAlign w:val="center"/>
                </w:tcPr>
                <w:p w14:paraId="044D9FBE">
                  <w:pPr>
                    <w:jc w:val="center"/>
                    <w:rPr>
                      <w:szCs w:val="21"/>
                    </w:rPr>
                  </w:pPr>
                  <w:r>
                    <w:rPr>
                      <w:rFonts w:hint="eastAsia"/>
                      <w:b/>
                      <w:bCs/>
                      <w:szCs w:val="21"/>
                    </w:rPr>
                    <w:t>水温（</w:t>
                  </w:r>
                  <w:r>
                    <w:rPr>
                      <w:b/>
                      <w:bCs/>
                      <w:szCs w:val="21"/>
                    </w:rPr>
                    <w:t>℃</w:t>
                  </w:r>
                  <w:r>
                    <w:rPr>
                      <w:rFonts w:hint="eastAsia"/>
                      <w:b/>
                      <w:bCs/>
                      <w:szCs w:val="21"/>
                    </w:rPr>
                    <w:t>）</w:t>
                  </w:r>
                </w:p>
              </w:tc>
              <w:tc>
                <w:tcPr>
                  <w:tcW w:w="3486" w:type="pct"/>
                  <w:gridSpan w:val="5"/>
                  <w:shd w:val="clear" w:color="auto" w:fill="auto"/>
                  <w:vAlign w:val="center"/>
                </w:tcPr>
                <w:p w14:paraId="743A7D68">
                  <w:pPr>
                    <w:widowControl/>
                    <w:jc w:val="center"/>
                    <w:rPr>
                      <w:rFonts w:hint="eastAsia" w:ascii="宋体" w:hAnsi="宋体" w:cs="宋体"/>
                      <w:kern w:val="0"/>
                      <w:szCs w:val="21"/>
                    </w:rPr>
                  </w:pPr>
                  <w:r>
                    <w:rPr>
                      <w:rFonts w:hint="eastAsia" w:ascii="宋体" w:hAnsi="宋体" w:cs="宋体"/>
                      <w:kern w:val="0"/>
                      <w:szCs w:val="21"/>
                    </w:rPr>
                    <w:t>人为造成的环境水温变化应限制在：周平均最大温升</w:t>
                  </w:r>
                  <w:r>
                    <w:rPr>
                      <w:kern w:val="0"/>
                      <w:szCs w:val="21"/>
                    </w:rPr>
                    <w:t>≤1</w:t>
                  </w:r>
                  <w:r>
                    <w:rPr>
                      <w:rFonts w:hint="eastAsia" w:ascii="宋体" w:hAnsi="宋体" w:cs="宋体"/>
                      <w:kern w:val="0"/>
                      <w:szCs w:val="21"/>
                    </w:rPr>
                    <w:t>；周平均最大温降</w:t>
                  </w:r>
                  <w:r>
                    <w:rPr>
                      <w:kern w:val="0"/>
                      <w:szCs w:val="21"/>
                    </w:rPr>
                    <w:t>≤2</w:t>
                  </w:r>
                </w:p>
              </w:tc>
            </w:tr>
            <w:tr w14:paraId="4DB579C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1112FC46">
                  <w:pPr>
                    <w:jc w:val="center"/>
                    <w:rPr>
                      <w:szCs w:val="21"/>
                    </w:rPr>
                  </w:pPr>
                  <w:r>
                    <w:rPr>
                      <w:rFonts w:hint="eastAsia"/>
                      <w:szCs w:val="21"/>
                    </w:rPr>
                    <w:t>2</w:t>
                  </w:r>
                </w:p>
              </w:tc>
              <w:tc>
                <w:tcPr>
                  <w:tcW w:w="1135" w:type="pct"/>
                  <w:shd w:val="clear" w:color="auto" w:fill="auto"/>
                  <w:vAlign w:val="center"/>
                </w:tcPr>
                <w:p w14:paraId="5913A1D1">
                  <w:pPr>
                    <w:jc w:val="center"/>
                    <w:rPr>
                      <w:szCs w:val="21"/>
                    </w:rPr>
                  </w:pPr>
                  <w:r>
                    <w:rPr>
                      <w:b/>
                      <w:bCs/>
                      <w:szCs w:val="21"/>
                    </w:rPr>
                    <w:t>pH</w:t>
                  </w:r>
                  <w:r>
                    <w:rPr>
                      <w:rFonts w:hint="eastAsia"/>
                      <w:b/>
                      <w:bCs/>
                      <w:szCs w:val="21"/>
                    </w:rPr>
                    <w:t>值（无量纲）</w:t>
                  </w:r>
                </w:p>
              </w:tc>
              <w:tc>
                <w:tcPr>
                  <w:tcW w:w="3486" w:type="pct"/>
                  <w:gridSpan w:val="5"/>
                  <w:shd w:val="clear" w:color="auto" w:fill="auto"/>
                  <w:vAlign w:val="center"/>
                </w:tcPr>
                <w:p w14:paraId="3D0549EA">
                  <w:pPr>
                    <w:jc w:val="center"/>
                    <w:rPr>
                      <w:szCs w:val="21"/>
                    </w:rPr>
                  </w:pPr>
                  <w:r>
                    <w:rPr>
                      <w:rFonts w:hint="eastAsia"/>
                      <w:szCs w:val="21"/>
                    </w:rPr>
                    <w:t>6</w:t>
                  </w:r>
                  <w:r>
                    <w:rPr>
                      <w:szCs w:val="21"/>
                    </w:rPr>
                    <w:t>-9</w:t>
                  </w:r>
                </w:p>
              </w:tc>
            </w:tr>
            <w:tr w14:paraId="2D17E50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2245F1C9">
                  <w:pPr>
                    <w:jc w:val="center"/>
                    <w:rPr>
                      <w:szCs w:val="21"/>
                    </w:rPr>
                  </w:pPr>
                  <w:r>
                    <w:rPr>
                      <w:rFonts w:hint="eastAsia"/>
                      <w:szCs w:val="21"/>
                    </w:rPr>
                    <w:t>3</w:t>
                  </w:r>
                </w:p>
              </w:tc>
              <w:tc>
                <w:tcPr>
                  <w:tcW w:w="1135" w:type="pct"/>
                  <w:shd w:val="clear" w:color="auto" w:fill="auto"/>
                  <w:vAlign w:val="center"/>
                </w:tcPr>
                <w:p w14:paraId="44432ED2">
                  <w:pPr>
                    <w:jc w:val="center"/>
                    <w:rPr>
                      <w:szCs w:val="21"/>
                    </w:rPr>
                  </w:pPr>
                  <w:r>
                    <w:rPr>
                      <w:rFonts w:hint="eastAsia"/>
                      <w:b/>
                      <w:bCs/>
                      <w:szCs w:val="21"/>
                    </w:rPr>
                    <w:t>溶解氧</w:t>
                  </w:r>
                </w:p>
              </w:tc>
              <w:tc>
                <w:tcPr>
                  <w:tcW w:w="870" w:type="pct"/>
                  <w:shd w:val="clear" w:color="auto" w:fill="auto"/>
                  <w:vAlign w:val="center"/>
                </w:tcPr>
                <w:p w14:paraId="029D287E">
                  <w:pPr>
                    <w:widowControl/>
                    <w:jc w:val="center"/>
                    <w:rPr>
                      <w:rFonts w:hint="eastAsia" w:ascii="宋体" w:hAnsi="宋体" w:cs="宋体"/>
                      <w:kern w:val="0"/>
                      <w:szCs w:val="21"/>
                    </w:rPr>
                  </w:pPr>
                  <w:r>
                    <w:rPr>
                      <w:rFonts w:hint="eastAsia" w:ascii="宋体" w:hAnsi="宋体" w:cs="宋体"/>
                      <w:kern w:val="0"/>
                      <w:szCs w:val="21"/>
                    </w:rPr>
                    <w:t>饱和率</w:t>
                  </w:r>
                  <w:r>
                    <w:rPr>
                      <w:kern w:val="0"/>
                      <w:szCs w:val="21"/>
                    </w:rPr>
                    <w:t>90%(</w:t>
                  </w:r>
                  <w:r>
                    <w:rPr>
                      <w:rFonts w:hint="eastAsia" w:ascii="宋体" w:hAnsi="宋体" w:cs="宋体"/>
                      <w:kern w:val="0"/>
                      <w:szCs w:val="21"/>
                    </w:rPr>
                    <w:t>或</w:t>
                  </w:r>
                  <w:r>
                    <w:rPr>
                      <w:kern w:val="0"/>
                      <w:szCs w:val="21"/>
                    </w:rPr>
                    <w:t>7.5)</w:t>
                  </w:r>
                </w:p>
              </w:tc>
              <w:tc>
                <w:tcPr>
                  <w:tcW w:w="647" w:type="pct"/>
                  <w:shd w:val="clear" w:color="auto" w:fill="auto"/>
                  <w:vAlign w:val="center"/>
                </w:tcPr>
                <w:p w14:paraId="74FA5B29">
                  <w:pPr>
                    <w:jc w:val="center"/>
                    <w:rPr>
                      <w:szCs w:val="21"/>
                    </w:rPr>
                  </w:pPr>
                  <w:r>
                    <w:rPr>
                      <w:rFonts w:hint="eastAsia"/>
                      <w:szCs w:val="21"/>
                    </w:rPr>
                    <w:t>6</w:t>
                  </w:r>
                </w:p>
              </w:tc>
              <w:tc>
                <w:tcPr>
                  <w:tcW w:w="663" w:type="pct"/>
                  <w:shd w:val="clear" w:color="auto" w:fill="auto"/>
                  <w:vAlign w:val="center"/>
                </w:tcPr>
                <w:p w14:paraId="30D438C1">
                  <w:pPr>
                    <w:jc w:val="center"/>
                    <w:rPr>
                      <w:szCs w:val="21"/>
                    </w:rPr>
                  </w:pPr>
                  <w:r>
                    <w:rPr>
                      <w:rFonts w:hint="eastAsia"/>
                      <w:szCs w:val="21"/>
                    </w:rPr>
                    <w:t>5</w:t>
                  </w:r>
                </w:p>
              </w:tc>
              <w:tc>
                <w:tcPr>
                  <w:tcW w:w="664" w:type="pct"/>
                  <w:shd w:val="clear" w:color="auto" w:fill="auto"/>
                  <w:vAlign w:val="center"/>
                </w:tcPr>
                <w:p w14:paraId="4B0FE850">
                  <w:pPr>
                    <w:jc w:val="center"/>
                    <w:rPr>
                      <w:szCs w:val="21"/>
                    </w:rPr>
                  </w:pPr>
                  <w:r>
                    <w:rPr>
                      <w:rFonts w:hint="eastAsia"/>
                      <w:szCs w:val="21"/>
                    </w:rPr>
                    <w:t>3</w:t>
                  </w:r>
                </w:p>
              </w:tc>
              <w:tc>
                <w:tcPr>
                  <w:tcW w:w="642" w:type="pct"/>
                  <w:vAlign w:val="center"/>
                </w:tcPr>
                <w:p w14:paraId="7DA4FE77">
                  <w:pPr>
                    <w:jc w:val="center"/>
                    <w:rPr>
                      <w:szCs w:val="21"/>
                    </w:rPr>
                  </w:pPr>
                  <w:r>
                    <w:rPr>
                      <w:rFonts w:hint="eastAsia"/>
                      <w:szCs w:val="21"/>
                    </w:rPr>
                    <w:t>2</w:t>
                  </w:r>
                </w:p>
              </w:tc>
            </w:tr>
            <w:tr w14:paraId="2138C6A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1A9615C8">
                  <w:pPr>
                    <w:jc w:val="center"/>
                    <w:rPr>
                      <w:szCs w:val="21"/>
                    </w:rPr>
                  </w:pPr>
                  <w:r>
                    <w:rPr>
                      <w:rFonts w:hint="eastAsia"/>
                      <w:szCs w:val="21"/>
                    </w:rPr>
                    <w:t>4</w:t>
                  </w:r>
                </w:p>
              </w:tc>
              <w:tc>
                <w:tcPr>
                  <w:tcW w:w="1135" w:type="pct"/>
                  <w:shd w:val="clear" w:color="auto" w:fill="auto"/>
                  <w:vAlign w:val="center"/>
                </w:tcPr>
                <w:p w14:paraId="5A083E6F">
                  <w:pPr>
                    <w:jc w:val="center"/>
                    <w:rPr>
                      <w:szCs w:val="21"/>
                    </w:rPr>
                  </w:pPr>
                  <w:r>
                    <w:rPr>
                      <w:rFonts w:hint="eastAsia"/>
                      <w:b/>
                      <w:bCs/>
                      <w:szCs w:val="21"/>
                    </w:rPr>
                    <w:t>高锰酸盐指数</w:t>
                  </w:r>
                </w:p>
              </w:tc>
              <w:tc>
                <w:tcPr>
                  <w:tcW w:w="870" w:type="pct"/>
                  <w:shd w:val="clear" w:color="auto" w:fill="auto"/>
                  <w:vAlign w:val="center"/>
                </w:tcPr>
                <w:p w14:paraId="32BD33F3">
                  <w:pPr>
                    <w:jc w:val="center"/>
                    <w:rPr>
                      <w:szCs w:val="21"/>
                    </w:rPr>
                  </w:pPr>
                  <w:r>
                    <w:rPr>
                      <w:rFonts w:hint="eastAsia"/>
                      <w:szCs w:val="21"/>
                    </w:rPr>
                    <w:t>2</w:t>
                  </w:r>
                </w:p>
              </w:tc>
              <w:tc>
                <w:tcPr>
                  <w:tcW w:w="647" w:type="pct"/>
                  <w:shd w:val="clear" w:color="auto" w:fill="auto"/>
                  <w:vAlign w:val="center"/>
                </w:tcPr>
                <w:p w14:paraId="0B74D25E">
                  <w:pPr>
                    <w:jc w:val="center"/>
                    <w:rPr>
                      <w:szCs w:val="21"/>
                    </w:rPr>
                  </w:pPr>
                  <w:r>
                    <w:rPr>
                      <w:rFonts w:hint="eastAsia"/>
                      <w:szCs w:val="21"/>
                    </w:rPr>
                    <w:t>4</w:t>
                  </w:r>
                </w:p>
              </w:tc>
              <w:tc>
                <w:tcPr>
                  <w:tcW w:w="663" w:type="pct"/>
                  <w:shd w:val="clear" w:color="auto" w:fill="auto"/>
                  <w:vAlign w:val="center"/>
                </w:tcPr>
                <w:p w14:paraId="22987C2D">
                  <w:pPr>
                    <w:jc w:val="center"/>
                    <w:rPr>
                      <w:szCs w:val="21"/>
                    </w:rPr>
                  </w:pPr>
                  <w:r>
                    <w:rPr>
                      <w:rFonts w:hint="eastAsia"/>
                      <w:szCs w:val="21"/>
                    </w:rPr>
                    <w:t>6</w:t>
                  </w:r>
                </w:p>
              </w:tc>
              <w:tc>
                <w:tcPr>
                  <w:tcW w:w="664" w:type="pct"/>
                  <w:shd w:val="clear" w:color="auto" w:fill="auto"/>
                  <w:vAlign w:val="center"/>
                </w:tcPr>
                <w:p w14:paraId="162CB9FF">
                  <w:pPr>
                    <w:jc w:val="center"/>
                    <w:rPr>
                      <w:szCs w:val="21"/>
                    </w:rPr>
                  </w:pPr>
                  <w:r>
                    <w:rPr>
                      <w:rFonts w:hint="eastAsia"/>
                      <w:szCs w:val="21"/>
                    </w:rPr>
                    <w:t>1</w:t>
                  </w:r>
                  <w:r>
                    <w:rPr>
                      <w:szCs w:val="21"/>
                    </w:rPr>
                    <w:t>0</w:t>
                  </w:r>
                </w:p>
              </w:tc>
              <w:tc>
                <w:tcPr>
                  <w:tcW w:w="642" w:type="pct"/>
                  <w:vAlign w:val="center"/>
                </w:tcPr>
                <w:p w14:paraId="13CE1C29">
                  <w:pPr>
                    <w:jc w:val="center"/>
                    <w:rPr>
                      <w:szCs w:val="21"/>
                    </w:rPr>
                  </w:pPr>
                  <w:r>
                    <w:rPr>
                      <w:rFonts w:hint="eastAsia"/>
                      <w:szCs w:val="21"/>
                    </w:rPr>
                    <w:t>1</w:t>
                  </w:r>
                  <w:r>
                    <w:rPr>
                      <w:szCs w:val="21"/>
                    </w:rPr>
                    <w:t>5</w:t>
                  </w:r>
                </w:p>
              </w:tc>
            </w:tr>
            <w:tr w14:paraId="57C71C3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30D3DB87">
                  <w:pPr>
                    <w:jc w:val="center"/>
                    <w:rPr>
                      <w:szCs w:val="21"/>
                    </w:rPr>
                  </w:pPr>
                  <w:r>
                    <w:rPr>
                      <w:rFonts w:hint="eastAsia"/>
                      <w:szCs w:val="21"/>
                    </w:rPr>
                    <w:t>5</w:t>
                  </w:r>
                </w:p>
              </w:tc>
              <w:tc>
                <w:tcPr>
                  <w:tcW w:w="1135" w:type="pct"/>
                  <w:shd w:val="clear" w:color="auto" w:fill="auto"/>
                  <w:vAlign w:val="center"/>
                </w:tcPr>
                <w:p w14:paraId="6828F140">
                  <w:pPr>
                    <w:jc w:val="center"/>
                    <w:rPr>
                      <w:szCs w:val="21"/>
                    </w:rPr>
                  </w:pPr>
                  <w:r>
                    <w:rPr>
                      <w:rFonts w:hint="eastAsia"/>
                      <w:b/>
                      <w:bCs/>
                      <w:szCs w:val="21"/>
                    </w:rPr>
                    <w:t>化学需氧量（</w:t>
                  </w:r>
                  <w:r>
                    <w:rPr>
                      <w:b/>
                      <w:bCs/>
                      <w:szCs w:val="21"/>
                    </w:rPr>
                    <w:t>COD</w:t>
                  </w:r>
                  <w:r>
                    <w:rPr>
                      <w:rFonts w:hint="eastAsia"/>
                      <w:b/>
                      <w:bCs/>
                      <w:szCs w:val="21"/>
                    </w:rPr>
                    <w:t>）</w:t>
                  </w:r>
                </w:p>
              </w:tc>
              <w:tc>
                <w:tcPr>
                  <w:tcW w:w="870" w:type="pct"/>
                  <w:shd w:val="clear" w:color="auto" w:fill="auto"/>
                  <w:vAlign w:val="center"/>
                </w:tcPr>
                <w:p w14:paraId="45A3C5FC">
                  <w:pPr>
                    <w:jc w:val="center"/>
                    <w:rPr>
                      <w:szCs w:val="21"/>
                    </w:rPr>
                  </w:pPr>
                  <w:r>
                    <w:rPr>
                      <w:rFonts w:hint="eastAsia"/>
                      <w:szCs w:val="21"/>
                    </w:rPr>
                    <w:t>1</w:t>
                  </w:r>
                  <w:r>
                    <w:rPr>
                      <w:szCs w:val="21"/>
                    </w:rPr>
                    <w:t>5</w:t>
                  </w:r>
                </w:p>
              </w:tc>
              <w:tc>
                <w:tcPr>
                  <w:tcW w:w="647" w:type="pct"/>
                  <w:shd w:val="clear" w:color="auto" w:fill="auto"/>
                  <w:vAlign w:val="center"/>
                </w:tcPr>
                <w:p w14:paraId="1C06B6E4">
                  <w:pPr>
                    <w:jc w:val="center"/>
                    <w:rPr>
                      <w:szCs w:val="21"/>
                    </w:rPr>
                  </w:pPr>
                  <w:r>
                    <w:rPr>
                      <w:rFonts w:hint="eastAsia"/>
                      <w:szCs w:val="21"/>
                    </w:rPr>
                    <w:t>1</w:t>
                  </w:r>
                  <w:r>
                    <w:rPr>
                      <w:szCs w:val="21"/>
                    </w:rPr>
                    <w:t>5</w:t>
                  </w:r>
                </w:p>
              </w:tc>
              <w:tc>
                <w:tcPr>
                  <w:tcW w:w="663" w:type="pct"/>
                  <w:shd w:val="clear" w:color="auto" w:fill="auto"/>
                  <w:vAlign w:val="center"/>
                </w:tcPr>
                <w:p w14:paraId="4359DD7B">
                  <w:pPr>
                    <w:jc w:val="center"/>
                    <w:rPr>
                      <w:szCs w:val="21"/>
                    </w:rPr>
                  </w:pPr>
                  <w:r>
                    <w:rPr>
                      <w:rFonts w:hint="eastAsia"/>
                      <w:szCs w:val="21"/>
                    </w:rPr>
                    <w:t>2</w:t>
                  </w:r>
                  <w:r>
                    <w:rPr>
                      <w:szCs w:val="21"/>
                    </w:rPr>
                    <w:t>0</w:t>
                  </w:r>
                </w:p>
              </w:tc>
              <w:tc>
                <w:tcPr>
                  <w:tcW w:w="664" w:type="pct"/>
                  <w:shd w:val="clear" w:color="auto" w:fill="auto"/>
                  <w:vAlign w:val="center"/>
                </w:tcPr>
                <w:p w14:paraId="16F32315">
                  <w:pPr>
                    <w:jc w:val="center"/>
                    <w:rPr>
                      <w:szCs w:val="21"/>
                    </w:rPr>
                  </w:pPr>
                  <w:r>
                    <w:rPr>
                      <w:rFonts w:hint="eastAsia"/>
                      <w:szCs w:val="21"/>
                    </w:rPr>
                    <w:t>3</w:t>
                  </w:r>
                  <w:r>
                    <w:rPr>
                      <w:szCs w:val="21"/>
                    </w:rPr>
                    <w:t>0</w:t>
                  </w:r>
                </w:p>
              </w:tc>
              <w:tc>
                <w:tcPr>
                  <w:tcW w:w="642" w:type="pct"/>
                  <w:vAlign w:val="center"/>
                </w:tcPr>
                <w:p w14:paraId="4F9653CF">
                  <w:pPr>
                    <w:jc w:val="center"/>
                    <w:rPr>
                      <w:szCs w:val="21"/>
                    </w:rPr>
                  </w:pPr>
                  <w:r>
                    <w:rPr>
                      <w:rFonts w:hint="eastAsia"/>
                      <w:szCs w:val="21"/>
                    </w:rPr>
                    <w:t>4</w:t>
                  </w:r>
                  <w:r>
                    <w:rPr>
                      <w:szCs w:val="21"/>
                    </w:rPr>
                    <w:t>0</w:t>
                  </w:r>
                </w:p>
              </w:tc>
            </w:tr>
            <w:tr w14:paraId="142659A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06384418">
                  <w:pPr>
                    <w:jc w:val="center"/>
                    <w:rPr>
                      <w:szCs w:val="21"/>
                    </w:rPr>
                  </w:pPr>
                  <w:r>
                    <w:rPr>
                      <w:rFonts w:hint="eastAsia"/>
                      <w:szCs w:val="21"/>
                    </w:rPr>
                    <w:t>6</w:t>
                  </w:r>
                </w:p>
              </w:tc>
              <w:tc>
                <w:tcPr>
                  <w:tcW w:w="1135" w:type="pct"/>
                  <w:shd w:val="clear" w:color="auto" w:fill="auto"/>
                  <w:vAlign w:val="center"/>
                </w:tcPr>
                <w:p w14:paraId="7677E88F">
                  <w:pPr>
                    <w:widowControl/>
                    <w:jc w:val="center"/>
                    <w:rPr>
                      <w:rFonts w:hint="eastAsia" w:ascii="宋体" w:hAnsi="宋体" w:cs="宋体"/>
                      <w:kern w:val="0"/>
                      <w:szCs w:val="21"/>
                    </w:rPr>
                  </w:pPr>
                  <w:r>
                    <w:rPr>
                      <w:rFonts w:hint="eastAsia" w:ascii="宋体" w:hAnsi="宋体" w:cs="宋体"/>
                      <w:b/>
                      <w:bCs/>
                      <w:kern w:val="0"/>
                      <w:szCs w:val="21"/>
                    </w:rPr>
                    <w:t>五日生化需氧量（</w:t>
                  </w:r>
                  <w:r>
                    <w:rPr>
                      <w:b/>
                      <w:bCs/>
                      <w:kern w:val="0"/>
                      <w:szCs w:val="21"/>
                    </w:rPr>
                    <w:t>BOD5</w:t>
                  </w:r>
                  <w:r>
                    <w:rPr>
                      <w:rFonts w:hint="eastAsia" w:ascii="宋体" w:hAnsi="宋体" w:cs="宋体"/>
                      <w:b/>
                      <w:bCs/>
                      <w:kern w:val="0"/>
                      <w:szCs w:val="21"/>
                    </w:rPr>
                    <w:t>）</w:t>
                  </w:r>
                </w:p>
              </w:tc>
              <w:tc>
                <w:tcPr>
                  <w:tcW w:w="870" w:type="pct"/>
                  <w:shd w:val="clear" w:color="auto" w:fill="auto"/>
                  <w:vAlign w:val="center"/>
                </w:tcPr>
                <w:p w14:paraId="581111B6">
                  <w:pPr>
                    <w:jc w:val="center"/>
                    <w:rPr>
                      <w:szCs w:val="21"/>
                    </w:rPr>
                  </w:pPr>
                  <w:r>
                    <w:rPr>
                      <w:rFonts w:hint="eastAsia"/>
                      <w:szCs w:val="21"/>
                    </w:rPr>
                    <w:t>3</w:t>
                  </w:r>
                </w:p>
              </w:tc>
              <w:tc>
                <w:tcPr>
                  <w:tcW w:w="647" w:type="pct"/>
                  <w:shd w:val="clear" w:color="auto" w:fill="auto"/>
                  <w:vAlign w:val="center"/>
                </w:tcPr>
                <w:p w14:paraId="0E7291D9">
                  <w:pPr>
                    <w:jc w:val="center"/>
                    <w:rPr>
                      <w:szCs w:val="21"/>
                    </w:rPr>
                  </w:pPr>
                  <w:r>
                    <w:rPr>
                      <w:rFonts w:hint="eastAsia"/>
                      <w:szCs w:val="21"/>
                    </w:rPr>
                    <w:t>3</w:t>
                  </w:r>
                </w:p>
              </w:tc>
              <w:tc>
                <w:tcPr>
                  <w:tcW w:w="663" w:type="pct"/>
                  <w:shd w:val="clear" w:color="auto" w:fill="auto"/>
                  <w:vAlign w:val="center"/>
                </w:tcPr>
                <w:p w14:paraId="278B1E5D">
                  <w:pPr>
                    <w:jc w:val="center"/>
                    <w:rPr>
                      <w:szCs w:val="21"/>
                    </w:rPr>
                  </w:pPr>
                  <w:r>
                    <w:rPr>
                      <w:rFonts w:hint="eastAsia"/>
                      <w:szCs w:val="21"/>
                    </w:rPr>
                    <w:t>4</w:t>
                  </w:r>
                </w:p>
              </w:tc>
              <w:tc>
                <w:tcPr>
                  <w:tcW w:w="664" w:type="pct"/>
                  <w:shd w:val="clear" w:color="auto" w:fill="auto"/>
                  <w:vAlign w:val="center"/>
                </w:tcPr>
                <w:p w14:paraId="19069E1E">
                  <w:pPr>
                    <w:jc w:val="center"/>
                    <w:rPr>
                      <w:szCs w:val="21"/>
                    </w:rPr>
                  </w:pPr>
                  <w:r>
                    <w:rPr>
                      <w:rFonts w:hint="eastAsia"/>
                      <w:szCs w:val="21"/>
                    </w:rPr>
                    <w:t>6</w:t>
                  </w:r>
                </w:p>
              </w:tc>
              <w:tc>
                <w:tcPr>
                  <w:tcW w:w="642" w:type="pct"/>
                  <w:vAlign w:val="center"/>
                </w:tcPr>
                <w:p w14:paraId="2A5E59FE">
                  <w:pPr>
                    <w:jc w:val="center"/>
                    <w:rPr>
                      <w:szCs w:val="21"/>
                    </w:rPr>
                  </w:pPr>
                  <w:r>
                    <w:rPr>
                      <w:rFonts w:hint="eastAsia"/>
                      <w:szCs w:val="21"/>
                    </w:rPr>
                    <w:t>1</w:t>
                  </w:r>
                  <w:r>
                    <w:rPr>
                      <w:szCs w:val="21"/>
                    </w:rPr>
                    <w:t>0</w:t>
                  </w:r>
                </w:p>
              </w:tc>
            </w:tr>
            <w:tr w14:paraId="41CA72F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59A42E0E">
                  <w:pPr>
                    <w:jc w:val="center"/>
                    <w:rPr>
                      <w:szCs w:val="21"/>
                    </w:rPr>
                  </w:pPr>
                  <w:r>
                    <w:rPr>
                      <w:rFonts w:hint="eastAsia"/>
                      <w:szCs w:val="21"/>
                    </w:rPr>
                    <w:t>7</w:t>
                  </w:r>
                </w:p>
              </w:tc>
              <w:tc>
                <w:tcPr>
                  <w:tcW w:w="1135" w:type="pct"/>
                  <w:shd w:val="clear" w:color="auto" w:fill="auto"/>
                  <w:vAlign w:val="center"/>
                </w:tcPr>
                <w:p w14:paraId="5A692349">
                  <w:pPr>
                    <w:jc w:val="center"/>
                    <w:rPr>
                      <w:szCs w:val="21"/>
                    </w:rPr>
                  </w:pPr>
                  <w:r>
                    <w:rPr>
                      <w:rFonts w:hint="eastAsia"/>
                      <w:b/>
                      <w:bCs/>
                      <w:szCs w:val="21"/>
                    </w:rPr>
                    <w:t>氨氮（</w:t>
                  </w:r>
                  <w:r>
                    <w:rPr>
                      <w:b/>
                      <w:bCs/>
                      <w:szCs w:val="21"/>
                    </w:rPr>
                    <w:t>NH3-N</w:t>
                  </w:r>
                  <w:r>
                    <w:rPr>
                      <w:rFonts w:hint="eastAsia"/>
                      <w:b/>
                      <w:bCs/>
                      <w:szCs w:val="21"/>
                    </w:rPr>
                    <w:t>）</w:t>
                  </w:r>
                </w:p>
              </w:tc>
              <w:tc>
                <w:tcPr>
                  <w:tcW w:w="870" w:type="pct"/>
                  <w:shd w:val="clear" w:color="auto" w:fill="auto"/>
                  <w:vAlign w:val="center"/>
                </w:tcPr>
                <w:p w14:paraId="10EBC15C">
                  <w:pPr>
                    <w:jc w:val="center"/>
                    <w:rPr>
                      <w:szCs w:val="21"/>
                    </w:rPr>
                  </w:pPr>
                  <w:r>
                    <w:rPr>
                      <w:rFonts w:hint="eastAsia"/>
                      <w:szCs w:val="21"/>
                    </w:rPr>
                    <w:t>0</w:t>
                  </w:r>
                  <w:r>
                    <w:rPr>
                      <w:szCs w:val="21"/>
                    </w:rPr>
                    <w:t>.15</w:t>
                  </w:r>
                </w:p>
              </w:tc>
              <w:tc>
                <w:tcPr>
                  <w:tcW w:w="647" w:type="pct"/>
                  <w:shd w:val="clear" w:color="auto" w:fill="auto"/>
                  <w:vAlign w:val="center"/>
                </w:tcPr>
                <w:p w14:paraId="4CEF1A1C">
                  <w:pPr>
                    <w:jc w:val="center"/>
                    <w:rPr>
                      <w:szCs w:val="21"/>
                    </w:rPr>
                  </w:pPr>
                  <w:r>
                    <w:rPr>
                      <w:rFonts w:hint="eastAsia"/>
                      <w:szCs w:val="21"/>
                    </w:rPr>
                    <w:t>0</w:t>
                  </w:r>
                  <w:r>
                    <w:rPr>
                      <w:szCs w:val="21"/>
                    </w:rPr>
                    <w:t>.5</w:t>
                  </w:r>
                </w:p>
              </w:tc>
              <w:tc>
                <w:tcPr>
                  <w:tcW w:w="663" w:type="pct"/>
                  <w:shd w:val="clear" w:color="auto" w:fill="auto"/>
                  <w:vAlign w:val="center"/>
                </w:tcPr>
                <w:p w14:paraId="62DEECCE">
                  <w:pPr>
                    <w:jc w:val="center"/>
                    <w:rPr>
                      <w:szCs w:val="21"/>
                    </w:rPr>
                  </w:pPr>
                  <w:r>
                    <w:rPr>
                      <w:rFonts w:hint="eastAsia"/>
                      <w:szCs w:val="21"/>
                    </w:rPr>
                    <w:t>1</w:t>
                  </w:r>
                  <w:r>
                    <w:rPr>
                      <w:szCs w:val="21"/>
                    </w:rPr>
                    <w:t>.0</w:t>
                  </w:r>
                </w:p>
              </w:tc>
              <w:tc>
                <w:tcPr>
                  <w:tcW w:w="664" w:type="pct"/>
                  <w:shd w:val="clear" w:color="auto" w:fill="auto"/>
                  <w:vAlign w:val="center"/>
                </w:tcPr>
                <w:p w14:paraId="449E276D">
                  <w:pPr>
                    <w:jc w:val="center"/>
                    <w:rPr>
                      <w:szCs w:val="21"/>
                    </w:rPr>
                  </w:pPr>
                  <w:r>
                    <w:rPr>
                      <w:rFonts w:hint="eastAsia"/>
                      <w:szCs w:val="21"/>
                    </w:rPr>
                    <w:t>1</w:t>
                  </w:r>
                  <w:r>
                    <w:rPr>
                      <w:szCs w:val="21"/>
                    </w:rPr>
                    <w:t>.5</w:t>
                  </w:r>
                </w:p>
              </w:tc>
              <w:tc>
                <w:tcPr>
                  <w:tcW w:w="642" w:type="pct"/>
                  <w:vAlign w:val="center"/>
                </w:tcPr>
                <w:p w14:paraId="43ACBBBD">
                  <w:pPr>
                    <w:jc w:val="center"/>
                    <w:rPr>
                      <w:szCs w:val="21"/>
                    </w:rPr>
                  </w:pPr>
                  <w:r>
                    <w:rPr>
                      <w:rFonts w:hint="eastAsia"/>
                      <w:szCs w:val="21"/>
                    </w:rPr>
                    <w:t>2</w:t>
                  </w:r>
                  <w:r>
                    <w:rPr>
                      <w:szCs w:val="21"/>
                    </w:rPr>
                    <w:t>.0</w:t>
                  </w:r>
                </w:p>
              </w:tc>
            </w:tr>
            <w:tr w14:paraId="69CCCBD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6CB249A6">
                  <w:pPr>
                    <w:jc w:val="center"/>
                    <w:rPr>
                      <w:szCs w:val="21"/>
                    </w:rPr>
                  </w:pPr>
                  <w:r>
                    <w:rPr>
                      <w:rFonts w:hint="eastAsia"/>
                      <w:szCs w:val="21"/>
                    </w:rPr>
                    <w:t>8</w:t>
                  </w:r>
                </w:p>
              </w:tc>
              <w:tc>
                <w:tcPr>
                  <w:tcW w:w="1135" w:type="pct"/>
                  <w:shd w:val="clear" w:color="auto" w:fill="auto"/>
                  <w:vAlign w:val="center"/>
                </w:tcPr>
                <w:p w14:paraId="0B6AB3D7">
                  <w:pPr>
                    <w:jc w:val="center"/>
                    <w:rPr>
                      <w:szCs w:val="21"/>
                    </w:rPr>
                  </w:pPr>
                  <w:r>
                    <w:rPr>
                      <w:rFonts w:hint="eastAsia"/>
                      <w:b/>
                      <w:bCs/>
                      <w:szCs w:val="21"/>
                    </w:rPr>
                    <w:t>总磷（以</w:t>
                  </w:r>
                  <w:r>
                    <w:rPr>
                      <w:b/>
                      <w:bCs/>
                      <w:szCs w:val="21"/>
                    </w:rPr>
                    <w:t>P</w:t>
                  </w:r>
                  <w:r>
                    <w:rPr>
                      <w:rFonts w:hint="eastAsia"/>
                      <w:b/>
                      <w:bCs/>
                      <w:szCs w:val="21"/>
                    </w:rPr>
                    <w:t>计）</w:t>
                  </w:r>
                </w:p>
              </w:tc>
              <w:tc>
                <w:tcPr>
                  <w:tcW w:w="870" w:type="pct"/>
                  <w:shd w:val="clear" w:color="auto" w:fill="auto"/>
                  <w:vAlign w:val="center"/>
                </w:tcPr>
                <w:p w14:paraId="4BF71588">
                  <w:pPr>
                    <w:widowControl/>
                    <w:jc w:val="center"/>
                    <w:rPr>
                      <w:rFonts w:hint="eastAsia" w:ascii="宋体" w:hAnsi="宋体" w:cs="宋体"/>
                      <w:kern w:val="0"/>
                      <w:szCs w:val="21"/>
                    </w:rPr>
                  </w:pPr>
                  <w:r>
                    <w:rPr>
                      <w:kern w:val="0"/>
                      <w:szCs w:val="21"/>
                    </w:rPr>
                    <w:t>0.02</w:t>
                  </w:r>
                  <w:r>
                    <w:rPr>
                      <w:rFonts w:ascii="宋体" w:hAnsi="宋体"/>
                      <w:kern w:val="0"/>
                      <w:szCs w:val="21"/>
                    </w:rPr>
                    <w:t>(</w:t>
                  </w:r>
                  <w:r>
                    <w:rPr>
                      <w:rFonts w:hint="eastAsia" w:ascii="宋体" w:hAnsi="宋体" w:cs="宋体"/>
                      <w:kern w:val="0"/>
                      <w:szCs w:val="21"/>
                    </w:rPr>
                    <w:t>湖、库</w:t>
                  </w:r>
                  <w:r>
                    <w:rPr>
                      <w:kern w:val="0"/>
                      <w:szCs w:val="21"/>
                    </w:rPr>
                    <w:t>0.01</w:t>
                  </w:r>
                  <w:r>
                    <w:rPr>
                      <w:rFonts w:hint="eastAsia" w:ascii="宋体" w:hAnsi="宋体" w:cs="宋体"/>
                      <w:kern w:val="0"/>
                      <w:szCs w:val="21"/>
                    </w:rPr>
                    <w:t>）</w:t>
                  </w:r>
                </w:p>
              </w:tc>
              <w:tc>
                <w:tcPr>
                  <w:tcW w:w="647" w:type="pct"/>
                  <w:shd w:val="clear" w:color="auto" w:fill="auto"/>
                  <w:vAlign w:val="center"/>
                </w:tcPr>
                <w:p w14:paraId="6E8DD74C">
                  <w:pPr>
                    <w:jc w:val="center"/>
                    <w:rPr>
                      <w:szCs w:val="21"/>
                    </w:rPr>
                  </w:pPr>
                  <w:r>
                    <w:rPr>
                      <w:rFonts w:hint="eastAsia"/>
                      <w:szCs w:val="21"/>
                    </w:rPr>
                    <w:t>0</w:t>
                  </w:r>
                  <w:r>
                    <w:rPr>
                      <w:szCs w:val="21"/>
                    </w:rPr>
                    <w:t>.1</w:t>
                  </w:r>
                  <w:r>
                    <w:rPr>
                      <w:rFonts w:hint="eastAsia"/>
                      <w:szCs w:val="21"/>
                    </w:rPr>
                    <w:t>（湖、库0</w:t>
                  </w:r>
                  <w:r>
                    <w:rPr>
                      <w:szCs w:val="21"/>
                    </w:rPr>
                    <w:t>.025</w:t>
                  </w:r>
                  <w:r>
                    <w:rPr>
                      <w:rFonts w:hint="eastAsia"/>
                      <w:szCs w:val="21"/>
                    </w:rPr>
                    <w:t>）</w:t>
                  </w:r>
                </w:p>
              </w:tc>
              <w:tc>
                <w:tcPr>
                  <w:tcW w:w="663" w:type="pct"/>
                  <w:shd w:val="clear" w:color="auto" w:fill="auto"/>
                  <w:vAlign w:val="center"/>
                </w:tcPr>
                <w:p w14:paraId="2B9D6CAE">
                  <w:pPr>
                    <w:jc w:val="center"/>
                    <w:rPr>
                      <w:szCs w:val="21"/>
                    </w:rPr>
                  </w:pPr>
                  <w:r>
                    <w:rPr>
                      <w:rFonts w:hint="eastAsia"/>
                      <w:szCs w:val="21"/>
                    </w:rPr>
                    <w:t>0</w:t>
                  </w:r>
                  <w:r>
                    <w:rPr>
                      <w:szCs w:val="21"/>
                    </w:rPr>
                    <w:t>.2</w:t>
                  </w:r>
                  <w:r>
                    <w:rPr>
                      <w:rFonts w:hint="eastAsia"/>
                      <w:szCs w:val="21"/>
                    </w:rPr>
                    <w:t>（湖、库0</w:t>
                  </w:r>
                  <w:r>
                    <w:rPr>
                      <w:szCs w:val="21"/>
                    </w:rPr>
                    <w:t>.05</w:t>
                  </w:r>
                  <w:r>
                    <w:rPr>
                      <w:rFonts w:hint="eastAsia"/>
                      <w:szCs w:val="21"/>
                    </w:rPr>
                    <w:t>）</w:t>
                  </w:r>
                </w:p>
              </w:tc>
              <w:tc>
                <w:tcPr>
                  <w:tcW w:w="664" w:type="pct"/>
                  <w:shd w:val="clear" w:color="auto" w:fill="auto"/>
                  <w:vAlign w:val="center"/>
                </w:tcPr>
                <w:p w14:paraId="60F76FB4">
                  <w:pPr>
                    <w:jc w:val="center"/>
                    <w:rPr>
                      <w:szCs w:val="21"/>
                    </w:rPr>
                  </w:pPr>
                  <w:r>
                    <w:rPr>
                      <w:rFonts w:hint="eastAsia"/>
                      <w:szCs w:val="21"/>
                    </w:rPr>
                    <w:t>0</w:t>
                  </w:r>
                  <w:r>
                    <w:rPr>
                      <w:szCs w:val="21"/>
                    </w:rPr>
                    <w:t>.3</w:t>
                  </w:r>
                  <w:r>
                    <w:rPr>
                      <w:rFonts w:hint="eastAsia"/>
                      <w:szCs w:val="21"/>
                    </w:rPr>
                    <w:t>（湖、库0</w:t>
                  </w:r>
                  <w:r>
                    <w:rPr>
                      <w:szCs w:val="21"/>
                    </w:rPr>
                    <w:t>.1</w:t>
                  </w:r>
                  <w:r>
                    <w:rPr>
                      <w:rFonts w:hint="eastAsia"/>
                      <w:szCs w:val="21"/>
                    </w:rPr>
                    <w:t>）</w:t>
                  </w:r>
                </w:p>
              </w:tc>
              <w:tc>
                <w:tcPr>
                  <w:tcW w:w="642" w:type="pct"/>
                  <w:vAlign w:val="center"/>
                </w:tcPr>
                <w:p w14:paraId="14F53B02">
                  <w:pPr>
                    <w:jc w:val="center"/>
                    <w:rPr>
                      <w:szCs w:val="21"/>
                    </w:rPr>
                  </w:pPr>
                  <w:r>
                    <w:rPr>
                      <w:rFonts w:hint="eastAsia"/>
                      <w:szCs w:val="21"/>
                    </w:rPr>
                    <w:t>0</w:t>
                  </w:r>
                  <w:r>
                    <w:rPr>
                      <w:szCs w:val="21"/>
                    </w:rPr>
                    <w:t>.4</w:t>
                  </w:r>
                  <w:r>
                    <w:rPr>
                      <w:rFonts w:hint="eastAsia"/>
                      <w:szCs w:val="21"/>
                    </w:rPr>
                    <w:t>（湖、库0</w:t>
                  </w:r>
                  <w:r>
                    <w:rPr>
                      <w:szCs w:val="21"/>
                    </w:rPr>
                    <w:t>.2</w:t>
                  </w:r>
                  <w:r>
                    <w:rPr>
                      <w:rFonts w:hint="eastAsia"/>
                      <w:szCs w:val="21"/>
                    </w:rPr>
                    <w:t>）</w:t>
                  </w:r>
                </w:p>
              </w:tc>
            </w:tr>
            <w:tr w14:paraId="4CF13EF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7B5DB82F">
                  <w:pPr>
                    <w:jc w:val="center"/>
                    <w:rPr>
                      <w:szCs w:val="21"/>
                    </w:rPr>
                  </w:pPr>
                  <w:r>
                    <w:rPr>
                      <w:rFonts w:hint="eastAsia"/>
                      <w:szCs w:val="21"/>
                    </w:rPr>
                    <w:t>9</w:t>
                  </w:r>
                </w:p>
              </w:tc>
              <w:tc>
                <w:tcPr>
                  <w:tcW w:w="1135" w:type="pct"/>
                  <w:shd w:val="clear" w:color="auto" w:fill="auto"/>
                  <w:vAlign w:val="center"/>
                </w:tcPr>
                <w:p w14:paraId="346376C9">
                  <w:pPr>
                    <w:widowControl/>
                    <w:jc w:val="center"/>
                    <w:rPr>
                      <w:rFonts w:hint="eastAsia" w:ascii="宋体" w:hAnsi="宋体" w:cs="宋体"/>
                      <w:kern w:val="0"/>
                      <w:szCs w:val="21"/>
                    </w:rPr>
                  </w:pPr>
                  <w:r>
                    <w:rPr>
                      <w:rFonts w:hint="eastAsia" w:ascii="宋体" w:hAnsi="宋体" w:cs="宋体"/>
                      <w:b/>
                      <w:bCs/>
                      <w:kern w:val="0"/>
                      <w:szCs w:val="21"/>
                    </w:rPr>
                    <w:t>总氮（湖、库，以</w:t>
                  </w:r>
                  <w:r>
                    <w:rPr>
                      <w:b/>
                      <w:bCs/>
                      <w:kern w:val="0"/>
                      <w:szCs w:val="21"/>
                    </w:rPr>
                    <w:t>N</w:t>
                  </w:r>
                  <w:r>
                    <w:rPr>
                      <w:rFonts w:hint="eastAsia" w:ascii="宋体" w:hAnsi="宋体" w:cs="宋体"/>
                      <w:b/>
                      <w:bCs/>
                      <w:kern w:val="0"/>
                      <w:szCs w:val="21"/>
                    </w:rPr>
                    <w:t>计）</w:t>
                  </w:r>
                </w:p>
              </w:tc>
              <w:tc>
                <w:tcPr>
                  <w:tcW w:w="870" w:type="pct"/>
                  <w:shd w:val="clear" w:color="auto" w:fill="auto"/>
                  <w:vAlign w:val="center"/>
                </w:tcPr>
                <w:p w14:paraId="70693EF3">
                  <w:pPr>
                    <w:jc w:val="center"/>
                    <w:rPr>
                      <w:szCs w:val="21"/>
                    </w:rPr>
                  </w:pPr>
                  <w:r>
                    <w:rPr>
                      <w:rFonts w:hint="eastAsia"/>
                      <w:szCs w:val="21"/>
                    </w:rPr>
                    <w:t>0</w:t>
                  </w:r>
                  <w:r>
                    <w:rPr>
                      <w:szCs w:val="21"/>
                    </w:rPr>
                    <w:t>.2</w:t>
                  </w:r>
                </w:p>
              </w:tc>
              <w:tc>
                <w:tcPr>
                  <w:tcW w:w="647" w:type="pct"/>
                  <w:shd w:val="clear" w:color="auto" w:fill="auto"/>
                  <w:vAlign w:val="center"/>
                </w:tcPr>
                <w:p w14:paraId="1F15B1BA">
                  <w:pPr>
                    <w:jc w:val="center"/>
                    <w:rPr>
                      <w:szCs w:val="21"/>
                    </w:rPr>
                  </w:pPr>
                  <w:r>
                    <w:rPr>
                      <w:rFonts w:hint="eastAsia"/>
                      <w:szCs w:val="21"/>
                    </w:rPr>
                    <w:t>0</w:t>
                  </w:r>
                  <w:r>
                    <w:rPr>
                      <w:szCs w:val="21"/>
                    </w:rPr>
                    <w:t>.5</w:t>
                  </w:r>
                </w:p>
              </w:tc>
              <w:tc>
                <w:tcPr>
                  <w:tcW w:w="663" w:type="pct"/>
                  <w:shd w:val="clear" w:color="auto" w:fill="auto"/>
                  <w:vAlign w:val="center"/>
                </w:tcPr>
                <w:p w14:paraId="677A894D">
                  <w:pPr>
                    <w:jc w:val="center"/>
                    <w:rPr>
                      <w:szCs w:val="21"/>
                    </w:rPr>
                  </w:pPr>
                  <w:r>
                    <w:rPr>
                      <w:rFonts w:hint="eastAsia"/>
                      <w:szCs w:val="21"/>
                    </w:rPr>
                    <w:t>1</w:t>
                  </w:r>
                  <w:r>
                    <w:rPr>
                      <w:szCs w:val="21"/>
                    </w:rPr>
                    <w:t>.0</w:t>
                  </w:r>
                </w:p>
              </w:tc>
              <w:tc>
                <w:tcPr>
                  <w:tcW w:w="664" w:type="pct"/>
                  <w:shd w:val="clear" w:color="auto" w:fill="auto"/>
                  <w:vAlign w:val="center"/>
                </w:tcPr>
                <w:p w14:paraId="42D42CAD">
                  <w:pPr>
                    <w:jc w:val="center"/>
                    <w:rPr>
                      <w:szCs w:val="21"/>
                    </w:rPr>
                  </w:pPr>
                  <w:r>
                    <w:rPr>
                      <w:rFonts w:hint="eastAsia"/>
                      <w:szCs w:val="21"/>
                    </w:rPr>
                    <w:t>1</w:t>
                  </w:r>
                  <w:r>
                    <w:rPr>
                      <w:szCs w:val="21"/>
                    </w:rPr>
                    <w:t>.5</w:t>
                  </w:r>
                </w:p>
              </w:tc>
              <w:tc>
                <w:tcPr>
                  <w:tcW w:w="642" w:type="pct"/>
                  <w:vAlign w:val="center"/>
                </w:tcPr>
                <w:p w14:paraId="14604AD8">
                  <w:pPr>
                    <w:jc w:val="center"/>
                    <w:rPr>
                      <w:szCs w:val="21"/>
                    </w:rPr>
                  </w:pPr>
                  <w:r>
                    <w:rPr>
                      <w:rFonts w:hint="eastAsia"/>
                      <w:szCs w:val="21"/>
                    </w:rPr>
                    <w:t>2</w:t>
                  </w:r>
                  <w:r>
                    <w:rPr>
                      <w:szCs w:val="21"/>
                    </w:rPr>
                    <w:t>.0</w:t>
                  </w:r>
                </w:p>
              </w:tc>
            </w:tr>
            <w:tr w14:paraId="51E3D5A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789B26E1">
                  <w:pPr>
                    <w:jc w:val="center"/>
                    <w:rPr>
                      <w:szCs w:val="21"/>
                    </w:rPr>
                  </w:pPr>
                  <w:r>
                    <w:rPr>
                      <w:rFonts w:hint="eastAsia"/>
                      <w:szCs w:val="21"/>
                    </w:rPr>
                    <w:t>1</w:t>
                  </w:r>
                  <w:r>
                    <w:rPr>
                      <w:szCs w:val="21"/>
                    </w:rPr>
                    <w:t>0</w:t>
                  </w:r>
                </w:p>
              </w:tc>
              <w:tc>
                <w:tcPr>
                  <w:tcW w:w="1135" w:type="pct"/>
                  <w:shd w:val="clear" w:color="auto" w:fill="auto"/>
                  <w:vAlign w:val="center"/>
                </w:tcPr>
                <w:p w14:paraId="60A9C487">
                  <w:pPr>
                    <w:jc w:val="center"/>
                    <w:rPr>
                      <w:szCs w:val="21"/>
                    </w:rPr>
                  </w:pPr>
                  <w:r>
                    <w:rPr>
                      <w:rFonts w:hint="eastAsia"/>
                      <w:b/>
                      <w:bCs/>
                      <w:szCs w:val="21"/>
                    </w:rPr>
                    <w:t>挥发酚</w:t>
                  </w:r>
                </w:p>
              </w:tc>
              <w:tc>
                <w:tcPr>
                  <w:tcW w:w="870" w:type="pct"/>
                  <w:shd w:val="clear" w:color="auto" w:fill="auto"/>
                  <w:vAlign w:val="center"/>
                </w:tcPr>
                <w:p w14:paraId="3E690054">
                  <w:pPr>
                    <w:jc w:val="center"/>
                    <w:rPr>
                      <w:szCs w:val="21"/>
                    </w:rPr>
                  </w:pPr>
                  <w:r>
                    <w:rPr>
                      <w:rFonts w:hint="eastAsia"/>
                      <w:szCs w:val="21"/>
                    </w:rPr>
                    <w:t>0</w:t>
                  </w:r>
                  <w:r>
                    <w:rPr>
                      <w:szCs w:val="21"/>
                    </w:rPr>
                    <w:t>.002</w:t>
                  </w:r>
                </w:p>
              </w:tc>
              <w:tc>
                <w:tcPr>
                  <w:tcW w:w="647" w:type="pct"/>
                  <w:shd w:val="clear" w:color="auto" w:fill="auto"/>
                  <w:vAlign w:val="center"/>
                </w:tcPr>
                <w:p w14:paraId="6B80EAF8">
                  <w:pPr>
                    <w:jc w:val="center"/>
                    <w:rPr>
                      <w:szCs w:val="21"/>
                    </w:rPr>
                  </w:pPr>
                  <w:r>
                    <w:rPr>
                      <w:rFonts w:hint="eastAsia"/>
                      <w:szCs w:val="21"/>
                    </w:rPr>
                    <w:t>0</w:t>
                  </w:r>
                  <w:r>
                    <w:rPr>
                      <w:szCs w:val="21"/>
                    </w:rPr>
                    <w:t>.002</w:t>
                  </w:r>
                </w:p>
              </w:tc>
              <w:tc>
                <w:tcPr>
                  <w:tcW w:w="663" w:type="pct"/>
                  <w:shd w:val="clear" w:color="auto" w:fill="auto"/>
                  <w:vAlign w:val="center"/>
                </w:tcPr>
                <w:p w14:paraId="33820129">
                  <w:pPr>
                    <w:jc w:val="center"/>
                    <w:rPr>
                      <w:szCs w:val="21"/>
                    </w:rPr>
                  </w:pPr>
                  <w:r>
                    <w:rPr>
                      <w:rFonts w:hint="eastAsia"/>
                      <w:szCs w:val="21"/>
                    </w:rPr>
                    <w:t>0</w:t>
                  </w:r>
                  <w:r>
                    <w:rPr>
                      <w:szCs w:val="21"/>
                    </w:rPr>
                    <w:t>.005</w:t>
                  </w:r>
                </w:p>
              </w:tc>
              <w:tc>
                <w:tcPr>
                  <w:tcW w:w="664" w:type="pct"/>
                  <w:shd w:val="clear" w:color="auto" w:fill="auto"/>
                  <w:vAlign w:val="center"/>
                </w:tcPr>
                <w:p w14:paraId="2249556C">
                  <w:pPr>
                    <w:jc w:val="center"/>
                    <w:rPr>
                      <w:szCs w:val="21"/>
                    </w:rPr>
                  </w:pPr>
                  <w:r>
                    <w:rPr>
                      <w:rFonts w:hint="eastAsia"/>
                      <w:szCs w:val="21"/>
                    </w:rPr>
                    <w:t>0</w:t>
                  </w:r>
                  <w:r>
                    <w:rPr>
                      <w:szCs w:val="21"/>
                    </w:rPr>
                    <w:t>.01</w:t>
                  </w:r>
                </w:p>
              </w:tc>
              <w:tc>
                <w:tcPr>
                  <w:tcW w:w="642" w:type="pct"/>
                  <w:vAlign w:val="center"/>
                </w:tcPr>
                <w:p w14:paraId="48F37605">
                  <w:pPr>
                    <w:jc w:val="center"/>
                    <w:rPr>
                      <w:szCs w:val="21"/>
                    </w:rPr>
                  </w:pPr>
                  <w:r>
                    <w:rPr>
                      <w:rFonts w:hint="eastAsia"/>
                      <w:szCs w:val="21"/>
                    </w:rPr>
                    <w:t>0</w:t>
                  </w:r>
                  <w:r>
                    <w:rPr>
                      <w:szCs w:val="21"/>
                    </w:rPr>
                    <w:t>.1</w:t>
                  </w:r>
                </w:p>
              </w:tc>
            </w:tr>
            <w:tr w14:paraId="52FF224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6AB79E72">
                  <w:pPr>
                    <w:jc w:val="center"/>
                    <w:rPr>
                      <w:szCs w:val="21"/>
                    </w:rPr>
                  </w:pPr>
                  <w:r>
                    <w:rPr>
                      <w:rFonts w:hint="eastAsia"/>
                      <w:szCs w:val="21"/>
                    </w:rPr>
                    <w:t>1</w:t>
                  </w:r>
                  <w:r>
                    <w:rPr>
                      <w:szCs w:val="21"/>
                    </w:rPr>
                    <w:t>1</w:t>
                  </w:r>
                </w:p>
              </w:tc>
              <w:tc>
                <w:tcPr>
                  <w:tcW w:w="1135" w:type="pct"/>
                  <w:shd w:val="clear" w:color="auto" w:fill="auto"/>
                  <w:vAlign w:val="center"/>
                </w:tcPr>
                <w:p w14:paraId="0780D013">
                  <w:pPr>
                    <w:jc w:val="center"/>
                    <w:rPr>
                      <w:szCs w:val="21"/>
                    </w:rPr>
                  </w:pPr>
                  <w:r>
                    <w:rPr>
                      <w:rFonts w:hint="eastAsia"/>
                      <w:b/>
                      <w:bCs/>
                      <w:szCs w:val="21"/>
                    </w:rPr>
                    <w:t>石油类</w:t>
                  </w:r>
                </w:p>
              </w:tc>
              <w:tc>
                <w:tcPr>
                  <w:tcW w:w="870" w:type="pct"/>
                  <w:shd w:val="clear" w:color="auto" w:fill="auto"/>
                  <w:vAlign w:val="center"/>
                </w:tcPr>
                <w:p w14:paraId="3353CC0E">
                  <w:pPr>
                    <w:jc w:val="center"/>
                    <w:rPr>
                      <w:szCs w:val="21"/>
                    </w:rPr>
                  </w:pPr>
                  <w:r>
                    <w:rPr>
                      <w:rFonts w:hint="eastAsia"/>
                      <w:szCs w:val="21"/>
                    </w:rPr>
                    <w:t>0</w:t>
                  </w:r>
                  <w:r>
                    <w:rPr>
                      <w:szCs w:val="21"/>
                    </w:rPr>
                    <w:t>.05</w:t>
                  </w:r>
                </w:p>
              </w:tc>
              <w:tc>
                <w:tcPr>
                  <w:tcW w:w="647" w:type="pct"/>
                  <w:shd w:val="clear" w:color="auto" w:fill="auto"/>
                  <w:vAlign w:val="center"/>
                </w:tcPr>
                <w:p w14:paraId="0AA22EF7">
                  <w:pPr>
                    <w:jc w:val="center"/>
                    <w:rPr>
                      <w:szCs w:val="21"/>
                    </w:rPr>
                  </w:pPr>
                  <w:r>
                    <w:rPr>
                      <w:rFonts w:hint="eastAsia"/>
                      <w:szCs w:val="21"/>
                    </w:rPr>
                    <w:t>0</w:t>
                  </w:r>
                  <w:r>
                    <w:rPr>
                      <w:szCs w:val="21"/>
                    </w:rPr>
                    <w:t>.05</w:t>
                  </w:r>
                </w:p>
              </w:tc>
              <w:tc>
                <w:tcPr>
                  <w:tcW w:w="663" w:type="pct"/>
                  <w:shd w:val="clear" w:color="auto" w:fill="auto"/>
                  <w:vAlign w:val="center"/>
                </w:tcPr>
                <w:p w14:paraId="372C578B">
                  <w:pPr>
                    <w:jc w:val="center"/>
                    <w:rPr>
                      <w:szCs w:val="21"/>
                    </w:rPr>
                  </w:pPr>
                  <w:r>
                    <w:rPr>
                      <w:rFonts w:hint="eastAsia"/>
                      <w:szCs w:val="21"/>
                    </w:rPr>
                    <w:t>0</w:t>
                  </w:r>
                  <w:r>
                    <w:rPr>
                      <w:szCs w:val="21"/>
                    </w:rPr>
                    <w:t>.05</w:t>
                  </w:r>
                </w:p>
              </w:tc>
              <w:tc>
                <w:tcPr>
                  <w:tcW w:w="664" w:type="pct"/>
                  <w:shd w:val="clear" w:color="auto" w:fill="auto"/>
                  <w:vAlign w:val="center"/>
                </w:tcPr>
                <w:p w14:paraId="334BCE9D">
                  <w:pPr>
                    <w:jc w:val="center"/>
                    <w:rPr>
                      <w:szCs w:val="21"/>
                    </w:rPr>
                  </w:pPr>
                  <w:r>
                    <w:rPr>
                      <w:rFonts w:hint="eastAsia"/>
                      <w:szCs w:val="21"/>
                    </w:rPr>
                    <w:t>0</w:t>
                  </w:r>
                  <w:r>
                    <w:rPr>
                      <w:szCs w:val="21"/>
                    </w:rPr>
                    <w:t>.5</w:t>
                  </w:r>
                </w:p>
              </w:tc>
              <w:tc>
                <w:tcPr>
                  <w:tcW w:w="642" w:type="pct"/>
                  <w:vAlign w:val="center"/>
                </w:tcPr>
                <w:p w14:paraId="220701DA">
                  <w:pPr>
                    <w:jc w:val="center"/>
                    <w:rPr>
                      <w:szCs w:val="21"/>
                    </w:rPr>
                  </w:pPr>
                  <w:r>
                    <w:rPr>
                      <w:rFonts w:hint="eastAsia"/>
                      <w:szCs w:val="21"/>
                    </w:rPr>
                    <w:t>1</w:t>
                  </w:r>
                  <w:r>
                    <w:rPr>
                      <w:szCs w:val="21"/>
                    </w:rPr>
                    <w:t>.0</w:t>
                  </w:r>
                </w:p>
              </w:tc>
            </w:tr>
            <w:tr w14:paraId="5C2C18B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shd w:val="clear" w:color="auto" w:fill="auto"/>
                  <w:vAlign w:val="center"/>
                </w:tcPr>
                <w:p w14:paraId="29DFA301">
                  <w:pPr>
                    <w:jc w:val="center"/>
                    <w:rPr>
                      <w:szCs w:val="21"/>
                    </w:rPr>
                  </w:pPr>
                  <w:r>
                    <w:rPr>
                      <w:rFonts w:hint="eastAsia"/>
                      <w:szCs w:val="21"/>
                    </w:rPr>
                    <w:t>1</w:t>
                  </w:r>
                  <w:r>
                    <w:rPr>
                      <w:szCs w:val="21"/>
                    </w:rPr>
                    <w:t>2</w:t>
                  </w:r>
                </w:p>
              </w:tc>
              <w:tc>
                <w:tcPr>
                  <w:tcW w:w="1135" w:type="pct"/>
                  <w:shd w:val="clear" w:color="auto" w:fill="auto"/>
                  <w:vAlign w:val="center"/>
                </w:tcPr>
                <w:p w14:paraId="08F8952C">
                  <w:pPr>
                    <w:jc w:val="center"/>
                    <w:rPr>
                      <w:szCs w:val="21"/>
                    </w:rPr>
                  </w:pPr>
                  <w:r>
                    <w:rPr>
                      <w:rFonts w:hint="eastAsia"/>
                      <w:b/>
                      <w:bCs/>
                      <w:szCs w:val="21"/>
                    </w:rPr>
                    <w:t>阴离子表面活性剂</w:t>
                  </w:r>
                </w:p>
              </w:tc>
              <w:tc>
                <w:tcPr>
                  <w:tcW w:w="870" w:type="pct"/>
                  <w:shd w:val="clear" w:color="auto" w:fill="auto"/>
                  <w:vAlign w:val="center"/>
                </w:tcPr>
                <w:p w14:paraId="74432B73">
                  <w:pPr>
                    <w:jc w:val="center"/>
                    <w:rPr>
                      <w:szCs w:val="21"/>
                    </w:rPr>
                  </w:pPr>
                  <w:r>
                    <w:rPr>
                      <w:rFonts w:hint="eastAsia"/>
                      <w:szCs w:val="21"/>
                    </w:rPr>
                    <w:t>0</w:t>
                  </w:r>
                  <w:r>
                    <w:rPr>
                      <w:szCs w:val="21"/>
                    </w:rPr>
                    <w:t>.2</w:t>
                  </w:r>
                </w:p>
              </w:tc>
              <w:tc>
                <w:tcPr>
                  <w:tcW w:w="647" w:type="pct"/>
                  <w:shd w:val="clear" w:color="auto" w:fill="auto"/>
                  <w:vAlign w:val="center"/>
                </w:tcPr>
                <w:p w14:paraId="5AE2C7E3">
                  <w:pPr>
                    <w:jc w:val="center"/>
                    <w:rPr>
                      <w:szCs w:val="21"/>
                    </w:rPr>
                  </w:pPr>
                  <w:r>
                    <w:rPr>
                      <w:rFonts w:hint="eastAsia"/>
                      <w:szCs w:val="21"/>
                    </w:rPr>
                    <w:t>0</w:t>
                  </w:r>
                  <w:r>
                    <w:rPr>
                      <w:szCs w:val="21"/>
                    </w:rPr>
                    <w:t>.2</w:t>
                  </w:r>
                </w:p>
              </w:tc>
              <w:tc>
                <w:tcPr>
                  <w:tcW w:w="663" w:type="pct"/>
                  <w:shd w:val="clear" w:color="auto" w:fill="auto"/>
                  <w:vAlign w:val="center"/>
                </w:tcPr>
                <w:p w14:paraId="3DB4A458">
                  <w:pPr>
                    <w:jc w:val="center"/>
                    <w:rPr>
                      <w:szCs w:val="21"/>
                    </w:rPr>
                  </w:pPr>
                  <w:r>
                    <w:rPr>
                      <w:rFonts w:hint="eastAsia"/>
                      <w:szCs w:val="21"/>
                    </w:rPr>
                    <w:t>0</w:t>
                  </w:r>
                  <w:r>
                    <w:rPr>
                      <w:szCs w:val="21"/>
                    </w:rPr>
                    <w:t>.2</w:t>
                  </w:r>
                </w:p>
              </w:tc>
              <w:tc>
                <w:tcPr>
                  <w:tcW w:w="664" w:type="pct"/>
                  <w:shd w:val="clear" w:color="auto" w:fill="auto"/>
                  <w:vAlign w:val="center"/>
                </w:tcPr>
                <w:p w14:paraId="33DC190A">
                  <w:pPr>
                    <w:jc w:val="center"/>
                    <w:rPr>
                      <w:szCs w:val="21"/>
                    </w:rPr>
                  </w:pPr>
                  <w:r>
                    <w:rPr>
                      <w:rFonts w:hint="eastAsia"/>
                      <w:szCs w:val="21"/>
                    </w:rPr>
                    <w:t>0</w:t>
                  </w:r>
                  <w:r>
                    <w:rPr>
                      <w:szCs w:val="21"/>
                    </w:rPr>
                    <w:t>.3</w:t>
                  </w:r>
                </w:p>
              </w:tc>
              <w:tc>
                <w:tcPr>
                  <w:tcW w:w="642" w:type="pct"/>
                  <w:vAlign w:val="center"/>
                </w:tcPr>
                <w:p w14:paraId="4EA01722">
                  <w:pPr>
                    <w:jc w:val="center"/>
                    <w:rPr>
                      <w:szCs w:val="21"/>
                    </w:rPr>
                  </w:pPr>
                  <w:r>
                    <w:rPr>
                      <w:rFonts w:hint="eastAsia"/>
                      <w:szCs w:val="21"/>
                    </w:rPr>
                    <w:t>0</w:t>
                  </w:r>
                  <w:r>
                    <w:rPr>
                      <w:szCs w:val="21"/>
                    </w:rPr>
                    <w:t>.3</w:t>
                  </w:r>
                </w:p>
              </w:tc>
            </w:tr>
            <w:tr w14:paraId="5F6E28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bottom w:val="single" w:color="auto" w:sz="18" w:space="0"/>
                  </w:tcBorders>
                  <w:shd w:val="clear" w:color="auto" w:fill="auto"/>
                  <w:vAlign w:val="center"/>
                </w:tcPr>
                <w:p w14:paraId="3270EE73">
                  <w:pPr>
                    <w:jc w:val="center"/>
                    <w:rPr>
                      <w:szCs w:val="21"/>
                    </w:rPr>
                  </w:pPr>
                  <w:r>
                    <w:rPr>
                      <w:rFonts w:hint="eastAsia"/>
                      <w:szCs w:val="21"/>
                    </w:rPr>
                    <w:t>1</w:t>
                  </w:r>
                  <w:r>
                    <w:rPr>
                      <w:szCs w:val="21"/>
                    </w:rPr>
                    <w:t>3</w:t>
                  </w:r>
                </w:p>
              </w:tc>
              <w:tc>
                <w:tcPr>
                  <w:tcW w:w="1135" w:type="pct"/>
                  <w:tcBorders>
                    <w:bottom w:val="single" w:color="auto" w:sz="18" w:space="0"/>
                  </w:tcBorders>
                  <w:shd w:val="clear" w:color="auto" w:fill="auto"/>
                  <w:vAlign w:val="center"/>
                </w:tcPr>
                <w:p w14:paraId="43281F09">
                  <w:pPr>
                    <w:jc w:val="center"/>
                    <w:rPr>
                      <w:szCs w:val="21"/>
                    </w:rPr>
                  </w:pPr>
                  <w:r>
                    <w:rPr>
                      <w:rFonts w:hint="eastAsia"/>
                      <w:b/>
                      <w:bCs/>
                      <w:szCs w:val="21"/>
                    </w:rPr>
                    <w:t>粪大肠菌群（个</w:t>
                  </w:r>
                  <w:r>
                    <w:rPr>
                      <w:b/>
                      <w:bCs/>
                      <w:szCs w:val="21"/>
                    </w:rPr>
                    <w:t>/L</w:t>
                  </w:r>
                  <w:r>
                    <w:rPr>
                      <w:rFonts w:hint="eastAsia"/>
                      <w:b/>
                      <w:bCs/>
                      <w:szCs w:val="21"/>
                    </w:rPr>
                    <w:t>）</w:t>
                  </w:r>
                </w:p>
              </w:tc>
              <w:tc>
                <w:tcPr>
                  <w:tcW w:w="870" w:type="pct"/>
                  <w:tcBorders>
                    <w:bottom w:val="single" w:color="auto" w:sz="18" w:space="0"/>
                  </w:tcBorders>
                  <w:shd w:val="clear" w:color="auto" w:fill="auto"/>
                  <w:vAlign w:val="center"/>
                </w:tcPr>
                <w:p w14:paraId="09B290EE">
                  <w:pPr>
                    <w:jc w:val="center"/>
                    <w:rPr>
                      <w:szCs w:val="21"/>
                    </w:rPr>
                  </w:pPr>
                  <w:r>
                    <w:rPr>
                      <w:rFonts w:hint="eastAsia"/>
                      <w:szCs w:val="21"/>
                    </w:rPr>
                    <w:t>2</w:t>
                  </w:r>
                  <w:r>
                    <w:rPr>
                      <w:szCs w:val="21"/>
                    </w:rPr>
                    <w:t>00</w:t>
                  </w:r>
                </w:p>
              </w:tc>
              <w:tc>
                <w:tcPr>
                  <w:tcW w:w="647" w:type="pct"/>
                  <w:tcBorders>
                    <w:bottom w:val="single" w:color="auto" w:sz="18" w:space="0"/>
                  </w:tcBorders>
                  <w:shd w:val="clear" w:color="auto" w:fill="auto"/>
                  <w:vAlign w:val="center"/>
                </w:tcPr>
                <w:p w14:paraId="36DD97C5">
                  <w:pPr>
                    <w:jc w:val="center"/>
                    <w:rPr>
                      <w:szCs w:val="21"/>
                    </w:rPr>
                  </w:pPr>
                  <w:r>
                    <w:rPr>
                      <w:rFonts w:hint="eastAsia"/>
                      <w:szCs w:val="21"/>
                    </w:rPr>
                    <w:t>2</w:t>
                  </w:r>
                  <w:r>
                    <w:rPr>
                      <w:szCs w:val="21"/>
                    </w:rPr>
                    <w:t>000</w:t>
                  </w:r>
                </w:p>
              </w:tc>
              <w:tc>
                <w:tcPr>
                  <w:tcW w:w="663" w:type="pct"/>
                  <w:tcBorders>
                    <w:bottom w:val="single" w:color="auto" w:sz="18" w:space="0"/>
                  </w:tcBorders>
                  <w:shd w:val="clear" w:color="auto" w:fill="auto"/>
                  <w:vAlign w:val="center"/>
                </w:tcPr>
                <w:p w14:paraId="3AA7EF76">
                  <w:pPr>
                    <w:jc w:val="center"/>
                    <w:rPr>
                      <w:szCs w:val="21"/>
                    </w:rPr>
                  </w:pPr>
                  <w:r>
                    <w:rPr>
                      <w:rFonts w:hint="eastAsia"/>
                      <w:szCs w:val="21"/>
                    </w:rPr>
                    <w:t>1</w:t>
                  </w:r>
                  <w:r>
                    <w:rPr>
                      <w:szCs w:val="21"/>
                    </w:rPr>
                    <w:t>0000</w:t>
                  </w:r>
                </w:p>
              </w:tc>
              <w:tc>
                <w:tcPr>
                  <w:tcW w:w="664" w:type="pct"/>
                  <w:tcBorders>
                    <w:bottom w:val="single" w:color="auto" w:sz="18" w:space="0"/>
                  </w:tcBorders>
                  <w:shd w:val="clear" w:color="auto" w:fill="auto"/>
                  <w:vAlign w:val="center"/>
                </w:tcPr>
                <w:p w14:paraId="492F5854">
                  <w:pPr>
                    <w:jc w:val="center"/>
                    <w:rPr>
                      <w:szCs w:val="21"/>
                    </w:rPr>
                  </w:pPr>
                  <w:r>
                    <w:rPr>
                      <w:rFonts w:hint="eastAsia"/>
                      <w:szCs w:val="21"/>
                    </w:rPr>
                    <w:t>2</w:t>
                  </w:r>
                  <w:r>
                    <w:rPr>
                      <w:szCs w:val="21"/>
                    </w:rPr>
                    <w:t>0000</w:t>
                  </w:r>
                </w:p>
              </w:tc>
              <w:tc>
                <w:tcPr>
                  <w:tcW w:w="642" w:type="pct"/>
                  <w:tcBorders>
                    <w:bottom w:val="single" w:color="auto" w:sz="18" w:space="0"/>
                  </w:tcBorders>
                  <w:vAlign w:val="center"/>
                </w:tcPr>
                <w:p w14:paraId="4D94854D">
                  <w:pPr>
                    <w:jc w:val="center"/>
                    <w:rPr>
                      <w:szCs w:val="21"/>
                    </w:rPr>
                  </w:pPr>
                  <w:r>
                    <w:rPr>
                      <w:rFonts w:hint="eastAsia"/>
                      <w:szCs w:val="21"/>
                    </w:rPr>
                    <w:t>4</w:t>
                  </w:r>
                  <w:r>
                    <w:rPr>
                      <w:szCs w:val="21"/>
                    </w:rPr>
                    <w:t>0000</w:t>
                  </w:r>
                </w:p>
              </w:tc>
            </w:tr>
          </w:tbl>
          <w:p w14:paraId="7CE7D953">
            <w:pPr>
              <w:spacing w:line="500" w:lineRule="exact"/>
              <w:ind w:firstLine="422" w:firstLineChars="200"/>
              <w:jc w:val="left"/>
              <w:rPr>
                <w:b/>
                <w:bCs/>
                <w:szCs w:val="21"/>
              </w:rPr>
            </w:pPr>
            <w:r>
              <w:rPr>
                <w:b/>
                <w:bCs/>
                <w:szCs w:val="21"/>
                <w:lang w:bidi="ar"/>
              </w:rPr>
              <w:t>2</w:t>
            </w:r>
            <w:r>
              <w:rPr>
                <w:rFonts w:hint="eastAsia"/>
                <w:b/>
                <w:bCs/>
                <w:szCs w:val="21"/>
                <w:lang w:bidi="ar"/>
              </w:rPr>
              <w:t>、</w:t>
            </w:r>
            <w:r>
              <w:rPr>
                <w:b/>
                <w:bCs/>
                <w:szCs w:val="21"/>
                <w:lang w:bidi="ar"/>
              </w:rPr>
              <w:t>环境空气质量标准</w:t>
            </w:r>
          </w:p>
          <w:p w14:paraId="7062F3B0">
            <w:pPr>
              <w:spacing w:line="500" w:lineRule="exact"/>
              <w:ind w:firstLine="420" w:firstLineChars="200"/>
              <w:jc w:val="left"/>
              <w:rPr>
                <w:szCs w:val="21"/>
              </w:rPr>
            </w:pPr>
            <w:r>
              <w:rPr>
                <w:szCs w:val="21"/>
                <w:lang w:bidi="ar"/>
              </w:rPr>
              <w:t>根据《惠州市环境空气质量功能区划（2021年修订）》（惠市环[2021]1号），本项目所在区属于环境空气质量二类区，执行国家《环境空气质量标准》（GB3095-2012）及其修改单二级标准。详见下表。</w:t>
            </w:r>
          </w:p>
          <w:p w14:paraId="3FDBE432">
            <w:pPr>
              <w:autoSpaceDE w:val="0"/>
              <w:autoSpaceDN w:val="0"/>
              <w:adjustRightInd w:val="0"/>
              <w:snapToGrid w:val="0"/>
              <w:spacing w:before="120" w:beforeLines="50" w:line="360" w:lineRule="auto"/>
              <w:jc w:val="center"/>
              <w:rPr>
                <w:b/>
                <w:bCs/>
                <w:kern w:val="0"/>
                <w:szCs w:val="21"/>
                <w:vertAlign w:val="superscript"/>
              </w:rPr>
            </w:pPr>
            <w:r>
              <w:rPr>
                <w:b/>
                <w:bCs/>
                <w:kern w:val="0"/>
                <w:szCs w:val="21"/>
              </w:rPr>
              <w:t>表3-</w:t>
            </w:r>
            <w:r>
              <w:rPr>
                <w:rFonts w:hint="eastAsia"/>
                <w:b/>
                <w:bCs/>
                <w:kern w:val="0"/>
                <w:szCs w:val="21"/>
              </w:rPr>
              <w:t>4</w:t>
            </w:r>
            <w:r>
              <w:rPr>
                <w:b/>
                <w:bCs/>
                <w:kern w:val="0"/>
                <w:szCs w:val="21"/>
              </w:rPr>
              <w:t xml:space="preserve"> 环境空气质量标准</w:t>
            </w:r>
            <w:r>
              <w:rPr>
                <w:rFonts w:hint="eastAsia"/>
                <w:b/>
                <w:bCs/>
                <w:kern w:val="0"/>
                <w:szCs w:val="21"/>
              </w:rPr>
              <w:t>（摘录）</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2154"/>
              <w:gridCol w:w="2315"/>
              <w:gridCol w:w="2591"/>
              <w:gridCol w:w="1499"/>
            </w:tblGrid>
            <w:tr w14:paraId="75F0A85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tcBorders>
                    <w:top w:val="single" w:color="auto" w:sz="18" w:space="0"/>
                  </w:tcBorders>
                  <w:shd w:val="clear" w:color="auto" w:fill="auto"/>
                  <w:vAlign w:val="center"/>
                </w:tcPr>
                <w:p w14:paraId="1F0B9253">
                  <w:pPr>
                    <w:pStyle w:val="72"/>
                    <w:adjustRightInd w:val="0"/>
                    <w:snapToGrid w:val="0"/>
                    <w:spacing w:line="240" w:lineRule="auto"/>
                    <w:textAlignment w:val="auto"/>
                    <w:rPr>
                      <w:rFonts w:ascii="Times New Roman" w:hAnsi="Times New Roman" w:cs="Times New Roman"/>
                      <w:szCs w:val="21"/>
                    </w:rPr>
                  </w:pPr>
                  <w:r>
                    <w:rPr>
                      <w:rFonts w:ascii="Times New Roman" w:hAnsi="Times New Roman" w:cs="Times New Roman"/>
                      <w:szCs w:val="21"/>
                    </w:rPr>
                    <w:t>序号</w:t>
                  </w:r>
                </w:p>
              </w:tc>
              <w:tc>
                <w:tcPr>
                  <w:tcW w:w="2192" w:type="dxa"/>
                  <w:tcBorders>
                    <w:top w:val="single" w:color="auto" w:sz="18" w:space="0"/>
                  </w:tcBorders>
                  <w:shd w:val="clear" w:color="auto" w:fill="auto"/>
                  <w:vAlign w:val="center"/>
                </w:tcPr>
                <w:p w14:paraId="7F672469">
                  <w:pPr>
                    <w:pStyle w:val="72"/>
                    <w:adjustRightInd w:val="0"/>
                    <w:snapToGrid w:val="0"/>
                    <w:spacing w:line="240" w:lineRule="auto"/>
                    <w:textAlignment w:val="auto"/>
                    <w:rPr>
                      <w:rFonts w:ascii="Times New Roman" w:hAnsi="Times New Roman" w:cs="Times New Roman"/>
                      <w:szCs w:val="21"/>
                    </w:rPr>
                  </w:pPr>
                  <w:r>
                    <w:rPr>
                      <w:rFonts w:ascii="Times New Roman" w:hAnsi="Times New Roman" w:cs="Times New Roman"/>
                      <w:szCs w:val="21"/>
                    </w:rPr>
                    <w:t>污染物项目</w:t>
                  </w:r>
                </w:p>
              </w:tc>
              <w:tc>
                <w:tcPr>
                  <w:tcW w:w="2380" w:type="dxa"/>
                  <w:tcBorders>
                    <w:top w:val="single" w:color="auto" w:sz="18" w:space="0"/>
                  </w:tcBorders>
                  <w:shd w:val="clear" w:color="auto" w:fill="auto"/>
                  <w:vAlign w:val="center"/>
                </w:tcPr>
                <w:p w14:paraId="0DDA2E05">
                  <w:pPr>
                    <w:pStyle w:val="72"/>
                    <w:adjustRightInd w:val="0"/>
                    <w:snapToGrid w:val="0"/>
                    <w:spacing w:line="240" w:lineRule="auto"/>
                    <w:textAlignment w:val="auto"/>
                    <w:rPr>
                      <w:rFonts w:ascii="Times New Roman" w:hAnsi="Times New Roman" w:cs="Times New Roman"/>
                      <w:szCs w:val="21"/>
                    </w:rPr>
                  </w:pPr>
                  <w:r>
                    <w:rPr>
                      <w:rFonts w:ascii="Times New Roman" w:hAnsi="Times New Roman" w:cs="Times New Roman"/>
                      <w:szCs w:val="21"/>
                    </w:rPr>
                    <w:t>平均时间</w:t>
                  </w:r>
                </w:p>
              </w:tc>
              <w:tc>
                <w:tcPr>
                  <w:tcW w:w="2658" w:type="dxa"/>
                  <w:tcBorders>
                    <w:top w:val="single" w:color="auto" w:sz="18" w:space="0"/>
                  </w:tcBorders>
                  <w:shd w:val="clear" w:color="auto" w:fill="auto"/>
                  <w:vAlign w:val="center"/>
                </w:tcPr>
                <w:p w14:paraId="0741FB1A">
                  <w:pPr>
                    <w:pStyle w:val="72"/>
                    <w:adjustRightInd w:val="0"/>
                    <w:snapToGrid w:val="0"/>
                    <w:spacing w:line="240" w:lineRule="auto"/>
                    <w:textAlignment w:val="auto"/>
                    <w:rPr>
                      <w:rFonts w:ascii="Times New Roman" w:hAnsi="Times New Roman" w:cs="Times New Roman"/>
                      <w:szCs w:val="21"/>
                    </w:rPr>
                  </w:pPr>
                  <w:r>
                    <w:rPr>
                      <w:rFonts w:ascii="Times New Roman" w:hAnsi="Times New Roman" w:cs="Times New Roman"/>
                      <w:szCs w:val="21"/>
                    </w:rPr>
                    <w:t>浓度限值（二级）</w:t>
                  </w:r>
                </w:p>
              </w:tc>
              <w:tc>
                <w:tcPr>
                  <w:tcW w:w="1523" w:type="dxa"/>
                  <w:tcBorders>
                    <w:top w:val="single" w:color="auto" w:sz="18" w:space="0"/>
                  </w:tcBorders>
                  <w:shd w:val="clear" w:color="auto" w:fill="auto"/>
                  <w:vAlign w:val="center"/>
                </w:tcPr>
                <w:p w14:paraId="5DE76D9C">
                  <w:pPr>
                    <w:pStyle w:val="72"/>
                    <w:adjustRightInd w:val="0"/>
                    <w:snapToGrid w:val="0"/>
                    <w:spacing w:line="240" w:lineRule="auto"/>
                    <w:textAlignment w:val="auto"/>
                    <w:rPr>
                      <w:rFonts w:ascii="Times New Roman" w:hAnsi="Times New Roman" w:cs="Times New Roman"/>
                      <w:szCs w:val="21"/>
                    </w:rPr>
                  </w:pPr>
                  <w:r>
                    <w:rPr>
                      <w:rFonts w:ascii="Times New Roman" w:hAnsi="Times New Roman" w:cs="Times New Roman"/>
                      <w:szCs w:val="21"/>
                    </w:rPr>
                    <w:t>单位</w:t>
                  </w:r>
                </w:p>
              </w:tc>
            </w:tr>
            <w:tr w14:paraId="28567EF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4F402DC3">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w:t>
                  </w:r>
                </w:p>
              </w:tc>
              <w:tc>
                <w:tcPr>
                  <w:tcW w:w="2192" w:type="dxa"/>
                  <w:vMerge w:val="restart"/>
                  <w:shd w:val="clear" w:color="auto" w:fill="auto"/>
                  <w:vAlign w:val="center"/>
                </w:tcPr>
                <w:p w14:paraId="11BBFD25">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二氧化硫（SO</w:t>
                  </w:r>
                  <w:r>
                    <w:rPr>
                      <w:rFonts w:ascii="Times New Roman" w:hAnsi="Times New Roman" w:cs="Times New Roman"/>
                      <w:b w:val="0"/>
                      <w:szCs w:val="21"/>
                      <w:vertAlign w:val="subscript"/>
                    </w:rPr>
                    <w:t>2</w:t>
                  </w:r>
                  <w:r>
                    <w:rPr>
                      <w:rFonts w:ascii="Times New Roman" w:hAnsi="Times New Roman" w:cs="Times New Roman"/>
                      <w:b w:val="0"/>
                      <w:szCs w:val="21"/>
                    </w:rPr>
                    <w:t>）</w:t>
                  </w:r>
                </w:p>
              </w:tc>
              <w:tc>
                <w:tcPr>
                  <w:tcW w:w="2380" w:type="dxa"/>
                  <w:shd w:val="clear" w:color="auto" w:fill="auto"/>
                  <w:vAlign w:val="center"/>
                </w:tcPr>
                <w:p w14:paraId="3BE3940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年平均</w:t>
                  </w:r>
                </w:p>
              </w:tc>
              <w:tc>
                <w:tcPr>
                  <w:tcW w:w="2658" w:type="dxa"/>
                  <w:shd w:val="clear" w:color="auto" w:fill="auto"/>
                  <w:vAlign w:val="center"/>
                </w:tcPr>
                <w:p w14:paraId="1C4B8373">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60</w:t>
                  </w:r>
                </w:p>
              </w:tc>
              <w:tc>
                <w:tcPr>
                  <w:tcW w:w="1523" w:type="dxa"/>
                  <w:vMerge w:val="restart"/>
                  <w:shd w:val="clear" w:color="auto" w:fill="auto"/>
                  <w:vAlign w:val="center"/>
                </w:tcPr>
                <w:p w14:paraId="3A166160">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kern w:val="18"/>
                      <w:szCs w:val="21"/>
                    </w:rPr>
                    <w:t>μg/m</w:t>
                  </w:r>
                  <w:r>
                    <w:rPr>
                      <w:rFonts w:ascii="Times New Roman" w:hAnsi="Times New Roman" w:cs="Times New Roman"/>
                      <w:b w:val="0"/>
                      <w:kern w:val="18"/>
                      <w:szCs w:val="21"/>
                      <w:vertAlign w:val="superscript"/>
                    </w:rPr>
                    <w:t>3</w:t>
                  </w:r>
                </w:p>
              </w:tc>
            </w:tr>
            <w:tr w14:paraId="5944AA1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3021986E">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2DB6382E">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4DB226DF">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4EB34CF1">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150</w:t>
                  </w:r>
                </w:p>
              </w:tc>
              <w:tc>
                <w:tcPr>
                  <w:tcW w:w="1523" w:type="dxa"/>
                  <w:vMerge w:val="continue"/>
                  <w:shd w:val="clear" w:color="auto" w:fill="auto"/>
                  <w:vAlign w:val="center"/>
                </w:tcPr>
                <w:p w14:paraId="3B328309">
                  <w:pPr>
                    <w:pStyle w:val="72"/>
                    <w:adjustRightInd w:val="0"/>
                    <w:snapToGrid w:val="0"/>
                    <w:spacing w:line="240" w:lineRule="auto"/>
                    <w:textAlignment w:val="auto"/>
                    <w:rPr>
                      <w:rFonts w:ascii="Times New Roman" w:hAnsi="Times New Roman" w:cs="Times New Roman"/>
                      <w:b w:val="0"/>
                      <w:szCs w:val="21"/>
                    </w:rPr>
                  </w:pPr>
                </w:p>
              </w:tc>
            </w:tr>
            <w:tr w14:paraId="42AF00B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66F5C8A8">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4DDD03B7">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5F1EEE1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1小时平均</w:t>
                  </w:r>
                </w:p>
              </w:tc>
              <w:tc>
                <w:tcPr>
                  <w:tcW w:w="2658" w:type="dxa"/>
                  <w:shd w:val="clear" w:color="auto" w:fill="auto"/>
                  <w:vAlign w:val="center"/>
                </w:tcPr>
                <w:p w14:paraId="180EEFD3">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500</w:t>
                  </w:r>
                </w:p>
              </w:tc>
              <w:tc>
                <w:tcPr>
                  <w:tcW w:w="1523" w:type="dxa"/>
                  <w:vMerge w:val="continue"/>
                  <w:shd w:val="clear" w:color="auto" w:fill="auto"/>
                  <w:vAlign w:val="center"/>
                </w:tcPr>
                <w:p w14:paraId="1E579C6A">
                  <w:pPr>
                    <w:pStyle w:val="72"/>
                    <w:adjustRightInd w:val="0"/>
                    <w:snapToGrid w:val="0"/>
                    <w:spacing w:line="240" w:lineRule="auto"/>
                    <w:textAlignment w:val="auto"/>
                    <w:rPr>
                      <w:rFonts w:ascii="Times New Roman" w:hAnsi="Times New Roman" w:cs="Times New Roman"/>
                      <w:b w:val="0"/>
                      <w:szCs w:val="21"/>
                    </w:rPr>
                  </w:pPr>
                </w:p>
              </w:tc>
            </w:tr>
            <w:tr w14:paraId="5E228FE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7756ACD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w:t>
                  </w:r>
                </w:p>
              </w:tc>
              <w:tc>
                <w:tcPr>
                  <w:tcW w:w="2192" w:type="dxa"/>
                  <w:vMerge w:val="restart"/>
                  <w:shd w:val="clear" w:color="auto" w:fill="auto"/>
                  <w:vAlign w:val="center"/>
                </w:tcPr>
                <w:p w14:paraId="0B47FE62">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二氧化氮（NO</w:t>
                  </w:r>
                  <w:r>
                    <w:rPr>
                      <w:rFonts w:ascii="Times New Roman" w:hAnsi="Times New Roman" w:cs="Times New Roman"/>
                      <w:b w:val="0"/>
                      <w:szCs w:val="21"/>
                      <w:vertAlign w:val="subscript"/>
                    </w:rPr>
                    <w:t>2</w:t>
                  </w:r>
                  <w:r>
                    <w:rPr>
                      <w:rFonts w:ascii="Times New Roman" w:hAnsi="Times New Roman" w:cs="Times New Roman"/>
                      <w:b w:val="0"/>
                      <w:szCs w:val="21"/>
                    </w:rPr>
                    <w:t>）</w:t>
                  </w:r>
                </w:p>
              </w:tc>
              <w:tc>
                <w:tcPr>
                  <w:tcW w:w="2380" w:type="dxa"/>
                  <w:shd w:val="clear" w:color="auto" w:fill="auto"/>
                  <w:vAlign w:val="center"/>
                </w:tcPr>
                <w:p w14:paraId="4C1335E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年平均</w:t>
                  </w:r>
                </w:p>
              </w:tc>
              <w:tc>
                <w:tcPr>
                  <w:tcW w:w="2658" w:type="dxa"/>
                  <w:shd w:val="clear" w:color="auto" w:fill="auto"/>
                  <w:vAlign w:val="center"/>
                </w:tcPr>
                <w:p w14:paraId="3F9EE490">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40</w:t>
                  </w:r>
                </w:p>
              </w:tc>
              <w:tc>
                <w:tcPr>
                  <w:tcW w:w="1523" w:type="dxa"/>
                  <w:vMerge w:val="continue"/>
                  <w:shd w:val="clear" w:color="auto" w:fill="auto"/>
                  <w:vAlign w:val="center"/>
                </w:tcPr>
                <w:p w14:paraId="2FBA4CB7">
                  <w:pPr>
                    <w:pStyle w:val="72"/>
                    <w:adjustRightInd w:val="0"/>
                    <w:snapToGrid w:val="0"/>
                    <w:spacing w:line="240" w:lineRule="auto"/>
                    <w:textAlignment w:val="auto"/>
                    <w:rPr>
                      <w:rFonts w:ascii="Times New Roman" w:hAnsi="Times New Roman" w:cs="Times New Roman"/>
                      <w:b w:val="0"/>
                      <w:szCs w:val="21"/>
                    </w:rPr>
                  </w:pPr>
                </w:p>
              </w:tc>
            </w:tr>
            <w:tr w14:paraId="285320F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71D9A23E">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0A15506E">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64EBAF4B">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129E8491">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80</w:t>
                  </w:r>
                </w:p>
              </w:tc>
              <w:tc>
                <w:tcPr>
                  <w:tcW w:w="1523" w:type="dxa"/>
                  <w:vMerge w:val="continue"/>
                  <w:shd w:val="clear" w:color="auto" w:fill="auto"/>
                  <w:vAlign w:val="center"/>
                </w:tcPr>
                <w:p w14:paraId="02CD8810">
                  <w:pPr>
                    <w:pStyle w:val="72"/>
                    <w:adjustRightInd w:val="0"/>
                    <w:snapToGrid w:val="0"/>
                    <w:spacing w:line="240" w:lineRule="auto"/>
                    <w:textAlignment w:val="auto"/>
                    <w:rPr>
                      <w:rFonts w:ascii="Times New Roman" w:hAnsi="Times New Roman" w:cs="Times New Roman"/>
                      <w:b w:val="0"/>
                      <w:szCs w:val="21"/>
                    </w:rPr>
                  </w:pPr>
                </w:p>
              </w:tc>
            </w:tr>
            <w:tr w14:paraId="0F3B833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1BA6AB0B">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1EE97C66">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717AD367">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1小时平均</w:t>
                  </w:r>
                </w:p>
              </w:tc>
              <w:tc>
                <w:tcPr>
                  <w:tcW w:w="2658" w:type="dxa"/>
                  <w:shd w:val="clear" w:color="auto" w:fill="auto"/>
                  <w:vAlign w:val="center"/>
                </w:tcPr>
                <w:p w14:paraId="4F8C8F8E">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200</w:t>
                  </w:r>
                </w:p>
              </w:tc>
              <w:tc>
                <w:tcPr>
                  <w:tcW w:w="1523" w:type="dxa"/>
                  <w:vMerge w:val="continue"/>
                  <w:shd w:val="clear" w:color="auto" w:fill="auto"/>
                  <w:vAlign w:val="center"/>
                </w:tcPr>
                <w:p w14:paraId="5551544A">
                  <w:pPr>
                    <w:pStyle w:val="72"/>
                    <w:adjustRightInd w:val="0"/>
                    <w:snapToGrid w:val="0"/>
                    <w:spacing w:line="240" w:lineRule="auto"/>
                    <w:textAlignment w:val="auto"/>
                    <w:rPr>
                      <w:rFonts w:ascii="Times New Roman" w:hAnsi="Times New Roman" w:cs="Times New Roman"/>
                      <w:b w:val="0"/>
                      <w:szCs w:val="21"/>
                    </w:rPr>
                  </w:pPr>
                </w:p>
              </w:tc>
            </w:tr>
            <w:tr w14:paraId="0D74B70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15C376A2">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3</w:t>
                  </w:r>
                </w:p>
              </w:tc>
              <w:tc>
                <w:tcPr>
                  <w:tcW w:w="2192" w:type="dxa"/>
                  <w:vMerge w:val="restart"/>
                  <w:shd w:val="clear" w:color="auto" w:fill="auto"/>
                  <w:vAlign w:val="center"/>
                </w:tcPr>
                <w:p w14:paraId="44A1C37B">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一氧化碳（CO）</w:t>
                  </w:r>
                </w:p>
              </w:tc>
              <w:tc>
                <w:tcPr>
                  <w:tcW w:w="2380" w:type="dxa"/>
                  <w:shd w:val="clear" w:color="auto" w:fill="auto"/>
                  <w:vAlign w:val="center"/>
                </w:tcPr>
                <w:p w14:paraId="3E591D4C">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6D0F139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4</w:t>
                  </w:r>
                </w:p>
              </w:tc>
              <w:tc>
                <w:tcPr>
                  <w:tcW w:w="1523" w:type="dxa"/>
                  <w:vMerge w:val="restart"/>
                  <w:shd w:val="clear" w:color="auto" w:fill="auto"/>
                  <w:vAlign w:val="center"/>
                </w:tcPr>
                <w:p w14:paraId="5E9C25A2">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mg/m</w:t>
                  </w:r>
                  <w:r>
                    <w:rPr>
                      <w:rFonts w:ascii="Times New Roman" w:hAnsi="Times New Roman" w:cs="Times New Roman"/>
                      <w:b w:val="0"/>
                      <w:szCs w:val="21"/>
                      <w:vertAlign w:val="superscript"/>
                    </w:rPr>
                    <w:t>3</w:t>
                  </w:r>
                </w:p>
              </w:tc>
            </w:tr>
            <w:tr w14:paraId="5FB4126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70C1337F">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3C76A63A">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69C0CC06">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1小时平均</w:t>
                  </w:r>
                </w:p>
              </w:tc>
              <w:tc>
                <w:tcPr>
                  <w:tcW w:w="2658" w:type="dxa"/>
                  <w:shd w:val="clear" w:color="auto" w:fill="auto"/>
                  <w:vAlign w:val="center"/>
                </w:tcPr>
                <w:p w14:paraId="1FEE29D6">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10</w:t>
                  </w:r>
                </w:p>
              </w:tc>
              <w:tc>
                <w:tcPr>
                  <w:tcW w:w="1523" w:type="dxa"/>
                  <w:vMerge w:val="continue"/>
                  <w:shd w:val="clear" w:color="auto" w:fill="auto"/>
                  <w:vAlign w:val="center"/>
                </w:tcPr>
                <w:p w14:paraId="292CF3E8">
                  <w:pPr>
                    <w:pStyle w:val="72"/>
                    <w:adjustRightInd w:val="0"/>
                    <w:snapToGrid w:val="0"/>
                    <w:spacing w:line="240" w:lineRule="auto"/>
                    <w:textAlignment w:val="auto"/>
                    <w:rPr>
                      <w:rFonts w:ascii="Times New Roman" w:hAnsi="Times New Roman" w:cs="Times New Roman"/>
                      <w:b w:val="0"/>
                      <w:szCs w:val="21"/>
                    </w:rPr>
                  </w:pPr>
                </w:p>
              </w:tc>
            </w:tr>
            <w:tr w14:paraId="27C7D12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22C4977A">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4</w:t>
                  </w:r>
                </w:p>
              </w:tc>
              <w:tc>
                <w:tcPr>
                  <w:tcW w:w="2192" w:type="dxa"/>
                  <w:vMerge w:val="restart"/>
                  <w:shd w:val="clear" w:color="auto" w:fill="auto"/>
                  <w:vAlign w:val="center"/>
                </w:tcPr>
                <w:p w14:paraId="2D199BAA">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臭氧（O</w:t>
                  </w:r>
                  <w:r>
                    <w:rPr>
                      <w:rFonts w:ascii="Times New Roman" w:hAnsi="Times New Roman" w:cs="Times New Roman"/>
                      <w:b w:val="0"/>
                      <w:szCs w:val="21"/>
                      <w:vertAlign w:val="subscript"/>
                    </w:rPr>
                    <w:t>3</w:t>
                  </w:r>
                  <w:r>
                    <w:rPr>
                      <w:rFonts w:ascii="Times New Roman" w:hAnsi="Times New Roman" w:cs="Times New Roman"/>
                      <w:b w:val="0"/>
                      <w:szCs w:val="21"/>
                    </w:rPr>
                    <w:t>）</w:t>
                  </w:r>
                </w:p>
              </w:tc>
              <w:tc>
                <w:tcPr>
                  <w:tcW w:w="2380" w:type="dxa"/>
                  <w:shd w:val="clear" w:color="auto" w:fill="auto"/>
                  <w:vAlign w:val="center"/>
                </w:tcPr>
                <w:p w14:paraId="272E2CB2">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日最大8小时平均</w:t>
                  </w:r>
                </w:p>
              </w:tc>
              <w:tc>
                <w:tcPr>
                  <w:tcW w:w="2658" w:type="dxa"/>
                  <w:shd w:val="clear" w:color="auto" w:fill="auto"/>
                  <w:vAlign w:val="center"/>
                </w:tcPr>
                <w:p w14:paraId="46BF717B">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160</w:t>
                  </w:r>
                </w:p>
              </w:tc>
              <w:tc>
                <w:tcPr>
                  <w:tcW w:w="1523" w:type="dxa"/>
                  <w:vMerge w:val="restart"/>
                  <w:shd w:val="clear" w:color="auto" w:fill="auto"/>
                  <w:vAlign w:val="center"/>
                </w:tcPr>
                <w:p w14:paraId="58E5771C">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kern w:val="18"/>
                      <w:szCs w:val="21"/>
                    </w:rPr>
                    <w:t>μg/m</w:t>
                  </w:r>
                  <w:r>
                    <w:rPr>
                      <w:rFonts w:ascii="Times New Roman" w:hAnsi="Times New Roman" w:cs="Times New Roman"/>
                      <w:b w:val="0"/>
                      <w:kern w:val="18"/>
                      <w:szCs w:val="21"/>
                      <w:vertAlign w:val="superscript"/>
                    </w:rPr>
                    <w:t>3</w:t>
                  </w:r>
                </w:p>
              </w:tc>
            </w:tr>
            <w:tr w14:paraId="313A558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23BC4B28">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524B8F79">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38BA4167">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1小时平均</w:t>
                  </w:r>
                </w:p>
              </w:tc>
              <w:tc>
                <w:tcPr>
                  <w:tcW w:w="2658" w:type="dxa"/>
                  <w:shd w:val="clear" w:color="auto" w:fill="auto"/>
                  <w:vAlign w:val="center"/>
                </w:tcPr>
                <w:p w14:paraId="10E5698F">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200</w:t>
                  </w:r>
                </w:p>
              </w:tc>
              <w:tc>
                <w:tcPr>
                  <w:tcW w:w="1523" w:type="dxa"/>
                  <w:vMerge w:val="continue"/>
                  <w:shd w:val="clear" w:color="auto" w:fill="auto"/>
                  <w:vAlign w:val="center"/>
                </w:tcPr>
                <w:p w14:paraId="4AED44A0">
                  <w:pPr>
                    <w:pStyle w:val="72"/>
                    <w:adjustRightInd w:val="0"/>
                    <w:snapToGrid w:val="0"/>
                    <w:spacing w:line="240" w:lineRule="auto"/>
                    <w:textAlignment w:val="auto"/>
                    <w:rPr>
                      <w:rFonts w:ascii="Times New Roman" w:hAnsi="Times New Roman" w:cs="Times New Roman"/>
                      <w:b w:val="0"/>
                      <w:szCs w:val="21"/>
                    </w:rPr>
                  </w:pPr>
                </w:p>
              </w:tc>
            </w:tr>
            <w:tr w14:paraId="454526B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2A4F5090">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5</w:t>
                  </w:r>
                </w:p>
              </w:tc>
              <w:tc>
                <w:tcPr>
                  <w:tcW w:w="2192" w:type="dxa"/>
                  <w:vMerge w:val="restart"/>
                  <w:shd w:val="clear" w:color="auto" w:fill="auto"/>
                  <w:vAlign w:val="center"/>
                </w:tcPr>
                <w:p w14:paraId="5980F650">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颗粒物（粒径小于等于10μm）</w:t>
                  </w:r>
                </w:p>
              </w:tc>
              <w:tc>
                <w:tcPr>
                  <w:tcW w:w="2380" w:type="dxa"/>
                  <w:shd w:val="clear" w:color="auto" w:fill="auto"/>
                  <w:vAlign w:val="center"/>
                </w:tcPr>
                <w:p w14:paraId="2105E27C">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年平均</w:t>
                  </w:r>
                </w:p>
              </w:tc>
              <w:tc>
                <w:tcPr>
                  <w:tcW w:w="2658" w:type="dxa"/>
                  <w:shd w:val="clear" w:color="auto" w:fill="auto"/>
                  <w:vAlign w:val="center"/>
                </w:tcPr>
                <w:p w14:paraId="49D992C1">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70</w:t>
                  </w:r>
                </w:p>
              </w:tc>
              <w:tc>
                <w:tcPr>
                  <w:tcW w:w="1523" w:type="dxa"/>
                  <w:vMerge w:val="continue"/>
                  <w:shd w:val="clear" w:color="auto" w:fill="auto"/>
                  <w:vAlign w:val="center"/>
                </w:tcPr>
                <w:p w14:paraId="2DC7E274">
                  <w:pPr>
                    <w:pStyle w:val="72"/>
                    <w:adjustRightInd w:val="0"/>
                    <w:snapToGrid w:val="0"/>
                    <w:spacing w:line="240" w:lineRule="auto"/>
                    <w:textAlignment w:val="auto"/>
                    <w:rPr>
                      <w:rFonts w:ascii="Times New Roman" w:hAnsi="Times New Roman" w:cs="Times New Roman"/>
                      <w:b w:val="0"/>
                      <w:szCs w:val="21"/>
                    </w:rPr>
                  </w:pPr>
                </w:p>
              </w:tc>
            </w:tr>
            <w:tr w14:paraId="6929A30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66596B21">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52B3ACA1">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27F8336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31477D25">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150</w:t>
                  </w:r>
                </w:p>
              </w:tc>
              <w:tc>
                <w:tcPr>
                  <w:tcW w:w="1523" w:type="dxa"/>
                  <w:vMerge w:val="continue"/>
                  <w:shd w:val="clear" w:color="auto" w:fill="auto"/>
                  <w:vAlign w:val="center"/>
                </w:tcPr>
                <w:p w14:paraId="06F09B47">
                  <w:pPr>
                    <w:pStyle w:val="72"/>
                    <w:adjustRightInd w:val="0"/>
                    <w:snapToGrid w:val="0"/>
                    <w:spacing w:line="240" w:lineRule="auto"/>
                    <w:textAlignment w:val="auto"/>
                    <w:rPr>
                      <w:rFonts w:ascii="Times New Roman" w:hAnsi="Times New Roman" w:cs="Times New Roman"/>
                      <w:b w:val="0"/>
                      <w:szCs w:val="21"/>
                    </w:rPr>
                  </w:pPr>
                </w:p>
              </w:tc>
            </w:tr>
            <w:tr w14:paraId="5A49C0D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04BE5C12">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6</w:t>
                  </w:r>
                </w:p>
              </w:tc>
              <w:tc>
                <w:tcPr>
                  <w:tcW w:w="2192" w:type="dxa"/>
                  <w:vMerge w:val="restart"/>
                  <w:shd w:val="clear" w:color="auto" w:fill="auto"/>
                  <w:vAlign w:val="center"/>
                </w:tcPr>
                <w:p w14:paraId="5E70BEB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颗粒物（粒径小于等于2.5μm）</w:t>
                  </w:r>
                </w:p>
              </w:tc>
              <w:tc>
                <w:tcPr>
                  <w:tcW w:w="2380" w:type="dxa"/>
                  <w:shd w:val="clear" w:color="auto" w:fill="auto"/>
                  <w:vAlign w:val="center"/>
                </w:tcPr>
                <w:p w14:paraId="3070CE0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年平均</w:t>
                  </w:r>
                </w:p>
              </w:tc>
              <w:tc>
                <w:tcPr>
                  <w:tcW w:w="2658" w:type="dxa"/>
                  <w:shd w:val="clear" w:color="auto" w:fill="auto"/>
                  <w:vAlign w:val="center"/>
                </w:tcPr>
                <w:p w14:paraId="312EC09D">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35</w:t>
                  </w:r>
                </w:p>
              </w:tc>
              <w:tc>
                <w:tcPr>
                  <w:tcW w:w="1523" w:type="dxa"/>
                  <w:vMerge w:val="continue"/>
                  <w:shd w:val="clear" w:color="auto" w:fill="auto"/>
                  <w:vAlign w:val="center"/>
                </w:tcPr>
                <w:p w14:paraId="64B786F8">
                  <w:pPr>
                    <w:pStyle w:val="72"/>
                    <w:adjustRightInd w:val="0"/>
                    <w:snapToGrid w:val="0"/>
                    <w:spacing w:line="240" w:lineRule="auto"/>
                    <w:textAlignment w:val="auto"/>
                    <w:rPr>
                      <w:rFonts w:ascii="Times New Roman" w:hAnsi="Times New Roman" w:cs="Times New Roman"/>
                      <w:b w:val="0"/>
                      <w:szCs w:val="21"/>
                    </w:rPr>
                  </w:pPr>
                </w:p>
              </w:tc>
            </w:tr>
            <w:tr w14:paraId="5DF23AA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06EC3F76">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5C264D74">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4AEBDC0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09943998">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75</w:t>
                  </w:r>
                </w:p>
              </w:tc>
              <w:tc>
                <w:tcPr>
                  <w:tcW w:w="1523" w:type="dxa"/>
                  <w:vMerge w:val="continue"/>
                  <w:shd w:val="clear" w:color="auto" w:fill="auto"/>
                  <w:vAlign w:val="center"/>
                </w:tcPr>
                <w:p w14:paraId="32931D40">
                  <w:pPr>
                    <w:pStyle w:val="72"/>
                    <w:adjustRightInd w:val="0"/>
                    <w:snapToGrid w:val="0"/>
                    <w:spacing w:line="240" w:lineRule="auto"/>
                    <w:textAlignment w:val="auto"/>
                    <w:rPr>
                      <w:rFonts w:ascii="Times New Roman" w:hAnsi="Times New Roman" w:cs="Times New Roman"/>
                      <w:b w:val="0"/>
                      <w:szCs w:val="21"/>
                    </w:rPr>
                  </w:pPr>
                </w:p>
              </w:tc>
            </w:tr>
            <w:tr w14:paraId="5994305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21EA1059">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7</w:t>
                  </w:r>
                </w:p>
              </w:tc>
              <w:tc>
                <w:tcPr>
                  <w:tcW w:w="2192" w:type="dxa"/>
                  <w:vMerge w:val="restart"/>
                  <w:shd w:val="clear" w:color="auto" w:fill="auto"/>
                  <w:vAlign w:val="center"/>
                </w:tcPr>
                <w:p w14:paraId="0CFBA7B5">
                  <w:pPr>
                    <w:pStyle w:val="72"/>
                    <w:adjustRightInd w:val="0"/>
                    <w:snapToGrid w:val="0"/>
                    <w:spacing w:line="240" w:lineRule="auto"/>
                    <w:textAlignment w:val="auto"/>
                    <w:rPr>
                      <w:rFonts w:ascii="Times New Roman" w:hAnsi="Times New Roman" w:cs="Times New Roman"/>
                      <w:b w:val="0"/>
                      <w:bCs/>
                      <w:szCs w:val="21"/>
                    </w:rPr>
                  </w:pPr>
                  <w:r>
                    <w:rPr>
                      <w:rFonts w:hint="eastAsia"/>
                      <w:b w:val="0"/>
                      <w:bCs/>
                      <w:szCs w:val="21"/>
                    </w:rPr>
                    <w:t>总悬浮颗粒物（</w:t>
                  </w:r>
                  <w:r>
                    <w:rPr>
                      <w:rFonts w:ascii="TimesNewRomanPSMT" w:eastAsia="TimesNewRomanPSMT" w:cs="TimesNewRomanPSMT"/>
                      <w:b w:val="0"/>
                      <w:bCs/>
                      <w:szCs w:val="21"/>
                    </w:rPr>
                    <w:t>TSP</w:t>
                  </w:r>
                  <w:r>
                    <w:rPr>
                      <w:rFonts w:hint="eastAsia"/>
                      <w:b w:val="0"/>
                      <w:bCs/>
                      <w:szCs w:val="21"/>
                    </w:rPr>
                    <w:t>）</w:t>
                  </w:r>
                </w:p>
              </w:tc>
              <w:tc>
                <w:tcPr>
                  <w:tcW w:w="2380" w:type="dxa"/>
                  <w:shd w:val="clear" w:color="auto" w:fill="auto"/>
                  <w:vAlign w:val="center"/>
                </w:tcPr>
                <w:p w14:paraId="4BDA6008">
                  <w:pPr>
                    <w:pStyle w:val="72"/>
                    <w:adjustRightInd w:val="0"/>
                    <w:snapToGrid w:val="0"/>
                    <w:spacing w:line="240" w:lineRule="auto"/>
                    <w:textAlignment w:val="auto"/>
                    <w:rPr>
                      <w:rFonts w:ascii="Times New Roman" w:hAnsi="Times New Roman" w:cs="Times New Roman"/>
                      <w:b w:val="0"/>
                      <w:bCs/>
                      <w:szCs w:val="21"/>
                    </w:rPr>
                  </w:pPr>
                  <w:r>
                    <w:rPr>
                      <w:rFonts w:ascii="Times New Roman" w:hAnsi="Times New Roman" w:cs="Times New Roman"/>
                      <w:b w:val="0"/>
                      <w:bCs/>
                      <w:szCs w:val="21"/>
                    </w:rPr>
                    <w:t>年平均</w:t>
                  </w:r>
                </w:p>
              </w:tc>
              <w:tc>
                <w:tcPr>
                  <w:tcW w:w="2658" w:type="dxa"/>
                  <w:shd w:val="clear" w:color="auto" w:fill="auto"/>
                  <w:vAlign w:val="center"/>
                </w:tcPr>
                <w:p w14:paraId="0457529B">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2</w:t>
                  </w:r>
                  <w:r>
                    <w:rPr>
                      <w:rFonts w:ascii="Times New Roman" w:hAnsi="Times New Roman" w:cs="Times New Roman"/>
                      <w:b w:val="0"/>
                      <w:szCs w:val="21"/>
                    </w:rPr>
                    <w:t>00</w:t>
                  </w:r>
                </w:p>
              </w:tc>
              <w:tc>
                <w:tcPr>
                  <w:tcW w:w="1523" w:type="dxa"/>
                  <w:vMerge w:val="restart"/>
                  <w:shd w:val="clear" w:color="auto" w:fill="auto"/>
                  <w:vAlign w:val="center"/>
                </w:tcPr>
                <w:p w14:paraId="1015A1F7">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kern w:val="18"/>
                      <w:szCs w:val="21"/>
                    </w:rPr>
                    <w:t>μg/m</w:t>
                  </w:r>
                  <w:r>
                    <w:rPr>
                      <w:rFonts w:ascii="Times New Roman" w:hAnsi="Times New Roman" w:cs="Times New Roman"/>
                      <w:b w:val="0"/>
                      <w:kern w:val="18"/>
                      <w:szCs w:val="21"/>
                      <w:vertAlign w:val="superscript"/>
                    </w:rPr>
                    <w:t>3</w:t>
                  </w:r>
                </w:p>
              </w:tc>
            </w:tr>
            <w:tr w14:paraId="2D63D00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4615C53E">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7068BE87">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70FB9B1A">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055FD4F0">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3</w:t>
                  </w:r>
                  <w:r>
                    <w:rPr>
                      <w:rFonts w:ascii="Times New Roman" w:hAnsi="Times New Roman" w:cs="Times New Roman"/>
                      <w:b w:val="0"/>
                      <w:szCs w:val="21"/>
                    </w:rPr>
                    <w:t>00</w:t>
                  </w:r>
                </w:p>
              </w:tc>
              <w:tc>
                <w:tcPr>
                  <w:tcW w:w="1523" w:type="dxa"/>
                  <w:vMerge w:val="continue"/>
                  <w:shd w:val="clear" w:color="auto" w:fill="auto"/>
                  <w:vAlign w:val="center"/>
                </w:tcPr>
                <w:p w14:paraId="0E059F24">
                  <w:pPr>
                    <w:pStyle w:val="72"/>
                    <w:adjustRightInd w:val="0"/>
                    <w:snapToGrid w:val="0"/>
                    <w:spacing w:line="240" w:lineRule="auto"/>
                    <w:textAlignment w:val="auto"/>
                    <w:rPr>
                      <w:rFonts w:ascii="Times New Roman" w:hAnsi="Times New Roman" w:cs="Times New Roman"/>
                      <w:b w:val="0"/>
                      <w:szCs w:val="21"/>
                    </w:rPr>
                  </w:pPr>
                </w:p>
              </w:tc>
            </w:tr>
            <w:tr w14:paraId="4D8DFCE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restart"/>
                  <w:shd w:val="clear" w:color="auto" w:fill="auto"/>
                  <w:vAlign w:val="center"/>
                </w:tcPr>
                <w:p w14:paraId="037C073B">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8</w:t>
                  </w:r>
                </w:p>
              </w:tc>
              <w:tc>
                <w:tcPr>
                  <w:tcW w:w="2192" w:type="dxa"/>
                  <w:vMerge w:val="restart"/>
                  <w:shd w:val="clear" w:color="auto" w:fill="auto"/>
                  <w:vAlign w:val="center"/>
                </w:tcPr>
                <w:p w14:paraId="056EAD7A">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氮氧化物（N</w:t>
                  </w:r>
                  <w:r>
                    <w:rPr>
                      <w:rFonts w:ascii="Times New Roman" w:hAnsi="Times New Roman" w:cs="Times New Roman"/>
                      <w:b w:val="0"/>
                      <w:szCs w:val="21"/>
                    </w:rPr>
                    <w:t>O</w:t>
                  </w:r>
                  <w:r>
                    <w:rPr>
                      <w:rFonts w:hint="eastAsia" w:ascii="Times New Roman" w:hAnsi="Times New Roman" w:cs="Times New Roman"/>
                      <w:b w:val="0"/>
                      <w:szCs w:val="21"/>
                    </w:rPr>
                    <w:t>x）</w:t>
                  </w:r>
                </w:p>
              </w:tc>
              <w:tc>
                <w:tcPr>
                  <w:tcW w:w="2380" w:type="dxa"/>
                  <w:shd w:val="clear" w:color="auto" w:fill="auto"/>
                  <w:vAlign w:val="center"/>
                </w:tcPr>
                <w:p w14:paraId="305FB1F0">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年平均</w:t>
                  </w:r>
                </w:p>
              </w:tc>
              <w:tc>
                <w:tcPr>
                  <w:tcW w:w="2658" w:type="dxa"/>
                  <w:shd w:val="clear" w:color="auto" w:fill="auto"/>
                  <w:vAlign w:val="center"/>
                </w:tcPr>
                <w:p w14:paraId="73192557">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5</w:t>
                  </w:r>
                  <w:r>
                    <w:rPr>
                      <w:rFonts w:ascii="Times New Roman" w:hAnsi="Times New Roman" w:cs="Times New Roman"/>
                      <w:b w:val="0"/>
                      <w:szCs w:val="21"/>
                    </w:rPr>
                    <w:t>0</w:t>
                  </w:r>
                </w:p>
              </w:tc>
              <w:tc>
                <w:tcPr>
                  <w:tcW w:w="1523" w:type="dxa"/>
                  <w:vMerge w:val="restart"/>
                  <w:shd w:val="clear" w:color="auto" w:fill="auto"/>
                  <w:vAlign w:val="center"/>
                </w:tcPr>
                <w:p w14:paraId="0F307DAA">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kern w:val="18"/>
                      <w:szCs w:val="21"/>
                    </w:rPr>
                    <w:t>μg/m</w:t>
                  </w:r>
                  <w:r>
                    <w:rPr>
                      <w:rFonts w:ascii="Times New Roman" w:hAnsi="Times New Roman" w:cs="Times New Roman"/>
                      <w:b w:val="0"/>
                      <w:kern w:val="18"/>
                      <w:szCs w:val="21"/>
                      <w:vertAlign w:val="superscript"/>
                    </w:rPr>
                    <w:t>3</w:t>
                  </w:r>
                </w:p>
              </w:tc>
            </w:tr>
            <w:tr w14:paraId="18418AB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shd w:val="clear" w:color="auto" w:fill="auto"/>
                  <w:vAlign w:val="center"/>
                </w:tcPr>
                <w:p w14:paraId="55D5F7C4">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shd w:val="clear" w:color="auto" w:fill="auto"/>
                  <w:vAlign w:val="center"/>
                </w:tcPr>
                <w:p w14:paraId="67A4CE57">
                  <w:pPr>
                    <w:pStyle w:val="72"/>
                    <w:adjustRightInd w:val="0"/>
                    <w:snapToGrid w:val="0"/>
                    <w:spacing w:line="240" w:lineRule="auto"/>
                    <w:textAlignment w:val="auto"/>
                    <w:rPr>
                      <w:rFonts w:ascii="Times New Roman" w:hAnsi="Times New Roman" w:cs="Times New Roman"/>
                      <w:b w:val="0"/>
                      <w:szCs w:val="21"/>
                    </w:rPr>
                  </w:pPr>
                </w:p>
              </w:tc>
              <w:tc>
                <w:tcPr>
                  <w:tcW w:w="2380" w:type="dxa"/>
                  <w:shd w:val="clear" w:color="auto" w:fill="auto"/>
                  <w:vAlign w:val="center"/>
                </w:tcPr>
                <w:p w14:paraId="7ADAC034">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24小时平均</w:t>
                  </w:r>
                </w:p>
              </w:tc>
              <w:tc>
                <w:tcPr>
                  <w:tcW w:w="2658" w:type="dxa"/>
                  <w:shd w:val="clear" w:color="auto" w:fill="auto"/>
                  <w:vAlign w:val="center"/>
                </w:tcPr>
                <w:p w14:paraId="676DC868">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1</w:t>
                  </w:r>
                  <w:r>
                    <w:rPr>
                      <w:rFonts w:ascii="Times New Roman" w:hAnsi="Times New Roman" w:cs="Times New Roman"/>
                      <w:b w:val="0"/>
                      <w:szCs w:val="21"/>
                    </w:rPr>
                    <w:t>00</w:t>
                  </w:r>
                </w:p>
              </w:tc>
              <w:tc>
                <w:tcPr>
                  <w:tcW w:w="1523" w:type="dxa"/>
                  <w:vMerge w:val="continue"/>
                  <w:shd w:val="clear" w:color="auto" w:fill="auto"/>
                  <w:vAlign w:val="center"/>
                </w:tcPr>
                <w:p w14:paraId="0B0B2C53">
                  <w:pPr>
                    <w:pStyle w:val="72"/>
                    <w:adjustRightInd w:val="0"/>
                    <w:snapToGrid w:val="0"/>
                    <w:spacing w:line="240" w:lineRule="auto"/>
                    <w:textAlignment w:val="auto"/>
                    <w:rPr>
                      <w:rFonts w:ascii="Times New Roman" w:hAnsi="Times New Roman" w:cs="Times New Roman"/>
                      <w:b w:val="0"/>
                      <w:szCs w:val="21"/>
                    </w:rPr>
                  </w:pPr>
                </w:p>
              </w:tc>
            </w:tr>
            <w:tr w14:paraId="4EEF25C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6" w:type="dxa"/>
                  <w:vMerge w:val="continue"/>
                  <w:tcBorders>
                    <w:bottom w:val="single" w:color="auto" w:sz="18" w:space="0"/>
                  </w:tcBorders>
                  <w:shd w:val="clear" w:color="auto" w:fill="auto"/>
                  <w:vAlign w:val="center"/>
                </w:tcPr>
                <w:p w14:paraId="09DB18F3">
                  <w:pPr>
                    <w:pStyle w:val="72"/>
                    <w:adjustRightInd w:val="0"/>
                    <w:snapToGrid w:val="0"/>
                    <w:spacing w:line="240" w:lineRule="auto"/>
                    <w:textAlignment w:val="auto"/>
                    <w:rPr>
                      <w:rFonts w:ascii="Times New Roman" w:hAnsi="Times New Roman" w:cs="Times New Roman"/>
                      <w:b w:val="0"/>
                      <w:szCs w:val="21"/>
                    </w:rPr>
                  </w:pPr>
                </w:p>
              </w:tc>
              <w:tc>
                <w:tcPr>
                  <w:tcW w:w="2192" w:type="dxa"/>
                  <w:vMerge w:val="continue"/>
                  <w:tcBorders>
                    <w:bottom w:val="single" w:color="auto" w:sz="18" w:space="0"/>
                  </w:tcBorders>
                  <w:shd w:val="clear" w:color="auto" w:fill="auto"/>
                  <w:vAlign w:val="center"/>
                </w:tcPr>
                <w:p w14:paraId="63BF762B">
                  <w:pPr>
                    <w:pStyle w:val="72"/>
                    <w:adjustRightInd w:val="0"/>
                    <w:snapToGrid w:val="0"/>
                    <w:spacing w:line="240" w:lineRule="auto"/>
                    <w:textAlignment w:val="auto"/>
                    <w:rPr>
                      <w:rFonts w:ascii="Times New Roman" w:hAnsi="Times New Roman" w:cs="Times New Roman"/>
                      <w:b w:val="0"/>
                      <w:szCs w:val="21"/>
                    </w:rPr>
                  </w:pPr>
                </w:p>
              </w:tc>
              <w:tc>
                <w:tcPr>
                  <w:tcW w:w="2380" w:type="dxa"/>
                  <w:tcBorders>
                    <w:bottom w:val="single" w:color="auto" w:sz="18" w:space="0"/>
                  </w:tcBorders>
                  <w:shd w:val="clear" w:color="auto" w:fill="auto"/>
                  <w:vAlign w:val="center"/>
                </w:tcPr>
                <w:p w14:paraId="25E32327">
                  <w:pPr>
                    <w:pStyle w:val="72"/>
                    <w:adjustRightInd w:val="0"/>
                    <w:snapToGrid w:val="0"/>
                    <w:spacing w:line="240" w:lineRule="auto"/>
                    <w:textAlignment w:val="auto"/>
                    <w:rPr>
                      <w:rFonts w:ascii="Times New Roman" w:hAnsi="Times New Roman" w:cs="Times New Roman"/>
                      <w:b w:val="0"/>
                      <w:szCs w:val="21"/>
                    </w:rPr>
                  </w:pPr>
                  <w:r>
                    <w:rPr>
                      <w:rFonts w:ascii="Times New Roman" w:hAnsi="Times New Roman" w:cs="Times New Roman"/>
                      <w:b w:val="0"/>
                      <w:szCs w:val="21"/>
                    </w:rPr>
                    <w:t>1小时平均</w:t>
                  </w:r>
                </w:p>
              </w:tc>
              <w:tc>
                <w:tcPr>
                  <w:tcW w:w="2658" w:type="dxa"/>
                  <w:tcBorders>
                    <w:bottom w:val="single" w:color="auto" w:sz="18" w:space="0"/>
                  </w:tcBorders>
                  <w:shd w:val="clear" w:color="auto" w:fill="auto"/>
                  <w:vAlign w:val="center"/>
                </w:tcPr>
                <w:p w14:paraId="1AE8DD0B">
                  <w:pPr>
                    <w:pStyle w:val="72"/>
                    <w:adjustRightInd w:val="0"/>
                    <w:snapToGrid w:val="0"/>
                    <w:spacing w:line="240" w:lineRule="auto"/>
                    <w:textAlignment w:val="auto"/>
                    <w:rPr>
                      <w:rFonts w:ascii="Times New Roman" w:hAnsi="Times New Roman" w:cs="Times New Roman"/>
                      <w:b w:val="0"/>
                      <w:szCs w:val="21"/>
                    </w:rPr>
                  </w:pPr>
                  <w:r>
                    <w:rPr>
                      <w:rFonts w:hint="eastAsia" w:ascii="Times New Roman" w:hAnsi="Times New Roman" w:cs="Times New Roman"/>
                      <w:b w:val="0"/>
                      <w:szCs w:val="21"/>
                    </w:rPr>
                    <w:t>2</w:t>
                  </w:r>
                  <w:r>
                    <w:rPr>
                      <w:rFonts w:ascii="Times New Roman" w:hAnsi="Times New Roman" w:cs="Times New Roman"/>
                      <w:b w:val="0"/>
                      <w:szCs w:val="21"/>
                    </w:rPr>
                    <w:t>50</w:t>
                  </w:r>
                </w:p>
              </w:tc>
              <w:tc>
                <w:tcPr>
                  <w:tcW w:w="1523" w:type="dxa"/>
                  <w:vMerge w:val="continue"/>
                  <w:tcBorders>
                    <w:bottom w:val="single" w:color="auto" w:sz="18" w:space="0"/>
                  </w:tcBorders>
                  <w:shd w:val="clear" w:color="auto" w:fill="auto"/>
                  <w:vAlign w:val="center"/>
                </w:tcPr>
                <w:p w14:paraId="5931879B">
                  <w:pPr>
                    <w:pStyle w:val="72"/>
                    <w:adjustRightInd w:val="0"/>
                    <w:snapToGrid w:val="0"/>
                    <w:spacing w:line="240" w:lineRule="auto"/>
                    <w:textAlignment w:val="auto"/>
                    <w:rPr>
                      <w:rFonts w:ascii="Times New Roman" w:hAnsi="Times New Roman" w:cs="Times New Roman"/>
                      <w:b w:val="0"/>
                      <w:szCs w:val="21"/>
                    </w:rPr>
                  </w:pPr>
                </w:p>
              </w:tc>
            </w:tr>
          </w:tbl>
          <w:p w14:paraId="7D74E9B3">
            <w:pPr>
              <w:spacing w:line="500" w:lineRule="exact"/>
              <w:ind w:firstLine="422" w:firstLineChars="200"/>
              <w:jc w:val="left"/>
              <w:rPr>
                <w:b/>
                <w:bCs/>
                <w:szCs w:val="21"/>
              </w:rPr>
            </w:pPr>
            <w:r>
              <w:rPr>
                <w:rFonts w:hint="eastAsia"/>
                <w:b/>
                <w:bCs/>
                <w:szCs w:val="21"/>
                <w:lang w:bidi="ar"/>
              </w:rPr>
              <w:t>3、</w:t>
            </w:r>
            <w:r>
              <w:rPr>
                <w:b/>
                <w:bCs/>
                <w:szCs w:val="21"/>
                <w:lang w:bidi="ar"/>
              </w:rPr>
              <w:t>声环境质量标准</w:t>
            </w:r>
          </w:p>
          <w:p w14:paraId="72DE93FF">
            <w:pPr>
              <w:widowControl/>
              <w:spacing w:line="500" w:lineRule="exact"/>
              <w:ind w:firstLine="420" w:firstLineChars="200"/>
              <w:jc w:val="left"/>
              <w:rPr>
                <w:szCs w:val="21"/>
                <w:lang w:bidi="ar"/>
              </w:rPr>
            </w:pPr>
            <w:r>
              <w:rPr>
                <w:szCs w:val="21"/>
                <w:lang w:bidi="ar"/>
              </w:rPr>
              <w:t>根据</w:t>
            </w:r>
            <w:r>
              <w:rPr>
                <w:rFonts w:hint="eastAsia"/>
                <w:szCs w:val="21"/>
              </w:rPr>
              <w:t>《惠州市声环境功能区划分方案（2022年）》（惠市环〔2022〕33号）</w:t>
            </w:r>
            <w:r>
              <w:rPr>
                <w:szCs w:val="21"/>
                <w:lang w:bidi="ar"/>
              </w:rPr>
              <w:t>，城市</w:t>
            </w:r>
            <w:r>
              <w:rPr>
                <w:rFonts w:hint="eastAsia"/>
                <w:szCs w:val="21"/>
                <w:lang w:bidi="ar"/>
              </w:rPr>
              <w:t>主</w:t>
            </w:r>
            <w:r>
              <w:rPr>
                <w:szCs w:val="21"/>
                <w:lang w:bidi="ar"/>
              </w:rPr>
              <w:t>干路相邻功能区为2类区时，两侧边界线外35m范围内执行</w:t>
            </w:r>
            <w:r>
              <w:rPr>
                <w:rFonts w:hint="eastAsia"/>
                <w:szCs w:val="21"/>
                <w:lang w:bidi="ar"/>
              </w:rPr>
              <w:t>《声环境质量标准》（</w:t>
            </w:r>
            <w:r>
              <w:rPr>
                <w:szCs w:val="21"/>
                <w:lang w:bidi="ar"/>
              </w:rPr>
              <w:t>GB3096-2008</w:t>
            </w:r>
            <w:r>
              <w:rPr>
                <w:rFonts w:hint="eastAsia"/>
                <w:szCs w:val="21"/>
                <w:lang w:bidi="ar"/>
              </w:rPr>
              <w:t>）</w:t>
            </w:r>
            <w:r>
              <w:rPr>
                <w:szCs w:val="21"/>
                <w:lang w:bidi="ar"/>
              </w:rPr>
              <w:t>4a类</w:t>
            </w:r>
            <w:r>
              <w:rPr>
                <w:rFonts w:hint="eastAsia"/>
                <w:szCs w:val="21"/>
                <w:lang w:bidi="ar"/>
              </w:rPr>
              <w:t>标准</w:t>
            </w:r>
            <w:r>
              <w:rPr>
                <w:szCs w:val="21"/>
                <w:lang w:bidi="ar"/>
              </w:rPr>
              <w:t>，沿线其他区域执行</w:t>
            </w:r>
            <w:r>
              <w:rPr>
                <w:rFonts w:hint="eastAsia"/>
                <w:szCs w:val="21"/>
                <w:lang w:bidi="ar"/>
              </w:rPr>
              <w:t>《声环境质量标准》（</w:t>
            </w:r>
            <w:r>
              <w:rPr>
                <w:szCs w:val="21"/>
                <w:lang w:bidi="ar"/>
              </w:rPr>
              <w:t>GB3096-2008</w:t>
            </w:r>
            <w:r>
              <w:rPr>
                <w:rFonts w:hint="eastAsia"/>
                <w:szCs w:val="21"/>
                <w:lang w:bidi="ar"/>
              </w:rPr>
              <w:t>）</w:t>
            </w:r>
            <w:r>
              <w:rPr>
                <w:szCs w:val="21"/>
                <w:lang w:bidi="ar"/>
              </w:rPr>
              <w:t>2类标准。根据本项目设计资料，本项目属于城市</w:t>
            </w:r>
            <w:r>
              <w:rPr>
                <w:rFonts w:hint="eastAsia"/>
                <w:szCs w:val="21"/>
                <w:lang w:bidi="ar"/>
              </w:rPr>
              <w:t>主</w:t>
            </w:r>
            <w:r>
              <w:rPr>
                <w:szCs w:val="21"/>
                <w:lang w:bidi="ar"/>
              </w:rPr>
              <w:t>干路，则该道路道路边界线两侧35m范围内执行4a类标准，其它区域执行2类标准；具体标准限值详见</w:t>
            </w:r>
            <w:r>
              <w:rPr>
                <w:rFonts w:hint="eastAsia"/>
                <w:szCs w:val="21"/>
                <w:lang w:bidi="ar"/>
              </w:rPr>
              <w:t>下表</w:t>
            </w:r>
            <w:r>
              <w:rPr>
                <w:szCs w:val="21"/>
                <w:lang w:bidi="ar"/>
              </w:rPr>
              <w:t>。</w:t>
            </w:r>
          </w:p>
          <w:p w14:paraId="6718F9B2">
            <w:pPr>
              <w:autoSpaceDE w:val="0"/>
              <w:autoSpaceDN w:val="0"/>
              <w:adjustRightInd w:val="0"/>
              <w:snapToGrid w:val="0"/>
              <w:spacing w:line="360" w:lineRule="auto"/>
              <w:jc w:val="center"/>
              <w:rPr>
                <w:b/>
                <w:bCs/>
                <w:kern w:val="0"/>
                <w:szCs w:val="21"/>
              </w:rPr>
            </w:pPr>
            <w:r>
              <w:rPr>
                <w:b/>
                <w:bCs/>
                <w:kern w:val="0"/>
                <w:szCs w:val="21"/>
              </w:rPr>
              <w:t>表3-</w:t>
            </w:r>
            <w:r>
              <w:rPr>
                <w:rFonts w:hint="eastAsia"/>
                <w:b/>
                <w:bCs/>
                <w:kern w:val="0"/>
                <w:szCs w:val="21"/>
              </w:rPr>
              <w:t>5</w:t>
            </w:r>
            <w:r>
              <w:rPr>
                <w:b/>
                <w:bCs/>
                <w:kern w:val="0"/>
                <w:szCs w:val="21"/>
              </w:rPr>
              <w:t xml:space="preserve"> 声环境质量标准限值 单位：dB（A）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7"/>
              <w:gridCol w:w="2357"/>
              <w:gridCol w:w="2358"/>
              <w:gridCol w:w="2358"/>
            </w:tblGrid>
            <w:tr w14:paraId="64512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tcBorders>
                    <w:top w:val="single" w:color="auto" w:sz="18" w:space="0"/>
                  </w:tcBorders>
                  <w:shd w:val="clear" w:color="auto" w:fill="auto"/>
                  <w:vAlign w:val="center"/>
                </w:tcPr>
                <w:p w14:paraId="0C93C64A">
                  <w:pPr>
                    <w:jc w:val="center"/>
                    <w:rPr>
                      <w:b/>
                      <w:bCs/>
                      <w:szCs w:val="21"/>
                    </w:rPr>
                  </w:pPr>
                  <w:r>
                    <w:rPr>
                      <w:b/>
                      <w:bCs/>
                      <w:szCs w:val="21"/>
                      <w:lang w:bidi="ar"/>
                    </w:rPr>
                    <w:t>执行标准</w:t>
                  </w:r>
                </w:p>
              </w:tc>
              <w:tc>
                <w:tcPr>
                  <w:tcW w:w="1250" w:type="pct"/>
                  <w:tcBorders>
                    <w:top w:val="single" w:color="auto" w:sz="18" w:space="0"/>
                  </w:tcBorders>
                  <w:shd w:val="clear" w:color="auto" w:fill="auto"/>
                  <w:vAlign w:val="center"/>
                </w:tcPr>
                <w:p w14:paraId="119AA83F">
                  <w:pPr>
                    <w:jc w:val="center"/>
                    <w:rPr>
                      <w:b/>
                      <w:bCs/>
                      <w:szCs w:val="21"/>
                    </w:rPr>
                  </w:pPr>
                  <w:r>
                    <w:rPr>
                      <w:b/>
                      <w:bCs/>
                      <w:szCs w:val="21"/>
                      <w:lang w:bidi="ar"/>
                    </w:rPr>
                    <w:t>类别</w:t>
                  </w:r>
                </w:p>
              </w:tc>
              <w:tc>
                <w:tcPr>
                  <w:tcW w:w="1250" w:type="pct"/>
                  <w:tcBorders>
                    <w:top w:val="single" w:color="auto" w:sz="18" w:space="0"/>
                  </w:tcBorders>
                  <w:shd w:val="clear" w:color="auto" w:fill="auto"/>
                  <w:vAlign w:val="center"/>
                </w:tcPr>
                <w:p w14:paraId="61DE4D86">
                  <w:pPr>
                    <w:jc w:val="center"/>
                    <w:rPr>
                      <w:b/>
                      <w:bCs/>
                      <w:szCs w:val="21"/>
                    </w:rPr>
                  </w:pPr>
                  <w:r>
                    <w:rPr>
                      <w:b/>
                      <w:bCs/>
                      <w:szCs w:val="21"/>
                      <w:lang w:bidi="ar"/>
                    </w:rPr>
                    <w:t>昼间</w:t>
                  </w:r>
                </w:p>
              </w:tc>
              <w:tc>
                <w:tcPr>
                  <w:tcW w:w="1250" w:type="pct"/>
                  <w:tcBorders>
                    <w:top w:val="single" w:color="auto" w:sz="18" w:space="0"/>
                  </w:tcBorders>
                  <w:shd w:val="clear" w:color="auto" w:fill="auto"/>
                  <w:vAlign w:val="center"/>
                </w:tcPr>
                <w:p w14:paraId="5D214A48">
                  <w:pPr>
                    <w:jc w:val="center"/>
                    <w:rPr>
                      <w:b/>
                      <w:bCs/>
                      <w:szCs w:val="21"/>
                    </w:rPr>
                  </w:pPr>
                  <w:r>
                    <w:rPr>
                      <w:b/>
                      <w:bCs/>
                      <w:szCs w:val="21"/>
                      <w:lang w:bidi="ar"/>
                    </w:rPr>
                    <w:t>夜间</w:t>
                  </w:r>
                </w:p>
              </w:tc>
            </w:tr>
            <w:tr w14:paraId="019E2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vMerge w:val="restart"/>
                  <w:shd w:val="clear" w:color="auto" w:fill="auto"/>
                  <w:vAlign w:val="center"/>
                </w:tcPr>
                <w:p w14:paraId="40C395BA">
                  <w:pPr>
                    <w:jc w:val="center"/>
                    <w:rPr>
                      <w:szCs w:val="21"/>
                    </w:rPr>
                  </w:pPr>
                  <w:r>
                    <w:rPr>
                      <w:rFonts w:hint="eastAsia"/>
                      <w:szCs w:val="21"/>
                      <w:lang w:bidi="ar"/>
                    </w:rPr>
                    <w:t>《声环境质量标准》（</w:t>
                  </w:r>
                  <w:r>
                    <w:rPr>
                      <w:szCs w:val="21"/>
                      <w:lang w:bidi="ar"/>
                    </w:rPr>
                    <w:t>GB3096-2008</w:t>
                  </w:r>
                  <w:r>
                    <w:rPr>
                      <w:rFonts w:hint="eastAsia"/>
                      <w:szCs w:val="21"/>
                      <w:lang w:bidi="ar"/>
                    </w:rPr>
                    <w:t>）</w:t>
                  </w:r>
                </w:p>
              </w:tc>
              <w:tc>
                <w:tcPr>
                  <w:tcW w:w="1250" w:type="pct"/>
                  <w:shd w:val="clear" w:color="auto" w:fill="auto"/>
                  <w:vAlign w:val="center"/>
                </w:tcPr>
                <w:p w14:paraId="0559CC26">
                  <w:pPr>
                    <w:jc w:val="center"/>
                    <w:rPr>
                      <w:szCs w:val="21"/>
                    </w:rPr>
                  </w:pPr>
                  <w:r>
                    <w:rPr>
                      <w:szCs w:val="21"/>
                      <w:lang w:bidi="ar"/>
                    </w:rPr>
                    <w:t>2类</w:t>
                  </w:r>
                </w:p>
              </w:tc>
              <w:tc>
                <w:tcPr>
                  <w:tcW w:w="1250" w:type="pct"/>
                  <w:shd w:val="clear" w:color="auto" w:fill="auto"/>
                  <w:vAlign w:val="center"/>
                </w:tcPr>
                <w:p w14:paraId="7C74C9F1">
                  <w:pPr>
                    <w:jc w:val="center"/>
                    <w:rPr>
                      <w:szCs w:val="21"/>
                    </w:rPr>
                  </w:pPr>
                  <w:r>
                    <w:rPr>
                      <w:szCs w:val="21"/>
                      <w:lang w:bidi="ar"/>
                    </w:rPr>
                    <w:t>60</w:t>
                  </w:r>
                </w:p>
              </w:tc>
              <w:tc>
                <w:tcPr>
                  <w:tcW w:w="1250" w:type="pct"/>
                  <w:shd w:val="clear" w:color="auto" w:fill="auto"/>
                  <w:vAlign w:val="center"/>
                </w:tcPr>
                <w:p w14:paraId="602E70FD">
                  <w:pPr>
                    <w:jc w:val="center"/>
                    <w:rPr>
                      <w:szCs w:val="21"/>
                    </w:rPr>
                  </w:pPr>
                  <w:r>
                    <w:rPr>
                      <w:szCs w:val="21"/>
                      <w:lang w:bidi="ar"/>
                    </w:rPr>
                    <w:t>50</w:t>
                  </w:r>
                </w:p>
              </w:tc>
            </w:tr>
            <w:tr w14:paraId="7F543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vMerge w:val="continue"/>
                  <w:tcBorders>
                    <w:bottom w:val="single" w:color="auto" w:sz="18" w:space="0"/>
                  </w:tcBorders>
                  <w:shd w:val="clear" w:color="auto" w:fill="auto"/>
                  <w:vAlign w:val="center"/>
                </w:tcPr>
                <w:p w14:paraId="03A62A08">
                  <w:pPr>
                    <w:jc w:val="center"/>
                    <w:rPr>
                      <w:szCs w:val="21"/>
                    </w:rPr>
                  </w:pPr>
                </w:p>
              </w:tc>
              <w:tc>
                <w:tcPr>
                  <w:tcW w:w="1250" w:type="pct"/>
                  <w:tcBorders>
                    <w:bottom w:val="single" w:color="auto" w:sz="18" w:space="0"/>
                  </w:tcBorders>
                  <w:shd w:val="clear" w:color="auto" w:fill="auto"/>
                  <w:vAlign w:val="center"/>
                </w:tcPr>
                <w:p w14:paraId="7D8FA5B7">
                  <w:pPr>
                    <w:jc w:val="center"/>
                    <w:rPr>
                      <w:szCs w:val="21"/>
                    </w:rPr>
                  </w:pPr>
                  <w:r>
                    <w:rPr>
                      <w:szCs w:val="21"/>
                      <w:lang w:bidi="ar"/>
                    </w:rPr>
                    <w:t>4a类</w:t>
                  </w:r>
                </w:p>
              </w:tc>
              <w:tc>
                <w:tcPr>
                  <w:tcW w:w="1250" w:type="pct"/>
                  <w:tcBorders>
                    <w:bottom w:val="single" w:color="auto" w:sz="18" w:space="0"/>
                  </w:tcBorders>
                  <w:shd w:val="clear" w:color="auto" w:fill="auto"/>
                  <w:vAlign w:val="center"/>
                </w:tcPr>
                <w:p w14:paraId="66E980F4">
                  <w:pPr>
                    <w:jc w:val="center"/>
                    <w:rPr>
                      <w:szCs w:val="21"/>
                    </w:rPr>
                  </w:pPr>
                  <w:r>
                    <w:rPr>
                      <w:szCs w:val="21"/>
                      <w:lang w:bidi="ar"/>
                    </w:rPr>
                    <w:t>70</w:t>
                  </w:r>
                </w:p>
              </w:tc>
              <w:tc>
                <w:tcPr>
                  <w:tcW w:w="1250" w:type="pct"/>
                  <w:tcBorders>
                    <w:bottom w:val="single" w:color="auto" w:sz="18" w:space="0"/>
                  </w:tcBorders>
                  <w:shd w:val="clear" w:color="auto" w:fill="auto"/>
                  <w:vAlign w:val="center"/>
                </w:tcPr>
                <w:p w14:paraId="16C7181B">
                  <w:pPr>
                    <w:jc w:val="center"/>
                    <w:rPr>
                      <w:szCs w:val="21"/>
                    </w:rPr>
                  </w:pPr>
                  <w:r>
                    <w:rPr>
                      <w:szCs w:val="21"/>
                      <w:lang w:bidi="ar"/>
                    </w:rPr>
                    <w:t>55</w:t>
                  </w:r>
                </w:p>
              </w:tc>
            </w:tr>
          </w:tbl>
          <w:p w14:paraId="638EEC89">
            <w:pPr>
              <w:spacing w:line="500" w:lineRule="exact"/>
              <w:ind w:firstLine="422" w:firstLineChars="200"/>
              <w:jc w:val="left"/>
              <w:rPr>
                <w:b/>
                <w:bCs/>
                <w:szCs w:val="21"/>
                <w:lang w:bidi="ar"/>
              </w:rPr>
            </w:pPr>
            <w:r>
              <w:rPr>
                <w:rFonts w:hint="eastAsia"/>
                <w:b/>
                <w:bCs/>
                <w:szCs w:val="21"/>
                <w:lang w:bidi="ar"/>
              </w:rPr>
              <w:t>二</w:t>
            </w:r>
            <w:r>
              <w:rPr>
                <w:b/>
                <w:bCs/>
                <w:szCs w:val="21"/>
                <w:lang w:bidi="ar"/>
              </w:rPr>
              <w:t>、污染物排放标准</w:t>
            </w:r>
          </w:p>
          <w:p w14:paraId="2F698B5A">
            <w:pPr>
              <w:spacing w:line="500" w:lineRule="exact"/>
              <w:ind w:firstLine="422" w:firstLineChars="200"/>
              <w:jc w:val="left"/>
              <w:rPr>
                <w:b/>
                <w:szCs w:val="21"/>
              </w:rPr>
            </w:pPr>
            <w:r>
              <w:rPr>
                <w:rFonts w:hint="eastAsia"/>
                <w:b/>
                <w:szCs w:val="21"/>
                <w:lang w:bidi="ar"/>
              </w:rPr>
              <w:t>1、</w:t>
            </w:r>
            <w:r>
              <w:rPr>
                <w:b/>
                <w:szCs w:val="21"/>
                <w:lang w:bidi="ar"/>
              </w:rPr>
              <w:t>水污染物排放标准</w:t>
            </w:r>
          </w:p>
          <w:p w14:paraId="42530635">
            <w:pPr>
              <w:spacing w:line="500" w:lineRule="exact"/>
              <w:ind w:firstLine="422" w:firstLineChars="200"/>
              <w:jc w:val="left"/>
              <w:rPr>
                <w:szCs w:val="21"/>
                <w:lang w:bidi="ar"/>
              </w:rPr>
            </w:pPr>
            <w:r>
              <w:rPr>
                <w:rFonts w:hint="eastAsia"/>
                <w:b/>
                <w:bCs/>
                <w:szCs w:val="21"/>
                <w:lang w:bidi="ar"/>
              </w:rPr>
              <w:t>施工期：</w:t>
            </w:r>
            <w:r>
              <w:rPr>
                <w:szCs w:val="21"/>
                <w:lang w:bidi="ar"/>
              </w:rPr>
              <w:t>项目施工废水经沉淀处理后回用于道路洒水、施工降尘等，不外排；项目</w:t>
            </w:r>
            <w:r>
              <w:rPr>
                <w:rFonts w:hint="eastAsia"/>
                <w:szCs w:val="21"/>
                <w:lang w:bidi="ar"/>
              </w:rPr>
              <w:t>不设临时</w:t>
            </w:r>
            <w:r>
              <w:rPr>
                <w:szCs w:val="21"/>
                <w:lang w:bidi="ar"/>
              </w:rPr>
              <w:t>施工营地。施工现场设移动厕所，施工人员的粪便污水经移动厕所收集后委托有资质单位定期清运</w:t>
            </w:r>
            <w:r>
              <w:rPr>
                <w:rFonts w:hint="eastAsia"/>
                <w:szCs w:val="21"/>
                <w:lang w:bidi="ar"/>
              </w:rPr>
              <w:t>，达到广东省《水污染物排放限值》（D</w:t>
            </w:r>
            <w:r>
              <w:rPr>
                <w:szCs w:val="21"/>
                <w:lang w:bidi="ar"/>
              </w:rPr>
              <w:t>B44/26-2001</w:t>
            </w:r>
            <w:r>
              <w:rPr>
                <w:rFonts w:hint="eastAsia"/>
                <w:szCs w:val="21"/>
                <w:lang w:bidi="ar"/>
              </w:rPr>
              <w:t>）第二时段二级标准后进入污水处理厂处理达标后排放，</w:t>
            </w:r>
            <w:r>
              <w:rPr>
                <w:szCs w:val="21"/>
                <w:lang w:bidi="ar"/>
              </w:rPr>
              <w:t>不会对附近地表水体产生明显的影响。</w:t>
            </w:r>
          </w:p>
          <w:p w14:paraId="248EBB2F">
            <w:pPr>
              <w:spacing w:before="120" w:beforeLines="50"/>
              <w:jc w:val="center"/>
              <w:textAlignment w:val="baseline"/>
              <w:rPr>
                <w:b/>
                <w:kern w:val="0"/>
                <w:szCs w:val="21"/>
              </w:rPr>
            </w:pPr>
            <w:r>
              <w:rPr>
                <w:b/>
                <w:kern w:val="0"/>
                <w:szCs w:val="21"/>
              </w:rPr>
              <w:t>表3</w:t>
            </w:r>
            <w:r>
              <w:rPr>
                <w:rFonts w:hint="eastAsia"/>
                <w:b/>
                <w:kern w:val="0"/>
                <w:szCs w:val="21"/>
              </w:rPr>
              <w:t>-6</w:t>
            </w:r>
            <w:r>
              <w:rPr>
                <w:b/>
                <w:kern w:val="0"/>
                <w:szCs w:val="21"/>
              </w:rPr>
              <w:t xml:space="preserve">  </w:t>
            </w:r>
            <w:r>
              <w:rPr>
                <w:rFonts w:hint="eastAsia"/>
                <w:b/>
                <w:kern w:val="0"/>
                <w:szCs w:val="21"/>
              </w:rPr>
              <w:t>广东省《水污染物排放限值》（DB44/26-2001）（摘录）</w:t>
            </w:r>
            <w:r>
              <w:rPr>
                <w:b/>
                <w:kern w:val="0"/>
                <w:szCs w:val="21"/>
              </w:rPr>
              <w:t xml:space="preserve">  单位：mg/L </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8"/>
              <w:gridCol w:w="1508"/>
              <w:gridCol w:w="1506"/>
              <w:gridCol w:w="1508"/>
              <w:gridCol w:w="1504"/>
            </w:tblGrid>
            <w:tr w14:paraId="31889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3" w:type="pct"/>
                  <w:tcBorders>
                    <w:top w:val="single" w:color="auto" w:sz="18" w:space="0"/>
                  </w:tcBorders>
                  <w:shd w:val="clear" w:color="auto" w:fill="auto"/>
                  <w:vAlign w:val="center"/>
                </w:tcPr>
                <w:p w14:paraId="3DC0C820">
                  <w:pPr>
                    <w:jc w:val="center"/>
                    <w:rPr>
                      <w:b/>
                      <w:bCs/>
                      <w:szCs w:val="21"/>
                    </w:rPr>
                  </w:pPr>
                  <w:r>
                    <w:rPr>
                      <w:b/>
                      <w:bCs/>
                      <w:szCs w:val="21"/>
                    </w:rPr>
                    <w:t>污染物</w:t>
                  </w:r>
                </w:p>
              </w:tc>
              <w:tc>
                <w:tcPr>
                  <w:tcW w:w="834" w:type="pct"/>
                  <w:tcBorders>
                    <w:top w:val="single" w:color="auto" w:sz="18" w:space="0"/>
                  </w:tcBorders>
                  <w:shd w:val="clear" w:color="auto" w:fill="auto"/>
                  <w:vAlign w:val="center"/>
                </w:tcPr>
                <w:p w14:paraId="08DBA07D">
                  <w:pPr>
                    <w:jc w:val="center"/>
                    <w:rPr>
                      <w:b/>
                      <w:bCs/>
                      <w:szCs w:val="21"/>
                    </w:rPr>
                  </w:pPr>
                  <w:r>
                    <w:rPr>
                      <w:b/>
                      <w:bCs/>
                      <w:szCs w:val="21"/>
                    </w:rPr>
                    <w:t>COD</w:t>
                  </w:r>
                  <w:r>
                    <w:rPr>
                      <w:b/>
                      <w:bCs/>
                      <w:szCs w:val="21"/>
                      <w:vertAlign w:val="subscript"/>
                    </w:rPr>
                    <w:t>Cr</w:t>
                  </w:r>
                </w:p>
              </w:tc>
              <w:tc>
                <w:tcPr>
                  <w:tcW w:w="834" w:type="pct"/>
                  <w:tcBorders>
                    <w:top w:val="single" w:color="auto" w:sz="18" w:space="0"/>
                  </w:tcBorders>
                  <w:shd w:val="clear" w:color="auto" w:fill="auto"/>
                  <w:vAlign w:val="center"/>
                </w:tcPr>
                <w:p w14:paraId="528AC185">
                  <w:pPr>
                    <w:jc w:val="center"/>
                    <w:rPr>
                      <w:b/>
                      <w:bCs/>
                      <w:szCs w:val="21"/>
                    </w:rPr>
                  </w:pPr>
                  <w:r>
                    <w:rPr>
                      <w:b/>
                      <w:bCs/>
                      <w:szCs w:val="21"/>
                    </w:rPr>
                    <w:t>BOD</w:t>
                  </w:r>
                  <w:r>
                    <w:rPr>
                      <w:b/>
                      <w:bCs/>
                      <w:szCs w:val="21"/>
                      <w:vertAlign w:val="subscript"/>
                    </w:rPr>
                    <w:t>5</w:t>
                  </w:r>
                </w:p>
              </w:tc>
              <w:tc>
                <w:tcPr>
                  <w:tcW w:w="833" w:type="pct"/>
                  <w:tcBorders>
                    <w:top w:val="single" w:color="auto" w:sz="18" w:space="0"/>
                  </w:tcBorders>
                  <w:shd w:val="clear" w:color="auto" w:fill="auto"/>
                  <w:vAlign w:val="center"/>
                </w:tcPr>
                <w:p w14:paraId="444E468E">
                  <w:pPr>
                    <w:jc w:val="center"/>
                    <w:rPr>
                      <w:b/>
                      <w:bCs/>
                      <w:szCs w:val="21"/>
                    </w:rPr>
                  </w:pPr>
                  <w:r>
                    <w:rPr>
                      <w:b/>
                      <w:bCs/>
                      <w:szCs w:val="21"/>
                    </w:rPr>
                    <w:t>NH</w:t>
                  </w:r>
                  <w:r>
                    <w:rPr>
                      <w:b/>
                      <w:bCs/>
                      <w:szCs w:val="21"/>
                      <w:vertAlign w:val="subscript"/>
                    </w:rPr>
                    <w:t>3</w:t>
                  </w:r>
                  <w:r>
                    <w:rPr>
                      <w:b/>
                      <w:bCs/>
                      <w:szCs w:val="21"/>
                    </w:rPr>
                    <w:t>-N</w:t>
                  </w:r>
                </w:p>
              </w:tc>
              <w:tc>
                <w:tcPr>
                  <w:tcW w:w="834" w:type="pct"/>
                  <w:tcBorders>
                    <w:top w:val="single" w:color="auto" w:sz="18" w:space="0"/>
                  </w:tcBorders>
                  <w:shd w:val="clear" w:color="auto" w:fill="auto"/>
                  <w:vAlign w:val="center"/>
                </w:tcPr>
                <w:p w14:paraId="651F50EF">
                  <w:pPr>
                    <w:jc w:val="center"/>
                    <w:rPr>
                      <w:b/>
                      <w:bCs/>
                      <w:szCs w:val="21"/>
                    </w:rPr>
                  </w:pPr>
                  <w:r>
                    <w:rPr>
                      <w:b/>
                      <w:bCs/>
                      <w:szCs w:val="21"/>
                    </w:rPr>
                    <w:t>SS</w:t>
                  </w:r>
                </w:p>
              </w:tc>
              <w:tc>
                <w:tcPr>
                  <w:tcW w:w="834" w:type="pct"/>
                  <w:tcBorders>
                    <w:top w:val="single" w:color="auto" w:sz="18" w:space="0"/>
                  </w:tcBorders>
                  <w:shd w:val="clear" w:color="auto" w:fill="auto"/>
                  <w:vAlign w:val="center"/>
                </w:tcPr>
                <w:p w14:paraId="35DF673E">
                  <w:pPr>
                    <w:jc w:val="center"/>
                    <w:rPr>
                      <w:b/>
                      <w:bCs/>
                      <w:szCs w:val="21"/>
                    </w:rPr>
                  </w:pPr>
                  <w:r>
                    <w:rPr>
                      <w:rFonts w:hint="eastAsia"/>
                      <w:b/>
                      <w:bCs/>
                      <w:szCs w:val="21"/>
                    </w:rPr>
                    <w:t>石油类</w:t>
                  </w:r>
                </w:p>
              </w:tc>
            </w:tr>
            <w:tr w14:paraId="2602F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3" w:type="pct"/>
                  <w:tcBorders>
                    <w:bottom w:val="single" w:color="auto" w:sz="18" w:space="0"/>
                  </w:tcBorders>
                  <w:shd w:val="clear" w:color="auto" w:fill="auto"/>
                  <w:vAlign w:val="center"/>
                </w:tcPr>
                <w:p w14:paraId="27080FF2">
                  <w:pPr>
                    <w:jc w:val="center"/>
                    <w:rPr>
                      <w:szCs w:val="21"/>
                    </w:rPr>
                  </w:pPr>
                  <w:r>
                    <w:rPr>
                      <w:szCs w:val="21"/>
                    </w:rPr>
                    <w:t>（DB44/26-2001）第二时段三级标准</w:t>
                  </w:r>
                </w:p>
              </w:tc>
              <w:tc>
                <w:tcPr>
                  <w:tcW w:w="834" w:type="pct"/>
                  <w:tcBorders>
                    <w:bottom w:val="single" w:color="auto" w:sz="18" w:space="0"/>
                  </w:tcBorders>
                  <w:shd w:val="clear" w:color="auto" w:fill="auto"/>
                  <w:vAlign w:val="center"/>
                </w:tcPr>
                <w:p w14:paraId="4108643C">
                  <w:pPr>
                    <w:jc w:val="center"/>
                    <w:rPr>
                      <w:szCs w:val="21"/>
                    </w:rPr>
                  </w:pPr>
                  <w:r>
                    <w:rPr>
                      <w:szCs w:val="21"/>
                    </w:rPr>
                    <w:t>≤500</w:t>
                  </w:r>
                </w:p>
              </w:tc>
              <w:tc>
                <w:tcPr>
                  <w:tcW w:w="834" w:type="pct"/>
                  <w:tcBorders>
                    <w:bottom w:val="single" w:color="auto" w:sz="18" w:space="0"/>
                  </w:tcBorders>
                  <w:shd w:val="clear" w:color="auto" w:fill="auto"/>
                  <w:vAlign w:val="center"/>
                </w:tcPr>
                <w:p w14:paraId="05F0BC69">
                  <w:pPr>
                    <w:jc w:val="center"/>
                    <w:rPr>
                      <w:szCs w:val="21"/>
                    </w:rPr>
                  </w:pPr>
                  <w:r>
                    <w:rPr>
                      <w:szCs w:val="21"/>
                    </w:rPr>
                    <w:t>≤300</w:t>
                  </w:r>
                </w:p>
              </w:tc>
              <w:tc>
                <w:tcPr>
                  <w:tcW w:w="833" w:type="pct"/>
                  <w:tcBorders>
                    <w:bottom w:val="single" w:color="auto" w:sz="18" w:space="0"/>
                  </w:tcBorders>
                  <w:shd w:val="clear" w:color="auto" w:fill="auto"/>
                  <w:vAlign w:val="center"/>
                </w:tcPr>
                <w:p w14:paraId="648A3485">
                  <w:pPr>
                    <w:jc w:val="center"/>
                    <w:rPr>
                      <w:szCs w:val="21"/>
                    </w:rPr>
                  </w:pPr>
                  <w:r>
                    <w:rPr>
                      <w:rFonts w:hint="eastAsia"/>
                      <w:szCs w:val="21"/>
                    </w:rPr>
                    <w:t>/</w:t>
                  </w:r>
                </w:p>
              </w:tc>
              <w:tc>
                <w:tcPr>
                  <w:tcW w:w="834" w:type="pct"/>
                  <w:tcBorders>
                    <w:bottom w:val="single" w:color="auto" w:sz="18" w:space="0"/>
                  </w:tcBorders>
                  <w:shd w:val="clear" w:color="auto" w:fill="auto"/>
                  <w:vAlign w:val="center"/>
                </w:tcPr>
                <w:p w14:paraId="515BB648">
                  <w:pPr>
                    <w:jc w:val="center"/>
                    <w:rPr>
                      <w:szCs w:val="21"/>
                    </w:rPr>
                  </w:pPr>
                  <w:r>
                    <w:rPr>
                      <w:szCs w:val="21"/>
                    </w:rPr>
                    <w:t>≤400</w:t>
                  </w:r>
                </w:p>
              </w:tc>
              <w:tc>
                <w:tcPr>
                  <w:tcW w:w="834" w:type="pct"/>
                  <w:tcBorders>
                    <w:bottom w:val="single" w:color="auto" w:sz="18" w:space="0"/>
                  </w:tcBorders>
                  <w:shd w:val="clear" w:color="auto" w:fill="auto"/>
                  <w:vAlign w:val="center"/>
                </w:tcPr>
                <w:p w14:paraId="41849128">
                  <w:pPr>
                    <w:jc w:val="center"/>
                    <w:rPr>
                      <w:szCs w:val="21"/>
                    </w:rPr>
                  </w:pPr>
                  <w:r>
                    <w:rPr>
                      <w:szCs w:val="21"/>
                    </w:rPr>
                    <w:t>≤20</w:t>
                  </w:r>
                </w:p>
              </w:tc>
            </w:tr>
          </w:tbl>
          <w:p w14:paraId="355BAC12">
            <w:pPr>
              <w:spacing w:before="120" w:line="500" w:lineRule="exact"/>
              <w:ind w:firstLine="422" w:firstLineChars="200"/>
              <w:jc w:val="left"/>
              <w:rPr>
                <w:b/>
                <w:bCs/>
                <w:szCs w:val="21"/>
              </w:rPr>
            </w:pPr>
            <w:r>
              <w:rPr>
                <w:rFonts w:hint="eastAsia"/>
                <w:b/>
                <w:bCs/>
                <w:szCs w:val="21"/>
              </w:rPr>
              <w:t>运营期：</w:t>
            </w:r>
            <w:r>
              <w:rPr>
                <w:rFonts w:hint="eastAsia"/>
                <w:kern w:val="0"/>
                <w:szCs w:val="21"/>
              </w:rPr>
              <w:t>项目运营期不产生生产废水，雨水经雨水管网排入附近的白石排洪渠。</w:t>
            </w:r>
          </w:p>
          <w:p w14:paraId="0AD0AF3B">
            <w:pPr>
              <w:spacing w:line="500" w:lineRule="exact"/>
              <w:ind w:firstLine="422" w:firstLineChars="200"/>
              <w:jc w:val="left"/>
              <w:rPr>
                <w:b/>
                <w:szCs w:val="21"/>
              </w:rPr>
            </w:pPr>
            <w:r>
              <w:rPr>
                <w:b/>
                <w:szCs w:val="21"/>
                <w:lang w:bidi="ar"/>
              </w:rPr>
              <w:t>2</w:t>
            </w:r>
            <w:r>
              <w:rPr>
                <w:rFonts w:hint="eastAsia"/>
                <w:b/>
                <w:szCs w:val="21"/>
                <w:lang w:bidi="ar"/>
              </w:rPr>
              <w:t>、</w:t>
            </w:r>
            <w:r>
              <w:rPr>
                <w:b/>
                <w:szCs w:val="21"/>
                <w:lang w:bidi="ar"/>
              </w:rPr>
              <w:t>大气污染物排放标准</w:t>
            </w:r>
          </w:p>
          <w:p w14:paraId="22962322">
            <w:pPr>
              <w:spacing w:line="500" w:lineRule="exact"/>
              <w:ind w:firstLine="420" w:firstLineChars="200"/>
              <w:jc w:val="left"/>
              <w:rPr>
                <w:szCs w:val="21"/>
                <w:lang w:bidi="ar"/>
              </w:rPr>
            </w:pPr>
            <w:r>
              <w:rPr>
                <w:rFonts w:hint="eastAsia"/>
                <w:szCs w:val="21"/>
                <w:lang w:bidi="ar"/>
              </w:rPr>
              <w:t>施工期大气污染物主要来源于施工期车辆运输、施工扬尘及运输车辆、施工机械废气，主要为颗粒物、氮氧化物、一氧化碳、沥青烟等的排放，执行广东省《大气污染物排放限值》（DB44/27-2001）第二时段无组织排放监控浓度限值。</w:t>
            </w:r>
            <w:r>
              <w:rPr>
                <w:szCs w:val="21"/>
                <w:lang w:bidi="ar"/>
              </w:rPr>
              <w:t>详见</w:t>
            </w:r>
            <w:r>
              <w:rPr>
                <w:rFonts w:hint="eastAsia"/>
                <w:szCs w:val="21"/>
                <w:lang w:bidi="ar"/>
              </w:rPr>
              <w:t>下表</w:t>
            </w:r>
            <w:r>
              <w:rPr>
                <w:szCs w:val="21"/>
                <w:lang w:bidi="ar"/>
              </w:rPr>
              <w:t>。</w:t>
            </w:r>
          </w:p>
          <w:p w14:paraId="5600C219">
            <w:pPr>
              <w:autoSpaceDE w:val="0"/>
              <w:autoSpaceDN w:val="0"/>
              <w:adjustRightInd w:val="0"/>
              <w:snapToGrid w:val="0"/>
              <w:spacing w:before="120" w:beforeLines="50" w:line="360" w:lineRule="auto"/>
              <w:jc w:val="center"/>
              <w:rPr>
                <w:b/>
                <w:bCs/>
                <w:kern w:val="0"/>
                <w:szCs w:val="21"/>
              </w:rPr>
            </w:pPr>
            <w:r>
              <w:rPr>
                <w:b/>
                <w:bCs/>
                <w:kern w:val="0"/>
                <w:szCs w:val="21"/>
              </w:rPr>
              <w:t>表3-</w:t>
            </w:r>
            <w:r>
              <w:rPr>
                <w:rFonts w:hint="eastAsia"/>
                <w:b/>
                <w:bCs/>
                <w:kern w:val="0"/>
                <w:szCs w:val="21"/>
              </w:rPr>
              <w:t>7</w:t>
            </w:r>
            <w:r>
              <w:rPr>
                <w:b/>
                <w:bCs/>
                <w:kern w:val="0"/>
                <w:szCs w:val="21"/>
              </w:rPr>
              <w:t xml:space="preserve"> 大气污染物排放限值</w:t>
            </w:r>
          </w:p>
          <w:tbl>
            <w:tblPr>
              <w:tblStyle w:val="33"/>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4724"/>
              <w:gridCol w:w="3293"/>
            </w:tblGrid>
            <w:tr w14:paraId="206B433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49" w:type="pct"/>
                  <w:tcBorders>
                    <w:top w:val="single" w:color="auto" w:sz="18" w:space="0"/>
                  </w:tcBorders>
                  <w:vAlign w:val="center"/>
                </w:tcPr>
                <w:p w14:paraId="2D431B4B">
                  <w:pPr>
                    <w:jc w:val="center"/>
                    <w:rPr>
                      <w:b/>
                      <w:bCs/>
                      <w:szCs w:val="21"/>
                    </w:rPr>
                  </w:pPr>
                  <w:r>
                    <w:rPr>
                      <w:b/>
                      <w:bCs/>
                      <w:szCs w:val="21"/>
                      <w:lang w:bidi="ar"/>
                    </w:rPr>
                    <w:t>污染物</w:t>
                  </w:r>
                </w:p>
              </w:tc>
              <w:tc>
                <w:tcPr>
                  <w:tcW w:w="2505" w:type="pct"/>
                  <w:tcBorders>
                    <w:top w:val="single" w:color="auto" w:sz="18" w:space="0"/>
                  </w:tcBorders>
                  <w:vAlign w:val="center"/>
                </w:tcPr>
                <w:p w14:paraId="0F899114">
                  <w:pPr>
                    <w:jc w:val="center"/>
                    <w:rPr>
                      <w:b/>
                      <w:bCs/>
                      <w:szCs w:val="21"/>
                    </w:rPr>
                  </w:pPr>
                  <w:r>
                    <w:rPr>
                      <w:b/>
                      <w:bCs/>
                      <w:szCs w:val="21"/>
                      <w:lang w:bidi="ar"/>
                    </w:rPr>
                    <w:t>监控点</w:t>
                  </w:r>
                </w:p>
              </w:tc>
              <w:tc>
                <w:tcPr>
                  <w:tcW w:w="1746" w:type="pct"/>
                  <w:tcBorders>
                    <w:top w:val="single" w:color="auto" w:sz="18" w:space="0"/>
                  </w:tcBorders>
                  <w:vAlign w:val="center"/>
                </w:tcPr>
                <w:p w14:paraId="4AAA7389">
                  <w:pPr>
                    <w:jc w:val="center"/>
                    <w:rPr>
                      <w:b/>
                      <w:bCs/>
                      <w:szCs w:val="21"/>
                    </w:rPr>
                  </w:pPr>
                  <w:r>
                    <w:rPr>
                      <w:b/>
                      <w:bCs/>
                      <w:szCs w:val="21"/>
                      <w:lang w:bidi="ar"/>
                    </w:rPr>
                    <w:t>无组织排放监控浓度限值（mg/m</w:t>
                  </w:r>
                  <w:r>
                    <w:rPr>
                      <w:b/>
                      <w:bCs/>
                      <w:szCs w:val="21"/>
                      <w:vertAlign w:val="superscript"/>
                      <w:lang w:bidi="ar"/>
                    </w:rPr>
                    <w:t>3</w:t>
                  </w:r>
                  <w:r>
                    <w:rPr>
                      <w:b/>
                      <w:bCs/>
                      <w:szCs w:val="21"/>
                      <w:lang w:bidi="ar"/>
                    </w:rPr>
                    <w:t>）</w:t>
                  </w:r>
                </w:p>
              </w:tc>
            </w:tr>
            <w:tr w14:paraId="16A9AA9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pct"/>
                  <w:vAlign w:val="center"/>
                </w:tcPr>
                <w:p w14:paraId="25572ADA">
                  <w:pPr>
                    <w:jc w:val="center"/>
                    <w:rPr>
                      <w:szCs w:val="21"/>
                    </w:rPr>
                  </w:pPr>
                  <w:r>
                    <w:rPr>
                      <w:szCs w:val="21"/>
                      <w:lang w:bidi="ar"/>
                    </w:rPr>
                    <w:t>颗粒物</w:t>
                  </w:r>
                </w:p>
              </w:tc>
              <w:tc>
                <w:tcPr>
                  <w:tcW w:w="2505" w:type="pct"/>
                  <w:vMerge w:val="restart"/>
                  <w:vAlign w:val="center"/>
                </w:tcPr>
                <w:p w14:paraId="363A42F8">
                  <w:pPr>
                    <w:jc w:val="center"/>
                    <w:rPr>
                      <w:szCs w:val="21"/>
                    </w:rPr>
                  </w:pPr>
                  <w:r>
                    <w:rPr>
                      <w:szCs w:val="21"/>
                      <w:lang w:bidi="ar"/>
                    </w:rPr>
                    <w:t>周围外浓度最高点</w:t>
                  </w:r>
                </w:p>
              </w:tc>
              <w:tc>
                <w:tcPr>
                  <w:tcW w:w="1746" w:type="pct"/>
                  <w:vAlign w:val="center"/>
                </w:tcPr>
                <w:p w14:paraId="4E237E57">
                  <w:pPr>
                    <w:jc w:val="center"/>
                    <w:rPr>
                      <w:szCs w:val="21"/>
                    </w:rPr>
                  </w:pPr>
                  <w:r>
                    <w:rPr>
                      <w:szCs w:val="21"/>
                      <w:lang w:bidi="ar"/>
                    </w:rPr>
                    <w:t>1.0</w:t>
                  </w:r>
                </w:p>
              </w:tc>
            </w:tr>
            <w:tr w14:paraId="5CF5013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pct"/>
                  <w:vAlign w:val="center"/>
                </w:tcPr>
                <w:p w14:paraId="2A321A70">
                  <w:pPr>
                    <w:jc w:val="center"/>
                    <w:rPr>
                      <w:szCs w:val="21"/>
                    </w:rPr>
                  </w:pPr>
                  <w:r>
                    <w:rPr>
                      <w:szCs w:val="21"/>
                      <w:lang w:bidi="ar"/>
                    </w:rPr>
                    <w:t>氮氧化物</w:t>
                  </w:r>
                </w:p>
              </w:tc>
              <w:tc>
                <w:tcPr>
                  <w:tcW w:w="2505" w:type="pct"/>
                  <w:vMerge w:val="continue"/>
                  <w:vAlign w:val="center"/>
                </w:tcPr>
                <w:p w14:paraId="455CAA5F">
                  <w:pPr>
                    <w:jc w:val="center"/>
                    <w:rPr>
                      <w:szCs w:val="21"/>
                    </w:rPr>
                  </w:pPr>
                </w:p>
              </w:tc>
              <w:tc>
                <w:tcPr>
                  <w:tcW w:w="1746" w:type="pct"/>
                  <w:vAlign w:val="center"/>
                </w:tcPr>
                <w:p w14:paraId="7081A01F">
                  <w:pPr>
                    <w:jc w:val="center"/>
                    <w:rPr>
                      <w:szCs w:val="21"/>
                    </w:rPr>
                  </w:pPr>
                  <w:r>
                    <w:rPr>
                      <w:szCs w:val="21"/>
                      <w:lang w:bidi="ar"/>
                    </w:rPr>
                    <w:t>0.12</w:t>
                  </w:r>
                </w:p>
              </w:tc>
            </w:tr>
            <w:tr w14:paraId="5E6689F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pct"/>
                  <w:vAlign w:val="center"/>
                </w:tcPr>
                <w:p w14:paraId="7B0DE297">
                  <w:pPr>
                    <w:jc w:val="center"/>
                    <w:rPr>
                      <w:szCs w:val="21"/>
                    </w:rPr>
                  </w:pPr>
                  <w:r>
                    <w:rPr>
                      <w:szCs w:val="21"/>
                      <w:lang w:bidi="ar"/>
                    </w:rPr>
                    <w:t>一氧化碳</w:t>
                  </w:r>
                </w:p>
              </w:tc>
              <w:tc>
                <w:tcPr>
                  <w:tcW w:w="2505" w:type="pct"/>
                  <w:vMerge w:val="continue"/>
                  <w:vAlign w:val="center"/>
                </w:tcPr>
                <w:p w14:paraId="02D10997">
                  <w:pPr>
                    <w:rPr>
                      <w:szCs w:val="21"/>
                    </w:rPr>
                  </w:pPr>
                </w:p>
              </w:tc>
              <w:tc>
                <w:tcPr>
                  <w:tcW w:w="1746" w:type="pct"/>
                  <w:vAlign w:val="center"/>
                </w:tcPr>
                <w:p w14:paraId="1FAA5593">
                  <w:pPr>
                    <w:jc w:val="center"/>
                    <w:rPr>
                      <w:szCs w:val="21"/>
                    </w:rPr>
                  </w:pPr>
                  <w:r>
                    <w:rPr>
                      <w:szCs w:val="21"/>
                      <w:lang w:bidi="ar"/>
                    </w:rPr>
                    <w:t>8</w:t>
                  </w:r>
                </w:p>
              </w:tc>
            </w:tr>
            <w:tr w14:paraId="77FBEA1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pct"/>
                  <w:tcBorders>
                    <w:bottom w:val="single" w:color="auto" w:sz="18" w:space="0"/>
                  </w:tcBorders>
                  <w:vAlign w:val="center"/>
                </w:tcPr>
                <w:p w14:paraId="7B11A2AD">
                  <w:pPr>
                    <w:jc w:val="center"/>
                    <w:rPr>
                      <w:szCs w:val="21"/>
                      <w:lang w:bidi="ar"/>
                    </w:rPr>
                  </w:pPr>
                  <w:r>
                    <w:rPr>
                      <w:szCs w:val="21"/>
                      <w:lang w:bidi="ar"/>
                    </w:rPr>
                    <w:t>沥青烟</w:t>
                  </w:r>
                </w:p>
              </w:tc>
              <w:tc>
                <w:tcPr>
                  <w:tcW w:w="2505" w:type="pct"/>
                  <w:tcBorders>
                    <w:bottom w:val="single" w:color="auto" w:sz="18" w:space="0"/>
                  </w:tcBorders>
                  <w:vAlign w:val="center"/>
                </w:tcPr>
                <w:p w14:paraId="0E1FCF9F">
                  <w:pPr>
                    <w:jc w:val="center"/>
                    <w:rPr>
                      <w:szCs w:val="21"/>
                    </w:rPr>
                  </w:pPr>
                  <w:r>
                    <w:rPr>
                      <w:szCs w:val="21"/>
                      <w:lang w:bidi="ar"/>
                    </w:rPr>
                    <w:t>不得有明显的无组织排放存在</w:t>
                  </w:r>
                </w:p>
              </w:tc>
              <w:tc>
                <w:tcPr>
                  <w:tcW w:w="1746" w:type="pct"/>
                  <w:tcBorders>
                    <w:bottom w:val="single" w:color="auto" w:sz="18" w:space="0"/>
                  </w:tcBorders>
                  <w:vAlign w:val="center"/>
                </w:tcPr>
                <w:p w14:paraId="11106D73">
                  <w:pPr>
                    <w:jc w:val="center"/>
                    <w:rPr>
                      <w:szCs w:val="21"/>
                      <w:lang w:bidi="ar"/>
                    </w:rPr>
                  </w:pPr>
                  <w:r>
                    <w:rPr>
                      <w:szCs w:val="21"/>
                      <w:lang w:bidi="ar"/>
                    </w:rPr>
                    <w:t>/</w:t>
                  </w:r>
                </w:p>
              </w:tc>
            </w:tr>
          </w:tbl>
          <w:p w14:paraId="603D6F6C">
            <w:pPr>
              <w:spacing w:line="500" w:lineRule="exact"/>
              <w:ind w:firstLine="422" w:firstLineChars="200"/>
              <w:jc w:val="left"/>
              <w:rPr>
                <w:b/>
                <w:bCs/>
                <w:szCs w:val="21"/>
              </w:rPr>
            </w:pPr>
            <w:r>
              <w:rPr>
                <w:b/>
                <w:bCs/>
                <w:szCs w:val="21"/>
                <w:lang w:bidi="ar"/>
              </w:rPr>
              <w:t>3</w:t>
            </w:r>
            <w:r>
              <w:rPr>
                <w:rFonts w:hint="eastAsia"/>
                <w:b/>
                <w:bCs/>
                <w:szCs w:val="21"/>
                <w:lang w:bidi="ar"/>
              </w:rPr>
              <w:t>、</w:t>
            </w:r>
            <w:r>
              <w:rPr>
                <w:b/>
                <w:bCs/>
                <w:szCs w:val="21"/>
                <w:lang w:bidi="ar"/>
              </w:rPr>
              <w:t>噪声</w:t>
            </w:r>
          </w:p>
          <w:p w14:paraId="645FFBEE">
            <w:pPr>
              <w:spacing w:line="500" w:lineRule="exact"/>
              <w:ind w:firstLine="422" w:firstLineChars="200"/>
              <w:jc w:val="left"/>
              <w:rPr>
                <w:szCs w:val="21"/>
                <w:lang w:bidi="ar"/>
              </w:rPr>
            </w:pPr>
            <w:r>
              <w:rPr>
                <w:b/>
                <w:bCs/>
                <w:szCs w:val="21"/>
                <w:lang w:bidi="ar"/>
              </w:rPr>
              <w:t>施工期</w:t>
            </w:r>
            <w:r>
              <w:rPr>
                <w:rFonts w:hint="eastAsia"/>
                <w:szCs w:val="21"/>
                <w:lang w:bidi="ar"/>
              </w:rPr>
              <w:t>：施工期</w:t>
            </w:r>
            <w:r>
              <w:rPr>
                <w:szCs w:val="21"/>
                <w:lang w:bidi="ar"/>
              </w:rPr>
              <w:t>噪声执行《建筑施工场界环境噪声排放标准》(GB12523-2011)；</w:t>
            </w:r>
          </w:p>
          <w:p w14:paraId="07B114A9">
            <w:pPr>
              <w:spacing w:line="500" w:lineRule="exact"/>
              <w:ind w:firstLine="422" w:firstLineChars="200"/>
              <w:jc w:val="left"/>
              <w:rPr>
                <w:szCs w:val="21"/>
                <w:lang w:bidi="ar"/>
              </w:rPr>
            </w:pPr>
            <w:r>
              <w:rPr>
                <w:b/>
                <w:bCs/>
                <w:szCs w:val="21"/>
                <w:lang w:bidi="ar"/>
              </w:rPr>
              <w:t>运营期</w:t>
            </w:r>
            <w:r>
              <w:rPr>
                <w:rFonts w:hint="eastAsia"/>
                <w:b/>
                <w:bCs/>
                <w:szCs w:val="21"/>
                <w:lang w:bidi="ar"/>
              </w:rPr>
              <w:t>：</w:t>
            </w:r>
            <w:r>
              <w:rPr>
                <w:rFonts w:hint="eastAsia"/>
                <w:szCs w:val="21"/>
                <w:lang w:bidi="ar"/>
              </w:rPr>
              <w:t>本项目运营期</w:t>
            </w:r>
            <w:r>
              <w:rPr>
                <w:szCs w:val="21"/>
                <w:lang w:bidi="ar"/>
              </w:rPr>
              <w:t>在</w:t>
            </w:r>
            <w:r>
              <w:rPr>
                <w:rFonts w:hint="eastAsia"/>
                <w:szCs w:val="21"/>
                <w:lang w:bidi="ar"/>
              </w:rPr>
              <w:t>沿线相邻区域为2类声环境功能区的以交通干线边界外35m内及临街建筑(楼层3层及以上)面向交通干线一侧至交通干线边界线的区域定为4a类声环境功能区，执行《声环境质量标准》（GB3096-2008）的4a类标准。其他区域为2类区。敏感点室内声环境执行《建筑环境通用规范》（GB55016-2021） 中的建筑物外部噪声源传播至主要功能房间室内的噪声限值。项目施工期噪声执行《建筑施工场界环境噪声排放标准》(GB12523-2011)</w:t>
            </w:r>
            <w:r>
              <w:rPr>
                <w:szCs w:val="21"/>
                <w:lang w:bidi="ar"/>
              </w:rPr>
              <w:t>。具体排放限值见</w:t>
            </w:r>
            <w:r>
              <w:rPr>
                <w:rFonts w:hint="eastAsia"/>
                <w:szCs w:val="21"/>
                <w:lang w:bidi="ar"/>
              </w:rPr>
              <w:t>下表</w:t>
            </w:r>
            <w:r>
              <w:rPr>
                <w:szCs w:val="21"/>
                <w:lang w:bidi="ar"/>
              </w:rPr>
              <w:t>。</w:t>
            </w:r>
          </w:p>
          <w:p w14:paraId="49D5FEAC">
            <w:pPr>
              <w:autoSpaceDE w:val="0"/>
              <w:autoSpaceDN w:val="0"/>
              <w:adjustRightInd w:val="0"/>
              <w:snapToGrid w:val="0"/>
              <w:spacing w:before="120" w:beforeLines="50" w:line="360" w:lineRule="auto"/>
              <w:jc w:val="center"/>
              <w:rPr>
                <w:b/>
                <w:bCs/>
                <w:kern w:val="0"/>
                <w:szCs w:val="21"/>
              </w:rPr>
            </w:pPr>
            <w:r>
              <w:rPr>
                <w:b/>
                <w:bCs/>
                <w:kern w:val="0"/>
                <w:szCs w:val="21"/>
              </w:rPr>
              <w:t>表3-</w:t>
            </w:r>
            <w:r>
              <w:rPr>
                <w:rFonts w:hint="eastAsia"/>
                <w:b/>
                <w:bCs/>
                <w:kern w:val="0"/>
                <w:szCs w:val="21"/>
              </w:rPr>
              <w:t>8</w:t>
            </w:r>
            <w:r>
              <w:rPr>
                <w:b/>
                <w:bCs/>
                <w:kern w:val="0"/>
                <w:szCs w:val="21"/>
              </w:rPr>
              <w:t xml:space="preserve">  噪声排放限值 单位：dB（A）</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2733"/>
              <w:gridCol w:w="2678"/>
              <w:gridCol w:w="1343"/>
              <w:gridCol w:w="1130"/>
            </w:tblGrid>
            <w:tr w14:paraId="4CB047D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0" w:type="pct"/>
                  <w:tcBorders>
                    <w:top w:val="single" w:color="auto" w:sz="18" w:space="0"/>
                  </w:tcBorders>
                  <w:vAlign w:val="center"/>
                </w:tcPr>
                <w:p w14:paraId="7EEADC15">
                  <w:pPr>
                    <w:spacing w:line="320" w:lineRule="exact"/>
                    <w:jc w:val="center"/>
                    <w:rPr>
                      <w:szCs w:val="21"/>
                    </w:rPr>
                  </w:pPr>
                  <w:r>
                    <w:rPr>
                      <w:szCs w:val="21"/>
                      <w:lang w:bidi="ar"/>
                    </w:rPr>
                    <w:t>时段</w:t>
                  </w:r>
                </w:p>
              </w:tc>
              <w:tc>
                <w:tcPr>
                  <w:tcW w:w="2869" w:type="pct"/>
                  <w:gridSpan w:val="2"/>
                  <w:tcBorders>
                    <w:top w:val="single" w:color="auto" w:sz="18" w:space="0"/>
                  </w:tcBorders>
                  <w:vAlign w:val="center"/>
                </w:tcPr>
                <w:p w14:paraId="37CA3A58">
                  <w:pPr>
                    <w:spacing w:line="320" w:lineRule="exact"/>
                    <w:jc w:val="center"/>
                    <w:rPr>
                      <w:szCs w:val="21"/>
                    </w:rPr>
                  </w:pPr>
                  <w:r>
                    <w:rPr>
                      <w:szCs w:val="21"/>
                      <w:lang w:bidi="ar"/>
                    </w:rPr>
                    <w:t>执行标准</w:t>
                  </w:r>
                </w:p>
              </w:tc>
              <w:tc>
                <w:tcPr>
                  <w:tcW w:w="712" w:type="pct"/>
                  <w:tcBorders>
                    <w:top w:val="single" w:color="auto" w:sz="18" w:space="0"/>
                  </w:tcBorders>
                  <w:vAlign w:val="center"/>
                </w:tcPr>
                <w:p w14:paraId="4F9F8353">
                  <w:pPr>
                    <w:spacing w:line="320" w:lineRule="exact"/>
                    <w:jc w:val="center"/>
                    <w:rPr>
                      <w:szCs w:val="21"/>
                    </w:rPr>
                  </w:pPr>
                  <w:r>
                    <w:rPr>
                      <w:szCs w:val="21"/>
                      <w:lang w:bidi="ar"/>
                    </w:rPr>
                    <w:t>昼间</w:t>
                  </w:r>
                </w:p>
              </w:tc>
              <w:tc>
                <w:tcPr>
                  <w:tcW w:w="599" w:type="pct"/>
                  <w:tcBorders>
                    <w:top w:val="single" w:color="auto" w:sz="18" w:space="0"/>
                  </w:tcBorders>
                  <w:vAlign w:val="center"/>
                </w:tcPr>
                <w:p w14:paraId="5BCC3207">
                  <w:pPr>
                    <w:spacing w:line="320" w:lineRule="exact"/>
                    <w:jc w:val="center"/>
                    <w:rPr>
                      <w:szCs w:val="21"/>
                    </w:rPr>
                  </w:pPr>
                  <w:r>
                    <w:rPr>
                      <w:szCs w:val="21"/>
                      <w:lang w:bidi="ar"/>
                    </w:rPr>
                    <w:t>夜间</w:t>
                  </w:r>
                </w:p>
              </w:tc>
            </w:tr>
            <w:tr w14:paraId="104CC1E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0" w:type="pct"/>
                  <w:vAlign w:val="center"/>
                </w:tcPr>
                <w:p w14:paraId="3840907D">
                  <w:pPr>
                    <w:spacing w:line="320" w:lineRule="exact"/>
                    <w:jc w:val="center"/>
                    <w:rPr>
                      <w:szCs w:val="21"/>
                    </w:rPr>
                  </w:pPr>
                  <w:r>
                    <w:rPr>
                      <w:szCs w:val="21"/>
                      <w:lang w:bidi="ar"/>
                    </w:rPr>
                    <w:t>施工期</w:t>
                  </w:r>
                </w:p>
              </w:tc>
              <w:tc>
                <w:tcPr>
                  <w:tcW w:w="2869" w:type="pct"/>
                  <w:gridSpan w:val="2"/>
                  <w:vAlign w:val="center"/>
                </w:tcPr>
                <w:p w14:paraId="21A27AD7">
                  <w:pPr>
                    <w:spacing w:line="320" w:lineRule="exact"/>
                    <w:jc w:val="center"/>
                    <w:rPr>
                      <w:szCs w:val="21"/>
                    </w:rPr>
                  </w:pPr>
                  <w:r>
                    <w:rPr>
                      <w:szCs w:val="21"/>
                      <w:lang w:bidi="ar"/>
                    </w:rPr>
                    <w:t>《建筑施工场界环境噪声排放标准》（GB12523-2011）</w:t>
                  </w:r>
                </w:p>
              </w:tc>
              <w:tc>
                <w:tcPr>
                  <w:tcW w:w="712" w:type="pct"/>
                  <w:vAlign w:val="center"/>
                </w:tcPr>
                <w:p w14:paraId="3F8D732A">
                  <w:pPr>
                    <w:spacing w:line="320" w:lineRule="exact"/>
                    <w:jc w:val="center"/>
                    <w:rPr>
                      <w:szCs w:val="21"/>
                    </w:rPr>
                  </w:pPr>
                  <w:r>
                    <w:rPr>
                      <w:szCs w:val="21"/>
                      <w:lang w:bidi="ar"/>
                    </w:rPr>
                    <w:t>70</w:t>
                  </w:r>
                </w:p>
              </w:tc>
              <w:tc>
                <w:tcPr>
                  <w:tcW w:w="599" w:type="pct"/>
                  <w:vAlign w:val="center"/>
                </w:tcPr>
                <w:p w14:paraId="762A0FB4">
                  <w:pPr>
                    <w:spacing w:line="320" w:lineRule="exact"/>
                    <w:jc w:val="center"/>
                    <w:rPr>
                      <w:szCs w:val="21"/>
                    </w:rPr>
                  </w:pPr>
                  <w:r>
                    <w:rPr>
                      <w:szCs w:val="21"/>
                      <w:lang w:bidi="ar"/>
                    </w:rPr>
                    <w:t>55</w:t>
                  </w:r>
                </w:p>
              </w:tc>
            </w:tr>
            <w:tr w14:paraId="10F956B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0" w:type="pct"/>
                  <w:vMerge w:val="restart"/>
                  <w:vAlign w:val="center"/>
                </w:tcPr>
                <w:p w14:paraId="08F30173">
                  <w:pPr>
                    <w:spacing w:line="320" w:lineRule="exact"/>
                    <w:jc w:val="center"/>
                    <w:rPr>
                      <w:szCs w:val="21"/>
                    </w:rPr>
                  </w:pPr>
                  <w:r>
                    <w:rPr>
                      <w:szCs w:val="21"/>
                      <w:lang w:bidi="ar"/>
                    </w:rPr>
                    <w:t>运营期</w:t>
                  </w:r>
                </w:p>
              </w:tc>
              <w:tc>
                <w:tcPr>
                  <w:tcW w:w="2869" w:type="pct"/>
                  <w:gridSpan w:val="2"/>
                  <w:vAlign w:val="center"/>
                </w:tcPr>
                <w:p w14:paraId="3B2CDD20">
                  <w:pPr>
                    <w:spacing w:line="320" w:lineRule="exact"/>
                    <w:jc w:val="center"/>
                    <w:rPr>
                      <w:szCs w:val="21"/>
                    </w:rPr>
                  </w:pPr>
                  <w:r>
                    <w:rPr>
                      <w:szCs w:val="21"/>
                      <w:lang w:bidi="ar"/>
                    </w:rPr>
                    <w:t>《声环境质量标准》（GB3096-2008）2类标准</w:t>
                  </w:r>
                </w:p>
              </w:tc>
              <w:tc>
                <w:tcPr>
                  <w:tcW w:w="712" w:type="pct"/>
                  <w:vAlign w:val="center"/>
                </w:tcPr>
                <w:p w14:paraId="2F948392">
                  <w:pPr>
                    <w:spacing w:line="320" w:lineRule="exact"/>
                    <w:jc w:val="center"/>
                    <w:rPr>
                      <w:szCs w:val="21"/>
                    </w:rPr>
                  </w:pPr>
                  <w:r>
                    <w:rPr>
                      <w:szCs w:val="21"/>
                      <w:lang w:bidi="ar"/>
                    </w:rPr>
                    <w:t>60</w:t>
                  </w:r>
                </w:p>
              </w:tc>
              <w:tc>
                <w:tcPr>
                  <w:tcW w:w="599" w:type="pct"/>
                  <w:vAlign w:val="center"/>
                </w:tcPr>
                <w:p w14:paraId="16BBD2AB">
                  <w:pPr>
                    <w:spacing w:line="320" w:lineRule="exact"/>
                    <w:jc w:val="center"/>
                    <w:rPr>
                      <w:szCs w:val="21"/>
                    </w:rPr>
                  </w:pPr>
                  <w:r>
                    <w:rPr>
                      <w:szCs w:val="21"/>
                      <w:lang w:bidi="ar"/>
                    </w:rPr>
                    <w:t>50</w:t>
                  </w:r>
                </w:p>
              </w:tc>
            </w:tr>
            <w:tr w14:paraId="0FEEF7E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0" w:type="pct"/>
                  <w:vMerge w:val="continue"/>
                  <w:vAlign w:val="center"/>
                </w:tcPr>
                <w:p w14:paraId="55DD02B3">
                  <w:pPr>
                    <w:rPr>
                      <w:szCs w:val="21"/>
                    </w:rPr>
                  </w:pPr>
                </w:p>
              </w:tc>
              <w:tc>
                <w:tcPr>
                  <w:tcW w:w="2869" w:type="pct"/>
                  <w:gridSpan w:val="2"/>
                  <w:vAlign w:val="center"/>
                </w:tcPr>
                <w:p w14:paraId="6FF59B07">
                  <w:pPr>
                    <w:spacing w:line="320" w:lineRule="exact"/>
                    <w:jc w:val="center"/>
                    <w:rPr>
                      <w:szCs w:val="21"/>
                    </w:rPr>
                  </w:pPr>
                  <w:r>
                    <w:rPr>
                      <w:szCs w:val="21"/>
                      <w:lang w:bidi="ar"/>
                    </w:rPr>
                    <w:t>《声环境质量标准》（GB3096-2008）4a类标准</w:t>
                  </w:r>
                </w:p>
              </w:tc>
              <w:tc>
                <w:tcPr>
                  <w:tcW w:w="712" w:type="pct"/>
                  <w:vAlign w:val="center"/>
                </w:tcPr>
                <w:p w14:paraId="74BABB9A">
                  <w:pPr>
                    <w:spacing w:line="320" w:lineRule="exact"/>
                    <w:jc w:val="center"/>
                    <w:rPr>
                      <w:szCs w:val="21"/>
                    </w:rPr>
                  </w:pPr>
                  <w:r>
                    <w:rPr>
                      <w:szCs w:val="21"/>
                      <w:lang w:bidi="ar"/>
                    </w:rPr>
                    <w:t>70</w:t>
                  </w:r>
                </w:p>
              </w:tc>
              <w:tc>
                <w:tcPr>
                  <w:tcW w:w="599" w:type="pct"/>
                  <w:vAlign w:val="center"/>
                </w:tcPr>
                <w:p w14:paraId="58ACA20B">
                  <w:pPr>
                    <w:spacing w:line="320" w:lineRule="exact"/>
                    <w:jc w:val="center"/>
                    <w:rPr>
                      <w:szCs w:val="21"/>
                    </w:rPr>
                  </w:pPr>
                  <w:r>
                    <w:rPr>
                      <w:szCs w:val="21"/>
                      <w:lang w:bidi="ar"/>
                    </w:rPr>
                    <w:t>55</w:t>
                  </w:r>
                </w:p>
              </w:tc>
            </w:tr>
            <w:tr w14:paraId="69F043B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0" w:type="pct"/>
                  <w:vMerge w:val="restart"/>
                  <w:vAlign w:val="center"/>
                </w:tcPr>
                <w:p w14:paraId="08A9FA20">
                  <w:pPr>
                    <w:jc w:val="center"/>
                    <w:rPr>
                      <w:szCs w:val="21"/>
                    </w:rPr>
                  </w:pPr>
                  <w:r>
                    <w:rPr>
                      <w:szCs w:val="21"/>
                    </w:rPr>
                    <w:t>/</w:t>
                  </w:r>
                </w:p>
              </w:tc>
              <w:tc>
                <w:tcPr>
                  <w:tcW w:w="1449" w:type="pct"/>
                  <w:vMerge w:val="restart"/>
                  <w:vAlign w:val="center"/>
                </w:tcPr>
                <w:p w14:paraId="0339987E">
                  <w:pPr>
                    <w:spacing w:line="320" w:lineRule="exact"/>
                    <w:jc w:val="center"/>
                    <w:rPr>
                      <w:szCs w:val="21"/>
                      <w:lang w:bidi="ar"/>
                    </w:rPr>
                  </w:pPr>
                  <w:r>
                    <w:rPr>
                      <w:szCs w:val="21"/>
                      <w:lang w:bidi="ar"/>
                    </w:rPr>
                    <w:t>《建筑环境通用规范》（GB55016-2021）</w:t>
                  </w:r>
                </w:p>
              </w:tc>
              <w:tc>
                <w:tcPr>
                  <w:tcW w:w="1420" w:type="pct"/>
                  <w:vAlign w:val="center"/>
                </w:tcPr>
                <w:p w14:paraId="4237FBD5">
                  <w:pPr>
                    <w:spacing w:line="320" w:lineRule="exact"/>
                    <w:jc w:val="center"/>
                    <w:rPr>
                      <w:szCs w:val="21"/>
                      <w:lang w:bidi="ar"/>
                    </w:rPr>
                  </w:pPr>
                  <w:r>
                    <w:rPr>
                      <w:szCs w:val="21"/>
                      <w:lang w:bidi="ar"/>
                    </w:rPr>
                    <w:t>使用功能：睡眠</w:t>
                  </w:r>
                </w:p>
              </w:tc>
              <w:tc>
                <w:tcPr>
                  <w:tcW w:w="712" w:type="pct"/>
                  <w:vAlign w:val="center"/>
                </w:tcPr>
                <w:p w14:paraId="7D035CA5">
                  <w:pPr>
                    <w:spacing w:line="320" w:lineRule="exact"/>
                    <w:jc w:val="center"/>
                    <w:rPr>
                      <w:szCs w:val="21"/>
                      <w:lang w:bidi="ar"/>
                    </w:rPr>
                  </w:pPr>
                  <w:r>
                    <w:rPr>
                      <w:szCs w:val="21"/>
                      <w:lang w:bidi="ar"/>
                    </w:rPr>
                    <w:t>40</w:t>
                  </w:r>
                  <w:r>
                    <w:rPr>
                      <w:rFonts w:hint="eastAsia"/>
                      <w:szCs w:val="21"/>
                      <w:lang w:bidi="ar"/>
                    </w:rPr>
                    <w:t>（4</w:t>
                  </w:r>
                  <w:r>
                    <w:rPr>
                      <w:szCs w:val="21"/>
                      <w:lang w:bidi="ar"/>
                    </w:rPr>
                    <w:t>5</w:t>
                  </w:r>
                  <w:r>
                    <w:rPr>
                      <w:rFonts w:hint="eastAsia"/>
                      <w:szCs w:val="21"/>
                      <w:lang w:bidi="ar"/>
                    </w:rPr>
                    <w:t>）</w:t>
                  </w:r>
                </w:p>
              </w:tc>
              <w:tc>
                <w:tcPr>
                  <w:tcW w:w="599" w:type="pct"/>
                  <w:vAlign w:val="center"/>
                </w:tcPr>
                <w:p w14:paraId="15A3E4DB">
                  <w:pPr>
                    <w:spacing w:line="320" w:lineRule="exact"/>
                    <w:jc w:val="center"/>
                    <w:rPr>
                      <w:szCs w:val="21"/>
                      <w:lang w:bidi="ar"/>
                    </w:rPr>
                  </w:pPr>
                  <w:r>
                    <w:rPr>
                      <w:szCs w:val="21"/>
                      <w:lang w:bidi="ar"/>
                    </w:rPr>
                    <w:t>30</w:t>
                  </w:r>
                  <w:r>
                    <w:rPr>
                      <w:rFonts w:hint="eastAsia"/>
                      <w:szCs w:val="21"/>
                      <w:lang w:bidi="ar"/>
                    </w:rPr>
                    <w:t>（3</w:t>
                  </w:r>
                  <w:r>
                    <w:rPr>
                      <w:szCs w:val="21"/>
                      <w:lang w:bidi="ar"/>
                    </w:rPr>
                    <w:t>5</w:t>
                  </w:r>
                  <w:r>
                    <w:rPr>
                      <w:rFonts w:hint="eastAsia"/>
                      <w:szCs w:val="21"/>
                      <w:lang w:bidi="ar"/>
                    </w:rPr>
                    <w:t>）</w:t>
                  </w:r>
                </w:p>
              </w:tc>
            </w:tr>
            <w:tr w14:paraId="6D31B95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0" w:type="pct"/>
                  <w:vMerge w:val="continue"/>
                  <w:tcBorders>
                    <w:bottom w:val="single" w:color="auto" w:sz="18" w:space="0"/>
                  </w:tcBorders>
                  <w:vAlign w:val="center"/>
                </w:tcPr>
                <w:p w14:paraId="4A0207E4">
                  <w:pPr>
                    <w:rPr>
                      <w:szCs w:val="21"/>
                    </w:rPr>
                  </w:pPr>
                </w:p>
              </w:tc>
              <w:tc>
                <w:tcPr>
                  <w:tcW w:w="1449" w:type="pct"/>
                  <w:vMerge w:val="continue"/>
                  <w:tcBorders>
                    <w:bottom w:val="single" w:color="auto" w:sz="18" w:space="0"/>
                  </w:tcBorders>
                  <w:vAlign w:val="center"/>
                </w:tcPr>
                <w:p w14:paraId="4C4C4360">
                  <w:pPr>
                    <w:spacing w:line="320" w:lineRule="exact"/>
                    <w:jc w:val="center"/>
                    <w:rPr>
                      <w:szCs w:val="21"/>
                      <w:lang w:bidi="ar"/>
                    </w:rPr>
                  </w:pPr>
                </w:p>
              </w:tc>
              <w:tc>
                <w:tcPr>
                  <w:tcW w:w="1420" w:type="pct"/>
                  <w:tcBorders>
                    <w:bottom w:val="single" w:color="auto" w:sz="18" w:space="0"/>
                  </w:tcBorders>
                  <w:vAlign w:val="center"/>
                </w:tcPr>
                <w:p w14:paraId="27FFF27C">
                  <w:pPr>
                    <w:spacing w:line="320" w:lineRule="exact"/>
                    <w:jc w:val="center"/>
                    <w:rPr>
                      <w:szCs w:val="21"/>
                      <w:lang w:bidi="ar"/>
                    </w:rPr>
                  </w:pPr>
                  <w:bookmarkStart w:id="40" w:name="_Hlk104280658"/>
                  <w:r>
                    <w:rPr>
                      <w:szCs w:val="21"/>
                      <w:lang w:bidi="ar"/>
                    </w:rPr>
                    <w:t>使用功能：日常生活</w:t>
                  </w:r>
                  <w:bookmarkEnd w:id="40"/>
                </w:p>
              </w:tc>
              <w:tc>
                <w:tcPr>
                  <w:tcW w:w="1311" w:type="pct"/>
                  <w:gridSpan w:val="2"/>
                  <w:tcBorders>
                    <w:bottom w:val="single" w:color="auto" w:sz="18" w:space="0"/>
                  </w:tcBorders>
                  <w:vAlign w:val="center"/>
                </w:tcPr>
                <w:p w14:paraId="12306A2F">
                  <w:pPr>
                    <w:spacing w:line="320" w:lineRule="exact"/>
                    <w:jc w:val="center"/>
                    <w:rPr>
                      <w:szCs w:val="21"/>
                      <w:lang w:bidi="ar"/>
                    </w:rPr>
                  </w:pPr>
                  <w:r>
                    <w:rPr>
                      <w:szCs w:val="21"/>
                      <w:lang w:bidi="ar"/>
                    </w:rPr>
                    <w:t>40</w:t>
                  </w:r>
                  <w:r>
                    <w:rPr>
                      <w:rFonts w:hint="eastAsia"/>
                      <w:szCs w:val="21"/>
                      <w:lang w:bidi="ar"/>
                    </w:rPr>
                    <w:t>（4</w:t>
                  </w:r>
                  <w:r>
                    <w:rPr>
                      <w:szCs w:val="21"/>
                      <w:lang w:bidi="ar"/>
                    </w:rPr>
                    <w:t>5</w:t>
                  </w:r>
                  <w:r>
                    <w:rPr>
                      <w:rFonts w:hint="eastAsia"/>
                      <w:szCs w:val="21"/>
                      <w:lang w:bidi="ar"/>
                    </w:rPr>
                    <w:t>）</w:t>
                  </w:r>
                </w:p>
              </w:tc>
            </w:tr>
          </w:tbl>
          <w:p w14:paraId="073BD307">
            <w:pPr>
              <w:spacing w:line="360" w:lineRule="auto"/>
              <w:ind w:firstLine="422" w:firstLineChars="200"/>
              <w:rPr>
                <w:b/>
                <w:bCs/>
                <w:szCs w:val="21"/>
                <w:lang w:bidi="ar"/>
              </w:rPr>
            </w:pPr>
            <w:r>
              <w:rPr>
                <w:rFonts w:hint="eastAsia"/>
                <w:b/>
                <w:bCs/>
                <w:szCs w:val="21"/>
                <w:lang w:bidi="ar"/>
              </w:rPr>
              <w:t>4、</w:t>
            </w:r>
            <w:r>
              <w:rPr>
                <w:b/>
                <w:bCs/>
                <w:szCs w:val="21"/>
                <w:lang w:bidi="ar"/>
              </w:rPr>
              <w:t>固废：</w:t>
            </w:r>
          </w:p>
          <w:p w14:paraId="6E75C5F5">
            <w:pPr>
              <w:pStyle w:val="30"/>
              <w:spacing w:before="0" w:beforeAutospacing="0" w:after="0" w:afterAutospacing="0" w:line="360" w:lineRule="auto"/>
              <w:ind w:firstLine="420" w:firstLineChars="200"/>
              <w:outlineLvl w:val="0"/>
              <w:rPr>
                <w:rFonts w:ascii="Times New Roman" w:hAnsi="Times New Roman"/>
                <w:snapToGrid w:val="0"/>
                <w:kern w:val="2"/>
                <w:sz w:val="21"/>
                <w:szCs w:val="21"/>
              </w:rPr>
            </w:pPr>
            <w:bookmarkStart w:id="41" w:name="_Toc187243658"/>
            <w:bookmarkStart w:id="42" w:name="_Toc185523895"/>
            <w:bookmarkStart w:id="43" w:name="_Toc18154"/>
            <w:bookmarkStart w:id="44" w:name="_Toc185524003"/>
            <w:bookmarkStart w:id="45" w:name="_Toc191907545"/>
            <w:r>
              <w:rPr>
                <w:rFonts w:ascii="Times New Roman" w:hAnsi="Times New Roman"/>
                <w:kern w:val="2"/>
                <w:sz w:val="21"/>
                <w:szCs w:val="21"/>
                <w:lang w:bidi="ar"/>
              </w:rPr>
              <w:t>一般固体废物</w:t>
            </w:r>
            <w:r>
              <w:rPr>
                <w:rFonts w:hint="eastAsia" w:ascii="Times New Roman" w:hAnsi="Times New Roman"/>
                <w:kern w:val="2"/>
                <w:sz w:val="21"/>
                <w:szCs w:val="21"/>
                <w:lang w:bidi="ar"/>
              </w:rPr>
              <w:t>应遵照《中华人民共和国固体废物污染环境防治法》与《广东省固体废物污染环境防治条例》相关要求。</w:t>
            </w:r>
            <w:bookmarkEnd w:id="41"/>
            <w:bookmarkEnd w:id="42"/>
            <w:bookmarkEnd w:id="43"/>
            <w:bookmarkEnd w:id="44"/>
            <w:bookmarkEnd w:id="45"/>
          </w:p>
        </w:tc>
      </w:tr>
      <w:tr w14:paraId="3C955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800" w:type="dxa"/>
            <w:shd w:val="clear" w:color="auto" w:fill="auto"/>
            <w:vAlign w:val="center"/>
          </w:tcPr>
          <w:p w14:paraId="242EB454">
            <w:pPr>
              <w:adjustRightInd w:val="0"/>
              <w:snapToGrid w:val="0"/>
              <w:jc w:val="center"/>
              <w:rPr>
                <w:rFonts w:hint="eastAsia" w:ascii="宋体" w:hAnsi="宋体" w:cs="宋体"/>
                <w:kern w:val="0"/>
                <w:szCs w:val="21"/>
              </w:rPr>
            </w:pPr>
            <w:r>
              <w:rPr>
                <w:rFonts w:hint="eastAsia" w:ascii="宋体" w:hAnsi="宋体" w:cs="宋体"/>
                <w:kern w:val="0"/>
                <w:szCs w:val="21"/>
              </w:rPr>
              <w:t>其他</w:t>
            </w:r>
          </w:p>
        </w:tc>
        <w:tc>
          <w:tcPr>
            <w:tcW w:w="9656" w:type="dxa"/>
            <w:shd w:val="clear" w:color="auto" w:fill="auto"/>
            <w:vAlign w:val="center"/>
          </w:tcPr>
          <w:p w14:paraId="527F05CC">
            <w:pPr>
              <w:adjustRightInd w:val="0"/>
              <w:snapToGrid w:val="0"/>
              <w:spacing w:line="360" w:lineRule="auto"/>
              <w:ind w:firstLine="420" w:firstLineChars="200"/>
              <w:jc w:val="center"/>
              <w:rPr>
                <w:b/>
                <w:bCs/>
                <w:kern w:val="0"/>
                <w:szCs w:val="21"/>
                <w:lang w:bidi="ar"/>
              </w:rPr>
            </w:pPr>
            <w:r>
              <w:rPr>
                <w:rFonts w:ascii="宋体" w:hAnsi="宋体" w:cs="宋体"/>
                <w:kern w:val="0"/>
                <w:szCs w:val="21"/>
              </w:rPr>
              <w:t>无</w:t>
            </w:r>
          </w:p>
        </w:tc>
      </w:tr>
    </w:tbl>
    <w:p w14:paraId="439E7CF5">
      <w:pPr>
        <w:pStyle w:val="30"/>
        <w:jc w:val="center"/>
        <w:outlineLvl w:val="0"/>
        <w:rPr>
          <w:rFonts w:hint="eastAsia" w:ascii="黑体" w:hAnsi="黑体" w:eastAsia="黑体"/>
          <w:snapToGrid w:val="0"/>
          <w:sz w:val="30"/>
          <w:szCs w:val="30"/>
        </w:rPr>
      </w:pPr>
      <w:r>
        <w:rPr>
          <w:rFonts w:ascii="黑体" w:hAnsi="黑体" w:eastAsia="黑体"/>
          <w:snapToGrid w:val="0"/>
          <w:kern w:val="2"/>
          <w:sz w:val="36"/>
          <w:szCs w:val="36"/>
        </w:rPr>
        <w:br w:type="page"/>
      </w:r>
      <w:bookmarkStart w:id="46" w:name="_Toc6285"/>
      <w:bookmarkStart w:id="47" w:name="_Toc185523896"/>
      <w:bookmarkStart w:id="48" w:name="_Toc191907546"/>
      <w:bookmarkStart w:id="49" w:name="_Toc187243659"/>
      <w:bookmarkStart w:id="50" w:name="_Toc185524004"/>
      <w:r>
        <w:rPr>
          <w:rFonts w:hint="eastAsia" w:ascii="黑体" w:hAnsi="黑体" w:eastAsia="黑体"/>
          <w:snapToGrid w:val="0"/>
          <w:sz w:val="30"/>
          <w:szCs w:val="30"/>
        </w:rPr>
        <w:t>四、生态环境影响分析</w:t>
      </w:r>
      <w:bookmarkEnd w:id="46"/>
      <w:bookmarkEnd w:id="47"/>
      <w:bookmarkEnd w:id="48"/>
      <w:bookmarkEnd w:id="49"/>
      <w:bookmarkEnd w:id="50"/>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4"/>
        <w:gridCol w:w="10108"/>
      </w:tblGrid>
      <w:tr w14:paraId="0C2EFC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06" w:hRule="atLeast"/>
          <w:jc w:val="center"/>
        </w:trPr>
        <w:tc>
          <w:tcPr>
            <w:tcW w:w="233" w:type="pct"/>
            <w:tcMar>
              <w:left w:w="28" w:type="dxa"/>
              <w:right w:w="28" w:type="dxa"/>
            </w:tcMar>
            <w:vAlign w:val="center"/>
          </w:tcPr>
          <w:p w14:paraId="5497F87C">
            <w:pPr>
              <w:pStyle w:val="30"/>
              <w:adjustRightInd w:val="0"/>
              <w:snapToGrid w:val="0"/>
              <w:spacing w:before="0" w:beforeAutospacing="0" w:after="0" w:afterAutospacing="0"/>
              <w:jc w:val="center"/>
              <w:rPr>
                <w:rFonts w:hint="eastAsia" w:cs="宋体"/>
                <w:bCs/>
                <w:kern w:val="2"/>
                <w:sz w:val="21"/>
                <w:szCs w:val="21"/>
              </w:rPr>
            </w:pPr>
            <w:bookmarkStart w:id="51" w:name="_Hlk49796138"/>
            <w:r>
              <w:rPr>
                <w:rFonts w:hint="eastAsia" w:cs="宋体"/>
                <w:bCs/>
                <w:spacing w:val="10"/>
                <w:kern w:val="2"/>
                <w:sz w:val="21"/>
                <w:szCs w:val="21"/>
              </w:rPr>
              <w:t>施工期生态环境影响分析</w:t>
            </w:r>
            <w:bookmarkEnd w:id="51"/>
          </w:p>
        </w:tc>
        <w:tc>
          <w:tcPr>
            <w:tcW w:w="4767" w:type="pct"/>
          </w:tcPr>
          <w:p w14:paraId="0AA41574">
            <w:pPr>
              <w:spacing w:line="500" w:lineRule="exact"/>
              <w:ind w:firstLine="422" w:firstLineChars="200"/>
              <w:jc w:val="left"/>
              <w:rPr>
                <w:b/>
                <w:bCs/>
                <w:szCs w:val="21"/>
                <w:lang w:bidi="ar"/>
              </w:rPr>
            </w:pPr>
            <w:r>
              <w:rPr>
                <w:b/>
                <w:bCs/>
                <w:szCs w:val="21"/>
                <w:lang w:bidi="ar"/>
              </w:rPr>
              <w:t>施工期主要污染工序及环境影响</w:t>
            </w:r>
          </w:p>
          <w:p w14:paraId="0CCABC47">
            <w:pPr>
              <w:spacing w:line="500" w:lineRule="exact"/>
              <w:ind w:firstLine="420" w:firstLineChars="200"/>
              <w:jc w:val="left"/>
              <w:rPr>
                <w:szCs w:val="21"/>
                <w:lang w:bidi="ar"/>
              </w:rPr>
            </w:pPr>
            <w:r>
              <w:rPr>
                <w:rFonts w:hint="eastAsia"/>
                <w:szCs w:val="21"/>
                <w:lang w:bidi="ar"/>
              </w:rPr>
              <w:t>项目施工过程，将对周围环境产生不利影响。在施工过程中废水、废气、噪声、固体废物的排放对环境造成的影响，这种影响是短暂的，施工作业结束后将随之消失。根据建设单位提供的资料，预计高峰期施工人员为50人，施工日期为2</w:t>
            </w:r>
            <w:r>
              <w:rPr>
                <w:szCs w:val="21"/>
                <w:lang w:bidi="ar"/>
              </w:rPr>
              <w:t>02</w:t>
            </w:r>
            <w:r>
              <w:rPr>
                <w:rFonts w:hint="eastAsia"/>
                <w:szCs w:val="21"/>
                <w:lang w:bidi="ar"/>
              </w:rPr>
              <w:t>5年6月-</w:t>
            </w:r>
            <w:r>
              <w:rPr>
                <w:szCs w:val="21"/>
                <w:lang w:bidi="ar"/>
              </w:rPr>
              <w:t>202</w:t>
            </w:r>
            <w:r>
              <w:rPr>
                <w:rFonts w:hint="eastAsia"/>
                <w:szCs w:val="21"/>
                <w:lang w:bidi="ar"/>
              </w:rPr>
              <w:t>6年6月，共12个月。</w:t>
            </w:r>
          </w:p>
          <w:p w14:paraId="4A3EDA68">
            <w:pPr>
              <w:spacing w:line="500" w:lineRule="exact"/>
              <w:ind w:firstLine="422" w:firstLineChars="200"/>
              <w:jc w:val="left"/>
              <w:rPr>
                <w:b/>
                <w:szCs w:val="21"/>
                <w:lang w:bidi="ar"/>
              </w:rPr>
            </w:pPr>
            <w:r>
              <w:rPr>
                <w:b/>
                <w:szCs w:val="21"/>
                <w:lang w:bidi="ar"/>
              </w:rPr>
              <w:t>1、</w:t>
            </w:r>
            <w:r>
              <w:rPr>
                <w:b/>
                <w:bCs/>
                <w:szCs w:val="21"/>
                <w:lang w:bidi="ar"/>
              </w:rPr>
              <w:t>施工期</w:t>
            </w:r>
            <w:r>
              <w:rPr>
                <w:b/>
                <w:szCs w:val="21"/>
                <w:lang w:bidi="ar"/>
              </w:rPr>
              <w:t>生态环境影响</w:t>
            </w:r>
            <w:r>
              <w:rPr>
                <w:rFonts w:hint="eastAsia"/>
                <w:b/>
                <w:szCs w:val="21"/>
                <w:lang w:bidi="ar"/>
              </w:rPr>
              <w:t>分析</w:t>
            </w:r>
          </w:p>
          <w:p w14:paraId="36FEA551">
            <w:pPr>
              <w:spacing w:line="500" w:lineRule="exact"/>
              <w:ind w:firstLine="420" w:firstLineChars="200"/>
              <w:jc w:val="left"/>
              <w:rPr>
                <w:szCs w:val="21"/>
                <w:lang w:bidi="ar"/>
              </w:rPr>
            </w:pPr>
            <w:r>
              <w:rPr>
                <w:szCs w:val="21"/>
                <w:lang w:bidi="ar"/>
              </w:rPr>
              <w:t>施工期对生态环境产生影响的区域主要在</w:t>
            </w:r>
            <w:r>
              <w:rPr>
                <w:rFonts w:hint="eastAsia"/>
                <w:szCs w:val="21"/>
                <w:lang w:bidi="ar"/>
              </w:rPr>
              <w:t>道路</w:t>
            </w:r>
            <w:r>
              <w:rPr>
                <w:szCs w:val="21"/>
                <w:lang w:bidi="ar"/>
              </w:rPr>
              <w:t>施工等，其影响方式主要有占用土地、毁损植被、引起水土流失、造成景观破坏。</w:t>
            </w:r>
          </w:p>
          <w:p w14:paraId="2FB5E41A">
            <w:pPr>
              <w:spacing w:line="500" w:lineRule="exact"/>
              <w:ind w:firstLine="420" w:firstLineChars="200"/>
              <w:jc w:val="left"/>
              <w:rPr>
                <w:szCs w:val="21"/>
              </w:rPr>
            </w:pPr>
            <w:r>
              <w:rPr>
                <w:szCs w:val="21"/>
                <w:lang w:bidi="ar"/>
              </w:rPr>
              <w:t>（1）土地利用影响</w:t>
            </w:r>
            <w:r>
              <w:rPr>
                <w:rFonts w:hint="eastAsia"/>
                <w:szCs w:val="21"/>
                <w:lang w:bidi="ar"/>
              </w:rPr>
              <w:t>分析</w:t>
            </w:r>
          </w:p>
          <w:p w14:paraId="41BBBB97">
            <w:pPr>
              <w:spacing w:line="500" w:lineRule="exact"/>
              <w:ind w:firstLine="420" w:firstLineChars="200"/>
              <w:jc w:val="left"/>
              <w:rPr>
                <w:rStyle w:val="41"/>
                <w:kern w:val="0"/>
                <w:szCs w:val="21"/>
              </w:rPr>
            </w:pPr>
            <w:r>
              <w:rPr>
                <w:rFonts w:hint="eastAsia"/>
                <w:szCs w:val="21"/>
              </w:rPr>
              <w:t>博罗县城体育大道东延段建设工程(K0+878.712~K1+210.007)全线位于惠州市博罗县罗阳街道，惠博大道以东，起点与已设计体育大道东延段(二期)终点(桩号K0+878.712)相接，终点顺接白石渠中桥(桩号 K1+210.007)，总长约332m，道路红线宽34.5m，道路等级为城市主干路，双向6车道，设计速度为60km/h</w:t>
            </w:r>
            <w:r>
              <w:rPr>
                <w:szCs w:val="21"/>
              </w:rPr>
              <w:t>。</w:t>
            </w:r>
            <w:r>
              <w:rPr>
                <w:rFonts w:hint="eastAsia"/>
                <w:szCs w:val="21"/>
              </w:rPr>
              <w:t>本项目总占地面积为3.43hm</w:t>
            </w:r>
            <w:r>
              <w:rPr>
                <w:rFonts w:hint="eastAsia"/>
                <w:szCs w:val="21"/>
                <w:vertAlign w:val="superscript"/>
              </w:rPr>
              <w:t>2</w:t>
            </w:r>
            <w:r>
              <w:rPr>
                <w:rFonts w:hint="eastAsia"/>
                <w:szCs w:val="21"/>
              </w:rPr>
              <w:t>，均为永久征地，原始占地类型为林地、草地、水域及水利设施用地和其他土地</w:t>
            </w:r>
            <w:r>
              <w:rPr>
                <w:rStyle w:val="41"/>
                <w:rFonts w:hint="eastAsia"/>
                <w:kern w:val="0"/>
                <w:szCs w:val="21"/>
              </w:rPr>
              <w:t>，不占用基本农田</w:t>
            </w:r>
            <w:r>
              <w:rPr>
                <w:rFonts w:hint="eastAsia"/>
                <w:kern w:val="0"/>
                <w:szCs w:val="21"/>
              </w:rPr>
              <w:t>。</w:t>
            </w:r>
            <w:r>
              <w:rPr>
                <w:rStyle w:val="41"/>
                <w:rFonts w:hint="eastAsia"/>
                <w:kern w:val="0"/>
                <w:szCs w:val="21"/>
              </w:rPr>
              <w:t>项目施工期间，项目征用的永久用地的植被会受到破坏，引发沿线的土壤侵蚀，从而影响沿线的生态环境。本工程的施工对生态环境的影响主要体现在对土壤和周边景观的影响。其中永久占地的影响在道路工程的建设阶段，建设期间破坏了地表植被，导致土壤侵蚀模数相应增大，增加了水土流失。</w:t>
            </w:r>
          </w:p>
          <w:p w14:paraId="28D8CCE0">
            <w:pPr>
              <w:spacing w:line="500" w:lineRule="exact"/>
              <w:ind w:firstLine="420" w:firstLineChars="200"/>
              <w:jc w:val="left"/>
              <w:rPr>
                <w:szCs w:val="21"/>
              </w:rPr>
            </w:pPr>
            <w:r>
              <w:rPr>
                <w:rFonts w:hint="eastAsia"/>
                <w:szCs w:val="21"/>
              </w:rPr>
              <w:t>（</w:t>
            </w:r>
            <w:r>
              <w:rPr>
                <w:szCs w:val="21"/>
              </w:rPr>
              <w:t>2</w:t>
            </w:r>
            <w:r>
              <w:rPr>
                <w:rFonts w:hint="eastAsia"/>
                <w:szCs w:val="21"/>
              </w:rPr>
              <w:t>）对动物资源的影响分析</w:t>
            </w:r>
          </w:p>
          <w:p w14:paraId="2B3C92B6">
            <w:pPr>
              <w:spacing w:line="500" w:lineRule="exact"/>
              <w:ind w:firstLine="420" w:firstLineChars="200"/>
              <w:jc w:val="left"/>
              <w:rPr>
                <w:szCs w:val="21"/>
                <w:lang w:bidi="ar"/>
              </w:rPr>
            </w:pPr>
            <w:r>
              <w:rPr>
                <w:szCs w:val="21"/>
                <w:lang w:bidi="ar"/>
              </w:rPr>
              <w:t>施工占地、地面开挖等会使植被面积减少，造成区域植被生物量的降低；植被减少会破坏周边动物的栖息环境。根据现场调查，项目周边现有动物种类主要为常见的小型动物（鸟类和蛙、蟾蜍、鼠等），动物适宜能力较强，都具有一定迁移能力，在受到施工活动影响后，它们大多会主动向适宜生境中迁移。因此工程施工机械噪声和人员活动对周边动植物的影响较小。</w:t>
            </w:r>
          </w:p>
          <w:p w14:paraId="4BB5AA41">
            <w:pPr>
              <w:spacing w:line="500" w:lineRule="exact"/>
              <w:ind w:firstLine="420" w:firstLineChars="200"/>
              <w:jc w:val="left"/>
              <w:rPr>
                <w:szCs w:val="21"/>
                <w:lang w:bidi="ar"/>
              </w:rPr>
            </w:pPr>
            <w:r>
              <w:rPr>
                <w:rFonts w:hint="eastAsia"/>
                <w:szCs w:val="21"/>
                <w:lang w:bidi="ar"/>
              </w:rPr>
              <w:t>施工期对动物影响是必然的，也是不可避免的，但这种影响由于只涉及在施工区域，影响范围较小，而且整个施工区的环境与施工区以外的环境十分相似，施工区范围内的野生动物较容易就近找到新的栖息场所；另一方面，本项目所经地区人类活动强烈，多为比较适应人类活动的广布种。因此，施工期不会造成野生动物种群数量的明显减少和物种的消失。</w:t>
            </w:r>
          </w:p>
          <w:p w14:paraId="2CAD48C9">
            <w:pPr>
              <w:spacing w:line="500" w:lineRule="exact"/>
              <w:ind w:firstLine="420" w:firstLineChars="200"/>
              <w:jc w:val="left"/>
              <w:rPr>
                <w:rStyle w:val="41"/>
                <w:kern w:val="0"/>
                <w:szCs w:val="21"/>
              </w:rPr>
            </w:pPr>
            <w:r>
              <w:rPr>
                <w:rStyle w:val="41"/>
                <w:rFonts w:hint="eastAsia"/>
                <w:kern w:val="0"/>
                <w:szCs w:val="21"/>
              </w:rPr>
              <w:t>（</w:t>
            </w:r>
            <w:r>
              <w:rPr>
                <w:rStyle w:val="41"/>
                <w:kern w:val="0"/>
                <w:szCs w:val="21"/>
              </w:rPr>
              <w:t>3</w:t>
            </w:r>
            <w:r>
              <w:rPr>
                <w:rStyle w:val="41"/>
                <w:rFonts w:hint="eastAsia"/>
                <w:kern w:val="0"/>
                <w:szCs w:val="21"/>
              </w:rPr>
              <w:t>）对植被的影响分析</w:t>
            </w:r>
          </w:p>
          <w:p w14:paraId="17629F14">
            <w:pPr>
              <w:spacing w:line="500" w:lineRule="exact"/>
              <w:ind w:firstLine="420" w:firstLineChars="200"/>
              <w:jc w:val="left"/>
              <w:rPr>
                <w:rStyle w:val="41"/>
                <w:kern w:val="0"/>
                <w:szCs w:val="21"/>
              </w:rPr>
            </w:pPr>
            <w:r>
              <w:rPr>
                <w:rStyle w:val="41"/>
                <w:rFonts w:hint="eastAsia"/>
                <w:kern w:val="0"/>
                <w:szCs w:val="21"/>
              </w:rPr>
              <w:t>项目建设会破坏项目征地范围内的植被，导致评价范围内的植物种类数量将会减少。项目占地范围内受到影响的植物种类都不属于珍稀濒危的保护植物种类，植物均为常见品种。项目建设后草地、林地内的植被会破坏，使植被覆盖率降低。评价区各种土地利用类型中，交通用地面积增加，但及时绿化、增加植被覆盖面可以有效补偿损失的生物量。因此本公路建设对沿线生态完整性产生的影响较小。</w:t>
            </w:r>
          </w:p>
          <w:p w14:paraId="161BD471">
            <w:pPr>
              <w:spacing w:line="500" w:lineRule="exact"/>
              <w:ind w:firstLine="420" w:firstLineChars="200"/>
              <w:jc w:val="left"/>
              <w:rPr>
                <w:szCs w:val="21"/>
                <w:lang w:bidi="ar"/>
              </w:rPr>
            </w:pPr>
            <w:r>
              <w:rPr>
                <w:szCs w:val="21"/>
                <w:lang w:bidi="ar"/>
              </w:rPr>
              <w:t>（4）水土流失</w:t>
            </w:r>
            <w:r>
              <w:rPr>
                <w:rFonts w:hint="eastAsia"/>
                <w:szCs w:val="21"/>
                <w:lang w:bidi="ar"/>
              </w:rPr>
              <w:t>影响分析</w:t>
            </w:r>
          </w:p>
          <w:p w14:paraId="087FD915">
            <w:pPr>
              <w:spacing w:line="500" w:lineRule="exact"/>
              <w:ind w:firstLine="420" w:firstLineChars="200"/>
              <w:jc w:val="left"/>
              <w:rPr>
                <w:szCs w:val="21"/>
                <w:lang w:bidi="ar"/>
              </w:rPr>
            </w:pPr>
            <w:r>
              <w:rPr>
                <w:rFonts w:hint="eastAsia"/>
                <w:szCs w:val="21"/>
                <w:lang w:bidi="ar"/>
              </w:rPr>
              <w:t>项目水土流失比较剧烈，危害比较严重的时段，主要集中在建设期，建设期地表扰动剧烈、破坏原地貌植被，使工程用地范围内原地貌植被所具有的保水护土功能迅速降低或丧失，大量松散堆积物易被冲击造成流失。</w:t>
            </w:r>
          </w:p>
          <w:p w14:paraId="224B7E2E">
            <w:pPr>
              <w:spacing w:line="500" w:lineRule="exact"/>
              <w:ind w:firstLine="420" w:firstLineChars="200"/>
              <w:jc w:val="left"/>
              <w:rPr>
                <w:szCs w:val="21"/>
                <w:lang w:bidi="ar"/>
              </w:rPr>
            </w:pPr>
            <w:r>
              <w:rPr>
                <w:rFonts w:hint="eastAsia"/>
                <w:szCs w:val="21"/>
                <w:lang w:bidi="ar"/>
              </w:rPr>
              <w:t>项目建设伴随着剥离表土、土石方开挖、基础施工建设、堆弃土渣、建立临时设施等施工活动。这些活动都将占用土地，破坏原有地貌、毁坏植被，降低植被覆盖率，破坏原有生态防护体系。同时，增加大量裸露地表，势必加大水土流失发生的可能性及危害程度。施工还会影响到项目周边区域，在施工过程中，若临时防护措施采取不到位，产生的新增水土流失，将给项目工程区及其周边环境带来危害。因此</w:t>
            </w:r>
            <w:r>
              <w:rPr>
                <w:szCs w:val="21"/>
                <w:lang w:bidi="ar"/>
              </w:rPr>
              <w:t>施工过程中应注意保护当时景观，土方应尽量集中堆放，并做相应措施。水土流失影响是局部、暂时性的，只要在施工过程中加强管理，文明施工，做好边坡防护和水土保持措施，这种暂时性的水土流失影响可以控制到最低程度。暂时性的水土流失影响随着施工期结束而结束，对周围生态环境影响不大。</w:t>
            </w:r>
          </w:p>
          <w:p w14:paraId="0FFCBE0E">
            <w:pPr>
              <w:spacing w:line="500" w:lineRule="exact"/>
              <w:ind w:firstLine="422" w:firstLineChars="200"/>
              <w:jc w:val="left"/>
              <w:rPr>
                <w:b/>
                <w:szCs w:val="21"/>
              </w:rPr>
            </w:pPr>
            <w:r>
              <w:rPr>
                <w:b/>
                <w:szCs w:val="21"/>
                <w:lang w:bidi="ar"/>
              </w:rPr>
              <w:t>2、</w:t>
            </w:r>
            <w:r>
              <w:rPr>
                <w:b/>
                <w:bCs/>
                <w:szCs w:val="21"/>
                <w:lang w:bidi="ar"/>
              </w:rPr>
              <w:t>施工期</w:t>
            </w:r>
            <w:r>
              <w:rPr>
                <w:rFonts w:hint="eastAsia"/>
                <w:b/>
                <w:szCs w:val="21"/>
                <w:lang w:bidi="ar"/>
              </w:rPr>
              <w:t>大气</w:t>
            </w:r>
            <w:r>
              <w:rPr>
                <w:b/>
                <w:szCs w:val="21"/>
                <w:lang w:bidi="ar"/>
              </w:rPr>
              <w:t>环境影响</w:t>
            </w:r>
            <w:r>
              <w:rPr>
                <w:rFonts w:hint="eastAsia"/>
                <w:b/>
                <w:szCs w:val="21"/>
                <w:lang w:bidi="ar"/>
              </w:rPr>
              <w:t>分析</w:t>
            </w:r>
          </w:p>
          <w:p w14:paraId="0015F843">
            <w:pPr>
              <w:spacing w:line="500" w:lineRule="exact"/>
              <w:ind w:firstLine="420" w:firstLineChars="200"/>
              <w:jc w:val="left"/>
              <w:rPr>
                <w:szCs w:val="21"/>
              </w:rPr>
            </w:pPr>
            <w:r>
              <w:rPr>
                <w:szCs w:val="21"/>
                <w:lang w:bidi="ar"/>
              </w:rPr>
              <w:t>施工期大气污染源主要为施工扬尘、施工机械燃油废气和铺设沥青路面产生的沥青烟。</w:t>
            </w:r>
          </w:p>
          <w:p w14:paraId="5D7CDDE3">
            <w:pPr>
              <w:spacing w:line="500" w:lineRule="exact"/>
              <w:ind w:firstLine="420" w:firstLineChars="200"/>
              <w:jc w:val="left"/>
              <w:rPr>
                <w:szCs w:val="21"/>
              </w:rPr>
            </w:pPr>
            <w:r>
              <w:rPr>
                <w:szCs w:val="21"/>
                <w:lang w:bidi="ar"/>
              </w:rPr>
              <w:t>（1）施工扬尘</w:t>
            </w:r>
            <w:r>
              <w:rPr>
                <w:rStyle w:val="41"/>
                <w:rFonts w:hint="eastAsia"/>
                <w:kern w:val="0"/>
                <w:szCs w:val="21"/>
              </w:rPr>
              <w:t>的影响分析</w:t>
            </w:r>
          </w:p>
          <w:p w14:paraId="11669EB2">
            <w:pPr>
              <w:spacing w:line="500" w:lineRule="exact"/>
              <w:ind w:firstLine="420" w:firstLineChars="200"/>
              <w:jc w:val="left"/>
              <w:rPr>
                <w:szCs w:val="21"/>
              </w:rPr>
            </w:pPr>
            <w:r>
              <w:rPr>
                <w:szCs w:val="21"/>
                <w:lang w:bidi="ar"/>
              </w:rPr>
              <w:t>本项目扬尘主要为土石方开挖</w:t>
            </w:r>
            <w:r>
              <w:rPr>
                <w:rFonts w:hint="eastAsia"/>
                <w:szCs w:val="21"/>
                <w:lang w:bidi="ar"/>
              </w:rPr>
              <w:t>、建筑</w:t>
            </w:r>
            <w:r>
              <w:rPr>
                <w:szCs w:val="21"/>
                <w:lang w:bidi="ar"/>
              </w:rPr>
              <w:t>拆除、建筑材料装卸堆放、车辆运输等产生的扬尘，扬尘的影响范围较广，主要表现在交通运输沿线道路两侧及施工现场，尤其是天气干燥及风速较大时更为明显，从而使该区块及周围附近地区大气中总悬浮颗粒浓度增大。据调查，施工作业场地近地面粉尘浓度可达1.5～46mg/m</w:t>
            </w:r>
            <w:r>
              <w:rPr>
                <w:szCs w:val="21"/>
                <w:vertAlign w:val="superscript"/>
                <w:lang w:bidi="ar"/>
              </w:rPr>
              <w:t>3</w:t>
            </w:r>
            <w:r>
              <w:rPr>
                <w:szCs w:val="21"/>
                <w:lang w:bidi="ar"/>
              </w:rPr>
              <w:t>。由于粉尘的产生量与天气、温度、风速、施工队文明作业程度和管理水平等因素有关，因此，其排放量难以定量估算。</w:t>
            </w:r>
          </w:p>
          <w:p w14:paraId="4C5E2310">
            <w:pPr>
              <w:spacing w:line="500" w:lineRule="exact"/>
              <w:ind w:firstLine="420" w:firstLineChars="200"/>
              <w:jc w:val="left"/>
              <w:rPr>
                <w:szCs w:val="21"/>
              </w:rPr>
            </w:pPr>
            <w:r>
              <w:rPr>
                <w:szCs w:val="21"/>
                <w:lang w:bidi="ar"/>
              </w:rPr>
              <w:t>（2）施工机械燃油废气</w:t>
            </w:r>
          </w:p>
          <w:p w14:paraId="0B1B9ACD">
            <w:pPr>
              <w:spacing w:line="500" w:lineRule="exact"/>
              <w:ind w:firstLine="420" w:firstLineChars="200"/>
              <w:jc w:val="left"/>
              <w:rPr>
                <w:szCs w:val="21"/>
              </w:rPr>
            </w:pPr>
            <w:r>
              <w:rPr>
                <w:szCs w:val="21"/>
                <w:lang w:bidi="ar"/>
              </w:rPr>
              <w:t>施工期间，项目使用到的机械设备包括推土机、挖掘机、装载机、压路机等燃油机械设备以及运输汽车。这些机械设备在使用过程中会产生燃油废气，废气中污染物主要有SO</w:t>
            </w:r>
            <w:r>
              <w:rPr>
                <w:szCs w:val="21"/>
                <w:vertAlign w:val="subscript"/>
                <w:lang w:bidi="ar"/>
              </w:rPr>
              <w:t>2</w:t>
            </w:r>
            <w:r>
              <w:rPr>
                <w:szCs w:val="21"/>
                <w:lang w:bidi="ar"/>
              </w:rPr>
              <w:t>、NO</w:t>
            </w:r>
            <w:r>
              <w:rPr>
                <w:szCs w:val="21"/>
                <w:vertAlign w:val="subscript"/>
                <w:lang w:bidi="ar"/>
              </w:rPr>
              <w:t>X</w:t>
            </w:r>
            <w:r>
              <w:rPr>
                <w:szCs w:val="21"/>
                <w:lang w:bidi="ar"/>
              </w:rPr>
              <w:t>、CO、HC。由于施工机械多为大型机械，单车排放系数较大，但施工机械数量少且较分散，其污染程度相对较轻，基本可不考虑其影响。</w:t>
            </w:r>
          </w:p>
          <w:p w14:paraId="4C7BEF1B">
            <w:pPr>
              <w:spacing w:line="500" w:lineRule="exact"/>
              <w:ind w:firstLine="420" w:firstLineChars="200"/>
              <w:jc w:val="left"/>
              <w:rPr>
                <w:szCs w:val="21"/>
              </w:rPr>
            </w:pPr>
            <w:r>
              <w:rPr>
                <w:szCs w:val="21"/>
                <w:lang w:bidi="ar"/>
              </w:rPr>
              <w:t>针对燃油废气在不采取措施的情况下即可达标，本环评对此提出如下建议：施工单位尽量选用专业作业车辆，选用优质设备和燃油，加强设备和运输车辆的检修和维护，进一步减少施工过程对周围空气环境的影响。</w:t>
            </w:r>
          </w:p>
          <w:p w14:paraId="6CE5BDD5">
            <w:pPr>
              <w:spacing w:line="500" w:lineRule="exact"/>
              <w:ind w:firstLine="420" w:firstLineChars="200"/>
              <w:jc w:val="left"/>
              <w:rPr>
                <w:szCs w:val="21"/>
              </w:rPr>
            </w:pPr>
            <w:r>
              <w:rPr>
                <w:szCs w:val="21"/>
                <w:lang w:bidi="ar"/>
              </w:rPr>
              <w:t>（3）沥青烟</w:t>
            </w:r>
          </w:p>
          <w:p w14:paraId="2C4859B9">
            <w:pPr>
              <w:spacing w:line="500" w:lineRule="exact"/>
              <w:ind w:firstLine="420" w:firstLineChars="200"/>
              <w:jc w:val="left"/>
              <w:rPr>
                <w:szCs w:val="21"/>
                <w:lang w:bidi="ar"/>
              </w:rPr>
            </w:pPr>
            <w:r>
              <w:rPr>
                <w:szCs w:val="21"/>
                <w:lang w:bidi="ar"/>
              </w:rPr>
              <w:t>拟建项目将采用沥青混凝土路面。项目所需的沥青由区内统一订购和配送，不进行现场拌和，减少沥青搅拌过程中产生的有毒有害气体。由于项目直接利用商品沥青无需加热，仅在沥青运输、摊铺过程中会有少量的无组织沥青烟挥发，影响范围较小，主要会对周边环境、施工人员造成影响。</w:t>
            </w:r>
          </w:p>
          <w:p w14:paraId="3D5F7CA5">
            <w:pPr>
              <w:spacing w:line="500" w:lineRule="exact"/>
              <w:ind w:firstLine="422" w:firstLineChars="200"/>
              <w:jc w:val="left"/>
              <w:rPr>
                <w:b/>
                <w:szCs w:val="21"/>
              </w:rPr>
            </w:pPr>
            <w:r>
              <w:rPr>
                <w:b/>
                <w:szCs w:val="21"/>
                <w:lang w:bidi="ar"/>
              </w:rPr>
              <w:t>3、</w:t>
            </w:r>
            <w:r>
              <w:rPr>
                <w:b/>
                <w:bCs/>
                <w:szCs w:val="21"/>
                <w:lang w:bidi="ar"/>
              </w:rPr>
              <w:t>施工期</w:t>
            </w:r>
            <w:r>
              <w:rPr>
                <w:b/>
                <w:szCs w:val="21"/>
                <w:lang w:bidi="ar"/>
              </w:rPr>
              <w:t>水环境影响</w:t>
            </w:r>
            <w:r>
              <w:rPr>
                <w:rFonts w:hint="eastAsia"/>
                <w:b/>
                <w:szCs w:val="21"/>
                <w:lang w:bidi="ar"/>
              </w:rPr>
              <w:t>分析</w:t>
            </w:r>
          </w:p>
          <w:p w14:paraId="06ADF343">
            <w:pPr>
              <w:spacing w:line="500" w:lineRule="exact"/>
              <w:ind w:firstLine="420" w:firstLineChars="200"/>
              <w:jc w:val="left"/>
              <w:rPr>
                <w:szCs w:val="21"/>
              </w:rPr>
            </w:pPr>
            <w:r>
              <w:rPr>
                <w:szCs w:val="21"/>
                <w:lang w:bidi="ar"/>
              </w:rPr>
              <w:t>施工期废水主要包括施工废水</w:t>
            </w:r>
            <w:r>
              <w:rPr>
                <w:rFonts w:hint="eastAsia"/>
                <w:szCs w:val="21"/>
                <w:lang w:bidi="ar"/>
              </w:rPr>
              <w:t>、</w:t>
            </w:r>
            <w:r>
              <w:rPr>
                <w:szCs w:val="21"/>
                <w:lang w:bidi="ar"/>
              </w:rPr>
              <w:t>施工人员生活污水</w:t>
            </w:r>
            <w:r>
              <w:rPr>
                <w:rFonts w:hint="eastAsia"/>
                <w:szCs w:val="21"/>
                <w:lang w:bidi="ar"/>
              </w:rPr>
              <w:t>、</w:t>
            </w:r>
            <w:r>
              <w:rPr>
                <w:szCs w:val="21"/>
                <w:lang w:bidi="ar"/>
              </w:rPr>
              <w:t>降雨地表径流。</w:t>
            </w:r>
          </w:p>
          <w:p w14:paraId="5D28927E">
            <w:pPr>
              <w:spacing w:line="500" w:lineRule="exact"/>
              <w:ind w:firstLine="420" w:firstLineChars="200"/>
              <w:jc w:val="left"/>
              <w:rPr>
                <w:szCs w:val="21"/>
              </w:rPr>
            </w:pPr>
            <w:r>
              <w:rPr>
                <w:szCs w:val="21"/>
                <w:lang w:bidi="ar"/>
              </w:rPr>
              <w:t>（1）施工废水</w:t>
            </w:r>
          </w:p>
          <w:p w14:paraId="26C89335">
            <w:pPr>
              <w:spacing w:line="500" w:lineRule="exact"/>
              <w:ind w:firstLine="420" w:firstLineChars="200"/>
              <w:jc w:val="left"/>
              <w:rPr>
                <w:szCs w:val="21"/>
                <w:lang w:bidi="ar"/>
              </w:rPr>
            </w:pPr>
            <w:r>
              <w:rPr>
                <w:szCs w:val="21"/>
                <w:lang w:bidi="ar"/>
              </w:rPr>
              <w:t>建筑施工废水主要包括混凝土养护产生的混凝土养护废水，施工机械设备及材料运输车辆冲洗产生的冲洗废水。</w:t>
            </w:r>
          </w:p>
          <w:p w14:paraId="04118567">
            <w:pPr>
              <w:spacing w:line="500" w:lineRule="exact"/>
              <w:ind w:firstLine="420" w:firstLineChars="200"/>
              <w:jc w:val="left"/>
              <w:rPr>
                <w:szCs w:val="21"/>
                <w:lang w:bidi="ar"/>
              </w:rPr>
            </w:pPr>
            <w:r>
              <w:rPr>
                <w:szCs w:val="21"/>
                <w:lang w:bidi="ar"/>
              </w:rPr>
              <w:t>混凝土养护产生的混凝土养护废水主要污染物为悬浮物，其浓度约为500 mg/L；施工机械及材料运输车辆冲洗废水中主要污染物为石油类、SS，其浓度约20mg/L、400mg/L。通过隔油池、沉淀池处理后可循环使用。施工生产废水应严格管理，严禁随意直接排放。</w:t>
            </w:r>
          </w:p>
          <w:p w14:paraId="6172DF36">
            <w:pPr>
              <w:spacing w:line="500" w:lineRule="exact"/>
              <w:ind w:firstLine="420" w:firstLineChars="200"/>
              <w:jc w:val="left"/>
              <w:rPr>
                <w:szCs w:val="21"/>
              </w:rPr>
            </w:pPr>
            <w:r>
              <w:rPr>
                <w:szCs w:val="21"/>
                <w:lang w:bidi="ar"/>
              </w:rPr>
              <w:t>（2）施工人员生活污水</w:t>
            </w:r>
          </w:p>
          <w:p w14:paraId="1306C34A">
            <w:pPr>
              <w:spacing w:line="500" w:lineRule="exact"/>
              <w:ind w:firstLine="420" w:firstLineChars="200"/>
              <w:jc w:val="left"/>
              <w:rPr>
                <w:szCs w:val="21"/>
                <w:lang w:bidi="ar"/>
              </w:rPr>
            </w:pPr>
            <w:r>
              <w:rPr>
                <w:szCs w:val="21"/>
                <w:lang w:bidi="ar"/>
              </w:rPr>
              <w:t>项目施工场地</w:t>
            </w:r>
            <w:r>
              <w:rPr>
                <w:rFonts w:hint="eastAsia"/>
                <w:szCs w:val="21"/>
                <w:lang w:bidi="ar"/>
              </w:rPr>
              <w:t>不</w:t>
            </w:r>
            <w:r>
              <w:rPr>
                <w:szCs w:val="21"/>
                <w:lang w:bidi="ar"/>
              </w:rPr>
              <w:t>设临时施工</w:t>
            </w:r>
            <w:r>
              <w:rPr>
                <w:rFonts w:hint="eastAsia"/>
                <w:szCs w:val="21"/>
                <w:lang w:bidi="ar"/>
              </w:rPr>
              <w:t>营地</w:t>
            </w:r>
            <w:r>
              <w:rPr>
                <w:szCs w:val="21"/>
                <w:lang w:bidi="ar"/>
              </w:rPr>
              <w:t>。施工现场设移动厕所，施工人员的粪便污水经移动厕所收集后委托有资质单位定期清运进行综合处理。</w:t>
            </w:r>
          </w:p>
          <w:p w14:paraId="428D2753">
            <w:pPr>
              <w:autoSpaceDE w:val="0"/>
              <w:autoSpaceDN w:val="0"/>
              <w:adjustRightInd w:val="0"/>
              <w:snapToGrid w:val="0"/>
              <w:spacing w:line="500" w:lineRule="exact"/>
              <w:ind w:firstLine="420" w:firstLineChars="200"/>
              <w:jc w:val="left"/>
              <w:rPr>
                <w:kern w:val="0"/>
                <w:szCs w:val="21"/>
              </w:rPr>
            </w:pPr>
            <w:r>
              <w:rPr>
                <w:rFonts w:hint="eastAsia"/>
                <w:kern w:val="0"/>
                <w:szCs w:val="21"/>
              </w:rPr>
              <w:t>（3）</w:t>
            </w:r>
            <w:r>
              <w:rPr>
                <w:kern w:val="0"/>
                <w:szCs w:val="21"/>
              </w:rPr>
              <w:t>降雨地表径流</w:t>
            </w:r>
          </w:p>
          <w:p w14:paraId="35B1A66B">
            <w:pPr>
              <w:autoSpaceDE w:val="0"/>
              <w:autoSpaceDN w:val="0"/>
              <w:adjustRightInd w:val="0"/>
              <w:snapToGrid w:val="0"/>
              <w:spacing w:line="500" w:lineRule="exact"/>
              <w:ind w:firstLine="420" w:firstLineChars="200"/>
              <w:jc w:val="left"/>
              <w:rPr>
                <w:kern w:val="0"/>
                <w:szCs w:val="21"/>
              </w:rPr>
            </w:pPr>
            <w:r>
              <w:rPr>
                <w:kern w:val="0"/>
                <w:szCs w:val="21"/>
              </w:rPr>
              <w:t>施工期下雨时会形成地表径流，冲刷路面或临时料堆时，大量悬浮物将随径流进入地势低洼地带或沿线河流。建议本项目施工单位加强施工期的环境管理，临时堆放的土方压实，特别是雨季对地表浮土的管理并采取导排水和沉砂池等预处理措施，经以上措施后，本项目施工期的地表净流水不会对受纳水体产生明显的影响。只要加强对工地管理，加强对施工人员的环保意识教育，施工期对于地表水体的影响属于短期影响，影响因子比较简单，影响程度较轻，在施工结束后，及时做好善后清理工作，则不会造成不利的后果。</w:t>
            </w:r>
          </w:p>
          <w:p w14:paraId="42EEECF4">
            <w:pPr>
              <w:spacing w:line="500" w:lineRule="exact"/>
              <w:ind w:firstLine="422" w:firstLineChars="200"/>
              <w:jc w:val="left"/>
              <w:rPr>
                <w:b/>
                <w:szCs w:val="21"/>
              </w:rPr>
            </w:pPr>
            <w:r>
              <w:rPr>
                <w:b/>
                <w:szCs w:val="21"/>
                <w:lang w:bidi="ar"/>
              </w:rPr>
              <w:t>4、</w:t>
            </w:r>
            <w:r>
              <w:rPr>
                <w:b/>
                <w:bCs/>
                <w:szCs w:val="21"/>
                <w:lang w:bidi="ar"/>
              </w:rPr>
              <w:t>施工期</w:t>
            </w:r>
            <w:r>
              <w:rPr>
                <w:b/>
                <w:szCs w:val="21"/>
                <w:lang w:bidi="ar"/>
              </w:rPr>
              <w:t>声环境影响</w:t>
            </w:r>
            <w:r>
              <w:rPr>
                <w:rFonts w:hint="eastAsia"/>
                <w:b/>
                <w:szCs w:val="21"/>
                <w:lang w:bidi="ar"/>
              </w:rPr>
              <w:t>分析</w:t>
            </w:r>
          </w:p>
          <w:p w14:paraId="7C122160">
            <w:pPr>
              <w:autoSpaceDE w:val="0"/>
              <w:autoSpaceDN w:val="0"/>
              <w:adjustRightInd w:val="0"/>
              <w:spacing w:line="500" w:lineRule="exact"/>
              <w:ind w:firstLine="420" w:firstLineChars="200"/>
              <w:jc w:val="left"/>
              <w:rPr>
                <w:szCs w:val="21"/>
                <w:lang w:bidi="ar"/>
              </w:rPr>
            </w:pPr>
            <w:bookmarkStart w:id="52" w:name="_Hlk117687268"/>
            <w:r>
              <w:rPr>
                <w:szCs w:val="21"/>
                <w:lang w:bidi="ar"/>
              </w:rPr>
              <w:t>本项目施工过程中噪声较大的施工单元主要为基础工程。不同的施工阶段所使用的施工机械不同，本项目施工过程中所使用的机械设备主要有：</w:t>
            </w:r>
            <w:r>
              <w:rPr>
                <w:rFonts w:hint="eastAsia"/>
                <w:szCs w:val="21"/>
                <w:lang w:bidi="ar"/>
              </w:rPr>
              <w:t>挖掘机、推土机、平地机、压路机、装载机、摊铺机等、</w:t>
            </w:r>
            <w:r>
              <w:rPr>
                <w:szCs w:val="21"/>
                <w:lang w:bidi="ar"/>
              </w:rPr>
              <w:t>装载车辆等。</w:t>
            </w:r>
            <w:bookmarkEnd w:id="52"/>
            <w:r>
              <w:rPr>
                <w:szCs w:val="21"/>
                <w:lang w:bidi="ar"/>
              </w:rPr>
              <w:t>参考《环境工程手册 环境</w:t>
            </w:r>
            <w:r>
              <w:rPr>
                <w:rFonts w:hint="eastAsia"/>
                <w:szCs w:val="21"/>
                <w:lang w:bidi="ar"/>
              </w:rPr>
              <w:t>噪声控制卷》、《公路建设项目环境影响评价规范》（</w:t>
            </w:r>
            <w:r>
              <w:rPr>
                <w:szCs w:val="21"/>
                <w:lang w:bidi="ar"/>
              </w:rPr>
              <w:t>JTG B03-2006）及《环境噪声</w:t>
            </w:r>
            <w:r>
              <w:rPr>
                <w:rFonts w:hint="eastAsia"/>
                <w:szCs w:val="21"/>
                <w:lang w:bidi="ar"/>
              </w:rPr>
              <w:t>与振动控制工程技术导则》（</w:t>
            </w:r>
            <w:r>
              <w:rPr>
                <w:szCs w:val="21"/>
                <w:lang w:bidi="ar"/>
              </w:rPr>
              <w:t>HJ2034-2013），常用施工机械测点距施工机械距离5m</w:t>
            </w:r>
            <w:r>
              <w:rPr>
                <w:rFonts w:hint="eastAsia"/>
                <w:szCs w:val="21"/>
                <w:lang w:bidi="ar"/>
              </w:rPr>
              <w:t>的噪声值见下表</w:t>
            </w:r>
            <w:r>
              <w:rPr>
                <w:szCs w:val="21"/>
                <w:lang w:bidi="ar"/>
              </w:rPr>
              <w:t>。</w:t>
            </w:r>
            <w:r>
              <w:rPr>
                <w:b/>
                <w:szCs w:val="21"/>
                <w:lang w:bidi="ar"/>
              </w:rPr>
              <w:t>周边敏感点噪声影响分析详见声环境影响专项评价。</w:t>
            </w:r>
          </w:p>
          <w:p w14:paraId="6EABACE9">
            <w:pPr>
              <w:autoSpaceDE w:val="0"/>
              <w:autoSpaceDN w:val="0"/>
              <w:adjustRightInd w:val="0"/>
              <w:spacing w:before="120" w:beforeLines="50" w:line="360" w:lineRule="auto"/>
              <w:jc w:val="center"/>
              <w:rPr>
                <w:b/>
                <w:bCs/>
                <w:kern w:val="0"/>
                <w:szCs w:val="21"/>
              </w:rPr>
            </w:pPr>
            <w:r>
              <w:rPr>
                <w:rFonts w:hint="eastAsia"/>
                <w:b/>
                <w:bCs/>
                <w:kern w:val="0"/>
                <w:szCs w:val="21"/>
              </w:rPr>
              <w:t>表</w:t>
            </w:r>
            <w:r>
              <w:rPr>
                <w:b/>
                <w:bCs/>
                <w:kern w:val="0"/>
                <w:szCs w:val="21"/>
              </w:rPr>
              <w:t>4-1 不同施工阶段采用的施工机械</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7"/>
              <w:gridCol w:w="1751"/>
              <w:gridCol w:w="1616"/>
              <w:gridCol w:w="4767"/>
            </w:tblGrid>
            <w:tr w14:paraId="68E5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9" w:type="pct"/>
                  <w:gridSpan w:val="2"/>
                  <w:tcBorders>
                    <w:top w:val="single" w:color="auto" w:sz="18" w:space="0"/>
                  </w:tcBorders>
                  <w:shd w:val="clear" w:color="auto" w:fill="auto"/>
                  <w:vAlign w:val="center"/>
                </w:tcPr>
                <w:p w14:paraId="4FD35878">
                  <w:pPr>
                    <w:jc w:val="center"/>
                    <w:rPr>
                      <w:b/>
                      <w:bCs/>
                      <w:kern w:val="0"/>
                      <w:szCs w:val="21"/>
                    </w:rPr>
                  </w:pPr>
                  <w:r>
                    <w:rPr>
                      <w:b/>
                      <w:bCs/>
                      <w:kern w:val="0"/>
                      <w:szCs w:val="21"/>
                    </w:rPr>
                    <w:t>施工阶段</w:t>
                  </w:r>
                </w:p>
              </w:tc>
              <w:tc>
                <w:tcPr>
                  <w:tcW w:w="818" w:type="pct"/>
                  <w:tcBorders>
                    <w:top w:val="single" w:color="auto" w:sz="18" w:space="0"/>
                  </w:tcBorders>
                  <w:shd w:val="clear" w:color="auto" w:fill="auto"/>
                  <w:vAlign w:val="center"/>
                </w:tcPr>
                <w:p w14:paraId="426E15ED">
                  <w:pPr>
                    <w:jc w:val="center"/>
                    <w:rPr>
                      <w:b/>
                      <w:bCs/>
                      <w:kern w:val="0"/>
                      <w:szCs w:val="21"/>
                    </w:rPr>
                  </w:pPr>
                  <w:r>
                    <w:rPr>
                      <w:b/>
                      <w:bCs/>
                      <w:kern w:val="0"/>
                      <w:szCs w:val="21"/>
                    </w:rPr>
                    <w:t>主要路段</w:t>
                  </w:r>
                </w:p>
              </w:tc>
              <w:tc>
                <w:tcPr>
                  <w:tcW w:w="2413" w:type="pct"/>
                  <w:tcBorders>
                    <w:top w:val="single" w:color="auto" w:sz="18" w:space="0"/>
                  </w:tcBorders>
                  <w:shd w:val="clear" w:color="auto" w:fill="auto"/>
                  <w:vAlign w:val="center"/>
                </w:tcPr>
                <w:p w14:paraId="20C5AD3E">
                  <w:pPr>
                    <w:jc w:val="center"/>
                    <w:rPr>
                      <w:b/>
                      <w:bCs/>
                      <w:kern w:val="0"/>
                      <w:szCs w:val="21"/>
                    </w:rPr>
                  </w:pPr>
                  <w:r>
                    <w:rPr>
                      <w:b/>
                      <w:bCs/>
                      <w:kern w:val="0"/>
                      <w:szCs w:val="21"/>
                    </w:rPr>
                    <w:t>施工机械</w:t>
                  </w:r>
                </w:p>
              </w:tc>
            </w:tr>
            <w:tr w14:paraId="31AAD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vMerge w:val="restart"/>
                  <w:shd w:val="clear" w:color="auto" w:fill="auto"/>
                  <w:vAlign w:val="center"/>
                </w:tcPr>
                <w:p w14:paraId="4EF1A83F">
                  <w:pPr>
                    <w:jc w:val="center"/>
                    <w:rPr>
                      <w:kern w:val="0"/>
                      <w:szCs w:val="21"/>
                    </w:rPr>
                  </w:pPr>
                  <w:r>
                    <w:rPr>
                      <w:kern w:val="0"/>
                      <w:szCs w:val="21"/>
                    </w:rPr>
                    <w:t>路基施工</w:t>
                  </w:r>
                </w:p>
              </w:tc>
              <w:tc>
                <w:tcPr>
                  <w:tcW w:w="886" w:type="pct"/>
                  <w:shd w:val="clear" w:color="auto" w:fill="auto"/>
                  <w:vAlign w:val="center"/>
                </w:tcPr>
                <w:p w14:paraId="2B551156">
                  <w:pPr>
                    <w:jc w:val="center"/>
                    <w:rPr>
                      <w:kern w:val="0"/>
                      <w:szCs w:val="21"/>
                    </w:rPr>
                  </w:pPr>
                  <w:r>
                    <w:rPr>
                      <w:kern w:val="0"/>
                      <w:szCs w:val="21"/>
                    </w:rPr>
                    <w:t>软土路基处理</w:t>
                  </w:r>
                </w:p>
              </w:tc>
              <w:tc>
                <w:tcPr>
                  <w:tcW w:w="818" w:type="pct"/>
                  <w:shd w:val="clear" w:color="auto" w:fill="auto"/>
                  <w:vAlign w:val="center"/>
                </w:tcPr>
                <w:p w14:paraId="4784E74A">
                  <w:pPr>
                    <w:jc w:val="center"/>
                    <w:rPr>
                      <w:kern w:val="0"/>
                      <w:szCs w:val="21"/>
                    </w:rPr>
                  </w:pPr>
                  <w:r>
                    <w:rPr>
                      <w:kern w:val="0"/>
                      <w:szCs w:val="21"/>
                    </w:rPr>
                    <w:t>软基路段</w:t>
                  </w:r>
                </w:p>
              </w:tc>
              <w:tc>
                <w:tcPr>
                  <w:tcW w:w="2413" w:type="pct"/>
                  <w:shd w:val="clear" w:color="auto" w:fill="auto"/>
                  <w:vAlign w:val="center"/>
                </w:tcPr>
                <w:p w14:paraId="10266645">
                  <w:pPr>
                    <w:jc w:val="center"/>
                    <w:rPr>
                      <w:kern w:val="0"/>
                      <w:szCs w:val="21"/>
                    </w:rPr>
                  </w:pPr>
                  <w:r>
                    <w:rPr>
                      <w:kern w:val="0"/>
                      <w:szCs w:val="21"/>
                    </w:rPr>
                    <w:t>振捣机、推土机、装载机等</w:t>
                  </w:r>
                </w:p>
              </w:tc>
            </w:tr>
            <w:tr w14:paraId="6BD6A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vMerge w:val="continue"/>
                  <w:shd w:val="clear" w:color="auto" w:fill="auto"/>
                  <w:vAlign w:val="center"/>
                </w:tcPr>
                <w:p w14:paraId="48BD98DF">
                  <w:pPr>
                    <w:jc w:val="center"/>
                    <w:rPr>
                      <w:kern w:val="0"/>
                      <w:szCs w:val="21"/>
                    </w:rPr>
                  </w:pPr>
                </w:p>
              </w:tc>
              <w:tc>
                <w:tcPr>
                  <w:tcW w:w="886" w:type="pct"/>
                  <w:shd w:val="clear" w:color="auto" w:fill="auto"/>
                  <w:vAlign w:val="center"/>
                </w:tcPr>
                <w:p w14:paraId="2EE0A705">
                  <w:pPr>
                    <w:jc w:val="center"/>
                    <w:rPr>
                      <w:kern w:val="0"/>
                      <w:szCs w:val="21"/>
                    </w:rPr>
                  </w:pPr>
                  <w:r>
                    <w:rPr>
                      <w:kern w:val="0"/>
                      <w:szCs w:val="21"/>
                    </w:rPr>
                    <w:t>路基填筑</w:t>
                  </w:r>
                </w:p>
              </w:tc>
              <w:tc>
                <w:tcPr>
                  <w:tcW w:w="818" w:type="pct"/>
                  <w:shd w:val="clear" w:color="auto" w:fill="auto"/>
                  <w:vAlign w:val="center"/>
                </w:tcPr>
                <w:p w14:paraId="66FDAB40">
                  <w:pPr>
                    <w:jc w:val="center"/>
                    <w:rPr>
                      <w:kern w:val="0"/>
                      <w:szCs w:val="21"/>
                    </w:rPr>
                  </w:pPr>
                  <w:r>
                    <w:rPr>
                      <w:kern w:val="0"/>
                      <w:szCs w:val="21"/>
                    </w:rPr>
                    <w:t>全线路基路段</w:t>
                  </w:r>
                </w:p>
              </w:tc>
              <w:tc>
                <w:tcPr>
                  <w:tcW w:w="2413" w:type="pct"/>
                  <w:shd w:val="clear" w:color="auto" w:fill="auto"/>
                  <w:vAlign w:val="center"/>
                </w:tcPr>
                <w:p w14:paraId="18EF1566">
                  <w:pPr>
                    <w:jc w:val="center"/>
                    <w:rPr>
                      <w:kern w:val="0"/>
                      <w:szCs w:val="21"/>
                    </w:rPr>
                  </w:pPr>
                  <w:r>
                    <w:rPr>
                      <w:kern w:val="0"/>
                      <w:szCs w:val="21"/>
                    </w:rPr>
                    <w:t>推土机、挖掘机、装载机、压路机、运输车辆等</w:t>
                  </w:r>
                </w:p>
              </w:tc>
            </w:tr>
            <w:tr w14:paraId="1228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9" w:type="pct"/>
                  <w:gridSpan w:val="2"/>
                  <w:shd w:val="clear" w:color="auto" w:fill="auto"/>
                  <w:vAlign w:val="center"/>
                </w:tcPr>
                <w:p w14:paraId="3B0D8D43">
                  <w:pPr>
                    <w:jc w:val="center"/>
                    <w:rPr>
                      <w:kern w:val="0"/>
                      <w:szCs w:val="21"/>
                    </w:rPr>
                  </w:pPr>
                  <w:r>
                    <w:rPr>
                      <w:kern w:val="0"/>
                      <w:szCs w:val="21"/>
                    </w:rPr>
                    <w:t>桥梁施工</w:t>
                  </w:r>
                </w:p>
              </w:tc>
              <w:tc>
                <w:tcPr>
                  <w:tcW w:w="818" w:type="pct"/>
                  <w:shd w:val="clear" w:color="auto" w:fill="auto"/>
                  <w:vAlign w:val="center"/>
                </w:tcPr>
                <w:p w14:paraId="06A8D259">
                  <w:pPr>
                    <w:jc w:val="center"/>
                    <w:rPr>
                      <w:kern w:val="0"/>
                      <w:szCs w:val="21"/>
                    </w:rPr>
                  </w:pPr>
                  <w:r>
                    <w:rPr>
                      <w:kern w:val="0"/>
                      <w:szCs w:val="21"/>
                    </w:rPr>
                    <w:t>桥梁路段</w:t>
                  </w:r>
                </w:p>
              </w:tc>
              <w:tc>
                <w:tcPr>
                  <w:tcW w:w="2413" w:type="pct"/>
                  <w:shd w:val="clear" w:color="auto" w:fill="auto"/>
                  <w:vAlign w:val="center"/>
                </w:tcPr>
                <w:p w14:paraId="4054197A">
                  <w:pPr>
                    <w:jc w:val="center"/>
                    <w:rPr>
                      <w:kern w:val="0"/>
                      <w:szCs w:val="21"/>
                    </w:rPr>
                  </w:pPr>
                  <w:r>
                    <w:rPr>
                      <w:kern w:val="0"/>
                      <w:szCs w:val="21"/>
                    </w:rPr>
                    <w:t>吊车、运输车辆、钻机、打桩机等</w:t>
                  </w:r>
                </w:p>
              </w:tc>
            </w:tr>
            <w:tr w14:paraId="04EBA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9" w:type="pct"/>
                  <w:gridSpan w:val="2"/>
                  <w:tcBorders>
                    <w:bottom w:val="single" w:color="auto" w:sz="18" w:space="0"/>
                  </w:tcBorders>
                  <w:shd w:val="clear" w:color="auto" w:fill="auto"/>
                  <w:vAlign w:val="center"/>
                </w:tcPr>
                <w:p w14:paraId="14707AEC">
                  <w:pPr>
                    <w:jc w:val="center"/>
                    <w:rPr>
                      <w:kern w:val="0"/>
                      <w:szCs w:val="21"/>
                    </w:rPr>
                  </w:pPr>
                  <w:r>
                    <w:rPr>
                      <w:kern w:val="0"/>
                      <w:szCs w:val="21"/>
                    </w:rPr>
                    <w:t>路面施工</w:t>
                  </w:r>
                </w:p>
              </w:tc>
              <w:tc>
                <w:tcPr>
                  <w:tcW w:w="818" w:type="pct"/>
                  <w:tcBorders>
                    <w:bottom w:val="single" w:color="auto" w:sz="18" w:space="0"/>
                  </w:tcBorders>
                  <w:shd w:val="clear" w:color="auto" w:fill="auto"/>
                  <w:vAlign w:val="center"/>
                </w:tcPr>
                <w:p w14:paraId="61DD2748">
                  <w:pPr>
                    <w:jc w:val="center"/>
                    <w:rPr>
                      <w:kern w:val="0"/>
                      <w:szCs w:val="21"/>
                    </w:rPr>
                  </w:pPr>
                  <w:r>
                    <w:rPr>
                      <w:kern w:val="0"/>
                      <w:szCs w:val="21"/>
                    </w:rPr>
                    <w:t>全线</w:t>
                  </w:r>
                </w:p>
              </w:tc>
              <w:tc>
                <w:tcPr>
                  <w:tcW w:w="2413" w:type="pct"/>
                  <w:tcBorders>
                    <w:bottom w:val="single" w:color="auto" w:sz="18" w:space="0"/>
                  </w:tcBorders>
                  <w:shd w:val="clear" w:color="auto" w:fill="auto"/>
                  <w:vAlign w:val="center"/>
                </w:tcPr>
                <w:p w14:paraId="2D0DDFFD">
                  <w:pPr>
                    <w:jc w:val="center"/>
                    <w:rPr>
                      <w:kern w:val="0"/>
                      <w:szCs w:val="21"/>
                    </w:rPr>
                  </w:pPr>
                  <w:r>
                    <w:rPr>
                      <w:kern w:val="0"/>
                      <w:szCs w:val="21"/>
                    </w:rPr>
                    <w:t>装载机、平地机、沥青摊铺机、压路机等</w:t>
                  </w:r>
                </w:p>
              </w:tc>
            </w:tr>
          </w:tbl>
          <w:p w14:paraId="21AE23AF">
            <w:pPr>
              <w:autoSpaceDE w:val="0"/>
              <w:autoSpaceDN w:val="0"/>
              <w:adjustRightInd w:val="0"/>
              <w:snapToGrid w:val="0"/>
              <w:spacing w:before="120" w:beforeLines="50" w:line="360" w:lineRule="auto"/>
              <w:jc w:val="center"/>
              <w:rPr>
                <w:b/>
                <w:bCs/>
                <w:kern w:val="0"/>
                <w:szCs w:val="21"/>
              </w:rPr>
            </w:pPr>
            <w:r>
              <w:rPr>
                <w:b/>
                <w:bCs/>
                <w:kern w:val="0"/>
                <w:szCs w:val="21"/>
              </w:rPr>
              <w:t>表4-2  施工期施工机械噪声值</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338"/>
              <w:gridCol w:w="1875"/>
              <w:gridCol w:w="1607"/>
              <w:gridCol w:w="2276"/>
              <w:gridCol w:w="2117"/>
            </w:tblGrid>
            <w:tr w14:paraId="71782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jc w:val="center"/>
              </w:trPr>
              <w:tc>
                <w:tcPr>
                  <w:tcW w:w="338" w:type="pct"/>
                  <w:tcBorders>
                    <w:top w:val="single" w:color="auto" w:sz="18" w:space="0"/>
                  </w:tcBorders>
                  <w:shd w:val="clear" w:color="auto" w:fill="auto"/>
                  <w:noWrap/>
                  <w:vAlign w:val="center"/>
                </w:tcPr>
                <w:p w14:paraId="08A5F916">
                  <w:pPr>
                    <w:jc w:val="center"/>
                    <w:rPr>
                      <w:b/>
                      <w:bCs/>
                      <w:szCs w:val="21"/>
                    </w:rPr>
                  </w:pPr>
                  <w:r>
                    <w:rPr>
                      <w:b/>
                      <w:bCs/>
                      <w:szCs w:val="21"/>
                      <w:lang w:bidi="ar"/>
                    </w:rPr>
                    <w:t>序号</w:t>
                  </w:r>
                </w:p>
              </w:tc>
              <w:tc>
                <w:tcPr>
                  <w:tcW w:w="677" w:type="pct"/>
                  <w:tcBorders>
                    <w:top w:val="single" w:color="auto" w:sz="18" w:space="0"/>
                  </w:tcBorders>
                  <w:shd w:val="clear" w:color="auto" w:fill="auto"/>
                  <w:vAlign w:val="center"/>
                </w:tcPr>
                <w:p w14:paraId="0A99CBBC">
                  <w:pPr>
                    <w:jc w:val="center"/>
                    <w:rPr>
                      <w:b/>
                      <w:bCs/>
                      <w:szCs w:val="21"/>
                      <w:lang w:bidi="ar"/>
                    </w:rPr>
                  </w:pPr>
                  <w:r>
                    <w:rPr>
                      <w:b/>
                      <w:bCs/>
                      <w:szCs w:val="21"/>
                      <w:lang w:bidi="ar"/>
                    </w:rPr>
                    <w:t>施工阶段</w:t>
                  </w:r>
                </w:p>
              </w:tc>
              <w:tc>
                <w:tcPr>
                  <w:tcW w:w="949" w:type="pct"/>
                  <w:tcBorders>
                    <w:top w:val="single" w:color="auto" w:sz="18" w:space="0"/>
                  </w:tcBorders>
                  <w:shd w:val="clear" w:color="auto" w:fill="auto"/>
                  <w:noWrap/>
                  <w:vAlign w:val="center"/>
                </w:tcPr>
                <w:p w14:paraId="08C65E36">
                  <w:pPr>
                    <w:jc w:val="center"/>
                    <w:rPr>
                      <w:b/>
                      <w:bCs/>
                      <w:szCs w:val="21"/>
                    </w:rPr>
                  </w:pPr>
                  <w:r>
                    <w:rPr>
                      <w:b/>
                      <w:bCs/>
                      <w:szCs w:val="21"/>
                      <w:lang w:bidi="ar"/>
                    </w:rPr>
                    <w:t>机械类型</w:t>
                  </w:r>
                </w:p>
              </w:tc>
              <w:tc>
                <w:tcPr>
                  <w:tcW w:w="813" w:type="pct"/>
                  <w:tcBorders>
                    <w:top w:val="single" w:color="auto" w:sz="18" w:space="0"/>
                  </w:tcBorders>
                  <w:shd w:val="clear" w:color="auto" w:fill="auto"/>
                  <w:noWrap/>
                  <w:vAlign w:val="center"/>
                </w:tcPr>
                <w:p w14:paraId="01D7E227">
                  <w:pPr>
                    <w:jc w:val="center"/>
                    <w:rPr>
                      <w:b/>
                      <w:bCs/>
                      <w:szCs w:val="21"/>
                    </w:rPr>
                  </w:pPr>
                  <w:r>
                    <w:rPr>
                      <w:b/>
                      <w:bCs/>
                      <w:szCs w:val="21"/>
                      <w:lang w:bidi="ar"/>
                    </w:rPr>
                    <w:t>声源特点</w:t>
                  </w:r>
                </w:p>
              </w:tc>
              <w:tc>
                <w:tcPr>
                  <w:tcW w:w="1152" w:type="pct"/>
                  <w:tcBorders>
                    <w:top w:val="single" w:color="auto" w:sz="18" w:space="0"/>
                  </w:tcBorders>
                  <w:shd w:val="clear" w:color="auto" w:fill="auto"/>
                  <w:noWrap/>
                  <w:vAlign w:val="center"/>
                </w:tcPr>
                <w:p w14:paraId="4F37E687">
                  <w:pPr>
                    <w:jc w:val="center"/>
                    <w:rPr>
                      <w:b/>
                      <w:bCs/>
                      <w:szCs w:val="21"/>
                    </w:rPr>
                  </w:pPr>
                  <w:r>
                    <w:rPr>
                      <w:b/>
                      <w:bCs/>
                      <w:szCs w:val="21"/>
                      <w:lang w:bidi="ar"/>
                    </w:rPr>
                    <w:t>单台设备5m最大声级L</w:t>
                  </w:r>
                  <w:r>
                    <w:rPr>
                      <w:b/>
                      <w:bCs/>
                      <w:szCs w:val="21"/>
                      <w:vertAlign w:val="subscript"/>
                      <w:lang w:bidi="ar"/>
                    </w:rPr>
                    <w:t>max</w:t>
                  </w:r>
                  <w:r>
                    <w:rPr>
                      <w:b/>
                      <w:bCs/>
                      <w:szCs w:val="21"/>
                      <w:lang w:bidi="ar"/>
                    </w:rPr>
                    <w:t>（dB）</w:t>
                  </w:r>
                </w:p>
              </w:tc>
              <w:tc>
                <w:tcPr>
                  <w:tcW w:w="1071" w:type="pct"/>
                  <w:tcBorders>
                    <w:top w:val="single" w:color="auto" w:sz="18" w:space="0"/>
                  </w:tcBorders>
                  <w:shd w:val="clear" w:color="auto" w:fill="auto"/>
                  <w:vAlign w:val="center"/>
                </w:tcPr>
                <w:p w14:paraId="1D70DC38">
                  <w:pPr>
                    <w:jc w:val="center"/>
                    <w:rPr>
                      <w:b/>
                      <w:bCs/>
                      <w:szCs w:val="21"/>
                      <w:lang w:bidi="ar"/>
                    </w:rPr>
                  </w:pPr>
                  <w:r>
                    <w:rPr>
                      <w:b/>
                      <w:bCs/>
                      <w:szCs w:val="21"/>
                      <w:lang w:bidi="ar"/>
                    </w:rPr>
                    <w:t>同时使用的最大数量</w:t>
                  </w:r>
                </w:p>
              </w:tc>
            </w:tr>
            <w:tr w14:paraId="12A8F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restart"/>
                  <w:shd w:val="clear" w:color="auto" w:fill="auto"/>
                  <w:noWrap/>
                  <w:vAlign w:val="center"/>
                </w:tcPr>
                <w:p w14:paraId="1156B042">
                  <w:pPr>
                    <w:jc w:val="center"/>
                    <w:rPr>
                      <w:szCs w:val="21"/>
                      <w:lang w:bidi="ar"/>
                    </w:rPr>
                  </w:pPr>
                  <w:r>
                    <w:rPr>
                      <w:rFonts w:hint="eastAsia"/>
                      <w:szCs w:val="21"/>
                      <w:lang w:bidi="ar"/>
                    </w:rPr>
                    <w:t>1</w:t>
                  </w:r>
                </w:p>
              </w:tc>
              <w:tc>
                <w:tcPr>
                  <w:tcW w:w="677" w:type="pct"/>
                  <w:vMerge w:val="restart"/>
                  <w:shd w:val="clear" w:color="auto" w:fill="auto"/>
                  <w:vAlign w:val="center"/>
                </w:tcPr>
                <w:p w14:paraId="0326917F">
                  <w:pPr>
                    <w:jc w:val="center"/>
                    <w:rPr>
                      <w:szCs w:val="21"/>
                      <w:lang w:bidi="ar"/>
                    </w:rPr>
                  </w:pPr>
                  <w:r>
                    <w:rPr>
                      <w:szCs w:val="21"/>
                      <w:lang w:bidi="ar"/>
                    </w:rPr>
                    <w:t>路基施工</w:t>
                  </w:r>
                </w:p>
              </w:tc>
              <w:tc>
                <w:tcPr>
                  <w:tcW w:w="949" w:type="pct"/>
                  <w:shd w:val="clear" w:color="auto" w:fill="auto"/>
                  <w:noWrap/>
                  <w:vAlign w:val="center"/>
                </w:tcPr>
                <w:p w14:paraId="1269F8FF">
                  <w:pPr>
                    <w:jc w:val="center"/>
                    <w:rPr>
                      <w:szCs w:val="21"/>
                      <w:lang w:bidi="ar"/>
                    </w:rPr>
                  </w:pPr>
                  <w:r>
                    <w:rPr>
                      <w:szCs w:val="21"/>
                    </w:rPr>
                    <w:t>装载机</w:t>
                  </w:r>
                </w:p>
              </w:tc>
              <w:tc>
                <w:tcPr>
                  <w:tcW w:w="813" w:type="pct"/>
                  <w:shd w:val="clear" w:color="auto" w:fill="auto"/>
                  <w:noWrap/>
                  <w:vAlign w:val="center"/>
                </w:tcPr>
                <w:p w14:paraId="0532023A">
                  <w:pPr>
                    <w:jc w:val="center"/>
                    <w:rPr>
                      <w:szCs w:val="21"/>
                      <w:lang w:bidi="ar"/>
                    </w:rPr>
                  </w:pPr>
                  <w:r>
                    <w:rPr>
                      <w:szCs w:val="21"/>
                      <w:lang w:bidi="ar"/>
                    </w:rPr>
                    <w:t>流动不稳定源</w:t>
                  </w:r>
                </w:p>
              </w:tc>
              <w:tc>
                <w:tcPr>
                  <w:tcW w:w="1152" w:type="pct"/>
                  <w:shd w:val="clear" w:color="auto" w:fill="auto"/>
                  <w:noWrap/>
                  <w:vAlign w:val="center"/>
                </w:tcPr>
                <w:p w14:paraId="7415ED0E">
                  <w:pPr>
                    <w:jc w:val="center"/>
                    <w:rPr>
                      <w:szCs w:val="21"/>
                      <w:lang w:bidi="ar"/>
                    </w:rPr>
                  </w:pPr>
                  <w:r>
                    <w:rPr>
                      <w:szCs w:val="21"/>
                    </w:rPr>
                    <w:t>90</w:t>
                  </w:r>
                </w:p>
              </w:tc>
              <w:tc>
                <w:tcPr>
                  <w:tcW w:w="1071" w:type="pct"/>
                  <w:shd w:val="clear" w:color="auto" w:fill="auto"/>
                  <w:vAlign w:val="center"/>
                </w:tcPr>
                <w:p w14:paraId="24C58D8D">
                  <w:pPr>
                    <w:jc w:val="center"/>
                    <w:rPr>
                      <w:szCs w:val="21"/>
                    </w:rPr>
                  </w:pPr>
                  <w:r>
                    <w:rPr>
                      <w:rFonts w:hint="eastAsia"/>
                      <w:szCs w:val="21"/>
                    </w:rPr>
                    <w:t>2</w:t>
                  </w:r>
                  <w:r>
                    <w:rPr>
                      <w:szCs w:val="21"/>
                    </w:rPr>
                    <w:t>台</w:t>
                  </w:r>
                </w:p>
              </w:tc>
            </w:tr>
            <w:tr w14:paraId="4CAE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00076725">
                  <w:pPr>
                    <w:jc w:val="center"/>
                    <w:rPr>
                      <w:szCs w:val="21"/>
                      <w:lang w:bidi="ar"/>
                    </w:rPr>
                  </w:pPr>
                </w:p>
              </w:tc>
              <w:tc>
                <w:tcPr>
                  <w:tcW w:w="677" w:type="pct"/>
                  <w:vMerge w:val="continue"/>
                  <w:shd w:val="clear" w:color="auto" w:fill="auto"/>
                  <w:vAlign w:val="center"/>
                </w:tcPr>
                <w:p w14:paraId="5D603475">
                  <w:pPr>
                    <w:jc w:val="center"/>
                    <w:rPr>
                      <w:szCs w:val="21"/>
                      <w:lang w:bidi="ar"/>
                    </w:rPr>
                  </w:pPr>
                </w:p>
              </w:tc>
              <w:tc>
                <w:tcPr>
                  <w:tcW w:w="949" w:type="pct"/>
                  <w:shd w:val="clear" w:color="auto" w:fill="auto"/>
                  <w:noWrap/>
                  <w:vAlign w:val="center"/>
                </w:tcPr>
                <w:p w14:paraId="5E94FADC">
                  <w:pPr>
                    <w:jc w:val="center"/>
                    <w:rPr>
                      <w:szCs w:val="21"/>
                      <w:lang w:bidi="ar"/>
                    </w:rPr>
                  </w:pPr>
                  <w:r>
                    <w:rPr>
                      <w:szCs w:val="21"/>
                    </w:rPr>
                    <w:t>重型运输车</w:t>
                  </w:r>
                </w:p>
              </w:tc>
              <w:tc>
                <w:tcPr>
                  <w:tcW w:w="813" w:type="pct"/>
                  <w:shd w:val="clear" w:color="auto" w:fill="auto"/>
                  <w:noWrap/>
                  <w:vAlign w:val="center"/>
                </w:tcPr>
                <w:p w14:paraId="7BDDD64F">
                  <w:pPr>
                    <w:jc w:val="center"/>
                    <w:rPr>
                      <w:szCs w:val="21"/>
                      <w:lang w:bidi="ar"/>
                    </w:rPr>
                  </w:pPr>
                  <w:r>
                    <w:rPr>
                      <w:szCs w:val="21"/>
                      <w:lang w:bidi="ar"/>
                    </w:rPr>
                    <w:t>流动不稳定源</w:t>
                  </w:r>
                </w:p>
              </w:tc>
              <w:tc>
                <w:tcPr>
                  <w:tcW w:w="1152" w:type="pct"/>
                  <w:shd w:val="clear" w:color="auto" w:fill="auto"/>
                  <w:noWrap/>
                  <w:vAlign w:val="center"/>
                </w:tcPr>
                <w:p w14:paraId="30F0A484">
                  <w:pPr>
                    <w:jc w:val="center"/>
                    <w:rPr>
                      <w:szCs w:val="21"/>
                      <w:lang w:bidi="ar"/>
                    </w:rPr>
                  </w:pPr>
                  <w:r>
                    <w:rPr>
                      <w:szCs w:val="21"/>
                    </w:rPr>
                    <w:t>82</w:t>
                  </w:r>
                </w:p>
              </w:tc>
              <w:tc>
                <w:tcPr>
                  <w:tcW w:w="1071" w:type="pct"/>
                  <w:shd w:val="clear" w:color="auto" w:fill="auto"/>
                  <w:vAlign w:val="center"/>
                </w:tcPr>
                <w:p w14:paraId="0E8ACF15">
                  <w:pPr>
                    <w:jc w:val="center"/>
                    <w:rPr>
                      <w:szCs w:val="21"/>
                    </w:rPr>
                  </w:pPr>
                  <w:r>
                    <w:rPr>
                      <w:rFonts w:hint="eastAsia"/>
                      <w:szCs w:val="21"/>
                    </w:rPr>
                    <w:t>1</w:t>
                  </w:r>
                  <w:r>
                    <w:rPr>
                      <w:szCs w:val="21"/>
                    </w:rPr>
                    <w:t>台</w:t>
                  </w:r>
                </w:p>
              </w:tc>
            </w:tr>
            <w:tr w14:paraId="3D344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7FB42499">
                  <w:pPr>
                    <w:jc w:val="center"/>
                    <w:rPr>
                      <w:szCs w:val="21"/>
                      <w:lang w:bidi="ar"/>
                    </w:rPr>
                  </w:pPr>
                </w:p>
              </w:tc>
              <w:tc>
                <w:tcPr>
                  <w:tcW w:w="677" w:type="pct"/>
                  <w:vMerge w:val="continue"/>
                  <w:shd w:val="clear" w:color="auto" w:fill="auto"/>
                  <w:vAlign w:val="center"/>
                </w:tcPr>
                <w:p w14:paraId="237C0FA1">
                  <w:pPr>
                    <w:jc w:val="center"/>
                    <w:rPr>
                      <w:szCs w:val="21"/>
                      <w:lang w:bidi="ar"/>
                    </w:rPr>
                  </w:pPr>
                </w:p>
              </w:tc>
              <w:tc>
                <w:tcPr>
                  <w:tcW w:w="949" w:type="pct"/>
                  <w:shd w:val="clear" w:color="auto" w:fill="auto"/>
                  <w:noWrap/>
                  <w:vAlign w:val="center"/>
                </w:tcPr>
                <w:p w14:paraId="3DD8EA2A">
                  <w:pPr>
                    <w:jc w:val="center"/>
                    <w:rPr>
                      <w:szCs w:val="21"/>
                      <w:lang w:bidi="ar"/>
                    </w:rPr>
                  </w:pPr>
                  <w:r>
                    <w:rPr>
                      <w:szCs w:val="21"/>
                    </w:rPr>
                    <w:t>压路机</w:t>
                  </w:r>
                </w:p>
              </w:tc>
              <w:tc>
                <w:tcPr>
                  <w:tcW w:w="813" w:type="pct"/>
                  <w:shd w:val="clear" w:color="auto" w:fill="auto"/>
                  <w:noWrap/>
                  <w:vAlign w:val="center"/>
                </w:tcPr>
                <w:p w14:paraId="79701C76">
                  <w:pPr>
                    <w:jc w:val="center"/>
                    <w:rPr>
                      <w:szCs w:val="21"/>
                      <w:lang w:bidi="ar"/>
                    </w:rPr>
                  </w:pPr>
                  <w:r>
                    <w:rPr>
                      <w:szCs w:val="21"/>
                      <w:lang w:bidi="ar"/>
                    </w:rPr>
                    <w:t>流动不稳定源</w:t>
                  </w:r>
                </w:p>
              </w:tc>
              <w:tc>
                <w:tcPr>
                  <w:tcW w:w="1152" w:type="pct"/>
                  <w:shd w:val="clear" w:color="auto" w:fill="auto"/>
                  <w:noWrap/>
                  <w:vAlign w:val="center"/>
                </w:tcPr>
                <w:p w14:paraId="502676E6">
                  <w:pPr>
                    <w:jc w:val="center"/>
                    <w:rPr>
                      <w:szCs w:val="21"/>
                      <w:lang w:bidi="ar"/>
                    </w:rPr>
                  </w:pPr>
                  <w:r>
                    <w:rPr>
                      <w:szCs w:val="21"/>
                    </w:rPr>
                    <w:t>80</w:t>
                  </w:r>
                </w:p>
              </w:tc>
              <w:tc>
                <w:tcPr>
                  <w:tcW w:w="1071" w:type="pct"/>
                  <w:shd w:val="clear" w:color="auto" w:fill="auto"/>
                  <w:vAlign w:val="center"/>
                </w:tcPr>
                <w:p w14:paraId="725F27C2">
                  <w:pPr>
                    <w:jc w:val="center"/>
                    <w:rPr>
                      <w:szCs w:val="21"/>
                    </w:rPr>
                  </w:pPr>
                  <w:r>
                    <w:rPr>
                      <w:rFonts w:hint="eastAsia"/>
                      <w:szCs w:val="21"/>
                    </w:rPr>
                    <w:t>2</w:t>
                  </w:r>
                  <w:r>
                    <w:rPr>
                      <w:szCs w:val="21"/>
                    </w:rPr>
                    <w:t>台</w:t>
                  </w:r>
                </w:p>
              </w:tc>
            </w:tr>
            <w:tr w14:paraId="68B6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6FE68505">
                  <w:pPr>
                    <w:jc w:val="center"/>
                    <w:rPr>
                      <w:szCs w:val="21"/>
                      <w:highlight w:val="yellow"/>
                      <w:lang w:bidi="ar"/>
                    </w:rPr>
                  </w:pPr>
                </w:p>
              </w:tc>
              <w:tc>
                <w:tcPr>
                  <w:tcW w:w="677" w:type="pct"/>
                  <w:vMerge w:val="continue"/>
                  <w:shd w:val="clear" w:color="auto" w:fill="auto"/>
                  <w:vAlign w:val="center"/>
                </w:tcPr>
                <w:p w14:paraId="23FE46A1">
                  <w:pPr>
                    <w:jc w:val="center"/>
                    <w:rPr>
                      <w:szCs w:val="21"/>
                      <w:highlight w:val="yellow"/>
                      <w:lang w:bidi="ar"/>
                    </w:rPr>
                  </w:pPr>
                </w:p>
              </w:tc>
              <w:tc>
                <w:tcPr>
                  <w:tcW w:w="949" w:type="pct"/>
                  <w:shd w:val="clear" w:color="auto" w:fill="auto"/>
                  <w:noWrap/>
                  <w:vAlign w:val="center"/>
                </w:tcPr>
                <w:p w14:paraId="6DD1F130">
                  <w:pPr>
                    <w:jc w:val="center"/>
                    <w:rPr>
                      <w:szCs w:val="21"/>
                      <w:highlight w:val="yellow"/>
                      <w:lang w:bidi="ar"/>
                    </w:rPr>
                  </w:pPr>
                  <w:r>
                    <w:rPr>
                      <w:szCs w:val="21"/>
                    </w:rPr>
                    <w:t>推土机</w:t>
                  </w:r>
                </w:p>
              </w:tc>
              <w:tc>
                <w:tcPr>
                  <w:tcW w:w="813" w:type="pct"/>
                  <w:shd w:val="clear" w:color="auto" w:fill="auto"/>
                  <w:noWrap/>
                  <w:vAlign w:val="center"/>
                </w:tcPr>
                <w:p w14:paraId="04AEA5B9">
                  <w:pPr>
                    <w:jc w:val="center"/>
                    <w:rPr>
                      <w:szCs w:val="21"/>
                      <w:highlight w:val="yellow"/>
                      <w:lang w:bidi="ar"/>
                    </w:rPr>
                  </w:pPr>
                  <w:r>
                    <w:rPr>
                      <w:szCs w:val="21"/>
                      <w:lang w:bidi="ar"/>
                    </w:rPr>
                    <w:t>流动不稳定源</w:t>
                  </w:r>
                </w:p>
              </w:tc>
              <w:tc>
                <w:tcPr>
                  <w:tcW w:w="1152" w:type="pct"/>
                  <w:shd w:val="clear" w:color="auto" w:fill="auto"/>
                  <w:noWrap/>
                  <w:vAlign w:val="center"/>
                </w:tcPr>
                <w:p w14:paraId="7EFA77F8">
                  <w:pPr>
                    <w:jc w:val="center"/>
                    <w:rPr>
                      <w:szCs w:val="21"/>
                      <w:highlight w:val="yellow"/>
                      <w:lang w:bidi="ar"/>
                    </w:rPr>
                  </w:pPr>
                  <w:r>
                    <w:rPr>
                      <w:szCs w:val="21"/>
                    </w:rPr>
                    <w:t>83</w:t>
                  </w:r>
                </w:p>
              </w:tc>
              <w:tc>
                <w:tcPr>
                  <w:tcW w:w="1071" w:type="pct"/>
                  <w:shd w:val="clear" w:color="auto" w:fill="auto"/>
                  <w:vAlign w:val="center"/>
                </w:tcPr>
                <w:p w14:paraId="23D10658">
                  <w:pPr>
                    <w:jc w:val="center"/>
                    <w:rPr>
                      <w:szCs w:val="21"/>
                    </w:rPr>
                  </w:pPr>
                  <w:r>
                    <w:rPr>
                      <w:rFonts w:hint="eastAsia"/>
                      <w:szCs w:val="21"/>
                    </w:rPr>
                    <w:t>2</w:t>
                  </w:r>
                  <w:r>
                    <w:rPr>
                      <w:szCs w:val="21"/>
                    </w:rPr>
                    <w:t>台</w:t>
                  </w:r>
                </w:p>
              </w:tc>
            </w:tr>
            <w:tr w14:paraId="36136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7EE308DC">
                  <w:pPr>
                    <w:jc w:val="center"/>
                    <w:rPr>
                      <w:szCs w:val="21"/>
                      <w:highlight w:val="yellow"/>
                      <w:lang w:bidi="ar"/>
                    </w:rPr>
                  </w:pPr>
                </w:p>
              </w:tc>
              <w:tc>
                <w:tcPr>
                  <w:tcW w:w="677" w:type="pct"/>
                  <w:vMerge w:val="continue"/>
                  <w:shd w:val="clear" w:color="auto" w:fill="auto"/>
                  <w:vAlign w:val="center"/>
                </w:tcPr>
                <w:p w14:paraId="4402524F">
                  <w:pPr>
                    <w:jc w:val="center"/>
                    <w:rPr>
                      <w:szCs w:val="21"/>
                      <w:highlight w:val="yellow"/>
                      <w:lang w:bidi="ar"/>
                    </w:rPr>
                  </w:pPr>
                </w:p>
              </w:tc>
              <w:tc>
                <w:tcPr>
                  <w:tcW w:w="949" w:type="pct"/>
                  <w:shd w:val="clear" w:color="auto" w:fill="auto"/>
                  <w:noWrap/>
                  <w:vAlign w:val="center"/>
                </w:tcPr>
                <w:p w14:paraId="490A7E92">
                  <w:pPr>
                    <w:jc w:val="center"/>
                    <w:rPr>
                      <w:szCs w:val="21"/>
                      <w:highlight w:val="yellow"/>
                      <w:lang w:bidi="ar"/>
                    </w:rPr>
                  </w:pPr>
                  <w:r>
                    <w:rPr>
                      <w:szCs w:val="21"/>
                    </w:rPr>
                    <w:t>挖掘机</w:t>
                  </w:r>
                </w:p>
              </w:tc>
              <w:tc>
                <w:tcPr>
                  <w:tcW w:w="813" w:type="pct"/>
                  <w:shd w:val="clear" w:color="auto" w:fill="auto"/>
                  <w:noWrap/>
                  <w:vAlign w:val="center"/>
                </w:tcPr>
                <w:p w14:paraId="6A5A10EF">
                  <w:pPr>
                    <w:jc w:val="center"/>
                    <w:rPr>
                      <w:szCs w:val="21"/>
                      <w:highlight w:val="yellow"/>
                      <w:lang w:bidi="ar"/>
                    </w:rPr>
                  </w:pPr>
                  <w:r>
                    <w:rPr>
                      <w:szCs w:val="21"/>
                      <w:lang w:bidi="ar"/>
                    </w:rPr>
                    <w:t>流动不稳定源</w:t>
                  </w:r>
                </w:p>
              </w:tc>
              <w:tc>
                <w:tcPr>
                  <w:tcW w:w="1152" w:type="pct"/>
                  <w:shd w:val="clear" w:color="auto" w:fill="auto"/>
                  <w:noWrap/>
                  <w:vAlign w:val="center"/>
                </w:tcPr>
                <w:p w14:paraId="57EB9582">
                  <w:pPr>
                    <w:jc w:val="center"/>
                    <w:rPr>
                      <w:szCs w:val="21"/>
                      <w:highlight w:val="yellow"/>
                      <w:lang w:bidi="ar"/>
                    </w:rPr>
                  </w:pPr>
                  <w:r>
                    <w:rPr>
                      <w:szCs w:val="21"/>
                    </w:rPr>
                    <w:t>82</w:t>
                  </w:r>
                </w:p>
              </w:tc>
              <w:tc>
                <w:tcPr>
                  <w:tcW w:w="1071" w:type="pct"/>
                  <w:shd w:val="clear" w:color="auto" w:fill="auto"/>
                  <w:vAlign w:val="center"/>
                </w:tcPr>
                <w:p w14:paraId="270626BA">
                  <w:pPr>
                    <w:jc w:val="center"/>
                    <w:rPr>
                      <w:szCs w:val="21"/>
                    </w:rPr>
                  </w:pPr>
                  <w:r>
                    <w:rPr>
                      <w:rFonts w:hint="eastAsia"/>
                      <w:szCs w:val="21"/>
                    </w:rPr>
                    <w:t>1</w:t>
                  </w:r>
                  <w:r>
                    <w:rPr>
                      <w:szCs w:val="21"/>
                    </w:rPr>
                    <w:t>台</w:t>
                  </w:r>
                </w:p>
              </w:tc>
            </w:tr>
            <w:tr w14:paraId="79B4E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restart"/>
                  <w:shd w:val="clear" w:color="auto" w:fill="auto"/>
                  <w:noWrap/>
                  <w:vAlign w:val="center"/>
                </w:tcPr>
                <w:p w14:paraId="77EEBA95">
                  <w:pPr>
                    <w:jc w:val="center"/>
                    <w:rPr>
                      <w:szCs w:val="21"/>
                      <w:lang w:bidi="ar"/>
                    </w:rPr>
                  </w:pPr>
                  <w:r>
                    <w:rPr>
                      <w:rFonts w:hint="eastAsia"/>
                      <w:szCs w:val="21"/>
                      <w:lang w:bidi="ar"/>
                    </w:rPr>
                    <w:t>2</w:t>
                  </w:r>
                </w:p>
              </w:tc>
              <w:tc>
                <w:tcPr>
                  <w:tcW w:w="677" w:type="pct"/>
                  <w:vMerge w:val="restart"/>
                  <w:shd w:val="clear" w:color="auto" w:fill="auto"/>
                  <w:vAlign w:val="center"/>
                </w:tcPr>
                <w:p w14:paraId="7718FD39">
                  <w:pPr>
                    <w:jc w:val="center"/>
                    <w:rPr>
                      <w:szCs w:val="21"/>
                      <w:highlight w:val="yellow"/>
                      <w:lang w:bidi="ar"/>
                    </w:rPr>
                  </w:pPr>
                  <w:r>
                    <w:rPr>
                      <w:szCs w:val="21"/>
                      <w:lang w:bidi="ar"/>
                    </w:rPr>
                    <w:t>路面施工</w:t>
                  </w:r>
                </w:p>
              </w:tc>
              <w:tc>
                <w:tcPr>
                  <w:tcW w:w="949" w:type="pct"/>
                  <w:shd w:val="clear" w:color="auto" w:fill="auto"/>
                  <w:noWrap/>
                  <w:vAlign w:val="center"/>
                </w:tcPr>
                <w:p w14:paraId="3441A2E9">
                  <w:pPr>
                    <w:jc w:val="center"/>
                    <w:rPr>
                      <w:szCs w:val="21"/>
                    </w:rPr>
                  </w:pPr>
                  <w:r>
                    <w:rPr>
                      <w:szCs w:val="21"/>
                    </w:rPr>
                    <w:t>装载机</w:t>
                  </w:r>
                </w:p>
              </w:tc>
              <w:tc>
                <w:tcPr>
                  <w:tcW w:w="813" w:type="pct"/>
                  <w:shd w:val="clear" w:color="auto" w:fill="auto"/>
                  <w:noWrap/>
                  <w:vAlign w:val="center"/>
                </w:tcPr>
                <w:p w14:paraId="67B17C59">
                  <w:pPr>
                    <w:jc w:val="center"/>
                    <w:rPr>
                      <w:szCs w:val="21"/>
                      <w:lang w:bidi="ar"/>
                    </w:rPr>
                  </w:pPr>
                  <w:r>
                    <w:rPr>
                      <w:szCs w:val="21"/>
                      <w:lang w:bidi="ar"/>
                    </w:rPr>
                    <w:t>流动不稳定源</w:t>
                  </w:r>
                </w:p>
              </w:tc>
              <w:tc>
                <w:tcPr>
                  <w:tcW w:w="1152" w:type="pct"/>
                  <w:shd w:val="clear" w:color="auto" w:fill="auto"/>
                  <w:noWrap/>
                  <w:vAlign w:val="center"/>
                </w:tcPr>
                <w:p w14:paraId="1861333C">
                  <w:pPr>
                    <w:jc w:val="center"/>
                    <w:rPr>
                      <w:szCs w:val="21"/>
                    </w:rPr>
                  </w:pPr>
                  <w:r>
                    <w:rPr>
                      <w:szCs w:val="21"/>
                    </w:rPr>
                    <w:t>90</w:t>
                  </w:r>
                </w:p>
              </w:tc>
              <w:tc>
                <w:tcPr>
                  <w:tcW w:w="1071" w:type="pct"/>
                  <w:shd w:val="clear" w:color="auto" w:fill="auto"/>
                  <w:vAlign w:val="center"/>
                </w:tcPr>
                <w:p w14:paraId="7A13A2C4">
                  <w:pPr>
                    <w:jc w:val="center"/>
                    <w:rPr>
                      <w:szCs w:val="21"/>
                    </w:rPr>
                  </w:pPr>
                  <w:r>
                    <w:rPr>
                      <w:rFonts w:hint="eastAsia"/>
                      <w:szCs w:val="21"/>
                    </w:rPr>
                    <w:t>2</w:t>
                  </w:r>
                  <w:r>
                    <w:rPr>
                      <w:szCs w:val="21"/>
                    </w:rPr>
                    <w:t>台</w:t>
                  </w:r>
                </w:p>
              </w:tc>
            </w:tr>
            <w:tr w14:paraId="27E39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4011C245">
                  <w:pPr>
                    <w:jc w:val="center"/>
                    <w:rPr>
                      <w:szCs w:val="21"/>
                      <w:lang w:bidi="ar"/>
                    </w:rPr>
                  </w:pPr>
                </w:p>
              </w:tc>
              <w:tc>
                <w:tcPr>
                  <w:tcW w:w="677" w:type="pct"/>
                  <w:vMerge w:val="continue"/>
                  <w:shd w:val="clear" w:color="auto" w:fill="auto"/>
                  <w:vAlign w:val="center"/>
                </w:tcPr>
                <w:p w14:paraId="26C231AD">
                  <w:pPr>
                    <w:jc w:val="center"/>
                    <w:rPr>
                      <w:szCs w:val="21"/>
                      <w:highlight w:val="yellow"/>
                      <w:lang w:bidi="ar"/>
                    </w:rPr>
                  </w:pPr>
                </w:p>
              </w:tc>
              <w:tc>
                <w:tcPr>
                  <w:tcW w:w="949" w:type="pct"/>
                  <w:shd w:val="clear" w:color="auto" w:fill="auto"/>
                  <w:noWrap/>
                  <w:vAlign w:val="center"/>
                </w:tcPr>
                <w:p w14:paraId="0DB4564D">
                  <w:pPr>
                    <w:jc w:val="center"/>
                    <w:rPr>
                      <w:szCs w:val="21"/>
                    </w:rPr>
                  </w:pPr>
                  <w:r>
                    <w:rPr>
                      <w:szCs w:val="21"/>
                    </w:rPr>
                    <w:t>平地机</w:t>
                  </w:r>
                </w:p>
              </w:tc>
              <w:tc>
                <w:tcPr>
                  <w:tcW w:w="813" w:type="pct"/>
                  <w:shd w:val="clear" w:color="auto" w:fill="auto"/>
                  <w:noWrap/>
                  <w:vAlign w:val="center"/>
                </w:tcPr>
                <w:p w14:paraId="1452303C">
                  <w:pPr>
                    <w:jc w:val="center"/>
                    <w:rPr>
                      <w:szCs w:val="21"/>
                      <w:lang w:bidi="ar"/>
                    </w:rPr>
                  </w:pPr>
                  <w:r>
                    <w:rPr>
                      <w:szCs w:val="21"/>
                      <w:lang w:bidi="ar"/>
                    </w:rPr>
                    <w:t>流动不稳定源</w:t>
                  </w:r>
                </w:p>
              </w:tc>
              <w:tc>
                <w:tcPr>
                  <w:tcW w:w="1152" w:type="pct"/>
                  <w:shd w:val="clear" w:color="auto" w:fill="auto"/>
                  <w:noWrap/>
                  <w:vAlign w:val="center"/>
                </w:tcPr>
                <w:p w14:paraId="09EEAA16">
                  <w:pPr>
                    <w:jc w:val="center"/>
                    <w:rPr>
                      <w:szCs w:val="21"/>
                    </w:rPr>
                  </w:pPr>
                  <w:r>
                    <w:rPr>
                      <w:szCs w:val="21"/>
                    </w:rPr>
                    <w:t>90</w:t>
                  </w:r>
                </w:p>
              </w:tc>
              <w:tc>
                <w:tcPr>
                  <w:tcW w:w="1071" w:type="pct"/>
                  <w:shd w:val="clear" w:color="auto" w:fill="auto"/>
                  <w:vAlign w:val="center"/>
                </w:tcPr>
                <w:p w14:paraId="162F2ADF">
                  <w:pPr>
                    <w:jc w:val="center"/>
                    <w:rPr>
                      <w:szCs w:val="21"/>
                    </w:rPr>
                  </w:pPr>
                  <w:r>
                    <w:rPr>
                      <w:rFonts w:hint="eastAsia"/>
                      <w:szCs w:val="21"/>
                    </w:rPr>
                    <w:t>2</w:t>
                  </w:r>
                  <w:r>
                    <w:rPr>
                      <w:szCs w:val="21"/>
                    </w:rPr>
                    <w:t>台</w:t>
                  </w:r>
                </w:p>
              </w:tc>
            </w:tr>
            <w:tr w14:paraId="7DF26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521E7E07">
                  <w:pPr>
                    <w:jc w:val="center"/>
                    <w:rPr>
                      <w:szCs w:val="21"/>
                      <w:lang w:bidi="ar"/>
                    </w:rPr>
                  </w:pPr>
                </w:p>
              </w:tc>
              <w:tc>
                <w:tcPr>
                  <w:tcW w:w="677" w:type="pct"/>
                  <w:vMerge w:val="continue"/>
                  <w:shd w:val="clear" w:color="auto" w:fill="auto"/>
                  <w:vAlign w:val="center"/>
                </w:tcPr>
                <w:p w14:paraId="399B98C0">
                  <w:pPr>
                    <w:jc w:val="center"/>
                    <w:rPr>
                      <w:szCs w:val="21"/>
                      <w:highlight w:val="yellow"/>
                      <w:lang w:bidi="ar"/>
                    </w:rPr>
                  </w:pPr>
                </w:p>
              </w:tc>
              <w:tc>
                <w:tcPr>
                  <w:tcW w:w="949" w:type="pct"/>
                  <w:shd w:val="clear" w:color="auto" w:fill="auto"/>
                  <w:noWrap/>
                  <w:vAlign w:val="center"/>
                </w:tcPr>
                <w:p w14:paraId="5711D901">
                  <w:pPr>
                    <w:jc w:val="center"/>
                    <w:rPr>
                      <w:szCs w:val="21"/>
                    </w:rPr>
                  </w:pPr>
                  <w:r>
                    <w:rPr>
                      <w:szCs w:val="21"/>
                      <w:lang w:bidi="ar"/>
                    </w:rPr>
                    <w:t>沥青摊铺机</w:t>
                  </w:r>
                </w:p>
              </w:tc>
              <w:tc>
                <w:tcPr>
                  <w:tcW w:w="813" w:type="pct"/>
                  <w:shd w:val="clear" w:color="auto" w:fill="auto"/>
                  <w:noWrap/>
                  <w:vAlign w:val="center"/>
                </w:tcPr>
                <w:p w14:paraId="7559E252">
                  <w:pPr>
                    <w:jc w:val="center"/>
                    <w:rPr>
                      <w:szCs w:val="21"/>
                      <w:lang w:bidi="ar"/>
                    </w:rPr>
                  </w:pPr>
                  <w:r>
                    <w:rPr>
                      <w:szCs w:val="21"/>
                      <w:lang w:bidi="ar"/>
                    </w:rPr>
                    <w:t>流动不稳态源</w:t>
                  </w:r>
                </w:p>
              </w:tc>
              <w:tc>
                <w:tcPr>
                  <w:tcW w:w="1152" w:type="pct"/>
                  <w:shd w:val="clear" w:color="auto" w:fill="auto"/>
                  <w:noWrap/>
                  <w:vAlign w:val="center"/>
                </w:tcPr>
                <w:p w14:paraId="30EFA3AC">
                  <w:pPr>
                    <w:jc w:val="center"/>
                    <w:rPr>
                      <w:szCs w:val="21"/>
                    </w:rPr>
                  </w:pPr>
                  <w:r>
                    <w:rPr>
                      <w:szCs w:val="21"/>
                      <w:lang w:bidi="ar"/>
                    </w:rPr>
                    <w:t>87</w:t>
                  </w:r>
                </w:p>
              </w:tc>
              <w:tc>
                <w:tcPr>
                  <w:tcW w:w="1071" w:type="pct"/>
                  <w:shd w:val="clear" w:color="auto" w:fill="auto"/>
                  <w:vAlign w:val="center"/>
                </w:tcPr>
                <w:p w14:paraId="409A87E5">
                  <w:pPr>
                    <w:jc w:val="center"/>
                    <w:rPr>
                      <w:szCs w:val="21"/>
                    </w:rPr>
                  </w:pPr>
                  <w:r>
                    <w:rPr>
                      <w:rFonts w:hint="eastAsia"/>
                      <w:szCs w:val="21"/>
                    </w:rPr>
                    <w:t>1</w:t>
                  </w:r>
                  <w:r>
                    <w:rPr>
                      <w:szCs w:val="21"/>
                    </w:rPr>
                    <w:t>台</w:t>
                  </w:r>
                </w:p>
              </w:tc>
            </w:tr>
            <w:tr w14:paraId="47CF4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34FA6C43">
                  <w:pPr>
                    <w:jc w:val="center"/>
                    <w:rPr>
                      <w:szCs w:val="21"/>
                      <w:lang w:bidi="ar"/>
                    </w:rPr>
                  </w:pPr>
                </w:p>
              </w:tc>
              <w:tc>
                <w:tcPr>
                  <w:tcW w:w="677" w:type="pct"/>
                  <w:vMerge w:val="continue"/>
                  <w:shd w:val="clear" w:color="auto" w:fill="auto"/>
                  <w:vAlign w:val="center"/>
                </w:tcPr>
                <w:p w14:paraId="478086C8">
                  <w:pPr>
                    <w:jc w:val="center"/>
                    <w:rPr>
                      <w:szCs w:val="21"/>
                      <w:highlight w:val="yellow"/>
                      <w:lang w:bidi="ar"/>
                    </w:rPr>
                  </w:pPr>
                </w:p>
              </w:tc>
              <w:tc>
                <w:tcPr>
                  <w:tcW w:w="949" w:type="pct"/>
                  <w:shd w:val="clear" w:color="auto" w:fill="auto"/>
                  <w:noWrap/>
                  <w:vAlign w:val="center"/>
                </w:tcPr>
                <w:p w14:paraId="04C93C2C">
                  <w:pPr>
                    <w:jc w:val="center"/>
                    <w:rPr>
                      <w:szCs w:val="21"/>
                      <w:lang w:bidi="ar"/>
                    </w:rPr>
                  </w:pPr>
                  <w:r>
                    <w:rPr>
                      <w:szCs w:val="21"/>
                      <w:lang w:bidi="ar"/>
                    </w:rPr>
                    <w:t>压路机</w:t>
                  </w:r>
                </w:p>
              </w:tc>
              <w:tc>
                <w:tcPr>
                  <w:tcW w:w="813" w:type="pct"/>
                  <w:shd w:val="clear" w:color="auto" w:fill="auto"/>
                  <w:noWrap/>
                  <w:vAlign w:val="center"/>
                </w:tcPr>
                <w:p w14:paraId="53F3EBF2">
                  <w:pPr>
                    <w:jc w:val="center"/>
                    <w:rPr>
                      <w:szCs w:val="21"/>
                      <w:lang w:bidi="ar"/>
                    </w:rPr>
                  </w:pPr>
                  <w:r>
                    <w:rPr>
                      <w:szCs w:val="21"/>
                      <w:lang w:bidi="ar"/>
                    </w:rPr>
                    <w:t>流动不稳定源</w:t>
                  </w:r>
                </w:p>
              </w:tc>
              <w:tc>
                <w:tcPr>
                  <w:tcW w:w="1152" w:type="pct"/>
                  <w:shd w:val="clear" w:color="auto" w:fill="auto"/>
                  <w:noWrap/>
                  <w:vAlign w:val="center"/>
                </w:tcPr>
                <w:p w14:paraId="65246578">
                  <w:pPr>
                    <w:jc w:val="center"/>
                    <w:rPr>
                      <w:szCs w:val="21"/>
                      <w:lang w:bidi="ar"/>
                    </w:rPr>
                  </w:pPr>
                  <w:r>
                    <w:rPr>
                      <w:rFonts w:hint="eastAsia"/>
                      <w:szCs w:val="21"/>
                      <w:lang w:bidi="ar"/>
                    </w:rPr>
                    <w:t>80</w:t>
                  </w:r>
                </w:p>
              </w:tc>
              <w:tc>
                <w:tcPr>
                  <w:tcW w:w="1071" w:type="pct"/>
                  <w:shd w:val="clear" w:color="auto" w:fill="auto"/>
                  <w:vAlign w:val="center"/>
                </w:tcPr>
                <w:p w14:paraId="54BAAB56">
                  <w:pPr>
                    <w:jc w:val="center"/>
                    <w:rPr>
                      <w:szCs w:val="21"/>
                    </w:rPr>
                  </w:pPr>
                  <w:r>
                    <w:rPr>
                      <w:rFonts w:hint="eastAsia"/>
                      <w:szCs w:val="21"/>
                    </w:rPr>
                    <w:t>1</w:t>
                  </w:r>
                  <w:r>
                    <w:rPr>
                      <w:szCs w:val="21"/>
                    </w:rPr>
                    <w:t>台</w:t>
                  </w:r>
                </w:p>
              </w:tc>
            </w:tr>
            <w:tr w14:paraId="765D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1D1730ED">
                  <w:pPr>
                    <w:jc w:val="center"/>
                    <w:rPr>
                      <w:szCs w:val="21"/>
                      <w:lang w:bidi="ar"/>
                    </w:rPr>
                  </w:pPr>
                </w:p>
              </w:tc>
              <w:tc>
                <w:tcPr>
                  <w:tcW w:w="677" w:type="pct"/>
                  <w:vMerge w:val="continue"/>
                  <w:shd w:val="clear" w:color="auto" w:fill="auto"/>
                  <w:vAlign w:val="center"/>
                </w:tcPr>
                <w:p w14:paraId="67458D61">
                  <w:pPr>
                    <w:jc w:val="center"/>
                    <w:rPr>
                      <w:szCs w:val="21"/>
                      <w:highlight w:val="yellow"/>
                      <w:lang w:bidi="ar"/>
                    </w:rPr>
                  </w:pPr>
                </w:p>
              </w:tc>
              <w:tc>
                <w:tcPr>
                  <w:tcW w:w="949" w:type="pct"/>
                  <w:shd w:val="clear" w:color="auto" w:fill="auto"/>
                  <w:noWrap/>
                  <w:vAlign w:val="center"/>
                </w:tcPr>
                <w:p w14:paraId="123874FD">
                  <w:pPr>
                    <w:jc w:val="center"/>
                    <w:rPr>
                      <w:szCs w:val="21"/>
                      <w:lang w:bidi="ar"/>
                    </w:rPr>
                  </w:pPr>
                  <w:r>
                    <w:rPr>
                      <w:rFonts w:hint="eastAsia"/>
                      <w:szCs w:val="21"/>
                      <w:lang w:bidi="ar"/>
                    </w:rPr>
                    <w:t>振动夯锤</w:t>
                  </w:r>
                </w:p>
              </w:tc>
              <w:tc>
                <w:tcPr>
                  <w:tcW w:w="813" w:type="pct"/>
                  <w:shd w:val="clear" w:color="auto" w:fill="auto"/>
                  <w:noWrap/>
                  <w:vAlign w:val="center"/>
                </w:tcPr>
                <w:p w14:paraId="2342C733">
                  <w:pPr>
                    <w:jc w:val="center"/>
                    <w:rPr>
                      <w:szCs w:val="21"/>
                      <w:lang w:bidi="ar"/>
                    </w:rPr>
                  </w:pPr>
                  <w:r>
                    <w:rPr>
                      <w:szCs w:val="21"/>
                      <w:lang w:bidi="ar"/>
                    </w:rPr>
                    <w:t>流动不稳态源</w:t>
                  </w:r>
                </w:p>
              </w:tc>
              <w:tc>
                <w:tcPr>
                  <w:tcW w:w="1152" w:type="pct"/>
                  <w:shd w:val="clear" w:color="auto" w:fill="auto"/>
                  <w:noWrap/>
                  <w:vAlign w:val="center"/>
                </w:tcPr>
                <w:p w14:paraId="3AB17B89">
                  <w:pPr>
                    <w:jc w:val="center"/>
                    <w:rPr>
                      <w:szCs w:val="21"/>
                      <w:lang w:bidi="ar"/>
                    </w:rPr>
                  </w:pPr>
                  <w:r>
                    <w:rPr>
                      <w:rFonts w:hint="eastAsia"/>
                      <w:szCs w:val="21"/>
                      <w:lang w:bidi="ar"/>
                    </w:rPr>
                    <w:t>92</w:t>
                  </w:r>
                </w:p>
              </w:tc>
              <w:tc>
                <w:tcPr>
                  <w:tcW w:w="1071" w:type="pct"/>
                  <w:shd w:val="clear" w:color="auto" w:fill="auto"/>
                  <w:vAlign w:val="center"/>
                </w:tcPr>
                <w:p w14:paraId="46143D2A">
                  <w:pPr>
                    <w:jc w:val="center"/>
                    <w:rPr>
                      <w:szCs w:val="21"/>
                    </w:rPr>
                  </w:pPr>
                  <w:r>
                    <w:rPr>
                      <w:rFonts w:hint="eastAsia"/>
                      <w:szCs w:val="21"/>
                    </w:rPr>
                    <w:t>2</w:t>
                  </w:r>
                  <w:r>
                    <w:rPr>
                      <w:szCs w:val="21"/>
                    </w:rPr>
                    <w:t>台</w:t>
                  </w:r>
                </w:p>
              </w:tc>
            </w:tr>
            <w:tr w14:paraId="64350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tcBorders>
                    <w:bottom w:val="single" w:color="auto" w:sz="18" w:space="0"/>
                  </w:tcBorders>
                  <w:shd w:val="clear" w:color="auto" w:fill="auto"/>
                  <w:noWrap/>
                  <w:vAlign w:val="center"/>
                </w:tcPr>
                <w:p w14:paraId="00A3377E">
                  <w:pPr>
                    <w:jc w:val="center"/>
                    <w:rPr>
                      <w:szCs w:val="21"/>
                      <w:lang w:bidi="ar"/>
                    </w:rPr>
                  </w:pPr>
                </w:p>
              </w:tc>
              <w:tc>
                <w:tcPr>
                  <w:tcW w:w="677" w:type="pct"/>
                  <w:vMerge w:val="continue"/>
                  <w:tcBorders>
                    <w:bottom w:val="single" w:color="auto" w:sz="18" w:space="0"/>
                  </w:tcBorders>
                  <w:shd w:val="clear" w:color="auto" w:fill="auto"/>
                  <w:vAlign w:val="center"/>
                </w:tcPr>
                <w:p w14:paraId="16A360FD">
                  <w:pPr>
                    <w:jc w:val="center"/>
                    <w:rPr>
                      <w:szCs w:val="21"/>
                      <w:highlight w:val="yellow"/>
                      <w:lang w:bidi="ar"/>
                    </w:rPr>
                  </w:pPr>
                </w:p>
              </w:tc>
              <w:tc>
                <w:tcPr>
                  <w:tcW w:w="949" w:type="pct"/>
                  <w:tcBorders>
                    <w:bottom w:val="single" w:color="auto" w:sz="18" w:space="0"/>
                  </w:tcBorders>
                  <w:shd w:val="clear" w:color="auto" w:fill="auto"/>
                  <w:noWrap/>
                  <w:vAlign w:val="center"/>
                </w:tcPr>
                <w:p w14:paraId="411818C1">
                  <w:pPr>
                    <w:jc w:val="center"/>
                    <w:rPr>
                      <w:szCs w:val="21"/>
                      <w:lang w:bidi="ar"/>
                    </w:rPr>
                  </w:pPr>
                  <w:r>
                    <w:rPr>
                      <w:rFonts w:hint="eastAsia"/>
                      <w:szCs w:val="21"/>
                      <w:lang w:bidi="ar"/>
                    </w:rPr>
                    <w:t>混凝土输送泵</w:t>
                  </w:r>
                </w:p>
              </w:tc>
              <w:tc>
                <w:tcPr>
                  <w:tcW w:w="813" w:type="pct"/>
                  <w:tcBorders>
                    <w:bottom w:val="single" w:color="auto" w:sz="18" w:space="0"/>
                  </w:tcBorders>
                  <w:shd w:val="clear" w:color="auto" w:fill="auto"/>
                  <w:noWrap/>
                  <w:vAlign w:val="center"/>
                </w:tcPr>
                <w:p w14:paraId="1A3966A2">
                  <w:pPr>
                    <w:jc w:val="center"/>
                    <w:rPr>
                      <w:szCs w:val="21"/>
                      <w:lang w:bidi="ar"/>
                    </w:rPr>
                  </w:pPr>
                  <w:r>
                    <w:rPr>
                      <w:szCs w:val="21"/>
                      <w:lang w:bidi="ar"/>
                    </w:rPr>
                    <w:t>流动不稳定源</w:t>
                  </w:r>
                </w:p>
              </w:tc>
              <w:tc>
                <w:tcPr>
                  <w:tcW w:w="1152" w:type="pct"/>
                  <w:tcBorders>
                    <w:bottom w:val="single" w:color="auto" w:sz="18" w:space="0"/>
                  </w:tcBorders>
                  <w:shd w:val="clear" w:color="auto" w:fill="auto"/>
                  <w:noWrap/>
                  <w:vAlign w:val="center"/>
                </w:tcPr>
                <w:p w14:paraId="49C2D4D4">
                  <w:pPr>
                    <w:jc w:val="center"/>
                    <w:rPr>
                      <w:szCs w:val="21"/>
                      <w:lang w:bidi="ar"/>
                    </w:rPr>
                  </w:pPr>
                  <w:r>
                    <w:rPr>
                      <w:rFonts w:hint="eastAsia"/>
                      <w:szCs w:val="21"/>
                      <w:lang w:bidi="ar"/>
                    </w:rPr>
                    <w:t>88</w:t>
                  </w:r>
                </w:p>
              </w:tc>
              <w:tc>
                <w:tcPr>
                  <w:tcW w:w="1071" w:type="pct"/>
                  <w:tcBorders>
                    <w:bottom w:val="single" w:color="auto" w:sz="18" w:space="0"/>
                  </w:tcBorders>
                  <w:shd w:val="clear" w:color="auto" w:fill="auto"/>
                  <w:vAlign w:val="center"/>
                </w:tcPr>
                <w:p w14:paraId="75AE7DA4">
                  <w:pPr>
                    <w:jc w:val="center"/>
                    <w:rPr>
                      <w:szCs w:val="21"/>
                    </w:rPr>
                  </w:pPr>
                  <w:r>
                    <w:rPr>
                      <w:rFonts w:hint="eastAsia"/>
                      <w:szCs w:val="21"/>
                    </w:rPr>
                    <w:t>1</w:t>
                  </w:r>
                  <w:r>
                    <w:rPr>
                      <w:szCs w:val="21"/>
                    </w:rPr>
                    <w:t>台</w:t>
                  </w:r>
                </w:p>
              </w:tc>
            </w:tr>
          </w:tbl>
          <w:p w14:paraId="1AAFA966">
            <w:pPr>
              <w:spacing w:line="500" w:lineRule="exact"/>
              <w:ind w:firstLine="420" w:firstLineChars="200"/>
              <w:jc w:val="left"/>
              <w:rPr>
                <w:szCs w:val="21"/>
              </w:rPr>
            </w:pPr>
            <w:r>
              <w:rPr>
                <w:szCs w:val="21"/>
                <w:lang w:bidi="ar"/>
              </w:rPr>
              <w:t>施工期机械设备噪声特点如下：</w:t>
            </w:r>
          </w:p>
          <w:p w14:paraId="14703F1E">
            <w:pPr>
              <w:spacing w:line="500" w:lineRule="exact"/>
              <w:ind w:firstLine="420" w:firstLineChars="200"/>
              <w:jc w:val="left"/>
              <w:rPr>
                <w:szCs w:val="21"/>
                <w:lang w:bidi="ar"/>
              </w:rPr>
            </w:pPr>
            <w:r>
              <w:rPr>
                <w:rFonts w:hint="eastAsia"/>
                <w:szCs w:val="21"/>
                <w:lang w:bidi="ar"/>
              </w:rPr>
              <w:t>①施工机械种类繁多，不同的施工阶段有不同的施工机械，同一施工阶段投入的施工机械也有多有少，这就使得施工噪声具有偶然性的特点。</w:t>
            </w:r>
          </w:p>
          <w:p w14:paraId="1B86DADC">
            <w:pPr>
              <w:spacing w:line="500" w:lineRule="exact"/>
              <w:ind w:firstLine="420" w:firstLineChars="200"/>
              <w:jc w:val="left"/>
              <w:rPr>
                <w:szCs w:val="21"/>
                <w:lang w:bidi="ar"/>
              </w:rPr>
            </w:pPr>
            <w:r>
              <w:rPr>
                <w:rFonts w:hint="eastAsia"/>
                <w:szCs w:val="21"/>
                <w:lang w:bidi="ar"/>
              </w:rPr>
              <w:t>②不同设备的噪声源特性不同，其中有些设备噪声呈振动式的、突发的及脉冲特性的，对人的影响较大；有些设备（如搅拌机）频率低沉，不易衰减，而且使人感觉烦躁；施工机械的噪声均较大，但它们之间声级相差仍很大，有些设备的运行噪声可高达90dB 以上。</w:t>
            </w:r>
          </w:p>
          <w:p w14:paraId="67F40D5A">
            <w:pPr>
              <w:spacing w:line="500" w:lineRule="exact"/>
              <w:ind w:firstLine="420" w:firstLineChars="200"/>
              <w:jc w:val="left"/>
              <w:rPr>
                <w:szCs w:val="21"/>
                <w:lang w:bidi="ar"/>
              </w:rPr>
            </w:pPr>
            <w:r>
              <w:rPr>
                <w:rFonts w:hint="eastAsia"/>
                <w:szCs w:val="21"/>
                <w:lang w:bidi="ar"/>
              </w:rPr>
              <w:t xml:space="preserve">③施工噪声源与一般的固定噪声源有所不同，既有固定噪声源，又有流动噪声源，施工机械往往都是暴露在室外的，而且它们会在某段时间内在一定的小范围内移动，这与固定噪声源相比增加了这段时间内的噪声污染范围，但与流动噪声源相比施工噪声污染还是在局部范围内的。 </w:t>
            </w:r>
          </w:p>
          <w:p w14:paraId="730BEDAF">
            <w:pPr>
              <w:spacing w:line="500" w:lineRule="exact"/>
              <w:ind w:firstLine="420" w:firstLineChars="200"/>
              <w:jc w:val="left"/>
              <w:rPr>
                <w:b/>
                <w:bCs/>
                <w:szCs w:val="21"/>
              </w:rPr>
            </w:pPr>
            <w:r>
              <w:rPr>
                <w:rFonts w:hint="eastAsia"/>
                <w:szCs w:val="21"/>
                <w:lang w:bidi="ar"/>
              </w:rPr>
              <w:t>④施工设备与其影响到的范围比相对较小，因此，施工设备噪声基本上可以算作是点声源</w:t>
            </w:r>
            <w:r>
              <w:rPr>
                <w:szCs w:val="21"/>
                <w:lang w:bidi="ar"/>
              </w:rPr>
              <w:t>。</w:t>
            </w:r>
          </w:p>
          <w:p w14:paraId="7F17E6A5">
            <w:pPr>
              <w:spacing w:line="500" w:lineRule="exact"/>
              <w:ind w:firstLine="420" w:firstLineChars="200"/>
              <w:jc w:val="left"/>
              <w:rPr>
                <w:szCs w:val="21"/>
                <w:lang w:bidi="ar"/>
              </w:rPr>
            </w:pPr>
            <w:r>
              <w:rPr>
                <w:rFonts w:hint="eastAsia"/>
                <w:szCs w:val="21"/>
                <w:lang w:bidi="ar"/>
              </w:rPr>
              <w:t>在施工期必须采取防噪措施，以减少施工噪声对敏感点的影响。在采取噪声防治措施后，可满足《声环境质量标准》(GB 3096-2008)2类标准限值。</w:t>
            </w:r>
          </w:p>
          <w:p w14:paraId="1CCEA6E0">
            <w:pPr>
              <w:spacing w:line="500" w:lineRule="exact"/>
              <w:ind w:firstLine="422" w:firstLineChars="200"/>
              <w:jc w:val="left"/>
              <w:rPr>
                <w:b/>
                <w:szCs w:val="21"/>
              </w:rPr>
            </w:pPr>
            <w:r>
              <w:rPr>
                <w:b/>
                <w:szCs w:val="21"/>
                <w:lang w:bidi="ar"/>
              </w:rPr>
              <w:t>5、</w:t>
            </w:r>
            <w:r>
              <w:rPr>
                <w:b/>
                <w:bCs/>
                <w:szCs w:val="21"/>
                <w:lang w:bidi="ar"/>
              </w:rPr>
              <w:t>施工期</w:t>
            </w:r>
            <w:r>
              <w:rPr>
                <w:b/>
                <w:szCs w:val="21"/>
                <w:lang w:bidi="ar"/>
              </w:rPr>
              <w:t>固体废物环境影响</w:t>
            </w:r>
            <w:r>
              <w:rPr>
                <w:rFonts w:hint="eastAsia"/>
                <w:b/>
                <w:szCs w:val="21"/>
                <w:lang w:bidi="ar"/>
              </w:rPr>
              <w:t>分析</w:t>
            </w:r>
          </w:p>
          <w:p w14:paraId="7A375155">
            <w:pPr>
              <w:spacing w:line="500" w:lineRule="exact"/>
              <w:ind w:firstLine="420" w:firstLineChars="200"/>
              <w:jc w:val="left"/>
              <w:rPr>
                <w:szCs w:val="21"/>
              </w:rPr>
            </w:pPr>
            <w:r>
              <w:rPr>
                <w:szCs w:val="21"/>
                <w:lang w:bidi="ar"/>
              </w:rPr>
              <w:t>施工期固体废物包括</w:t>
            </w:r>
            <w:r>
              <w:rPr>
                <w:rFonts w:hint="eastAsia"/>
                <w:szCs w:val="21"/>
                <w:lang w:bidi="ar"/>
              </w:rPr>
              <w:t>废弃土石方</w:t>
            </w:r>
            <w:r>
              <w:rPr>
                <w:szCs w:val="21"/>
                <w:lang w:bidi="ar"/>
              </w:rPr>
              <w:t>、施工人员生活垃圾、拆迁建筑垃圾等。</w:t>
            </w:r>
          </w:p>
          <w:p w14:paraId="3540A95D">
            <w:pPr>
              <w:spacing w:line="500" w:lineRule="exact"/>
              <w:ind w:firstLine="420" w:firstLineChars="200"/>
              <w:jc w:val="left"/>
              <w:rPr>
                <w:szCs w:val="21"/>
              </w:rPr>
            </w:pPr>
            <w:r>
              <w:rPr>
                <w:szCs w:val="21"/>
                <w:lang w:bidi="ar"/>
              </w:rPr>
              <w:t>（1）</w:t>
            </w:r>
            <w:r>
              <w:rPr>
                <w:rFonts w:hint="eastAsia"/>
                <w:szCs w:val="21"/>
                <w:lang w:bidi="ar"/>
              </w:rPr>
              <w:t>废弃土石方</w:t>
            </w:r>
          </w:p>
          <w:p w14:paraId="28AE588D">
            <w:pPr>
              <w:adjustRightInd w:val="0"/>
              <w:snapToGrid w:val="0"/>
              <w:spacing w:line="500" w:lineRule="exact"/>
              <w:ind w:firstLine="420" w:firstLineChars="200"/>
              <w:jc w:val="left"/>
              <w:rPr>
                <w:szCs w:val="21"/>
              </w:rPr>
            </w:pPr>
            <w:r>
              <w:rPr>
                <w:rFonts w:hint="eastAsia"/>
                <w:szCs w:val="21"/>
              </w:rPr>
              <w:t>根据土石方平衡可知，本项目不涉及借方，无需设置取土场。</w:t>
            </w:r>
          </w:p>
          <w:p w14:paraId="70168217">
            <w:pPr>
              <w:spacing w:line="500" w:lineRule="exact"/>
              <w:ind w:firstLine="420" w:firstLineChars="200"/>
              <w:jc w:val="left"/>
              <w:rPr>
                <w:szCs w:val="21"/>
                <w:lang w:bidi="ar"/>
              </w:rPr>
            </w:pPr>
            <w:r>
              <w:rPr>
                <w:rFonts w:hint="eastAsia"/>
                <w:szCs w:val="21"/>
              </w:rPr>
              <w:t>本项目弃方总量7.90万m</w:t>
            </w:r>
            <w:r>
              <w:rPr>
                <w:rFonts w:hint="eastAsia"/>
                <w:szCs w:val="21"/>
                <w:vertAlign w:val="superscript"/>
              </w:rPr>
              <w:t>3</w:t>
            </w:r>
            <w:r>
              <w:rPr>
                <w:rFonts w:hint="eastAsia"/>
                <w:szCs w:val="21"/>
              </w:rPr>
              <w:t>(包括土方7.54万m</w:t>
            </w:r>
            <w:r>
              <w:rPr>
                <w:rFonts w:hint="eastAsia"/>
                <w:szCs w:val="21"/>
                <w:vertAlign w:val="superscript"/>
              </w:rPr>
              <w:t>3</w:t>
            </w:r>
            <w:r>
              <w:rPr>
                <w:rFonts w:hint="eastAsia"/>
                <w:szCs w:val="21"/>
              </w:rPr>
              <w:t>、石方0.35万m</w:t>
            </w:r>
            <w:r>
              <w:rPr>
                <w:rFonts w:hint="eastAsia"/>
                <w:szCs w:val="21"/>
                <w:vertAlign w:val="superscript"/>
              </w:rPr>
              <w:t>3</w:t>
            </w:r>
            <w:r>
              <w:rPr>
                <w:rFonts w:hint="eastAsia"/>
                <w:szCs w:val="21"/>
              </w:rPr>
              <w:t>、建筑垃圾0.01万m</w:t>
            </w:r>
            <w:r>
              <w:rPr>
                <w:rFonts w:hint="eastAsia"/>
                <w:szCs w:val="21"/>
                <w:vertAlign w:val="superscript"/>
              </w:rPr>
              <w:t>3</w:t>
            </w:r>
            <w:r>
              <w:rPr>
                <w:rFonts w:hint="eastAsia"/>
                <w:szCs w:val="21"/>
              </w:rPr>
              <w:t>)，运至博罗县2013年度第72、73批次县储备用地，</w:t>
            </w:r>
            <w:r>
              <w:rPr>
                <w:rFonts w:hint="eastAsia"/>
                <w:b/>
                <w:bCs/>
                <w:szCs w:val="21"/>
              </w:rPr>
              <w:t>用于储备用地三通一平的场地平整(详见附件9)</w:t>
            </w:r>
            <w:r>
              <w:rPr>
                <w:rFonts w:hint="eastAsia"/>
                <w:szCs w:val="21"/>
              </w:rPr>
              <w:t>。该储备用地位于博罗县罗阳街道廖屋蓄能路东侧占地面积约为12.87hm</w:t>
            </w:r>
            <w:r>
              <w:rPr>
                <w:rFonts w:hint="eastAsia"/>
                <w:szCs w:val="21"/>
                <w:vertAlign w:val="superscript"/>
              </w:rPr>
              <w:t>2</w:t>
            </w:r>
            <w:r>
              <w:rPr>
                <w:rFonts w:hint="eastAsia"/>
                <w:szCs w:val="21"/>
              </w:rPr>
              <w:t>，纳土量约30.00万m</w:t>
            </w:r>
            <w:r>
              <w:rPr>
                <w:rFonts w:hint="eastAsia"/>
                <w:szCs w:val="21"/>
                <w:vertAlign w:val="superscript"/>
              </w:rPr>
              <w:t>3</w:t>
            </w:r>
            <w:r>
              <w:rPr>
                <w:rFonts w:hint="eastAsia"/>
                <w:szCs w:val="21"/>
              </w:rPr>
              <w:t>。本项目施工期间产生的弃土均运至该储备用地，运输距离约6.30km，土方运输过程中的水土流失防治责任由建设单位负责，建设单位将组织车况良好的车辆进行运输，并做好路面保洁及环境卫生工作，运输路线详见</w:t>
            </w:r>
            <w:r>
              <w:rPr>
                <w:rFonts w:hint="eastAsia"/>
                <w:b/>
                <w:bCs/>
                <w:szCs w:val="21"/>
              </w:rPr>
              <w:t>附图10</w:t>
            </w:r>
            <w:r>
              <w:rPr>
                <w:rFonts w:hint="eastAsia"/>
                <w:szCs w:val="21"/>
              </w:rPr>
              <w:t>。土方运输过程中的水土流失防治责任由建设单位负责，建设单位将组织车况良好的车辆进行运输，并做好路面保洁及环境卫生工作。</w:t>
            </w:r>
          </w:p>
          <w:p w14:paraId="2882C22A">
            <w:pPr>
              <w:spacing w:line="500" w:lineRule="exact"/>
              <w:ind w:firstLine="420" w:firstLineChars="200"/>
              <w:jc w:val="left"/>
              <w:rPr>
                <w:szCs w:val="21"/>
              </w:rPr>
            </w:pPr>
            <w:r>
              <w:rPr>
                <w:szCs w:val="21"/>
                <w:lang w:bidi="ar"/>
              </w:rPr>
              <w:t>（2）生活垃圾</w:t>
            </w:r>
          </w:p>
          <w:p w14:paraId="37727F4B">
            <w:pPr>
              <w:spacing w:line="500" w:lineRule="exact"/>
              <w:ind w:firstLine="420" w:firstLineChars="200"/>
              <w:jc w:val="left"/>
              <w:rPr>
                <w:szCs w:val="21"/>
              </w:rPr>
            </w:pPr>
            <w:r>
              <w:rPr>
                <w:szCs w:val="21"/>
                <w:lang w:bidi="ar"/>
              </w:rPr>
              <w:t>本项目施工人员为</w:t>
            </w:r>
            <w:r>
              <w:rPr>
                <w:rFonts w:hint="eastAsia"/>
                <w:szCs w:val="21"/>
                <w:lang w:bidi="ar"/>
              </w:rPr>
              <w:t>50</w:t>
            </w:r>
            <w:r>
              <w:rPr>
                <w:szCs w:val="21"/>
                <w:lang w:bidi="ar"/>
              </w:rPr>
              <w:t>人</w:t>
            </w:r>
            <w:r>
              <w:rPr>
                <w:rFonts w:hint="eastAsia"/>
                <w:szCs w:val="21"/>
                <w:lang w:bidi="ar"/>
              </w:rPr>
              <w:t>，均不</w:t>
            </w:r>
            <w:r>
              <w:rPr>
                <w:szCs w:val="21"/>
                <w:lang w:bidi="ar"/>
              </w:rPr>
              <w:t>在施工场地内食宿，施工期日常生活中会产生少量的生活垃圾，按0.5kg/</w:t>
            </w:r>
            <w:r>
              <w:rPr>
                <w:rFonts w:cs="宋体"/>
                <w:szCs w:val="21"/>
                <w:lang w:bidi="ar"/>
              </w:rPr>
              <w:t>人</w:t>
            </w:r>
            <w:r>
              <w:rPr>
                <w:szCs w:val="21"/>
                <w:lang w:bidi="ar"/>
              </w:rPr>
              <w:t>·d</w:t>
            </w:r>
            <w:r>
              <w:rPr>
                <w:rFonts w:cs="宋体"/>
                <w:szCs w:val="21"/>
                <w:lang w:bidi="ar"/>
              </w:rPr>
              <w:t>计，产生量约为</w:t>
            </w:r>
            <w:r>
              <w:rPr>
                <w:szCs w:val="21"/>
                <w:lang w:bidi="ar"/>
              </w:rPr>
              <w:t>0.0</w:t>
            </w:r>
            <w:r>
              <w:rPr>
                <w:rFonts w:hint="eastAsia"/>
                <w:szCs w:val="21"/>
                <w:lang w:bidi="ar"/>
              </w:rPr>
              <w:t>25</w:t>
            </w:r>
            <w:r>
              <w:rPr>
                <w:szCs w:val="21"/>
                <w:lang w:bidi="ar"/>
              </w:rPr>
              <w:t>t/d</w:t>
            </w:r>
            <w:r>
              <w:rPr>
                <w:rFonts w:cs="宋体"/>
                <w:szCs w:val="21"/>
                <w:lang w:bidi="ar"/>
              </w:rPr>
              <w:t>。</w:t>
            </w:r>
            <w:r>
              <w:rPr>
                <w:rFonts w:hint="eastAsia" w:cs="宋体"/>
                <w:szCs w:val="21"/>
                <w:lang w:bidi="ar"/>
              </w:rPr>
              <w:t>生活垃圾不得随意丢弃，应集中收集，及时清运，防止垃圾发霉腐烂、滋生细菌、散发恶臭。</w:t>
            </w:r>
          </w:p>
          <w:p w14:paraId="7ADD229B">
            <w:pPr>
              <w:spacing w:line="500" w:lineRule="exact"/>
              <w:ind w:firstLine="420" w:firstLineChars="200"/>
              <w:jc w:val="left"/>
              <w:rPr>
                <w:szCs w:val="21"/>
              </w:rPr>
            </w:pPr>
            <w:r>
              <w:rPr>
                <w:szCs w:val="21"/>
                <w:lang w:bidi="ar"/>
              </w:rPr>
              <w:t>（3）拆迁建筑垃圾</w:t>
            </w:r>
          </w:p>
          <w:p w14:paraId="78C998D0">
            <w:pPr>
              <w:spacing w:line="500" w:lineRule="exact"/>
              <w:ind w:firstLine="420" w:firstLineChars="200"/>
              <w:jc w:val="left"/>
              <w:rPr>
                <w:rFonts w:cs="宋体"/>
                <w:szCs w:val="21"/>
                <w:lang w:bidi="ar"/>
              </w:rPr>
            </w:pPr>
            <w:r>
              <w:rPr>
                <w:rFonts w:hint="eastAsia"/>
                <w:szCs w:val="21"/>
              </w:rPr>
              <w:t>根据主体设计资料，本工程需破除现状水泥砼路面约81m</w:t>
            </w:r>
            <w:r>
              <w:rPr>
                <w:rFonts w:hint="eastAsia"/>
                <w:szCs w:val="21"/>
                <w:vertAlign w:val="superscript"/>
              </w:rPr>
              <w:t>2</w:t>
            </w:r>
            <w:r>
              <w:rPr>
                <w:rFonts w:hint="eastAsia"/>
                <w:szCs w:val="21"/>
              </w:rPr>
              <w:t>，拆除围墙约57m产生建筑垃圾约0.01万m</w:t>
            </w:r>
            <w:r>
              <w:rPr>
                <w:rFonts w:hint="eastAsia"/>
                <w:szCs w:val="21"/>
                <w:vertAlign w:val="superscript"/>
              </w:rPr>
              <w:t>3</w:t>
            </w:r>
            <w:r>
              <w:rPr>
                <w:rFonts w:hint="eastAsia"/>
                <w:szCs w:val="21"/>
              </w:rPr>
              <w:t>，均运至博罗县2013年度第72、73批次县储备用地。</w:t>
            </w:r>
          </w:p>
        </w:tc>
      </w:tr>
      <w:tr w14:paraId="3CD1E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233" w:type="pct"/>
            <w:tcMar>
              <w:left w:w="28" w:type="dxa"/>
              <w:right w:w="28" w:type="dxa"/>
            </w:tcMar>
            <w:vAlign w:val="center"/>
          </w:tcPr>
          <w:p w14:paraId="5981BFCB">
            <w:pPr>
              <w:pStyle w:val="30"/>
              <w:adjustRightInd w:val="0"/>
              <w:snapToGrid w:val="0"/>
              <w:spacing w:before="0" w:beforeAutospacing="0" w:after="0" w:afterAutospacing="0"/>
              <w:jc w:val="center"/>
              <w:rPr>
                <w:rFonts w:hint="eastAsia" w:cs="宋体"/>
                <w:bCs/>
                <w:kern w:val="2"/>
                <w:sz w:val="21"/>
                <w:szCs w:val="21"/>
              </w:rPr>
            </w:pPr>
            <w:r>
              <w:rPr>
                <w:rFonts w:hint="eastAsia" w:cs="宋体"/>
                <w:bCs/>
                <w:spacing w:val="10"/>
                <w:kern w:val="2"/>
                <w:sz w:val="21"/>
                <w:szCs w:val="21"/>
              </w:rPr>
              <w:t>运营期生态环境影响分析</w:t>
            </w:r>
          </w:p>
        </w:tc>
        <w:tc>
          <w:tcPr>
            <w:tcW w:w="4767" w:type="pct"/>
          </w:tcPr>
          <w:p w14:paraId="7F17D6F4">
            <w:pPr>
              <w:spacing w:line="500" w:lineRule="exact"/>
              <w:ind w:firstLine="422" w:firstLineChars="200"/>
              <w:jc w:val="left"/>
              <w:rPr>
                <w:b/>
                <w:bCs/>
                <w:szCs w:val="21"/>
                <w:lang w:bidi="ar"/>
              </w:rPr>
            </w:pPr>
            <w:r>
              <w:rPr>
                <w:b/>
                <w:bCs/>
                <w:szCs w:val="21"/>
                <w:lang w:bidi="ar"/>
              </w:rPr>
              <w:t>运营期污染分析</w:t>
            </w:r>
          </w:p>
          <w:p w14:paraId="16535F77">
            <w:pPr>
              <w:spacing w:line="500" w:lineRule="exact"/>
              <w:ind w:firstLine="420" w:firstLineChars="200"/>
              <w:jc w:val="left"/>
              <w:rPr>
                <w:szCs w:val="21"/>
                <w:lang w:bidi="ar"/>
              </w:rPr>
            </w:pPr>
            <w:r>
              <w:rPr>
                <w:rFonts w:hint="eastAsia"/>
                <w:szCs w:val="21"/>
                <w:lang w:bidi="ar"/>
              </w:rPr>
              <w:t>项目运</w:t>
            </w:r>
            <w:r>
              <w:rPr>
                <w:szCs w:val="21"/>
                <w:lang w:bidi="ar"/>
              </w:rPr>
              <w:t>营期本身无污染物产生及排放，但来往车辆及行人会产生污染物，主要为汽车尾气、车辆噪声、路面径流，来往行人车辆散落的垃圾等，以及非正常情况下运输过程中可能</w:t>
            </w:r>
            <w:r>
              <w:rPr>
                <w:rFonts w:hint="eastAsia"/>
                <w:szCs w:val="21"/>
                <w:lang w:bidi="ar"/>
              </w:rPr>
              <w:t>发生的</w:t>
            </w:r>
            <w:r>
              <w:rPr>
                <w:szCs w:val="21"/>
                <w:lang w:bidi="ar"/>
              </w:rPr>
              <w:t>环境风险。</w:t>
            </w:r>
          </w:p>
          <w:p w14:paraId="358057A7">
            <w:pPr>
              <w:spacing w:line="500" w:lineRule="exact"/>
              <w:ind w:firstLine="422" w:firstLineChars="200"/>
              <w:jc w:val="left"/>
              <w:rPr>
                <w:b/>
                <w:bCs/>
                <w:szCs w:val="21"/>
                <w:lang w:bidi="ar"/>
              </w:rPr>
            </w:pPr>
            <w:r>
              <w:rPr>
                <w:rFonts w:hint="eastAsia"/>
                <w:b/>
                <w:bCs/>
                <w:szCs w:val="21"/>
                <w:lang w:bidi="ar"/>
              </w:rPr>
              <w:t>1、</w:t>
            </w:r>
            <w:r>
              <w:rPr>
                <w:b/>
                <w:bCs/>
                <w:szCs w:val="21"/>
                <w:lang w:bidi="ar"/>
              </w:rPr>
              <w:t>运营期</w:t>
            </w:r>
            <w:r>
              <w:rPr>
                <w:rFonts w:hint="eastAsia"/>
                <w:b/>
                <w:bCs/>
                <w:szCs w:val="21"/>
                <w:lang w:bidi="ar"/>
              </w:rPr>
              <w:t>生态环境影响分析</w:t>
            </w:r>
          </w:p>
          <w:p w14:paraId="4C93A089">
            <w:pPr>
              <w:spacing w:line="500" w:lineRule="exact"/>
              <w:ind w:firstLine="420" w:firstLineChars="200"/>
              <w:jc w:val="left"/>
              <w:rPr>
                <w:szCs w:val="21"/>
                <w:lang w:bidi="ar"/>
              </w:rPr>
            </w:pPr>
            <w:r>
              <w:rPr>
                <w:rFonts w:hint="eastAsia"/>
                <w:szCs w:val="21"/>
                <w:lang w:bidi="ar"/>
              </w:rPr>
              <w:t>项目运营后产生的汽车尾气，人为干扰会对动植物个体生长都会产生一定的影响，对生物个体活动范围造成一定的影响。本项目建成投入使用后会加强道路两旁的绿化及美化工作，道路沿线区域的生态景观会向好的方向发展，本项目的建设不会给沿线陆生生态环境带来明显影响。</w:t>
            </w:r>
          </w:p>
          <w:p w14:paraId="3512332B">
            <w:pPr>
              <w:spacing w:line="500" w:lineRule="exact"/>
              <w:ind w:firstLine="422" w:firstLineChars="200"/>
              <w:jc w:val="left"/>
              <w:rPr>
                <w:b/>
                <w:szCs w:val="21"/>
              </w:rPr>
            </w:pPr>
            <w:r>
              <w:rPr>
                <w:b/>
                <w:szCs w:val="21"/>
                <w:lang w:bidi="ar"/>
              </w:rPr>
              <w:t>2、</w:t>
            </w:r>
            <w:r>
              <w:rPr>
                <w:b/>
                <w:bCs/>
                <w:szCs w:val="21"/>
                <w:lang w:bidi="ar"/>
              </w:rPr>
              <w:t>运营期</w:t>
            </w:r>
            <w:r>
              <w:rPr>
                <w:rFonts w:hint="eastAsia"/>
                <w:b/>
                <w:szCs w:val="21"/>
                <w:lang w:bidi="ar"/>
              </w:rPr>
              <w:t>大气环境影响分析</w:t>
            </w:r>
          </w:p>
          <w:p w14:paraId="29E685DB">
            <w:pPr>
              <w:spacing w:line="500" w:lineRule="exact"/>
              <w:ind w:firstLine="420" w:firstLineChars="200"/>
              <w:jc w:val="left"/>
              <w:rPr>
                <w:szCs w:val="21"/>
              </w:rPr>
            </w:pPr>
            <w:r>
              <w:rPr>
                <w:szCs w:val="21"/>
                <w:lang w:bidi="ar"/>
              </w:rPr>
              <w:t>本项目运营期大气污染源主要为道路通车后产生的汽车尾气</w:t>
            </w:r>
            <w:r>
              <w:rPr>
                <w:rFonts w:hint="eastAsia"/>
                <w:szCs w:val="21"/>
                <w:lang w:bidi="ar"/>
              </w:rPr>
              <w:t>，汽车</w:t>
            </w:r>
            <w:r>
              <w:rPr>
                <w:szCs w:val="21"/>
                <w:lang w:bidi="ar"/>
              </w:rPr>
              <w:t>尾气所含成分比较复杂，但排放的主要污染物为CO、THC、NOx等。这些污染源属于线性流动污染源，对于城市道路而言，汽车尾气对道路20-50m以内影响较大，50m以外随着距离的增加影响逐渐减少。</w:t>
            </w:r>
          </w:p>
          <w:p w14:paraId="351E1E21">
            <w:pPr>
              <w:spacing w:line="500" w:lineRule="exact"/>
              <w:ind w:firstLine="420" w:firstLineChars="200"/>
              <w:jc w:val="left"/>
              <w:rPr>
                <w:szCs w:val="21"/>
              </w:rPr>
            </w:pPr>
            <w:r>
              <w:rPr>
                <w:rFonts w:hint="eastAsia"/>
                <w:szCs w:val="21"/>
                <w:lang w:bidi="ar"/>
              </w:rPr>
              <w:t>（1）</w:t>
            </w:r>
            <w:r>
              <w:rPr>
                <w:szCs w:val="21"/>
                <w:lang w:bidi="ar"/>
              </w:rPr>
              <w:t>气态污染物排放源强计算公式如下：</w:t>
            </w:r>
          </w:p>
          <w:p w14:paraId="36F0361E">
            <w:pPr>
              <w:pStyle w:val="30"/>
              <w:widowControl w:val="0"/>
              <w:spacing w:before="0" w:beforeAutospacing="0" w:after="0" w:afterAutospacing="0" w:line="500" w:lineRule="exact"/>
              <w:ind w:firstLine="420" w:firstLineChars="200"/>
              <w:rPr>
                <w:rFonts w:ascii="Times New Roman" w:hAnsi="Times New Roman"/>
                <w:sz w:val="21"/>
                <w:szCs w:val="21"/>
              </w:rPr>
            </w:pPr>
            <w:r>
              <w:rPr>
                <w:rFonts w:ascii="Times New Roman" w:hAnsi="Times New Roman"/>
                <w:sz w:val="21"/>
                <w:szCs w:val="21"/>
                <w:lang w:bidi="ar"/>
              </w:rPr>
              <w:t xml:space="preserve">采用《公路建设项目环境影响评价规范》（JTGB03-2006）推荐的行使车辆排放气态污染物源强计算公式： </w:t>
            </w:r>
          </w:p>
          <w:p w14:paraId="5B09A615">
            <w:pPr>
              <w:pStyle w:val="30"/>
              <w:widowControl w:val="0"/>
              <w:spacing w:before="0" w:beforeAutospacing="0" w:after="0" w:afterAutospacing="0"/>
              <w:jc w:val="center"/>
              <w:rPr>
                <w:rFonts w:ascii="Times New Roman" w:hAnsi="Times New Roman"/>
                <w:snapToGrid w:val="0"/>
                <w:sz w:val="21"/>
                <w:szCs w:val="21"/>
                <w:lang w:bidi="ar"/>
              </w:rPr>
            </w:pPr>
            <w:r>
              <w:rPr>
                <w:rFonts w:ascii="Times New Roman" w:hAnsi="Times New Roman"/>
                <w:snapToGrid w:val="0"/>
                <w:sz w:val="21"/>
                <w:szCs w:val="21"/>
                <w:lang w:bidi="ar"/>
              </w:rPr>
              <w:object>
                <v:shape id="_x0000_i1025" o:spt="75" type="#_x0000_t75" style="height:36pt;width:108pt;" o:ole="t" filled="f" o:preferrelative="t" stroked="f" coordsize="21600,21600">
                  <v:path/>
                  <v:fill on="f" focussize="0,0"/>
                  <v:stroke on="f" joinstyle="miter"/>
                  <v:imagedata r:id="rId21" o:title=""/>
                  <o:lock v:ext="edit" aspectratio="t"/>
                  <w10:wrap type="none"/>
                  <w10:anchorlock/>
                </v:shape>
                <o:OLEObject Type="Embed" ProgID="Equation.3" ShapeID="_x0000_i1025" DrawAspect="Content" ObjectID="_1468075725" r:id="rId20">
                  <o:LockedField>false</o:LockedField>
                </o:OLEObject>
              </w:object>
            </w:r>
          </w:p>
          <w:p w14:paraId="43DDD74F">
            <w:pPr>
              <w:pStyle w:val="30"/>
              <w:widowControl w:val="0"/>
              <w:spacing w:before="0" w:beforeAutospacing="0" w:after="0" w:afterAutospacing="0" w:line="500" w:lineRule="exact"/>
              <w:ind w:firstLine="420" w:firstLineChars="200"/>
              <w:rPr>
                <w:rFonts w:ascii="Times New Roman" w:hAnsi="Times New Roman"/>
                <w:snapToGrid w:val="0"/>
                <w:sz w:val="21"/>
                <w:szCs w:val="21"/>
              </w:rPr>
            </w:pPr>
            <w:r>
              <w:rPr>
                <w:rFonts w:ascii="Times New Roman" w:hAnsi="Times New Roman"/>
                <w:sz w:val="21"/>
                <w:szCs w:val="21"/>
                <w:lang w:bidi="ar"/>
              </w:rPr>
              <w:t>式中：Q——第n年、单位时间、长度，车辆运行时j类排放物的质量（mg/m·s）；</w:t>
            </w:r>
          </w:p>
          <w:p w14:paraId="22EF5FBC">
            <w:pPr>
              <w:pStyle w:val="30"/>
              <w:widowControl w:val="0"/>
              <w:spacing w:before="0" w:beforeAutospacing="0" w:after="0" w:afterAutospacing="0" w:line="500" w:lineRule="exact"/>
              <w:ind w:firstLine="420" w:firstLineChars="200"/>
              <w:rPr>
                <w:rFonts w:ascii="Times New Roman" w:hAnsi="Times New Roman"/>
                <w:sz w:val="21"/>
                <w:szCs w:val="21"/>
              </w:rPr>
            </w:pPr>
            <w:r>
              <w:rPr>
                <w:rFonts w:ascii="Times New Roman" w:hAnsi="Times New Roman"/>
                <w:sz w:val="21"/>
                <w:szCs w:val="21"/>
                <w:lang w:bidi="ar"/>
              </w:rPr>
              <w:t>A</w:t>
            </w:r>
            <w:r>
              <w:rPr>
                <w:rFonts w:ascii="Times New Roman" w:hAnsi="Times New Roman"/>
                <w:sz w:val="21"/>
                <w:szCs w:val="21"/>
                <w:vertAlign w:val="subscript"/>
                <w:lang w:bidi="ar"/>
              </w:rPr>
              <w:t>in</w:t>
            </w:r>
            <w:r>
              <w:rPr>
                <w:rFonts w:ascii="Times New Roman" w:hAnsi="Times New Roman"/>
                <w:sz w:val="21"/>
                <w:szCs w:val="21"/>
                <w:lang w:bidi="ar"/>
              </w:rPr>
              <w:t>——i型车评价年的小时交通量（veh/h）；</w:t>
            </w:r>
          </w:p>
          <w:p w14:paraId="0736C73E">
            <w:pPr>
              <w:pStyle w:val="30"/>
              <w:widowControl w:val="0"/>
              <w:spacing w:before="0" w:beforeAutospacing="0" w:after="0" w:afterAutospacing="0" w:line="500" w:lineRule="exact"/>
              <w:ind w:firstLine="420" w:firstLineChars="200"/>
              <w:rPr>
                <w:rFonts w:ascii="Times New Roman" w:hAnsi="Times New Roman"/>
                <w:sz w:val="21"/>
                <w:szCs w:val="21"/>
              </w:rPr>
            </w:pPr>
            <w:r>
              <w:rPr>
                <w:rFonts w:ascii="Times New Roman" w:hAnsi="Times New Roman"/>
                <w:sz w:val="21"/>
                <w:szCs w:val="21"/>
                <w:lang w:bidi="ar"/>
              </w:rPr>
              <w:t>E</w:t>
            </w:r>
            <w:r>
              <w:rPr>
                <w:rFonts w:ascii="Times New Roman" w:hAnsi="Times New Roman"/>
                <w:sz w:val="21"/>
                <w:szCs w:val="21"/>
                <w:vertAlign w:val="subscript"/>
                <w:lang w:bidi="ar"/>
              </w:rPr>
              <w:t>ijn</w:t>
            </w:r>
            <w:r>
              <w:rPr>
                <w:rFonts w:ascii="Times New Roman" w:hAnsi="Times New Roman"/>
                <w:sz w:val="21"/>
                <w:szCs w:val="21"/>
                <w:lang w:bidi="ar"/>
              </w:rPr>
              <w:t>——i型车j类排放物在评价年n的单车排放因子（mg/veh .m），见表27。</w:t>
            </w:r>
          </w:p>
          <w:p w14:paraId="2E8E7CEE">
            <w:pPr>
              <w:spacing w:line="500" w:lineRule="exact"/>
              <w:ind w:firstLine="420" w:firstLineChars="200"/>
              <w:jc w:val="left"/>
              <w:rPr>
                <w:szCs w:val="21"/>
              </w:rPr>
            </w:pPr>
            <w:r>
              <w:rPr>
                <w:szCs w:val="21"/>
                <w:lang w:bidi="ar"/>
              </w:rPr>
              <w:t>（2）单车排放因子</w:t>
            </w:r>
          </w:p>
          <w:p w14:paraId="2520BD92">
            <w:pPr>
              <w:spacing w:line="500" w:lineRule="exact"/>
              <w:ind w:firstLine="420" w:firstLineChars="200"/>
              <w:jc w:val="left"/>
              <w:rPr>
                <w:szCs w:val="21"/>
              </w:rPr>
            </w:pPr>
            <w:r>
              <w:rPr>
                <w:szCs w:val="21"/>
                <w:lang w:bidi="ar"/>
              </w:rPr>
              <w:t>根据《广东省人民政府关于全面推广使用国Ⅵ车用燃油的通告》（粤府函[2018]218号）和《广东省人民政府关于实施轻型汽车国六排放标准的通告》（粤府函[2019]147号），明确2018年1月1日起达到国家Ⅴ阶段型式核准排放限值（国Ⅴ标准）；自2019年7月1日起，达到国家Ⅵ阶段型式核准排放限值（国Ⅵ标准）。本项目拟于2024年建成通车，</w:t>
            </w:r>
            <w:r>
              <w:rPr>
                <w:kern w:val="0"/>
                <w:szCs w:val="21"/>
                <w:lang w:bidi="ar"/>
              </w:rPr>
              <w:t>因此项目运营期机动车尾气排放标准执行《轻型汽车污染物排放限值及测量方法（中国第五阶段）》（GB18352.5-2013），《轻型汽车污染物排放限值及测量方法（中国第六阶段）》（GB18352.5-2016）。大型车执行《车用压燃式、气体燃料点燃式发动机与汽车排气污染物排放限值及测量方法（中国Ⅲ、Ⅳ、Ⅴ阶段）》（GB17691－2005）、重型柴油车污染物排放限值及测量方法（中国第六阶段）(GB17691—2018）。</w:t>
            </w:r>
          </w:p>
          <w:p w14:paraId="3C2B9110">
            <w:pPr>
              <w:spacing w:line="500" w:lineRule="exact"/>
              <w:ind w:firstLine="420" w:firstLineChars="200"/>
              <w:jc w:val="left"/>
              <w:rPr>
                <w:szCs w:val="21"/>
                <w:lang w:bidi="ar"/>
              </w:rPr>
            </w:pPr>
            <w:r>
              <w:rPr>
                <w:szCs w:val="21"/>
                <w:lang w:bidi="ar"/>
              </w:rPr>
              <w:t>由于我国2006年全面实施了Ⅲ阶段排放标准，Ⅲ阶段排放标准实施多年，基本上已淘汰。2010年全国开始实施国Ⅳ标准，2018年全国开始实施国V阶段排放标准，2020年7月1日全国开始实施国VI阶段排放标准实施。随着我国汽车污染物排放标准的日趋严格，单车排放因子将大幅度</w:t>
            </w:r>
            <w:r>
              <w:rPr>
                <w:rFonts w:hint="eastAsia"/>
                <w:szCs w:val="21"/>
                <w:lang w:bidi="ar"/>
              </w:rPr>
              <w:t>地</w:t>
            </w:r>
            <w:r>
              <w:rPr>
                <w:szCs w:val="21"/>
                <w:lang w:bidi="ar"/>
              </w:rPr>
              <w:t>减少，但由于尾气排放与车型、运行工况、燃油的质量等众多因素相关，且车辆淘汰、更新有一段时间，因此，从保守预测角度考虑，预测年份</w:t>
            </w:r>
            <w:r>
              <w:rPr>
                <w:rFonts w:hint="eastAsia"/>
                <w:szCs w:val="21"/>
                <w:lang w:bidi="ar"/>
              </w:rPr>
              <w:t>2026</w:t>
            </w:r>
            <w:r>
              <w:rPr>
                <w:szCs w:val="21"/>
                <w:lang w:bidi="ar"/>
              </w:rPr>
              <w:t>年按照第IV阶段、第V阶段、第VI阶段各比为5：3：2考虑，</w:t>
            </w:r>
            <w:r>
              <w:rPr>
                <w:rFonts w:hint="eastAsia"/>
                <w:szCs w:val="21"/>
                <w:lang w:bidi="ar"/>
              </w:rPr>
              <w:t>2032</w:t>
            </w:r>
            <w:r>
              <w:rPr>
                <w:szCs w:val="21"/>
                <w:lang w:bidi="ar"/>
              </w:rPr>
              <w:t>年按照第V阶段、第VI阶段分别占50%、50%考虑，</w:t>
            </w:r>
            <w:r>
              <w:rPr>
                <w:rFonts w:hint="eastAsia"/>
                <w:szCs w:val="21"/>
                <w:lang w:bidi="ar"/>
              </w:rPr>
              <w:t>2040</w:t>
            </w:r>
            <w:r>
              <w:rPr>
                <w:szCs w:val="21"/>
                <w:lang w:bidi="ar"/>
              </w:rPr>
              <w:t>年按照第VI阶段进行计算，见下表。</w:t>
            </w:r>
          </w:p>
          <w:p w14:paraId="0B330F7C">
            <w:pPr>
              <w:autoSpaceDE w:val="0"/>
              <w:autoSpaceDN w:val="0"/>
              <w:adjustRightInd w:val="0"/>
              <w:snapToGrid w:val="0"/>
              <w:spacing w:before="120" w:beforeLines="50" w:line="360" w:lineRule="auto"/>
              <w:jc w:val="center"/>
              <w:rPr>
                <w:b/>
                <w:bCs/>
                <w:kern w:val="0"/>
                <w:szCs w:val="21"/>
              </w:rPr>
            </w:pPr>
            <w:r>
              <w:rPr>
                <w:b/>
                <w:bCs/>
                <w:kern w:val="0"/>
                <w:szCs w:val="21"/>
              </w:rPr>
              <w:t>表4-3 各阶段的汽车污染物排放限值     单位：g/km·辆</w:t>
            </w:r>
          </w:p>
          <w:tbl>
            <w:tblPr>
              <w:tblStyle w:val="33"/>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1468"/>
              <w:gridCol w:w="1470"/>
              <w:gridCol w:w="1468"/>
              <w:gridCol w:w="1468"/>
              <w:gridCol w:w="1468"/>
              <w:gridCol w:w="1191"/>
            </w:tblGrid>
            <w:tr w14:paraId="2DFC032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680" w:type="pct"/>
                  <w:vMerge w:val="restart"/>
                  <w:vAlign w:val="center"/>
                </w:tcPr>
                <w:p w14:paraId="71C020D3">
                  <w:pPr>
                    <w:autoSpaceDE w:val="0"/>
                    <w:autoSpaceDN w:val="0"/>
                    <w:adjustRightInd w:val="0"/>
                    <w:snapToGrid w:val="0"/>
                    <w:jc w:val="center"/>
                    <w:rPr>
                      <w:b/>
                      <w:bCs/>
                      <w:szCs w:val="21"/>
                    </w:rPr>
                  </w:pPr>
                  <w:bookmarkStart w:id="53" w:name="OLE_LINK1"/>
                  <w:r>
                    <w:rPr>
                      <w:b/>
                      <w:bCs/>
                      <w:szCs w:val="21"/>
                    </w:rPr>
                    <w:t>车型</w:t>
                  </w:r>
                </w:p>
              </w:tc>
              <w:tc>
                <w:tcPr>
                  <w:tcW w:w="1487" w:type="pct"/>
                  <w:gridSpan w:val="2"/>
                  <w:vAlign w:val="center"/>
                </w:tcPr>
                <w:p w14:paraId="390F0828">
                  <w:pPr>
                    <w:kinsoku w:val="0"/>
                    <w:overflowPunct w:val="0"/>
                    <w:autoSpaceDE w:val="0"/>
                    <w:autoSpaceDN w:val="0"/>
                    <w:adjustRightInd w:val="0"/>
                    <w:snapToGrid w:val="0"/>
                    <w:spacing w:before="16"/>
                    <w:ind w:left="475"/>
                    <w:jc w:val="center"/>
                    <w:rPr>
                      <w:b/>
                      <w:bCs/>
                      <w:szCs w:val="21"/>
                    </w:rPr>
                  </w:pPr>
                  <w:r>
                    <w:rPr>
                      <w:b/>
                      <w:bCs/>
                      <w:szCs w:val="21"/>
                    </w:rPr>
                    <w:t>近期</w:t>
                  </w:r>
                </w:p>
              </w:tc>
              <w:tc>
                <w:tcPr>
                  <w:tcW w:w="1486" w:type="pct"/>
                  <w:gridSpan w:val="2"/>
                  <w:vAlign w:val="center"/>
                </w:tcPr>
                <w:p w14:paraId="73A0E955">
                  <w:pPr>
                    <w:kinsoku w:val="0"/>
                    <w:overflowPunct w:val="0"/>
                    <w:autoSpaceDE w:val="0"/>
                    <w:autoSpaceDN w:val="0"/>
                    <w:adjustRightInd w:val="0"/>
                    <w:snapToGrid w:val="0"/>
                    <w:spacing w:before="16"/>
                    <w:ind w:left="475"/>
                    <w:jc w:val="center"/>
                    <w:rPr>
                      <w:b/>
                      <w:bCs/>
                      <w:szCs w:val="21"/>
                    </w:rPr>
                  </w:pPr>
                  <w:r>
                    <w:rPr>
                      <w:b/>
                      <w:bCs/>
                      <w:szCs w:val="21"/>
                    </w:rPr>
                    <w:t>中期</w:t>
                  </w:r>
                </w:p>
              </w:tc>
              <w:tc>
                <w:tcPr>
                  <w:tcW w:w="1346" w:type="pct"/>
                  <w:gridSpan w:val="2"/>
                  <w:vAlign w:val="center"/>
                </w:tcPr>
                <w:p w14:paraId="17471888">
                  <w:pPr>
                    <w:kinsoku w:val="0"/>
                    <w:overflowPunct w:val="0"/>
                    <w:autoSpaceDE w:val="0"/>
                    <w:autoSpaceDN w:val="0"/>
                    <w:adjustRightInd w:val="0"/>
                    <w:snapToGrid w:val="0"/>
                    <w:spacing w:before="16"/>
                    <w:ind w:left="475"/>
                    <w:jc w:val="center"/>
                    <w:rPr>
                      <w:b/>
                      <w:bCs/>
                      <w:szCs w:val="21"/>
                    </w:rPr>
                  </w:pPr>
                  <w:r>
                    <w:rPr>
                      <w:b/>
                      <w:bCs/>
                      <w:szCs w:val="21"/>
                    </w:rPr>
                    <w:t>远期</w:t>
                  </w:r>
                </w:p>
              </w:tc>
            </w:tr>
            <w:tr w14:paraId="4C034BA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jc w:val="center"/>
              </w:trPr>
              <w:tc>
                <w:tcPr>
                  <w:tcW w:w="680" w:type="pct"/>
                  <w:vMerge w:val="continue"/>
                  <w:vAlign w:val="center"/>
                </w:tcPr>
                <w:p w14:paraId="02F87230">
                  <w:pPr>
                    <w:kinsoku w:val="0"/>
                    <w:overflowPunct w:val="0"/>
                    <w:autoSpaceDE w:val="0"/>
                    <w:autoSpaceDN w:val="0"/>
                    <w:adjustRightInd w:val="0"/>
                    <w:snapToGrid w:val="0"/>
                    <w:spacing w:before="16"/>
                    <w:ind w:left="475"/>
                    <w:jc w:val="center"/>
                    <w:rPr>
                      <w:szCs w:val="21"/>
                    </w:rPr>
                  </w:pPr>
                </w:p>
              </w:tc>
              <w:tc>
                <w:tcPr>
                  <w:tcW w:w="743" w:type="pct"/>
                  <w:vAlign w:val="center"/>
                </w:tcPr>
                <w:p w14:paraId="20D96C4D">
                  <w:pPr>
                    <w:pStyle w:val="74"/>
                    <w:snapToGrid w:val="0"/>
                    <w:rPr>
                      <w:rFonts w:ascii="Times New Roman" w:hAnsi="Times New Roman"/>
                      <w:b/>
                      <w:bCs/>
                      <w:lang w:val="en-US"/>
                    </w:rPr>
                  </w:pPr>
                  <w:r>
                    <w:rPr>
                      <w:rFonts w:ascii="Times New Roman" w:hAnsi="Times New Roman"/>
                      <w:b/>
                      <w:bCs/>
                      <w:lang w:val="en-US"/>
                    </w:rPr>
                    <w:t>CO</w:t>
                  </w:r>
                </w:p>
              </w:tc>
              <w:tc>
                <w:tcPr>
                  <w:tcW w:w="744" w:type="pct"/>
                  <w:vAlign w:val="center"/>
                </w:tcPr>
                <w:p w14:paraId="37DD2255">
                  <w:pPr>
                    <w:pStyle w:val="74"/>
                    <w:snapToGrid w:val="0"/>
                    <w:rPr>
                      <w:rFonts w:ascii="Times New Roman" w:hAnsi="Times New Roman"/>
                      <w:b/>
                      <w:bCs/>
                      <w:lang w:val="en-US"/>
                    </w:rPr>
                  </w:pPr>
                  <w:r>
                    <w:rPr>
                      <w:rFonts w:ascii="Times New Roman" w:hAnsi="Times New Roman"/>
                      <w:b/>
                      <w:bCs/>
                      <w:lang w:val="en-US"/>
                    </w:rPr>
                    <w:t>NOx</w:t>
                  </w:r>
                </w:p>
              </w:tc>
              <w:tc>
                <w:tcPr>
                  <w:tcW w:w="743" w:type="pct"/>
                  <w:vAlign w:val="center"/>
                </w:tcPr>
                <w:p w14:paraId="538B8748">
                  <w:pPr>
                    <w:pStyle w:val="74"/>
                    <w:snapToGrid w:val="0"/>
                    <w:rPr>
                      <w:rFonts w:ascii="Times New Roman" w:hAnsi="Times New Roman"/>
                      <w:b/>
                      <w:bCs/>
                      <w:lang w:val="en-US"/>
                    </w:rPr>
                  </w:pPr>
                  <w:r>
                    <w:rPr>
                      <w:rFonts w:ascii="Times New Roman" w:hAnsi="Times New Roman"/>
                      <w:b/>
                      <w:bCs/>
                      <w:lang w:val="en-US"/>
                    </w:rPr>
                    <w:t>CO</w:t>
                  </w:r>
                </w:p>
              </w:tc>
              <w:tc>
                <w:tcPr>
                  <w:tcW w:w="742" w:type="pct"/>
                  <w:vAlign w:val="center"/>
                </w:tcPr>
                <w:p w14:paraId="65BDE518">
                  <w:pPr>
                    <w:pStyle w:val="74"/>
                    <w:snapToGrid w:val="0"/>
                    <w:rPr>
                      <w:rFonts w:ascii="Times New Roman" w:hAnsi="Times New Roman"/>
                      <w:b/>
                      <w:bCs/>
                      <w:lang w:val="en-US"/>
                    </w:rPr>
                  </w:pPr>
                  <w:r>
                    <w:rPr>
                      <w:rFonts w:ascii="Times New Roman" w:hAnsi="Times New Roman"/>
                      <w:b/>
                      <w:bCs/>
                      <w:lang w:val="en-US"/>
                    </w:rPr>
                    <w:t>NOx</w:t>
                  </w:r>
                </w:p>
              </w:tc>
              <w:tc>
                <w:tcPr>
                  <w:tcW w:w="743" w:type="pct"/>
                  <w:vAlign w:val="center"/>
                </w:tcPr>
                <w:p w14:paraId="637E2D85">
                  <w:pPr>
                    <w:pStyle w:val="74"/>
                    <w:snapToGrid w:val="0"/>
                    <w:rPr>
                      <w:rFonts w:ascii="Times New Roman" w:hAnsi="Times New Roman"/>
                      <w:b/>
                      <w:bCs/>
                      <w:lang w:val="en-US"/>
                    </w:rPr>
                  </w:pPr>
                  <w:r>
                    <w:rPr>
                      <w:rFonts w:ascii="Times New Roman" w:hAnsi="Times New Roman"/>
                      <w:b/>
                      <w:bCs/>
                      <w:lang w:val="en-US"/>
                    </w:rPr>
                    <w:t>CO</w:t>
                  </w:r>
                </w:p>
              </w:tc>
              <w:tc>
                <w:tcPr>
                  <w:tcW w:w="602" w:type="pct"/>
                  <w:vAlign w:val="center"/>
                </w:tcPr>
                <w:p w14:paraId="58ED7837">
                  <w:pPr>
                    <w:pStyle w:val="74"/>
                    <w:snapToGrid w:val="0"/>
                    <w:rPr>
                      <w:rFonts w:ascii="Times New Roman" w:hAnsi="Times New Roman"/>
                      <w:b/>
                      <w:bCs/>
                      <w:lang w:val="en-US"/>
                    </w:rPr>
                  </w:pPr>
                  <w:r>
                    <w:rPr>
                      <w:rFonts w:ascii="Times New Roman" w:hAnsi="Times New Roman"/>
                      <w:b/>
                      <w:bCs/>
                      <w:lang w:val="en-US"/>
                    </w:rPr>
                    <w:t>NOx</w:t>
                  </w:r>
                </w:p>
              </w:tc>
            </w:tr>
            <w:tr w14:paraId="1864471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680" w:type="pct"/>
                  <w:vAlign w:val="center"/>
                </w:tcPr>
                <w:p w14:paraId="03ED3F73">
                  <w:pPr>
                    <w:pStyle w:val="74"/>
                    <w:snapToGrid w:val="0"/>
                    <w:rPr>
                      <w:rFonts w:ascii="Times New Roman" w:hAnsi="Times New Roman"/>
                      <w:lang w:val="en-US"/>
                    </w:rPr>
                  </w:pPr>
                  <w:r>
                    <w:rPr>
                      <w:rFonts w:ascii="Times New Roman" w:hAnsi="Times New Roman"/>
                    </w:rPr>
                    <w:t>小型车</w:t>
                  </w:r>
                </w:p>
              </w:tc>
              <w:tc>
                <w:tcPr>
                  <w:tcW w:w="743" w:type="pct"/>
                  <w:vAlign w:val="center"/>
                </w:tcPr>
                <w:p w14:paraId="0E7C2C52">
                  <w:pPr>
                    <w:pStyle w:val="74"/>
                    <w:snapToGrid w:val="0"/>
                    <w:rPr>
                      <w:rFonts w:ascii="Times New Roman" w:hAnsi="Times New Roman"/>
                      <w:lang w:val="en-US"/>
                    </w:rPr>
                  </w:pPr>
                  <w:r>
                    <w:rPr>
                      <w:rFonts w:ascii="Times New Roman" w:hAnsi="Times New Roman"/>
                      <w:lang w:val="en-US"/>
                    </w:rPr>
                    <w:t>0.90</w:t>
                  </w:r>
                </w:p>
              </w:tc>
              <w:tc>
                <w:tcPr>
                  <w:tcW w:w="744" w:type="pct"/>
                  <w:vAlign w:val="center"/>
                </w:tcPr>
                <w:p w14:paraId="75AE2AD0">
                  <w:pPr>
                    <w:pStyle w:val="74"/>
                    <w:snapToGrid w:val="0"/>
                    <w:rPr>
                      <w:rFonts w:ascii="Times New Roman" w:hAnsi="Times New Roman"/>
                      <w:lang w:val="en-US"/>
                    </w:rPr>
                  </w:pPr>
                  <w:r>
                    <w:rPr>
                      <w:rFonts w:ascii="Times New Roman" w:hAnsi="Times New Roman"/>
                      <w:lang w:val="en-US"/>
                    </w:rPr>
                    <w:t>0.07</w:t>
                  </w:r>
                </w:p>
              </w:tc>
              <w:tc>
                <w:tcPr>
                  <w:tcW w:w="743" w:type="pct"/>
                  <w:vAlign w:val="center"/>
                </w:tcPr>
                <w:p w14:paraId="54FB8E17">
                  <w:pPr>
                    <w:pStyle w:val="74"/>
                    <w:snapToGrid w:val="0"/>
                    <w:rPr>
                      <w:rFonts w:ascii="Times New Roman" w:hAnsi="Times New Roman"/>
                      <w:lang w:val="en-US"/>
                    </w:rPr>
                  </w:pPr>
                  <w:r>
                    <w:rPr>
                      <w:rFonts w:ascii="Times New Roman" w:hAnsi="Times New Roman"/>
                      <w:lang w:val="en-US"/>
                    </w:rPr>
                    <w:t>0.75</w:t>
                  </w:r>
                </w:p>
              </w:tc>
              <w:tc>
                <w:tcPr>
                  <w:tcW w:w="742" w:type="pct"/>
                  <w:vAlign w:val="center"/>
                </w:tcPr>
                <w:p w14:paraId="13D04A8B">
                  <w:pPr>
                    <w:pStyle w:val="74"/>
                    <w:snapToGrid w:val="0"/>
                    <w:rPr>
                      <w:rFonts w:ascii="Times New Roman" w:hAnsi="Times New Roman"/>
                      <w:lang w:val="en-US"/>
                    </w:rPr>
                  </w:pPr>
                  <w:r>
                    <w:rPr>
                      <w:rFonts w:ascii="Times New Roman" w:hAnsi="Times New Roman"/>
                      <w:lang w:val="en-US"/>
                    </w:rPr>
                    <w:t>0.0475</w:t>
                  </w:r>
                </w:p>
              </w:tc>
              <w:tc>
                <w:tcPr>
                  <w:tcW w:w="743" w:type="pct"/>
                  <w:vAlign w:val="center"/>
                </w:tcPr>
                <w:p w14:paraId="040A0AD2">
                  <w:pPr>
                    <w:pStyle w:val="74"/>
                    <w:snapToGrid w:val="0"/>
                    <w:rPr>
                      <w:rFonts w:ascii="Times New Roman" w:hAnsi="Times New Roman"/>
                      <w:lang w:val="en-US"/>
                    </w:rPr>
                  </w:pPr>
                  <w:r>
                    <w:rPr>
                      <w:rFonts w:ascii="Times New Roman" w:hAnsi="Times New Roman"/>
                      <w:lang w:val="en-US"/>
                    </w:rPr>
                    <w:t>0.50</w:t>
                  </w:r>
                </w:p>
              </w:tc>
              <w:tc>
                <w:tcPr>
                  <w:tcW w:w="602" w:type="pct"/>
                  <w:vAlign w:val="center"/>
                </w:tcPr>
                <w:p w14:paraId="482DB142">
                  <w:pPr>
                    <w:pStyle w:val="74"/>
                    <w:snapToGrid w:val="0"/>
                    <w:rPr>
                      <w:rFonts w:ascii="Times New Roman" w:hAnsi="Times New Roman"/>
                      <w:lang w:val="en-US"/>
                    </w:rPr>
                  </w:pPr>
                  <w:r>
                    <w:rPr>
                      <w:rFonts w:ascii="Times New Roman" w:hAnsi="Times New Roman"/>
                      <w:lang w:val="en-US"/>
                    </w:rPr>
                    <w:t>0.035</w:t>
                  </w:r>
                </w:p>
              </w:tc>
            </w:tr>
            <w:tr w14:paraId="5F99D71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680" w:type="pct"/>
                  <w:vAlign w:val="center"/>
                </w:tcPr>
                <w:p w14:paraId="77B70A29">
                  <w:pPr>
                    <w:pStyle w:val="74"/>
                    <w:snapToGrid w:val="0"/>
                    <w:rPr>
                      <w:rFonts w:ascii="Times New Roman" w:hAnsi="Times New Roman"/>
                      <w:lang w:val="en-US"/>
                    </w:rPr>
                  </w:pPr>
                  <w:r>
                    <w:rPr>
                      <w:rFonts w:ascii="Times New Roman" w:hAnsi="Times New Roman"/>
                    </w:rPr>
                    <w:t>中型车</w:t>
                  </w:r>
                </w:p>
              </w:tc>
              <w:tc>
                <w:tcPr>
                  <w:tcW w:w="743" w:type="pct"/>
                  <w:vAlign w:val="center"/>
                </w:tcPr>
                <w:p w14:paraId="5E36D3C9">
                  <w:pPr>
                    <w:pStyle w:val="74"/>
                    <w:snapToGrid w:val="0"/>
                    <w:rPr>
                      <w:rFonts w:ascii="Times New Roman" w:hAnsi="Times New Roman"/>
                      <w:lang w:val="en-US"/>
                    </w:rPr>
                  </w:pPr>
                  <w:r>
                    <w:rPr>
                      <w:rFonts w:ascii="Times New Roman" w:hAnsi="Times New Roman"/>
                      <w:lang w:val="en-US"/>
                    </w:rPr>
                    <w:t>0.63</w:t>
                  </w:r>
                </w:p>
              </w:tc>
              <w:tc>
                <w:tcPr>
                  <w:tcW w:w="744" w:type="pct"/>
                  <w:vAlign w:val="center"/>
                </w:tcPr>
                <w:p w14:paraId="35EE17A5">
                  <w:pPr>
                    <w:pStyle w:val="74"/>
                    <w:snapToGrid w:val="0"/>
                    <w:rPr>
                      <w:rFonts w:ascii="Times New Roman" w:hAnsi="Times New Roman"/>
                      <w:lang w:val="en-US"/>
                    </w:rPr>
                  </w:pPr>
                  <w:r>
                    <w:rPr>
                      <w:rFonts w:ascii="Times New Roman" w:hAnsi="Times New Roman"/>
                      <w:lang w:val="en-US"/>
                    </w:rPr>
                    <w:t>0.24</w:t>
                  </w:r>
                </w:p>
              </w:tc>
              <w:tc>
                <w:tcPr>
                  <w:tcW w:w="743" w:type="pct"/>
                  <w:vAlign w:val="center"/>
                </w:tcPr>
                <w:p w14:paraId="7962FE0D">
                  <w:pPr>
                    <w:pStyle w:val="74"/>
                    <w:snapToGrid w:val="0"/>
                    <w:rPr>
                      <w:rFonts w:ascii="Times New Roman" w:hAnsi="Times New Roman"/>
                      <w:lang w:val="en-US"/>
                    </w:rPr>
                  </w:pPr>
                  <w:r>
                    <w:rPr>
                      <w:rFonts w:ascii="Times New Roman" w:hAnsi="Times New Roman"/>
                      <w:lang w:val="en-US"/>
                    </w:rPr>
                    <w:t>0.63</w:t>
                  </w:r>
                </w:p>
              </w:tc>
              <w:tc>
                <w:tcPr>
                  <w:tcW w:w="742" w:type="pct"/>
                  <w:vAlign w:val="center"/>
                </w:tcPr>
                <w:p w14:paraId="728E43EA">
                  <w:pPr>
                    <w:pStyle w:val="74"/>
                    <w:snapToGrid w:val="0"/>
                    <w:rPr>
                      <w:rFonts w:ascii="Times New Roman" w:hAnsi="Times New Roman"/>
                      <w:lang w:val="en-US"/>
                    </w:rPr>
                  </w:pPr>
                  <w:r>
                    <w:rPr>
                      <w:rFonts w:ascii="Times New Roman" w:hAnsi="Times New Roman"/>
                      <w:lang w:val="en-US"/>
                    </w:rPr>
                    <w:t>0.14</w:t>
                  </w:r>
                </w:p>
              </w:tc>
              <w:tc>
                <w:tcPr>
                  <w:tcW w:w="743" w:type="pct"/>
                  <w:vAlign w:val="center"/>
                </w:tcPr>
                <w:p w14:paraId="325DBAE0">
                  <w:pPr>
                    <w:pStyle w:val="74"/>
                    <w:snapToGrid w:val="0"/>
                    <w:rPr>
                      <w:rFonts w:ascii="Times New Roman" w:hAnsi="Times New Roman"/>
                      <w:lang w:val="en-US"/>
                    </w:rPr>
                  </w:pPr>
                  <w:r>
                    <w:rPr>
                      <w:rFonts w:ascii="Times New Roman" w:hAnsi="Times New Roman"/>
                      <w:lang w:val="en-US"/>
                    </w:rPr>
                    <w:t>0.63</w:t>
                  </w:r>
                </w:p>
              </w:tc>
              <w:tc>
                <w:tcPr>
                  <w:tcW w:w="602" w:type="pct"/>
                  <w:vAlign w:val="center"/>
                </w:tcPr>
                <w:p w14:paraId="32667C19">
                  <w:pPr>
                    <w:pStyle w:val="74"/>
                    <w:snapToGrid w:val="0"/>
                    <w:rPr>
                      <w:rFonts w:ascii="Times New Roman" w:hAnsi="Times New Roman"/>
                      <w:lang w:val="en-US"/>
                    </w:rPr>
                  </w:pPr>
                  <w:r>
                    <w:rPr>
                      <w:rFonts w:ascii="Times New Roman" w:hAnsi="Times New Roman"/>
                      <w:lang w:val="en-US"/>
                    </w:rPr>
                    <w:t>0.045</w:t>
                  </w:r>
                </w:p>
              </w:tc>
            </w:tr>
            <w:tr w14:paraId="105377E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680" w:type="pct"/>
                  <w:vAlign w:val="center"/>
                </w:tcPr>
                <w:p w14:paraId="3AD80FA1">
                  <w:pPr>
                    <w:pStyle w:val="74"/>
                    <w:snapToGrid w:val="0"/>
                    <w:rPr>
                      <w:rFonts w:ascii="Times New Roman" w:hAnsi="Times New Roman"/>
                      <w:lang w:val="en-US"/>
                    </w:rPr>
                  </w:pPr>
                  <w:r>
                    <w:rPr>
                      <w:rFonts w:ascii="Times New Roman" w:hAnsi="Times New Roman"/>
                    </w:rPr>
                    <w:t>大型车</w:t>
                  </w:r>
                </w:p>
              </w:tc>
              <w:tc>
                <w:tcPr>
                  <w:tcW w:w="743" w:type="pct"/>
                  <w:vAlign w:val="center"/>
                </w:tcPr>
                <w:p w14:paraId="2044D233">
                  <w:pPr>
                    <w:pStyle w:val="74"/>
                    <w:snapToGrid w:val="0"/>
                    <w:rPr>
                      <w:rFonts w:ascii="Times New Roman" w:hAnsi="Times New Roman"/>
                      <w:lang w:val="en-US"/>
                    </w:rPr>
                  </w:pPr>
                  <w:r>
                    <w:rPr>
                      <w:rFonts w:ascii="Times New Roman" w:hAnsi="Times New Roman"/>
                      <w:lang w:val="en-US"/>
                    </w:rPr>
                    <w:t>0.74</w:t>
                  </w:r>
                </w:p>
              </w:tc>
              <w:tc>
                <w:tcPr>
                  <w:tcW w:w="744" w:type="pct"/>
                  <w:vAlign w:val="center"/>
                </w:tcPr>
                <w:p w14:paraId="61D7C402">
                  <w:pPr>
                    <w:pStyle w:val="74"/>
                    <w:snapToGrid w:val="0"/>
                    <w:rPr>
                      <w:rFonts w:ascii="Times New Roman" w:hAnsi="Times New Roman"/>
                      <w:lang w:val="en-US"/>
                    </w:rPr>
                  </w:pPr>
                  <w:r>
                    <w:rPr>
                      <w:rFonts w:ascii="Times New Roman" w:hAnsi="Times New Roman"/>
                      <w:lang w:val="en-US"/>
                    </w:rPr>
                    <w:t>0.32</w:t>
                  </w:r>
                </w:p>
              </w:tc>
              <w:tc>
                <w:tcPr>
                  <w:tcW w:w="743" w:type="pct"/>
                  <w:vAlign w:val="center"/>
                </w:tcPr>
                <w:p w14:paraId="752DDF6B">
                  <w:pPr>
                    <w:pStyle w:val="74"/>
                    <w:snapToGrid w:val="0"/>
                    <w:rPr>
                      <w:rFonts w:ascii="Times New Roman" w:hAnsi="Times New Roman"/>
                      <w:lang w:val="en-US"/>
                    </w:rPr>
                  </w:pPr>
                  <w:r>
                    <w:rPr>
                      <w:rFonts w:ascii="Times New Roman" w:hAnsi="Times New Roman"/>
                      <w:lang w:val="en-US"/>
                    </w:rPr>
                    <w:t>0.74</w:t>
                  </w:r>
                </w:p>
              </w:tc>
              <w:tc>
                <w:tcPr>
                  <w:tcW w:w="742" w:type="pct"/>
                  <w:vAlign w:val="center"/>
                </w:tcPr>
                <w:p w14:paraId="6CE9337B">
                  <w:pPr>
                    <w:pStyle w:val="74"/>
                    <w:snapToGrid w:val="0"/>
                    <w:rPr>
                      <w:rFonts w:ascii="Times New Roman" w:hAnsi="Times New Roman"/>
                      <w:lang w:val="en-US"/>
                    </w:rPr>
                  </w:pPr>
                  <w:r>
                    <w:rPr>
                      <w:rFonts w:ascii="Times New Roman" w:hAnsi="Times New Roman"/>
                      <w:lang w:val="en-US"/>
                    </w:rPr>
                    <w:t>0.245</w:t>
                  </w:r>
                </w:p>
              </w:tc>
              <w:tc>
                <w:tcPr>
                  <w:tcW w:w="743" w:type="pct"/>
                  <w:vAlign w:val="center"/>
                </w:tcPr>
                <w:p w14:paraId="02E866D2">
                  <w:pPr>
                    <w:pStyle w:val="74"/>
                    <w:snapToGrid w:val="0"/>
                    <w:rPr>
                      <w:rFonts w:ascii="Times New Roman" w:hAnsi="Times New Roman"/>
                      <w:lang w:val="en-US"/>
                    </w:rPr>
                  </w:pPr>
                  <w:r>
                    <w:rPr>
                      <w:rFonts w:ascii="Times New Roman" w:hAnsi="Times New Roman"/>
                      <w:lang w:val="en-US"/>
                    </w:rPr>
                    <w:t>0.74</w:t>
                  </w:r>
                </w:p>
              </w:tc>
              <w:tc>
                <w:tcPr>
                  <w:tcW w:w="602" w:type="pct"/>
                  <w:vAlign w:val="center"/>
                </w:tcPr>
                <w:p w14:paraId="13245728">
                  <w:pPr>
                    <w:pStyle w:val="74"/>
                    <w:snapToGrid w:val="0"/>
                    <w:rPr>
                      <w:rFonts w:ascii="Times New Roman" w:hAnsi="Times New Roman"/>
                      <w:lang w:val="en-US"/>
                    </w:rPr>
                  </w:pPr>
                  <w:r>
                    <w:rPr>
                      <w:rFonts w:ascii="Times New Roman" w:hAnsi="Times New Roman"/>
                      <w:lang w:val="en-US"/>
                    </w:rPr>
                    <w:t>0.21</w:t>
                  </w:r>
                </w:p>
              </w:tc>
            </w:tr>
            <w:bookmarkEnd w:id="53"/>
          </w:tbl>
          <w:p w14:paraId="543FA4B3">
            <w:pPr>
              <w:spacing w:line="500" w:lineRule="exact"/>
              <w:ind w:firstLine="422" w:firstLineChars="200"/>
              <w:jc w:val="left"/>
              <w:rPr>
                <w:b/>
                <w:szCs w:val="21"/>
                <w:lang w:bidi="ar"/>
              </w:rPr>
            </w:pPr>
            <w:bookmarkStart w:id="54" w:name="OLE_LINK9"/>
            <w:r>
              <w:rPr>
                <w:b/>
                <w:szCs w:val="21"/>
                <w:lang w:bidi="ar"/>
              </w:rPr>
              <w:t>NO</w:t>
            </w:r>
            <w:r>
              <w:rPr>
                <w:b/>
                <w:szCs w:val="21"/>
                <w:vertAlign w:val="subscript"/>
                <w:lang w:bidi="ar"/>
              </w:rPr>
              <w:t>X</w:t>
            </w:r>
            <w:r>
              <w:rPr>
                <w:b/>
                <w:szCs w:val="21"/>
                <w:lang w:bidi="ar"/>
              </w:rPr>
              <w:t>与NO</w:t>
            </w:r>
            <w:r>
              <w:rPr>
                <w:b/>
                <w:szCs w:val="21"/>
                <w:vertAlign w:val="subscript"/>
                <w:lang w:bidi="ar"/>
              </w:rPr>
              <w:t>2</w:t>
            </w:r>
            <w:r>
              <w:rPr>
                <w:b/>
                <w:szCs w:val="21"/>
                <w:lang w:bidi="ar"/>
              </w:rPr>
              <w:t>换算系数：</w:t>
            </w:r>
          </w:p>
          <w:p w14:paraId="4C284411">
            <w:pPr>
              <w:spacing w:line="500" w:lineRule="exact"/>
              <w:ind w:firstLine="420" w:firstLineChars="200"/>
              <w:jc w:val="left"/>
              <w:rPr>
                <w:b/>
                <w:szCs w:val="21"/>
                <w:lang w:bidi="ar"/>
              </w:rPr>
            </w:pPr>
            <w:r>
              <w:rPr>
                <w:szCs w:val="21"/>
                <w:lang w:bidi="ar"/>
              </w:rPr>
              <w:t>参考《环境影响评价技术导则 公路建设项目》（征求意见稿），公路环境空气影响评价预测的污染物为NO</w:t>
            </w:r>
            <w:r>
              <w:rPr>
                <w:szCs w:val="21"/>
                <w:vertAlign w:val="subscript"/>
                <w:lang w:bidi="ar"/>
              </w:rPr>
              <w:t>2</w:t>
            </w:r>
            <w:r>
              <w:rPr>
                <w:szCs w:val="21"/>
                <w:lang w:bidi="ar"/>
              </w:rPr>
              <w:t>（CO为根据情况要求确定是否评价的因子）。 根据《环境影响评价技术导则 大气环境》（HJ2.2-2008），对于一般的燃烧设备，在计算小时或日平均浓度时，可以假定NO</w:t>
            </w:r>
            <w:r>
              <w:rPr>
                <w:szCs w:val="21"/>
                <w:vertAlign w:val="subscript"/>
                <w:lang w:bidi="ar"/>
              </w:rPr>
              <w:t>2</w:t>
            </w:r>
            <w:r>
              <w:rPr>
                <w:szCs w:val="21"/>
                <w:lang w:bidi="ar"/>
              </w:rPr>
              <w:t>/NO</w:t>
            </w:r>
            <w:r>
              <w:rPr>
                <w:szCs w:val="21"/>
                <w:vertAlign w:val="subscript"/>
                <w:lang w:bidi="ar"/>
              </w:rPr>
              <w:t>x</w:t>
            </w:r>
            <w:r>
              <w:rPr>
                <w:szCs w:val="21"/>
                <w:lang w:bidi="ar"/>
              </w:rPr>
              <w:t>=0.9；在计算年平均浓度时，可以假</w:t>
            </w:r>
            <w:r>
              <w:rPr>
                <w:rFonts w:cs="宋体"/>
                <w:szCs w:val="21"/>
                <w:lang w:bidi="ar"/>
              </w:rPr>
              <w:t>定</w:t>
            </w:r>
            <w:r>
              <w:rPr>
                <w:szCs w:val="21"/>
                <w:lang w:bidi="ar"/>
              </w:rPr>
              <w:t>NO</w:t>
            </w:r>
            <w:r>
              <w:rPr>
                <w:szCs w:val="21"/>
                <w:vertAlign w:val="subscript"/>
                <w:lang w:bidi="ar"/>
              </w:rPr>
              <w:t>2</w:t>
            </w:r>
            <w:r>
              <w:rPr>
                <w:szCs w:val="21"/>
                <w:lang w:bidi="ar"/>
              </w:rPr>
              <w:t>/NO</w:t>
            </w:r>
            <w:r>
              <w:rPr>
                <w:szCs w:val="21"/>
                <w:vertAlign w:val="subscript"/>
                <w:lang w:bidi="ar"/>
              </w:rPr>
              <w:t>x</w:t>
            </w:r>
            <w:r>
              <w:rPr>
                <w:szCs w:val="21"/>
                <w:lang w:bidi="ar"/>
              </w:rPr>
              <w:t>=0.75</w:t>
            </w:r>
            <w:r>
              <w:rPr>
                <w:rFonts w:cs="宋体"/>
                <w:szCs w:val="21"/>
                <w:lang w:bidi="ar"/>
              </w:rPr>
              <w:t>。在计算机动车排放</w:t>
            </w:r>
            <w:r>
              <w:rPr>
                <w:szCs w:val="21"/>
                <w:lang w:bidi="ar"/>
              </w:rPr>
              <w:t>NO</w:t>
            </w:r>
            <w:r>
              <w:rPr>
                <w:szCs w:val="21"/>
                <w:vertAlign w:val="subscript"/>
                <w:lang w:bidi="ar"/>
              </w:rPr>
              <w:t>2</w:t>
            </w:r>
            <w:r>
              <w:rPr>
                <w:rFonts w:cs="宋体"/>
                <w:szCs w:val="21"/>
                <w:lang w:bidi="ar"/>
              </w:rPr>
              <w:t>和</w:t>
            </w:r>
            <w:r>
              <w:rPr>
                <w:szCs w:val="21"/>
                <w:lang w:bidi="ar"/>
              </w:rPr>
              <w:t>NOx</w:t>
            </w:r>
            <w:r>
              <w:rPr>
                <w:rFonts w:cs="宋体"/>
                <w:szCs w:val="21"/>
                <w:lang w:bidi="ar"/>
              </w:rPr>
              <w:t>比例时，应根据不同车型的实际情况而定。</w:t>
            </w:r>
            <w:r>
              <w:rPr>
                <w:rFonts w:cs="宋体"/>
                <w:kern w:val="0"/>
                <w:szCs w:val="21"/>
                <w:lang w:bidi="ar"/>
              </w:rPr>
              <w:t>本评价取评价区域空气内的</w:t>
            </w:r>
            <w:r>
              <w:rPr>
                <w:kern w:val="0"/>
                <w:szCs w:val="21"/>
                <w:lang w:bidi="ar"/>
              </w:rPr>
              <w:t>NO</w:t>
            </w:r>
            <w:r>
              <w:rPr>
                <w:kern w:val="0"/>
                <w:szCs w:val="21"/>
                <w:vertAlign w:val="subscript"/>
                <w:lang w:bidi="ar"/>
              </w:rPr>
              <w:t>2</w:t>
            </w:r>
            <w:r>
              <w:rPr>
                <w:rFonts w:cs="宋体"/>
                <w:kern w:val="0"/>
                <w:szCs w:val="21"/>
                <w:lang w:bidi="ar"/>
              </w:rPr>
              <w:t>浓度占</w:t>
            </w:r>
            <w:r>
              <w:rPr>
                <w:kern w:val="0"/>
                <w:szCs w:val="21"/>
                <w:lang w:bidi="ar"/>
              </w:rPr>
              <w:t>NOx</w:t>
            </w:r>
            <w:r>
              <w:rPr>
                <w:rFonts w:cs="宋体"/>
                <w:kern w:val="0"/>
                <w:szCs w:val="21"/>
                <w:lang w:bidi="ar"/>
              </w:rPr>
              <w:t>的</w:t>
            </w:r>
            <w:r>
              <w:rPr>
                <w:kern w:val="0"/>
                <w:szCs w:val="21"/>
                <w:lang w:bidi="ar"/>
              </w:rPr>
              <w:t>80%</w:t>
            </w:r>
            <w:r>
              <w:rPr>
                <w:rFonts w:cs="宋体"/>
                <w:kern w:val="0"/>
                <w:szCs w:val="21"/>
                <w:lang w:bidi="ar"/>
              </w:rPr>
              <w:t>。</w:t>
            </w:r>
          </w:p>
          <w:bookmarkEnd w:id="54"/>
          <w:p w14:paraId="57937CD4">
            <w:pPr>
              <w:spacing w:line="500" w:lineRule="exact"/>
              <w:ind w:firstLine="420" w:firstLineChars="200"/>
              <w:jc w:val="left"/>
              <w:rPr>
                <w:szCs w:val="21"/>
              </w:rPr>
            </w:pPr>
            <w:r>
              <w:rPr>
                <w:rFonts w:hint="eastAsia"/>
                <w:szCs w:val="21"/>
                <w:lang w:bidi="ar"/>
              </w:rPr>
              <w:t>（3）</w:t>
            </w:r>
            <w:r>
              <w:rPr>
                <w:szCs w:val="21"/>
                <w:lang w:bidi="ar"/>
              </w:rPr>
              <w:t>大气污染物源强</w:t>
            </w:r>
          </w:p>
          <w:p w14:paraId="3213FEC0">
            <w:pPr>
              <w:spacing w:line="500" w:lineRule="exact"/>
              <w:ind w:firstLine="420" w:firstLineChars="200"/>
              <w:jc w:val="left"/>
              <w:rPr>
                <w:szCs w:val="21"/>
              </w:rPr>
            </w:pPr>
            <w:r>
              <w:rPr>
                <w:szCs w:val="21"/>
                <w:lang w:bidi="ar"/>
              </w:rPr>
              <w:t xml:space="preserve">根据上述计算公式、单车排放因子和项目各特征预测年的车流量，得到本项目大气污染物源强结果见下表。 </w:t>
            </w:r>
          </w:p>
          <w:p w14:paraId="601C982A">
            <w:pPr>
              <w:autoSpaceDE w:val="0"/>
              <w:autoSpaceDN w:val="0"/>
              <w:adjustRightInd w:val="0"/>
              <w:snapToGrid w:val="0"/>
              <w:spacing w:before="120" w:beforeLines="50" w:line="360" w:lineRule="auto"/>
              <w:jc w:val="center"/>
              <w:rPr>
                <w:b/>
                <w:bCs/>
                <w:kern w:val="0"/>
                <w:szCs w:val="21"/>
              </w:rPr>
            </w:pPr>
            <w:r>
              <w:rPr>
                <w:b/>
                <w:bCs/>
                <w:kern w:val="0"/>
                <w:szCs w:val="21"/>
              </w:rPr>
              <w:t>表4-4  机动车尾气污染物排放源强      单位：mg/m·s</w:t>
            </w:r>
          </w:p>
          <w:tbl>
            <w:tblPr>
              <w:tblStyle w:val="33"/>
              <w:tblW w:w="499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1"/>
              <w:gridCol w:w="3362"/>
              <w:gridCol w:w="1321"/>
              <w:gridCol w:w="1028"/>
              <w:gridCol w:w="1028"/>
              <w:gridCol w:w="1028"/>
            </w:tblGrid>
            <w:tr w14:paraId="4CDCFA4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069" w:type="pct"/>
                  <w:noWrap/>
                  <w:vAlign w:val="center"/>
                </w:tcPr>
                <w:p w14:paraId="22F39399">
                  <w:pPr>
                    <w:tabs>
                      <w:tab w:val="left" w:pos="3015"/>
                    </w:tabs>
                    <w:jc w:val="center"/>
                    <w:rPr>
                      <w:b/>
                      <w:bCs/>
                      <w:kern w:val="10"/>
                      <w:szCs w:val="21"/>
                      <w:lang w:bidi="ar"/>
                    </w:rPr>
                  </w:pPr>
                  <w:r>
                    <w:rPr>
                      <w:b/>
                      <w:bCs/>
                      <w:kern w:val="10"/>
                      <w:szCs w:val="21"/>
                      <w:lang w:bidi="ar"/>
                    </w:rPr>
                    <w:t>路段</w:t>
                  </w:r>
                </w:p>
              </w:tc>
              <w:tc>
                <w:tcPr>
                  <w:tcW w:w="2371" w:type="pct"/>
                  <w:gridSpan w:val="2"/>
                  <w:noWrap/>
                  <w:vAlign w:val="center"/>
                </w:tcPr>
                <w:p w14:paraId="310E05BC">
                  <w:pPr>
                    <w:tabs>
                      <w:tab w:val="left" w:pos="3015"/>
                    </w:tabs>
                    <w:jc w:val="center"/>
                    <w:rPr>
                      <w:b/>
                      <w:bCs/>
                      <w:kern w:val="10"/>
                      <w:szCs w:val="21"/>
                      <w:lang w:bidi="ar"/>
                    </w:rPr>
                  </w:pPr>
                  <w:r>
                    <w:rPr>
                      <w:b/>
                      <w:bCs/>
                      <w:kern w:val="10"/>
                      <w:szCs w:val="21"/>
                      <w:lang w:bidi="ar"/>
                    </w:rPr>
                    <w:t>时段</w:t>
                  </w:r>
                </w:p>
              </w:tc>
              <w:tc>
                <w:tcPr>
                  <w:tcW w:w="520" w:type="pct"/>
                  <w:noWrap/>
                  <w:vAlign w:val="center"/>
                </w:tcPr>
                <w:p w14:paraId="13AE5313">
                  <w:pPr>
                    <w:tabs>
                      <w:tab w:val="left" w:pos="3015"/>
                    </w:tabs>
                    <w:jc w:val="center"/>
                    <w:rPr>
                      <w:b/>
                      <w:bCs/>
                      <w:kern w:val="10"/>
                      <w:szCs w:val="21"/>
                      <w:lang w:bidi="ar"/>
                    </w:rPr>
                  </w:pPr>
                  <w:r>
                    <w:rPr>
                      <w:b/>
                      <w:bCs/>
                      <w:kern w:val="10"/>
                      <w:szCs w:val="21"/>
                      <w:lang w:bidi="ar"/>
                    </w:rPr>
                    <w:t>CO</w:t>
                  </w:r>
                </w:p>
              </w:tc>
              <w:tc>
                <w:tcPr>
                  <w:tcW w:w="520" w:type="pct"/>
                  <w:noWrap/>
                  <w:vAlign w:val="center"/>
                </w:tcPr>
                <w:p w14:paraId="3C337BE3">
                  <w:pPr>
                    <w:tabs>
                      <w:tab w:val="left" w:pos="3015"/>
                    </w:tabs>
                    <w:jc w:val="center"/>
                    <w:rPr>
                      <w:b/>
                      <w:bCs/>
                      <w:kern w:val="10"/>
                      <w:szCs w:val="21"/>
                      <w:lang w:bidi="ar"/>
                    </w:rPr>
                  </w:pPr>
                  <w:r>
                    <w:rPr>
                      <w:b/>
                      <w:bCs/>
                      <w:kern w:val="10"/>
                      <w:szCs w:val="21"/>
                      <w:lang w:bidi="ar"/>
                    </w:rPr>
                    <w:t>NO</w:t>
                  </w:r>
                  <w:r>
                    <w:rPr>
                      <w:b/>
                      <w:bCs/>
                      <w:kern w:val="10"/>
                      <w:szCs w:val="21"/>
                      <w:vertAlign w:val="subscript"/>
                      <w:lang w:bidi="ar"/>
                    </w:rPr>
                    <w:t>x</w:t>
                  </w:r>
                </w:p>
              </w:tc>
              <w:tc>
                <w:tcPr>
                  <w:tcW w:w="520" w:type="pct"/>
                  <w:noWrap/>
                </w:tcPr>
                <w:p w14:paraId="31E0F12A">
                  <w:pPr>
                    <w:tabs>
                      <w:tab w:val="left" w:pos="3015"/>
                    </w:tabs>
                    <w:jc w:val="center"/>
                    <w:rPr>
                      <w:b/>
                      <w:bCs/>
                      <w:kern w:val="10"/>
                      <w:szCs w:val="21"/>
                      <w:lang w:bidi="ar"/>
                    </w:rPr>
                  </w:pPr>
                  <w:r>
                    <w:rPr>
                      <w:b/>
                      <w:bCs/>
                      <w:kern w:val="10"/>
                      <w:szCs w:val="21"/>
                      <w:lang w:bidi="ar"/>
                    </w:rPr>
                    <w:t>NO</w:t>
                  </w:r>
                  <w:r>
                    <w:rPr>
                      <w:b/>
                      <w:bCs/>
                      <w:kern w:val="10"/>
                      <w:szCs w:val="21"/>
                      <w:vertAlign w:val="subscript"/>
                      <w:lang w:bidi="ar"/>
                    </w:rPr>
                    <w:t>2</w:t>
                  </w:r>
                </w:p>
              </w:tc>
            </w:tr>
            <w:tr w14:paraId="0C6582F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1069" w:type="pct"/>
                  <w:vMerge w:val="restart"/>
                  <w:noWrap/>
                  <w:vAlign w:val="center"/>
                </w:tcPr>
                <w:p w14:paraId="494F155D">
                  <w:pPr>
                    <w:tabs>
                      <w:tab w:val="left" w:pos="3015"/>
                    </w:tabs>
                    <w:jc w:val="center"/>
                    <w:rPr>
                      <w:kern w:val="10"/>
                      <w:szCs w:val="21"/>
                      <w:lang w:bidi="ar"/>
                    </w:rPr>
                  </w:pPr>
                  <w:r>
                    <w:rPr>
                      <w:rFonts w:hint="eastAsia"/>
                      <w:szCs w:val="21"/>
                    </w:rPr>
                    <w:t>体育大道东延段</w:t>
                  </w:r>
                </w:p>
              </w:tc>
              <w:tc>
                <w:tcPr>
                  <w:tcW w:w="1702" w:type="pct"/>
                  <w:noWrap/>
                  <w:vAlign w:val="center"/>
                </w:tcPr>
                <w:p w14:paraId="7872F3BA">
                  <w:pPr>
                    <w:tabs>
                      <w:tab w:val="left" w:pos="3015"/>
                    </w:tabs>
                    <w:jc w:val="center"/>
                    <w:rPr>
                      <w:kern w:val="10"/>
                      <w:szCs w:val="21"/>
                      <w:lang w:bidi="ar"/>
                    </w:rPr>
                  </w:pPr>
                  <w:r>
                    <w:rPr>
                      <w:rFonts w:hint="eastAsia"/>
                      <w:szCs w:val="21"/>
                    </w:rPr>
                    <w:t>2026年</w:t>
                  </w:r>
                </w:p>
              </w:tc>
              <w:tc>
                <w:tcPr>
                  <w:tcW w:w="669" w:type="pct"/>
                  <w:noWrap/>
                  <w:vAlign w:val="center"/>
                </w:tcPr>
                <w:p w14:paraId="1E3C8C7C">
                  <w:pPr>
                    <w:tabs>
                      <w:tab w:val="left" w:pos="3015"/>
                    </w:tabs>
                    <w:jc w:val="center"/>
                    <w:rPr>
                      <w:kern w:val="10"/>
                      <w:szCs w:val="21"/>
                      <w:lang w:bidi="ar"/>
                    </w:rPr>
                  </w:pPr>
                  <w:r>
                    <w:rPr>
                      <w:kern w:val="10"/>
                      <w:szCs w:val="21"/>
                      <w:lang w:bidi="ar"/>
                    </w:rPr>
                    <w:t>高峰小时</w:t>
                  </w:r>
                </w:p>
              </w:tc>
              <w:tc>
                <w:tcPr>
                  <w:tcW w:w="520" w:type="pct"/>
                  <w:noWrap/>
                  <w:vAlign w:val="center"/>
                </w:tcPr>
                <w:p w14:paraId="20AC1D29">
                  <w:pPr>
                    <w:widowControl/>
                    <w:ind w:right="220"/>
                    <w:jc w:val="right"/>
                    <w:textAlignment w:val="center"/>
                    <w:rPr>
                      <w:szCs w:val="21"/>
                    </w:rPr>
                  </w:pPr>
                  <w:r>
                    <w:rPr>
                      <w:kern w:val="0"/>
                      <w:szCs w:val="21"/>
                      <w:lang w:bidi="ar"/>
                    </w:rPr>
                    <w:t xml:space="preserve">0.001 </w:t>
                  </w:r>
                </w:p>
              </w:tc>
              <w:tc>
                <w:tcPr>
                  <w:tcW w:w="520" w:type="pct"/>
                  <w:noWrap/>
                  <w:vAlign w:val="center"/>
                </w:tcPr>
                <w:p w14:paraId="55CDBAB5">
                  <w:pPr>
                    <w:widowControl/>
                    <w:ind w:right="220"/>
                    <w:jc w:val="right"/>
                    <w:textAlignment w:val="center"/>
                    <w:rPr>
                      <w:szCs w:val="21"/>
                    </w:rPr>
                  </w:pPr>
                  <w:r>
                    <w:rPr>
                      <w:kern w:val="0"/>
                      <w:szCs w:val="21"/>
                      <w:lang w:bidi="ar"/>
                    </w:rPr>
                    <w:t xml:space="preserve">0.121 </w:t>
                  </w:r>
                </w:p>
              </w:tc>
              <w:tc>
                <w:tcPr>
                  <w:tcW w:w="520" w:type="pct"/>
                  <w:noWrap/>
                  <w:vAlign w:val="center"/>
                </w:tcPr>
                <w:p w14:paraId="11EBE1F1">
                  <w:pPr>
                    <w:widowControl/>
                    <w:ind w:right="220"/>
                    <w:jc w:val="right"/>
                    <w:textAlignment w:val="center"/>
                    <w:rPr>
                      <w:szCs w:val="21"/>
                    </w:rPr>
                  </w:pPr>
                  <w:r>
                    <w:rPr>
                      <w:kern w:val="0"/>
                      <w:szCs w:val="21"/>
                      <w:lang w:bidi="ar"/>
                    </w:rPr>
                    <w:t xml:space="preserve">0.074 </w:t>
                  </w:r>
                </w:p>
              </w:tc>
            </w:tr>
            <w:tr w14:paraId="58F5BA7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1069" w:type="pct"/>
                  <w:vMerge w:val="continue"/>
                  <w:noWrap/>
                  <w:vAlign w:val="center"/>
                </w:tcPr>
                <w:p w14:paraId="3D0A9326">
                  <w:pPr>
                    <w:rPr>
                      <w:szCs w:val="21"/>
                    </w:rPr>
                  </w:pPr>
                </w:p>
              </w:tc>
              <w:tc>
                <w:tcPr>
                  <w:tcW w:w="1702" w:type="pct"/>
                  <w:noWrap/>
                  <w:vAlign w:val="center"/>
                </w:tcPr>
                <w:p w14:paraId="2DB24A38">
                  <w:pPr>
                    <w:tabs>
                      <w:tab w:val="left" w:pos="3015"/>
                    </w:tabs>
                    <w:jc w:val="center"/>
                    <w:rPr>
                      <w:kern w:val="10"/>
                      <w:szCs w:val="21"/>
                      <w:lang w:bidi="ar"/>
                    </w:rPr>
                  </w:pPr>
                  <w:r>
                    <w:rPr>
                      <w:rFonts w:hint="eastAsia"/>
                      <w:szCs w:val="21"/>
                    </w:rPr>
                    <w:t>2032年</w:t>
                  </w:r>
                </w:p>
              </w:tc>
              <w:tc>
                <w:tcPr>
                  <w:tcW w:w="669" w:type="pct"/>
                  <w:noWrap/>
                  <w:vAlign w:val="center"/>
                </w:tcPr>
                <w:p w14:paraId="75118BE3">
                  <w:pPr>
                    <w:tabs>
                      <w:tab w:val="left" w:pos="3015"/>
                    </w:tabs>
                    <w:jc w:val="center"/>
                    <w:rPr>
                      <w:kern w:val="10"/>
                      <w:szCs w:val="21"/>
                      <w:lang w:bidi="ar"/>
                    </w:rPr>
                  </w:pPr>
                  <w:r>
                    <w:rPr>
                      <w:kern w:val="10"/>
                      <w:szCs w:val="21"/>
                      <w:lang w:bidi="ar"/>
                    </w:rPr>
                    <w:t>高峰小时</w:t>
                  </w:r>
                </w:p>
              </w:tc>
              <w:tc>
                <w:tcPr>
                  <w:tcW w:w="520" w:type="pct"/>
                  <w:noWrap/>
                  <w:vAlign w:val="center"/>
                </w:tcPr>
                <w:p w14:paraId="37A21679">
                  <w:pPr>
                    <w:widowControl/>
                    <w:ind w:right="220"/>
                    <w:jc w:val="right"/>
                    <w:textAlignment w:val="center"/>
                    <w:rPr>
                      <w:szCs w:val="21"/>
                    </w:rPr>
                  </w:pPr>
                  <w:r>
                    <w:rPr>
                      <w:kern w:val="0"/>
                      <w:szCs w:val="21"/>
                      <w:lang w:bidi="ar"/>
                    </w:rPr>
                    <w:t xml:space="preserve">1.440 </w:t>
                  </w:r>
                </w:p>
              </w:tc>
              <w:tc>
                <w:tcPr>
                  <w:tcW w:w="520" w:type="pct"/>
                  <w:noWrap/>
                  <w:vAlign w:val="center"/>
                </w:tcPr>
                <w:p w14:paraId="42DD8567">
                  <w:pPr>
                    <w:widowControl/>
                    <w:ind w:right="220"/>
                    <w:jc w:val="right"/>
                    <w:textAlignment w:val="center"/>
                    <w:rPr>
                      <w:szCs w:val="21"/>
                    </w:rPr>
                  </w:pPr>
                  <w:r>
                    <w:rPr>
                      <w:kern w:val="0"/>
                      <w:szCs w:val="21"/>
                      <w:lang w:bidi="ar"/>
                    </w:rPr>
                    <w:t xml:space="preserve">0.140 </w:t>
                  </w:r>
                </w:p>
              </w:tc>
              <w:tc>
                <w:tcPr>
                  <w:tcW w:w="520" w:type="pct"/>
                  <w:noWrap/>
                  <w:vAlign w:val="center"/>
                </w:tcPr>
                <w:p w14:paraId="0DF8084C">
                  <w:pPr>
                    <w:widowControl/>
                    <w:ind w:right="220"/>
                    <w:jc w:val="right"/>
                    <w:textAlignment w:val="center"/>
                    <w:rPr>
                      <w:szCs w:val="21"/>
                    </w:rPr>
                  </w:pPr>
                  <w:r>
                    <w:rPr>
                      <w:kern w:val="0"/>
                      <w:szCs w:val="21"/>
                      <w:lang w:bidi="ar"/>
                    </w:rPr>
                    <w:t xml:space="preserve">0.084 </w:t>
                  </w:r>
                </w:p>
              </w:tc>
            </w:tr>
            <w:tr w14:paraId="2388AFD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1069" w:type="pct"/>
                  <w:vMerge w:val="continue"/>
                  <w:noWrap/>
                  <w:vAlign w:val="center"/>
                </w:tcPr>
                <w:p w14:paraId="6097CD06">
                  <w:pPr>
                    <w:rPr>
                      <w:szCs w:val="21"/>
                    </w:rPr>
                  </w:pPr>
                </w:p>
              </w:tc>
              <w:tc>
                <w:tcPr>
                  <w:tcW w:w="1702" w:type="pct"/>
                  <w:noWrap/>
                  <w:vAlign w:val="center"/>
                </w:tcPr>
                <w:p w14:paraId="6DA8DDD7">
                  <w:pPr>
                    <w:tabs>
                      <w:tab w:val="left" w:pos="3015"/>
                    </w:tabs>
                    <w:jc w:val="center"/>
                    <w:rPr>
                      <w:kern w:val="10"/>
                      <w:szCs w:val="21"/>
                      <w:lang w:bidi="ar"/>
                    </w:rPr>
                  </w:pPr>
                  <w:r>
                    <w:rPr>
                      <w:rFonts w:hint="eastAsia"/>
                      <w:szCs w:val="21"/>
                    </w:rPr>
                    <w:t>2040年</w:t>
                  </w:r>
                </w:p>
              </w:tc>
              <w:tc>
                <w:tcPr>
                  <w:tcW w:w="669" w:type="pct"/>
                  <w:noWrap/>
                  <w:vAlign w:val="center"/>
                </w:tcPr>
                <w:p w14:paraId="4350C8E0">
                  <w:pPr>
                    <w:tabs>
                      <w:tab w:val="left" w:pos="3015"/>
                    </w:tabs>
                    <w:jc w:val="center"/>
                    <w:rPr>
                      <w:kern w:val="10"/>
                      <w:szCs w:val="21"/>
                      <w:lang w:bidi="ar"/>
                    </w:rPr>
                  </w:pPr>
                  <w:r>
                    <w:rPr>
                      <w:kern w:val="10"/>
                      <w:szCs w:val="21"/>
                      <w:lang w:bidi="ar"/>
                    </w:rPr>
                    <w:t>高峰小时</w:t>
                  </w:r>
                </w:p>
              </w:tc>
              <w:tc>
                <w:tcPr>
                  <w:tcW w:w="520" w:type="pct"/>
                  <w:noWrap/>
                  <w:vAlign w:val="center"/>
                </w:tcPr>
                <w:p w14:paraId="753BB0E1">
                  <w:pPr>
                    <w:widowControl/>
                    <w:ind w:right="220"/>
                    <w:jc w:val="right"/>
                    <w:textAlignment w:val="center"/>
                    <w:rPr>
                      <w:szCs w:val="21"/>
                    </w:rPr>
                  </w:pPr>
                  <w:r>
                    <w:rPr>
                      <w:kern w:val="0"/>
                      <w:szCs w:val="21"/>
                      <w:lang w:bidi="ar"/>
                    </w:rPr>
                    <w:t xml:space="preserve">1.773 </w:t>
                  </w:r>
                </w:p>
              </w:tc>
              <w:tc>
                <w:tcPr>
                  <w:tcW w:w="520" w:type="pct"/>
                  <w:noWrap/>
                  <w:vAlign w:val="center"/>
                </w:tcPr>
                <w:p w14:paraId="207A5FA0">
                  <w:pPr>
                    <w:widowControl/>
                    <w:ind w:right="220"/>
                    <w:jc w:val="right"/>
                    <w:textAlignment w:val="center"/>
                    <w:rPr>
                      <w:szCs w:val="21"/>
                    </w:rPr>
                  </w:pPr>
                  <w:r>
                    <w:rPr>
                      <w:kern w:val="0"/>
                      <w:szCs w:val="21"/>
                      <w:lang w:bidi="ar"/>
                    </w:rPr>
                    <w:t xml:space="preserve">0.103 </w:t>
                  </w:r>
                </w:p>
              </w:tc>
              <w:tc>
                <w:tcPr>
                  <w:tcW w:w="520" w:type="pct"/>
                  <w:noWrap/>
                  <w:vAlign w:val="center"/>
                </w:tcPr>
                <w:p w14:paraId="07417ADB">
                  <w:pPr>
                    <w:widowControl/>
                    <w:ind w:right="220"/>
                    <w:jc w:val="right"/>
                    <w:textAlignment w:val="center"/>
                    <w:rPr>
                      <w:szCs w:val="21"/>
                    </w:rPr>
                  </w:pPr>
                  <w:r>
                    <w:rPr>
                      <w:kern w:val="0"/>
                      <w:szCs w:val="21"/>
                      <w:lang w:bidi="ar"/>
                    </w:rPr>
                    <w:t xml:space="preserve">0.103 </w:t>
                  </w:r>
                </w:p>
              </w:tc>
            </w:tr>
          </w:tbl>
          <w:p w14:paraId="2C912FD8">
            <w:pPr>
              <w:adjustRightInd w:val="0"/>
              <w:snapToGrid w:val="0"/>
              <w:spacing w:line="500" w:lineRule="exact"/>
              <w:ind w:firstLine="420" w:firstLineChars="200"/>
              <w:jc w:val="left"/>
              <w:rPr>
                <w:szCs w:val="21"/>
                <w:lang w:bidi="ar"/>
              </w:rPr>
            </w:pPr>
            <w:r>
              <w:rPr>
                <w:szCs w:val="21"/>
                <w:lang w:bidi="ar"/>
              </w:rPr>
              <w:t>另外，道路上行驶汽车的轮胎接触路面，使路面积尘扬起，会产生二次扬尘污染。在运送散装含尘物料时，由于散落、风吹等原因，也会使物料产生扬尘污染。二次扬尘污染轻微，同时此类物质环境容量较大，忽略不计。</w:t>
            </w:r>
          </w:p>
          <w:p w14:paraId="41FFD625">
            <w:pPr>
              <w:spacing w:line="500" w:lineRule="exact"/>
              <w:ind w:firstLine="422" w:firstLineChars="200"/>
              <w:jc w:val="left"/>
              <w:rPr>
                <w:b/>
                <w:szCs w:val="21"/>
              </w:rPr>
            </w:pPr>
            <w:r>
              <w:rPr>
                <w:b/>
                <w:szCs w:val="21"/>
                <w:lang w:bidi="ar"/>
              </w:rPr>
              <w:t>3、</w:t>
            </w:r>
            <w:r>
              <w:rPr>
                <w:b/>
                <w:bCs/>
                <w:szCs w:val="21"/>
                <w:lang w:bidi="ar"/>
              </w:rPr>
              <w:t>运营期</w:t>
            </w:r>
            <w:r>
              <w:rPr>
                <w:b/>
                <w:szCs w:val="21"/>
                <w:lang w:bidi="ar"/>
              </w:rPr>
              <w:t>水</w:t>
            </w:r>
            <w:r>
              <w:rPr>
                <w:rFonts w:hint="eastAsia"/>
                <w:b/>
                <w:szCs w:val="21"/>
                <w:lang w:bidi="ar"/>
              </w:rPr>
              <w:t>环境影响分析</w:t>
            </w:r>
          </w:p>
          <w:p w14:paraId="03104323">
            <w:pPr>
              <w:spacing w:line="500" w:lineRule="exact"/>
              <w:ind w:firstLine="420" w:firstLineChars="200"/>
              <w:jc w:val="left"/>
              <w:rPr>
                <w:b/>
                <w:kern w:val="0"/>
                <w:szCs w:val="21"/>
                <w:lang w:bidi="ar"/>
              </w:rPr>
            </w:pPr>
            <w:r>
              <w:rPr>
                <w:szCs w:val="21"/>
                <w:lang w:bidi="ar"/>
              </w:rPr>
              <w:t>营运期对附近水域产生的污染途径主要表现为路面径流，其主要来源于汽车尾气中的有害物质（主要为悬浮物、油及有机物）及大气颗粒物沉降于公路的表面，降雨时随着雨水的冲刷被带入附近的沟渠、农田，造成公路两侧附近的部分水域污染负荷增加，主要污染因子有pH、SS、COD</w:t>
            </w:r>
            <w:r>
              <w:rPr>
                <w:szCs w:val="21"/>
                <w:vertAlign w:val="subscript"/>
                <w:lang w:bidi="ar"/>
              </w:rPr>
              <w:t>Cr</w:t>
            </w:r>
            <w:r>
              <w:rPr>
                <w:szCs w:val="21"/>
                <w:lang w:bidi="ar"/>
              </w:rPr>
              <w:t>、BOD</w:t>
            </w:r>
            <w:r>
              <w:rPr>
                <w:szCs w:val="21"/>
                <w:vertAlign w:val="subscript"/>
                <w:lang w:bidi="ar"/>
              </w:rPr>
              <w:t>5</w:t>
            </w:r>
            <w:r>
              <w:rPr>
                <w:szCs w:val="21"/>
                <w:lang w:bidi="ar"/>
              </w:rPr>
              <w:t>和石油类等。由于污染物浓度受降雨强度、车流量、灰尘沉降量和前期干旱时间等因素影响，因此具有一定程度的不确定性。根据环保部华南环科所对广东地区</w:t>
            </w:r>
            <w:r>
              <w:rPr>
                <w:rFonts w:hint="eastAsia"/>
                <w:szCs w:val="21"/>
                <w:lang w:bidi="ar"/>
              </w:rPr>
              <w:t>路面</w:t>
            </w:r>
            <w:r>
              <w:rPr>
                <w:szCs w:val="21"/>
                <w:lang w:bidi="ar"/>
              </w:rPr>
              <w:t>径流污染情况试验有关资料，在车流量和降雨量已知的情况下，降雨历时1小时，降雨强度为81.6mm，在1h内按不同时间采集水样，测定结果见下表。</w:t>
            </w:r>
          </w:p>
          <w:p w14:paraId="459F3D84">
            <w:pPr>
              <w:autoSpaceDE w:val="0"/>
              <w:autoSpaceDN w:val="0"/>
              <w:adjustRightInd w:val="0"/>
              <w:snapToGrid w:val="0"/>
              <w:spacing w:before="120" w:beforeLines="50" w:line="360" w:lineRule="auto"/>
              <w:jc w:val="center"/>
              <w:rPr>
                <w:b/>
                <w:bCs/>
                <w:kern w:val="0"/>
                <w:szCs w:val="21"/>
              </w:rPr>
            </w:pPr>
            <w:r>
              <w:rPr>
                <w:b/>
                <w:bCs/>
                <w:kern w:val="0"/>
                <w:szCs w:val="21"/>
              </w:rPr>
              <w:t>表</w:t>
            </w:r>
            <w:r>
              <w:rPr>
                <w:rFonts w:hint="eastAsia"/>
                <w:b/>
                <w:bCs/>
                <w:kern w:val="0"/>
                <w:szCs w:val="21"/>
              </w:rPr>
              <w:t>4</w:t>
            </w:r>
            <w:r>
              <w:rPr>
                <w:b/>
                <w:bCs/>
                <w:kern w:val="0"/>
                <w:szCs w:val="21"/>
              </w:rPr>
              <w:t>-5  路面径流中污染物浓度测定值（mg/L）</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1976"/>
              <w:gridCol w:w="1976"/>
              <w:gridCol w:w="1976"/>
              <w:gridCol w:w="1979"/>
            </w:tblGrid>
            <w:tr w14:paraId="41B2AA8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9" w:type="pct"/>
                  <w:tcBorders>
                    <w:top w:val="single" w:color="auto" w:sz="12" w:space="0"/>
                    <w:bottom w:val="single" w:color="auto" w:sz="4" w:space="0"/>
                    <w:tl2br w:val="single" w:color="auto" w:sz="12" w:space="0"/>
                  </w:tcBorders>
                  <w:shd w:val="clear" w:color="auto" w:fill="auto"/>
                  <w:noWrap/>
                  <w:vAlign w:val="center"/>
                </w:tcPr>
                <w:p w14:paraId="0705E834">
                  <w:pPr>
                    <w:adjustRightInd w:val="0"/>
                    <w:snapToGrid w:val="0"/>
                    <w:jc w:val="center"/>
                    <w:rPr>
                      <w:b/>
                      <w:bCs/>
                      <w:szCs w:val="21"/>
                    </w:rPr>
                  </w:pPr>
                  <w:r>
                    <w:rPr>
                      <w:rFonts w:hint="eastAsia" w:cs="宋体"/>
                      <w:b/>
                      <w:bCs/>
                      <w:szCs w:val="21"/>
                      <w:lang w:bidi="ar"/>
                    </w:rPr>
                    <w:t xml:space="preserve"> </w:t>
                  </w:r>
                  <w:r>
                    <w:rPr>
                      <w:rFonts w:cs="宋体"/>
                      <w:b/>
                      <w:bCs/>
                      <w:szCs w:val="21"/>
                      <w:lang w:bidi="ar"/>
                    </w:rPr>
                    <w:t xml:space="preserve">    历时</w:t>
                  </w:r>
                </w:p>
                <w:p w14:paraId="719EFE86">
                  <w:pPr>
                    <w:adjustRightInd w:val="0"/>
                    <w:snapToGrid w:val="0"/>
                    <w:rPr>
                      <w:b/>
                      <w:bCs/>
                      <w:szCs w:val="21"/>
                    </w:rPr>
                  </w:pPr>
                  <w:r>
                    <w:rPr>
                      <w:rFonts w:cs="宋体"/>
                      <w:b/>
                      <w:bCs/>
                      <w:szCs w:val="21"/>
                      <w:lang w:bidi="ar"/>
                    </w:rPr>
                    <w:t>污染物</w:t>
                  </w:r>
                </w:p>
              </w:tc>
              <w:tc>
                <w:tcPr>
                  <w:tcW w:w="999" w:type="pct"/>
                  <w:shd w:val="clear" w:color="auto" w:fill="auto"/>
                  <w:noWrap/>
                  <w:vAlign w:val="center"/>
                </w:tcPr>
                <w:p w14:paraId="7C5AE639">
                  <w:pPr>
                    <w:adjustRightInd w:val="0"/>
                    <w:snapToGrid w:val="0"/>
                    <w:jc w:val="center"/>
                    <w:rPr>
                      <w:b/>
                      <w:bCs/>
                      <w:szCs w:val="21"/>
                    </w:rPr>
                  </w:pPr>
                  <w:r>
                    <w:rPr>
                      <w:b/>
                      <w:bCs/>
                      <w:szCs w:val="21"/>
                      <w:lang w:bidi="ar"/>
                    </w:rPr>
                    <w:t>5~20</w:t>
                  </w:r>
                  <w:r>
                    <w:rPr>
                      <w:rFonts w:cs="宋体"/>
                      <w:b/>
                      <w:bCs/>
                      <w:szCs w:val="21"/>
                      <w:lang w:bidi="ar"/>
                    </w:rPr>
                    <w:t>分钟</w:t>
                  </w:r>
                </w:p>
              </w:tc>
              <w:tc>
                <w:tcPr>
                  <w:tcW w:w="999" w:type="pct"/>
                  <w:shd w:val="clear" w:color="auto" w:fill="auto"/>
                  <w:noWrap/>
                  <w:vAlign w:val="center"/>
                </w:tcPr>
                <w:p w14:paraId="74B35567">
                  <w:pPr>
                    <w:adjustRightInd w:val="0"/>
                    <w:snapToGrid w:val="0"/>
                    <w:jc w:val="center"/>
                    <w:rPr>
                      <w:b/>
                      <w:bCs/>
                      <w:szCs w:val="21"/>
                    </w:rPr>
                  </w:pPr>
                  <w:r>
                    <w:rPr>
                      <w:b/>
                      <w:bCs/>
                      <w:szCs w:val="21"/>
                      <w:lang w:bidi="ar"/>
                    </w:rPr>
                    <w:t>20~40</w:t>
                  </w:r>
                  <w:r>
                    <w:rPr>
                      <w:rFonts w:cs="宋体"/>
                      <w:b/>
                      <w:bCs/>
                      <w:szCs w:val="21"/>
                      <w:lang w:bidi="ar"/>
                    </w:rPr>
                    <w:t>分钟</w:t>
                  </w:r>
                </w:p>
              </w:tc>
              <w:tc>
                <w:tcPr>
                  <w:tcW w:w="999" w:type="pct"/>
                  <w:shd w:val="clear" w:color="auto" w:fill="auto"/>
                  <w:noWrap/>
                  <w:vAlign w:val="center"/>
                </w:tcPr>
                <w:p w14:paraId="0929D733">
                  <w:pPr>
                    <w:adjustRightInd w:val="0"/>
                    <w:snapToGrid w:val="0"/>
                    <w:jc w:val="center"/>
                    <w:rPr>
                      <w:b/>
                      <w:bCs/>
                      <w:szCs w:val="21"/>
                    </w:rPr>
                  </w:pPr>
                  <w:r>
                    <w:rPr>
                      <w:b/>
                      <w:bCs/>
                      <w:szCs w:val="21"/>
                      <w:lang w:bidi="ar"/>
                    </w:rPr>
                    <w:t>40~60</w:t>
                  </w:r>
                  <w:r>
                    <w:rPr>
                      <w:rFonts w:cs="宋体"/>
                      <w:b/>
                      <w:bCs/>
                      <w:szCs w:val="21"/>
                      <w:lang w:bidi="ar"/>
                    </w:rPr>
                    <w:t>分钟</w:t>
                  </w:r>
                </w:p>
              </w:tc>
              <w:tc>
                <w:tcPr>
                  <w:tcW w:w="1000" w:type="pct"/>
                  <w:shd w:val="clear" w:color="auto" w:fill="auto"/>
                  <w:noWrap/>
                  <w:vAlign w:val="center"/>
                </w:tcPr>
                <w:p w14:paraId="2C901938">
                  <w:pPr>
                    <w:adjustRightInd w:val="0"/>
                    <w:snapToGrid w:val="0"/>
                    <w:jc w:val="center"/>
                    <w:rPr>
                      <w:b/>
                      <w:bCs/>
                      <w:szCs w:val="21"/>
                    </w:rPr>
                  </w:pPr>
                  <w:r>
                    <w:rPr>
                      <w:rFonts w:cs="宋体"/>
                      <w:b/>
                      <w:bCs/>
                      <w:szCs w:val="21"/>
                      <w:lang w:bidi="ar"/>
                    </w:rPr>
                    <w:t>平均值</w:t>
                  </w:r>
                </w:p>
              </w:tc>
            </w:tr>
            <w:tr w14:paraId="340874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9" w:type="pct"/>
                  <w:tcBorders>
                    <w:top w:val="single" w:color="auto" w:sz="4" w:space="0"/>
                  </w:tcBorders>
                  <w:shd w:val="clear" w:color="auto" w:fill="auto"/>
                  <w:noWrap/>
                  <w:vAlign w:val="center"/>
                </w:tcPr>
                <w:p w14:paraId="1C2EE0EF">
                  <w:pPr>
                    <w:adjustRightInd w:val="0"/>
                    <w:snapToGrid w:val="0"/>
                    <w:jc w:val="center"/>
                    <w:rPr>
                      <w:szCs w:val="21"/>
                    </w:rPr>
                  </w:pPr>
                  <w:r>
                    <w:rPr>
                      <w:szCs w:val="21"/>
                      <w:lang w:bidi="ar"/>
                    </w:rPr>
                    <w:t>pH</w:t>
                  </w:r>
                </w:p>
              </w:tc>
              <w:tc>
                <w:tcPr>
                  <w:tcW w:w="999" w:type="pct"/>
                  <w:shd w:val="clear" w:color="auto" w:fill="auto"/>
                  <w:noWrap/>
                  <w:vAlign w:val="center"/>
                </w:tcPr>
                <w:p w14:paraId="10519440">
                  <w:pPr>
                    <w:adjustRightInd w:val="0"/>
                    <w:snapToGrid w:val="0"/>
                    <w:jc w:val="center"/>
                    <w:rPr>
                      <w:szCs w:val="21"/>
                    </w:rPr>
                  </w:pPr>
                  <w:r>
                    <w:rPr>
                      <w:szCs w:val="21"/>
                      <w:lang w:bidi="ar"/>
                    </w:rPr>
                    <w:t>6.0~6.8</w:t>
                  </w:r>
                </w:p>
              </w:tc>
              <w:tc>
                <w:tcPr>
                  <w:tcW w:w="999" w:type="pct"/>
                  <w:shd w:val="clear" w:color="auto" w:fill="auto"/>
                  <w:noWrap/>
                  <w:vAlign w:val="center"/>
                </w:tcPr>
                <w:p w14:paraId="3A6DC26C">
                  <w:pPr>
                    <w:adjustRightInd w:val="0"/>
                    <w:snapToGrid w:val="0"/>
                    <w:jc w:val="center"/>
                    <w:rPr>
                      <w:szCs w:val="21"/>
                    </w:rPr>
                  </w:pPr>
                  <w:r>
                    <w:rPr>
                      <w:szCs w:val="21"/>
                      <w:lang w:bidi="ar"/>
                    </w:rPr>
                    <w:t>6.0~6.8</w:t>
                  </w:r>
                </w:p>
              </w:tc>
              <w:tc>
                <w:tcPr>
                  <w:tcW w:w="999" w:type="pct"/>
                  <w:shd w:val="clear" w:color="auto" w:fill="auto"/>
                  <w:noWrap/>
                  <w:vAlign w:val="center"/>
                </w:tcPr>
                <w:p w14:paraId="521FDE56">
                  <w:pPr>
                    <w:adjustRightInd w:val="0"/>
                    <w:snapToGrid w:val="0"/>
                    <w:jc w:val="center"/>
                    <w:rPr>
                      <w:szCs w:val="21"/>
                    </w:rPr>
                  </w:pPr>
                  <w:r>
                    <w:rPr>
                      <w:szCs w:val="21"/>
                      <w:lang w:bidi="ar"/>
                    </w:rPr>
                    <w:t>6.0~6.8</w:t>
                  </w:r>
                </w:p>
              </w:tc>
              <w:tc>
                <w:tcPr>
                  <w:tcW w:w="1000" w:type="pct"/>
                  <w:shd w:val="clear" w:color="auto" w:fill="auto"/>
                  <w:noWrap/>
                  <w:vAlign w:val="center"/>
                </w:tcPr>
                <w:p w14:paraId="65FC9D55">
                  <w:pPr>
                    <w:adjustRightInd w:val="0"/>
                    <w:snapToGrid w:val="0"/>
                    <w:jc w:val="center"/>
                    <w:rPr>
                      <w:szCs w:val="21"/>
                    </w:rPr>
                  </w:pPr>
                  <w:r>
                    <w:rPr>
                      <w:szCs w:val="21"/>
                      <w:lang w:bidi="ar"/>
                    </w:rPr>
                    <w:t>6.4</w:t>
                  </w:r>
                </w:p>
              </w:tc>
            </w:tr>
            <w:tr w14:paraId="2CBBAE7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9" w:type="pct"/>
                  <w:shd w:val="clear" w:color="auto" w:fill="auto"/>
                  <w:noWrap/>
                  <w:vAlign w:val="center"/>
                </w:tcPr>
                <w:p w14:paraId="71038D61">
                  <w:pPr>
                    <w:adjustRightInd w:val="0"/>
                    <w:snapToGrid w:val="0"/>
                    <w:jc w:val="center"/>
                    <w:rPr>
                      <w:szCs w:val="21"/>
                    </w:rPr>
                  </w:pPr>
                  <w:r>
                    <w:rPr>
                      <w:szCs w:val="21"/>
                      <w:lang w:bidi="ar"/>
                    </w:rPr>
                    <w:t>SS</w:t>
                  </w:r>
                </w:p>
              </w:tc>
              <w:tc>
                <w:tcPr>
                  <w:tcW w:w="999" w:type="pct"/>
                  <w:shd w:val="clear" w:color="auto" w:fill="auto"/>
                  <w:noWrap/>
                  <w:vAlign w:val="center"/>
                </w:tcPr>
                <w:p w14:paraId="26F68450">
                  <w:pPr>
                    <w:adjustRightInd w:val="0"/>
                    <w:snapToGrid w:val="0"/>
                    <w:jc w:val="center"/>
                    <w:rPr>
                      <w:szCs w:val="21"/>
                    </w:rPr>
                  </w:pPr>
                  <w:r>
                    <w:rPr>
                      <w:szCs w:val="21"/>
                      <w:lang w:bidi="ar"/>
                    </w:rPr>
                    <w:t>231.4~158.5</w:t>
                  </w:r>
                </w:p>
              </w:tc>
              <w:tc>
                <w:tcPr>
                  <w:tcW w:w="999" w:type="pct"/>
                  <w:shd w:val="clear" w:color="auto" w:fill="auto"/>
                  <w:noWrap/>
                  <w:vAlign w:val="center"/>
                </w:tcPr>
                <w:p w14:paraId="739F0075">
                  <w:pPr>
                    <w:adjustRightInd w:val="0"/>
                    <w:snapToGrid w:val="0"/>
                    <w:jc w:val="center"/>
                    <w:rPr>
                      <w:szCs w:val="21"/>
                    </w:rPr>
                  </w:pPr>
                  <w:r>
                    <w:rPr>
                      <w:szCs w:val="21"/>
                      <w:lang w:bidi="ar"/>
                    </w:rPr>
                    <w:t>158.5~90.4</w:t>
                  </w:r>
                </w:p>
              </w:tc>
              <w:tc>
                <w:tcPr>
                  <w:tcW w:w="999" w:type="pct"/>
                  <w:shd w:val="clear" w:color="auto" w:fill="auto"/>
                  <w:noWrap/>
                  <w:vAlign w:val="center"/>
                </w:tcPr>
                <w:p w14:paraId="7750C68D">
                  <w:pPr>
                    <w:adjustRightInd w:val="0"/>
                    <w:snapToGrid w:val="0"/>
                    <w:jc w:val="center"/>
                    <w:rPr>
                      <w:szCs w:val="21"/>
                    </w:rPr>
                  </w:pPr>
                  <w:r>
                    <w:rPr>
                      <w:szCs w:val="21"/>
                      <w:lang w:bidi="ar"/>
                    </w:rPr>
                    <w:t>90.4~18.7</w:t>
                  </w:r>
                </w:p>
              </w:tc>
              <w:tc>
                <w:tcPr>
                  <w:tcW w:w="1000" w:type="pct"/>
                  <w:shd w:val="clear" w:color="auto" w:fill="auto"/>
                  <w:noWrap/>
                  <w:vAlign w:val="center"/>
                </w:tcPr>
                <w:p w14:paraId="572FB9A1">
                  <w:pPr>
                    <w:adjustRightInd w:val="0"/>
                    <w:snapToGrid w:val="0"/>
                    <w:jc w:val="center"/>
                    <w:rPr>
                      <w:szCs w:val="21"/>
                    </w:rPr>
                  </w:pPr>
                  <w:r>
                    <w:rPr>
                      <w:szCs w:val="21"/>
                      <w:lang w:bidi="ar"/>
                    </w:rPr>
                    <w:t>125</w:t>
                  </w:r>
                </w:p>
              </w:tc>
            </w:tr>
            <w:tr w14:paraId="1C6A6A8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9" w:type="pct"/>
                  <w:shd w:val="clear" w:color="auto" w:fill="auto"/>
                  <w:noWrap/>
                  <w:vAlign w:val="center"/>
                </w:tcPr>
                <w:p w14:paraId="2A068272">
                  <w:pPr>
                    <w:adjustRightInd w:val="0"/>
                    <w:snapToGrid w:val="0"/>
                    <w:jc w:val="center"/>
                    <w:rPr>
                      <w:szCs w:val="21"/>
                    </w:rPr>
                  </w:pPr>
                  <w:r>
                    <w:rPr>
                      <w:szCs w:val="21"/>
                      <w:lang w:bidi="ar"/>
                    </w:rPr>
                    <w:t>BOD</w:t>
                  </w:r>
                  <w:r>
                    <w:rPr>
                      <w:szCs w:val="21"/>
                      <w:vertAlign w:val="subscript"/>
                      <w:lang w:bidi="ar"/>
                    </w:rPr>
                    <w:t>5</w:t>
                  </w:r>
                </w:p>
              </w:tc>
              <w:tc>
                <w:tcPr>
                  <w:tcW w:w="999" w:type="pct"/>
                  <w:shd w:val="clear" w:color="auto" w:fill="auto"/>
                  <w:noWrap/>
                  <w:vAlign w:val="center"/>
                </w:tcPr>
                <w:p w14:paraId="5A7E3E92">
                  <w:pPr>
                    <w:adjustRightInd w:val="0"/>
                    <w:snapToGrid w:val="0"/>
                    <w:jc w:val="center"/>
                    <w:rPr>
                      <w:szCs w:val="21"/>
                    </w:rPr>
                  </w:pPr>
                  <w:r>
                    <w:rPr>
                      <w:szCs w:val="21"/>
                      <w:lang w:bidi="ar"/>
                    </w:rPr>
                    <w:t>7.34~6.30</w:t>
                  </w:r>
                </w:p>
              </w:tc>
              <w:tc>
                <w:tcPr>
                  <w:tcW w:w="999" w:type="pct"/>
                  <w:shd w:val="clear" w:color="auto" w:fill="auto"/>
                  <w:noWrap/>
                  <w:vAlign w:val="center"/>
                </w:tcPr>
                <w:p w14:paraId="2C49808C">
                  <w:pPr>
                    <w:adjustRightInd w:val="0"/>
                    <w:snapToGrid w:val="0"/>
                    <w:jc w:val="center"/>
                    <w:rPr>
                      <w:szCs w:val="21"/>
                    </w:rPr>
                  </w:pPr>
                  <w:r>
                    <w:rPr>
                      <w:szCs w:val="21"/>
                      <w:lang w:bidi="ar"/>
                    </w:rPr>
                    <w:t>6.30~4.15</w:t>
                  </w:r>
                </w:p>
              </w:tc>
              <w:tc>
                <w:tcPr>
                  <w:tcW w:w="999" w:type="pct"/>
                  <w:shd w:val="clear" w:color="auto" w:fill="auto"/>
                  <w:noWrap/>
                  <w:vAlign w:val="center"/>
                </w:tcPr>
                <w:p w14:paraId="0D6DEE69">
                  <w:pPr>
                    <w:adjustRightInd w:val="0"/>
                    <w:snapToGrid w:val="0"/>
                    <w:jc w:val="center"/>
                    <w:rPr>
                      <w:szCs w:val="21"/>
                    </w:rPr>
                  </w:pPr>
                  <w:r>
                    <w:rPr>
                      <w:szCs w:val="21"/>
                      <w:lang w:bidi="ar"/>
                    </w:rPr>
                    <w:t>4.15~1.26</w:t>
                  </w:r>
                </w:p>
              </w:tc>
              <w:tc>
                <w:tcPr>
                  <w:tcW w:w="1000" w:type="pct"/>
                  <w:shd w:val="clear" w:color="auto" w:fill="auto"/>
                  <w:noWrap/>
                  <w:vAlign w:val="center"/>
                </w:tcPr>
                <w:p w14:paraId="7AE52CCF">
                  <w:pPr>
                    <w:adjustRightInd w:val="0"/>
                    <w:snapToGrid w:val="0"/>
                    <w:jc w:val="center"/>
                    <w:rPr>
                      <w:szCs w:val="21"/>
                    </w:rPr>
                  </w:pPr>
                  <w:r>
                    <w:rPr>
                      <w:szCs w:val="21"/>
                      <w:lang w:bidi="ar"/>
                    </w:rPr>
                    <w:t>4.3</w:t>
                  </w:r>
                </w:p>
              </w:tc>
            </w:tr>
            <w:tr w14:paraId="3BEB6F3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9" w:type="pct"/>
                  <w:shd w:val="clear" w:color="auto" w:fill="auto"/>
                  <w:noWrap/>
                  <w:vAlign w:val="center"/>
                </w:tcPr>
                <w:p w14:paraId="0F9A4EA1">
                  <w:pPr>
                    <w:adjustRightInd w:val="0"/>
                    <w:snapToGrid w:val="0"/>
                    <w:jc w:val="center"/>
                    <w:rPr>
                      <w:szCs w:val="21"/>
                    </w:rPr>
                  </w:pPr>
                  <w:r>
                    <w:rPr>
                      <w:szCs w:val="21"/>
                      <w:lang w:bidi="ar"/>
                    </w:rPr>
                    <w:t>COD</w:t>
                  </w:r>
                  <w:r>
                    <w:rPr>
                      <w:szCs w:val="21"/>
                      <w:vertAlign w:val="subscript"/>
                      <w:lang w:bidi="ar"/>
                    </w:rPr>
                    <w:t>Cr</w:t>
                  </w:r>
                </w:p>
              </w:tc>
              <w:tc>
                <w:tcPr>
                  <w:tcW w:w="999" w:type="pct"/>
                  <w:shd w:val="clear" w:color="auto" w:fill="auto"/>
                  <w:noWrap/>
                  <w:vAlign w:val="center"/>
                </w:tcPr>
                <w:p w14:paraId="2AE48E4A">
                  <w:pPr>
                    <w:adjustRightInd w:val="0"/>
                    <w:snapToGrid w:val="0"/>
                    <w:jc w:val="center"/>
                    <w:rPr>
                      <w:szCs w:val="21"/>
                    </w:rPr>
                  </w:pPr>
                  <w:r>
                    <w:rPr>
                      <w:szCs w:val="21"/>
                      <w:lang w:bidi="ar"/>
                    </w:rPr>
                    <w:t>200.5~150.3</w:t>
                  </w:r>
                </w:p>
              </w:tc>
              <w:tc>
                <w:tcPr>
                  <w:tcW w:w="999" w:type="pct"/>
                  <w:shd w:val="clear" w:color="auto" w:fill="auto"/>
                  <w:noWrap/>
                  <w:vAlign w:val="center"/>
                </w:tcPr>
                <w:p w14:paraId="42E66329">
                  <w:pPr>
                    <w:adjustRightInd w:val="0"/>
                    <w:snapToGrid w:val="0"/>
                    <w:jc w:val="center"/>
                    <w:rPr>
                      <w:szCs w:val="21"/>
                    </w:rPr>
                  </w:pPr>
                  <w:r>
                    <w:rPr>
                      <w:szCs w:val="21"/>
                      <w:lang w:bidi="ar"/>
                    </w:rPr>
                    <w:t>150.3~80.1</w:t>
                  </w:r>
                </w:p>
              </w:tc>
              <w:tc>
                <w:tcPr>
                  <w:tcW w:w="999" w:type="pct"/>
                  <w:shd w:val="clear" w:color="auto" w:fill="auto"/>
                  <w:noWrap/>
                  <w:vAlign w:val="center"/>
                </w:tcPr>
                <w:p w14:paraId="68DD72DD">
                  <w:pPr>
                    <w:adjustRightInd w:val="0"/>
                    <w:snapToGrid w:val="0"/>
                    <w:jc w:val="center"/>
                    <w:rPr>
                      <w:szCs w:val="21"/>
                    </w:rPr>
                  </w:pPr>
                  <w:r>
                    <w:rPr>
                      <w:szCs w:val="21"/>
                      <w:lang w:bidi="ar"/>
                    </w:rPr>
                    <w:t>80.1~30.6</w:t>
                  </w:r>
                </w:p>
              </w:tc>
              <w:tc>
                <w:tcPr>
                  <w:tcW w:w="1000" w:type="pct"/>
                  <w:shd w:val="clear" w:color="auto" w:fill="auto"/>
                  <w:noWrap/>
                  <w:vAlign w:val="center"/>
                </w:tcPr>
                <w:p w14:paraId="722C3EB2">
                  <w:pPr>
                    <w:adjustRightInd w:val="0"/>
                    <w:snapToGrid w:val="0"/>
                    <w:jc w:val="center"/>
                    <w:rPr>
                      <w:szCs w:val="21"/>
                    </w:rPr>
                  </w:pPr>
                  <w:r>
                    <w:rPr>
                      <w:szCs w:val="21"/>
                      <w:lang w:bidi="ar"/>
                    </w:rPr>
                    <w:t>45.5</w:t>
                  </w:r>
                </w:p>
              </w:tc>
            </w:tr>
            <w:tr w14:paraId="3A8DC6E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9" w:type="pct"/>
                  <w:shd w:val="clear" w:color="auto" w:fill="auto"/>
                  <w:noWrap/>
                  <w:vAlign w:val="center"/>
                </w:tcPr>
                <w:p w14:paraId="7AC2AD3B">
                  <w:pPr>
                    <w:adjustRightInd w:val="0"/>
                    <w:snapToGrid w:val="0"/>
                    <w:jc w:val="center"/>
                    <w:rPr>
                      <w:szCs w:val="21"/>
                    </w:rPr>
                  </w:pPr>
                  <w:r>
                    <w:rPr>
                      <w:rFonts w:cs="宋体"/>
                      <w:szCs w:val="21"/>
                      <w:lang w:bidi="ar"/>
                    </w:rPr>
                    <w:t>石油类</w:t>
                  </w:r>
                </w:p>
              </w:tc>
              <w:tc>
                <w:tcPr>
                  <w:tcW w:w="999" w:type="pct"/>
                  <w:shd w:val="clear" w:color="auto" w:fill="auto"/>
                  <w:noWrap/>
                  <w:vAlign w:val="center"/>
                </w:tcPr>
                <w:p w14:paraId="4CBC5EA1">
                  <w:pPr>
                    <w:adjustRightInd w:val="0"/>
                    <w:snapToGrid w:val="0"/>
                    <w:jc w:val="center"/>
                    <w:rPr>
                      <w:szCs w:val="21"/>
                    </w:rPr>
                  </w:pPr>
                  <w:r>
                    <w:rPr>
                      <w:szCs w:val="21"/>
                      <w:lang w:bidi="ar"/>
                    </w:rPr>
                    <w:t>22.30~19.74</w:t>
                  </w:r>
                </w:p>
              </w:tc>
              <w:tc>
                <w:tcPr>
                  <w:tcW w:w="999" w:type="pct"/>
                  <w:shd w:val="clear" w:color="auto" w:fill="auto"/>
                  <w:noWrap/>
                  <w:vAlign w:val="center"/>
                </w:tcPr>
                <w:p w14:paraId="5A29C675">
                  <w:pPr>
                    <w:adjustRightInd w:val="0"/>
                    <w:snapToGrid w:val="0"/>
                    <w:jc w:val="center"/>
                    <w:rPr>
                      <w:szCs w:val="21"/>
                    </w:rPr>
                  </w:pPr>
                  <w:r>
                    <w:rPr>
                      <w:szCs w:val="21"/>
                      <w:lang w:bidi="ar"/>
                    </w:rPr>
                    <w:t>19.74~3.12</w:t>
                  </w:r>
                </w:p>
              </w:tc>
              <w:tc>
                <w:tcPr>
                  <w:tcW w:w="999" w:type="pct"/>
                  <w:shd w:val="clear" w:color="auto" w:fill="auto"/>
                  <w:noWrap/>
                  <w:vAlign w:val="center"/>
                </w:tcPr>
                <w:p w14:paraId="156B160B">
                  <w:pPr>
                    <w:adjustRightInd w:val="0"/>
                    <w:snapToGrid w:val="0"/>
                    <w:jc w:val="center"/>
                    <w:rPr>
                      <w:szCs w:val="21"/>
                    </w:rPr>
                  </w:pPr>
                  <w:r>
                    <w:rPr>
                      <w:szCs w:val="21"/>
                      <w:lang w:bidi="ar"/>
                    </w:rPr>
                    <w:t>3.12~0.21</w:t>
                  </w:r>
                </w:p>
              </w:tc>
              <w:tc>
                <w:tcPr>
                  <w:tcW w:w="1000" w:type="pct"/>
                  <w:shd w:val="clear" w:color="auto" w:fill="auto"/>
                  <w:noWrap/>
                  <w:vAlign w:val="center"/>
                </w:tcPr>
                <w:p w14:paraId="00D6D1D6">
                  <w:pPr>
                    <w:adjustRightInd w:val="0"/>
                    <w:snapToGrid w:val="0"/>
                    <w:jc w:val="center"/>
                    <w:rPr>
                      <w:szCs w:val="21"/>
                    </w:rPr>
                  </w:pPr>
                  <w:r>
                    <w:rPr>
                      <w:szCs w:val="21"/>
                      <w:lang w:bidi="ar"/>
                    </w:rPr>
                    <w:t>11.25</w:t>
                  </w:r>
                </w:p>
              </w:tc>
            </w:tr>
          </w:tbl>
          <w:p w14:paraId="56023B3E">
            <w:pPr>
              <w:spacing w:line="500" w:lineRule="exact"/>
              <w:ind w:firstLine="420" w:firstLineChars="200"/>
              <w:jc w:val="left"/>
              <w:rPr>
                <w:szCs w:val="21"/>
              </w:rPr>
            </w:pPr>
            <w:r>
              <w:rPr>
                <w:szCs w:val="21"/>
                <w:lang w:bidi="ar"/>
              </w:rPr>
              <w:t>从表中可以看出，雨水中的SS、COD</w:t>
            </w:r>
            <w:r>
              <w:rPr>
                <w:szCs w:val="21"/>
                <w:vertAlign w:val="subscript"/>
                <w:lang w:bidi="ar"/>
              </w:rPr>
              <w:t>Cr</w:t>
            </w:r>
            <w:r>
              <w:rPr>
                <w:szCs w:val="21"/>
                <w:lang w:bidi="ar"/>
              </w:rPr>
              <w:t>和油类物质的浓度较高，20分钟后，其浓度随降雨历时的延长下降较快；雨水中生化需氧量随降雨历时的延长下降速度较前两者慢，pH值相对较稳定；降雨历时40分钟后，</w:t>
            </w:r>
            <w:r>
              <w:rPr>
                <w:rFonts w:hint="eastAsia"/>
                <w:szCs w:val="21"/>
                <w:lang w:bidi="ar"/>
              </w:rPr>
              <w:t>路</w:t>
            </w:r>
            <w:r>
              <w:rPr>
                <w:szCs w:val="21"/>
                <w:lang w:bidi="ar"/>
              </w:rPr>
              <w:t>面基本被冲洗干净。所以，降雨对</w:t>
            </w:r>
            <w:r>
              <w:rPr>
                <w:rFonts w:hint="eastAsia"/>
                <w:szCs w:val="21"/>
                <w:lang w:bidi="ar"/>
              </w:rPr>
              <w:t>道路</w:t>
            </w:r>
            <w:r>
              <w:rPr>
                <w:szCs w:val="21"/>
                <w:lang w:bidi="ar"/>
              </w:rPr>
              <w:t>附近河流造成影响的主要是降雨初期1h内形成的桥面径流。</w:t>
            </w:r>
          </w:p>
          <w:p w14:paraId="1D35FAC1">
            <w:pPr>
              <w:spacing w:line="500" w:lineRule="exact"/>
              <w:ind w:firstLine="420" w:firstLineChars="200"/>
              <w:jc w:val="left"/>
              <w:rPr>
                <w:szCs w:val="21"/>
              </w:rPr>
            </w:pPr>
            <w:r>
              <w:rPr>
                <w:szCs w:val="21"/>
                <w:lang w:bidi="ar"/>
              </w:rPr>
              <w:t>考虑</w:t>
            </w:r>
            <w:r>
              <w:rPr>
                <w:rFonts w:hint="eastAsia"/>
                <w:szCs w:val="21"/>
                <w:lang w:bidi="ar"/>
              </w:rPr>
              <w:t>项目</w:t>
            </w:r>
            <w:r>
              <w:rPr>
                <w:szCs w:val="21"/>
                <w:lang w:bidi="ar"/>
              </w:rPr>
              <w:t>运营期对所处</w:t>
            </w:r>
            <w:r>
              <w:rPr>
                <w:rFonts w:hint="eastAsia"/>
                <w:kern w:val="0"/>
                <w:szCs w:val="21"/>
              </w:rPr>
              <w:t>白石排洪渠</w:t>
            </w:r>
            <w:r>
              <w:rPr>
                <w:szCs w:val="21"/>
                <w:lang w:bidi="ar"/>
              </w:rPr>
              <w:t>的影响降至最低，本环评要求本项目须落实相应污染防治措施。由于项目营运期道路本身不产生废水，污染物主要为雨水冲刷路面产生的桥（路）面径流和危险品运输泄漏事故</w:t>
            </w:r>
            <w:r>
              <w:rPr>
                <w:rFonts w:cs="宋体"/>
                <w:szCs w:val="21"/>
                <w:lang w:bidi="ar"/>
              </w:rPr>
              <w:t>污染。</w:t>
            </w:r>
            <w:r>
              <w:rPr>
                <w:szCs w:val="21"/>
                <w:lang w:bidi="ar"/>
              </w:rPr>
              <w:t>本环评主要从这两方面产生污染的途径提出防治措施：</w:t>
            </w:r>
          </w:p>
          <w:p w14:paraId="68F76406">
            <w:pPr>
              <w:spacing w:line="500" w:lineRule="exact"/>
              <w:ind w:firstLine="420" w:firstLineChars="200"/>
              <w:jc w:val="left"/>
              <w:rPr>
                <w:szCs w:val="21"/>
              </w:rPr>
            </w:pPr>
            <w:r>
              <w:rPr>
                <w:szCs w:val="21"/>
                <w:lang w:bidi="ar"/>
              </w:rPr>
              <w:t>（1）防止路面径流污染水体的措施</w:t>
            </w:r>
          </w:p>
          <w:p w14:paraId="3D87C295">
            <w:pPr>
              <w:spacing w:line="500" w:lineRule="exact"/>
              <w:ind w:firstLine="420" w:firstLineChars="200"/>
              <w:jc w:val="left"/>
              <w:rPr>
                <w:szCs w:val="21"/>
              </w:rPr>
            </w:pPr>
            <w:r>
              <w:rPr>
                <w:szCs w:val="21"/>
                <w:lang w:bidi="ar"/>
              </w:rPr>
              <w:t>建设单位应在大桥铺设雨水管网，尽量收集雨水纳入市政雨水管。</w:t>
            </w:r>
          </w:p>
          <w:p w14:paraId="4B60AAF6">
            <w:pPr>
              <w:spacing w:line="500" w:lineRule="exact"/>
              <w:ind w:firstLine="420" w:firstLineChars="200"/>
              <w:jc w:val="left"/>
              <w:rPr>
                <w:szCs w:val="21"/>
              </w:rPr>
            </w:pPr>
            <w:r>
              <w:rPr>
                <w:szCs w:val="21"/>
                <w:lang w:bidi="ar"/>
              </w:rPr>
              <w:t>（2）防止危险品运输泄漏事故污染的管理措施</w:t>
            </w:r>
          </w:p>
          <w:p w14:paraId="6CB5C05E">
            <w:pPr>
              <w:spacing w:line="500" w:lineRule="exact"/>
              <w:ind w:firstLine="420" w:firstLineChars="200"/>
              <w:jc w:val="left"/>
              <w:rPr>
                <w:szCs w:val="21"/>
              </w:rPr>
            </w:pPr>
            <w:r>
              <w:rPr>
                <w:szCs w:val="21"/>
                <w:lang w:bidi="ar"/>
              </w:rPr>
              <w:t>交通道路上运输有毒有害或易燃易爆品等危险品是不可避免的，其风险主要表现在因交通事故和违反危险品运输的有关规定，使被运送的危险品在运输途中突发性发生逸漏、爆炸、燃烧等，一旦发生将在很短时间内造成周边一定范围内的恶性污染事故，对当地环境造成较大危害，给国家财产造成损失。</w:t>
            </w:r>
          </w:p>
          <w:p w14:paraId="3D258E0F">
            <w:pPr>
              <w:spacing w:line="500" w:lineRule="exact"/>
              <w:ind w:firstLine="420" w:firstLineChars="200"/>
              <w:jc w:val="left"/>
              <w:rPr>
                <w:szCs w:val="21"/>
              </w:rPr>
            </w:pPr>
            <w:r>
              <w:rPr>
                <w:szCs w:val="21"/>
                <w:lang w:bidi="ar"/>
              </w:rPr>
              <w:t>车辆对水体产生污染事故类型主要有：车辆本身携带的汽油(柴油)和机油泄漏，并排入附近水体；化学危险品的运输车辆发生交通事故后，化学危险品发生泄漏，并排入附近水体；在桥面发生交通事故，汽车连带货物坠入河流。如运输石油化工车辆在河流附近坠落水体，化学危险品的泄漏、落水将造成水体的严重污染。</w:t>
            </w:r>
          </w:p>
          <w:p w14:paraId="79B1B23C">
            <w:pPr>
              <w:spacing w:line="500" w:lineRule="exact"/>
              <w:ind w:firstLine="420" w:firstLineChars="200"/>
              <w:jc w:val="left"/>
              <w:rPr>
                <w:szCs w:val="21"/>
                <w:lang w:bidi="ar"/>
              </w:rPr>
            </w:pPr>
            <w:r>
              <w:rPr>
                <w:szCs w:val="21"/>
                <w:lang w:bidi="ar"/>
              </w:rPr>
              <w:t>建议危险化学品运输单位安全驾驶，不超速行驶</w:t>
            </w:r>
            <w:r>
              <w:rPr>
                <w:rFonts w:hint="eastAsia"/>
                <w:szCs w:val="21"/>
                <w:lang w:bidi="ar"/>
              </w:rPr>
              <w:t>。</w:t>
            </w:r>
          </w:p>
          <w:p w14:paraId="384D4641">
            <w:pPr>
              <w:spacing w:line="500" w:lineRule="exact"/>
              <w:ind w:firstLine="420" w:firstLineChars="200"/>
              <w:jc w:val="left"/>
              <w:rPr>
                <w:szCs w:val="21"/>
              </w:rPr>
            </w:pPr>
            <w:r>
              <w:rPr>
                <w:szCs w:val="21"/>
                <w:lang w:bidi="ar"/>
              </w:rPr>
              <w:t>运输途中发生燃烧、爆炸、污染、中毒等事故时，驾驶员必须根据承运危险品货物的性质及有关规定的要求采取相应紧急措施，防止事态扩大，并及时向当地道路管理行政机关和当地消防、公安、环保部门报告，共同采取措施清除危害。</w:t>
            </w:r>
          </w:p>
          <w:p w14:paraId="26728473">
            <w:pPr>
              <w:spacing w:line="500" w:lineRule="exact"/>
              <w:ind w:firstLine="422" w:firstLineChars="200"/>
              <w:jc w:val="left"/>
              <w:rPr>
                <w:b/>
                <w:szCs w:val="21"/>
              </w:rPr>
            </w:pPr>
            <w:r>
              <w:rPr>
                <w:b/>
                <w:szCs w:val="21"/>
                <w:lang w:bidi="ar"/>
              </w:rPr>
              <w:t>4、</w:t>
            </w:r>
            <w:r>
              <w:rPr>
                <w:b/>
                <w:bCs/>
                <w:szCs w:val="21"/>
                <w:lang w:bidi="ar"/>
              </w:rPr>
              <w:t>运营期</w:t>
            </w:r>
            <w:r>
              <w:rPr>
                <w:b/>
                <w:szCs w:val="21"/>
                <w:lang w:bidi="ar"/>
              </w:rPr>
              <w:t>声</w:t>
            </w:r>
            <w:r>
              <w:rPr>
                <w:rFonts w:hint="eastAsia"/>
                <w:b/>
                <w:szCs w:val="21"/>
                <w:lang w:bidi="ar"/>
              </w:rPr>
              <w:t>环境影响分析</w:t>
            </w:r>
          </w:p>
          <w:p w14:paraId="36621EF7">
            <w:pPr>
              <w:spacing w:line="500" w:lineRule="exact"/>
              <w:ind w:firstLine="420" w:firstLineChars="200"/>
              <w:jc w:val="left"/>
              <w:rPr>
                <w:szCs w:val="21"/>
              </w:rPr>
            </w:pPr>
            <w:r>
              <w:rPr>
                <w:szCs w:val="21"/>
                <w:lang w:bidi="ar"/>
              </w:rPr>
              <w:t>公路在运营期噪声主要是路面行驶的机动车。路面行驶的机动车产生的噪声主要来源于发动机噪声、排气噪声、车体震动噪声、冷却制动系统噪声、传动机械噪声等，另外车辆行驶中引起的气流湍动、轮胎与路面摩擦等也会产生噪声；路面平整度等原因而使高速行驶的汽车产生整车噪声。</w:t>
            </w:r>
          </w:p>
          <w:p w14:paraId="6C5E827B">
            <w:pPr>
              <w:spacing w:line="500" w:lineRule="exact"/>
              <w:ind w:firstLine="420" w:firstLineChars="200"/>
              <w:jc w:val="left"/>
              <w:rPr>
                <w:szCs w:val="21"/>
                <w:lang w:bidi="ar"/>
              </w:rPr>
            </w:pPr>
            <w:r>
              <w:rPr>
                <w:rFonts w:hint="eastAsia"/>
                <w:szCs w:val="21"/>
                <w:lang w:bidi="ar"/>
              </w:rPr>
              <w:t>本项目建成运营后，交通噪声对周边声环境的影响受诸多因素影响，建设单位应注意预留后期交通及市政配套设施噪声防治措施的必需经费，对于因本项目交通噪声而产生的超标情况，应及时进行评估并积极采取相应噪声控制措施等，切实保障两侧的声环境质量，项目建成后落实各项降噪措施，可保证项目对周边敏感点影响不大。</w:t>
            </w:r>
          </w:p>
          <w:p w14:paraId="2CCBF130">
            <w:pPr>
              <w:spacing w:line="500" w:lineRule="exact"/>
              <w:ind w:firstLine="420" w:firstLineChars="200"/>
              <w:jc w:val="left"/>
              <w:rPr>
                <w:szCs w:val="21"/>
                <w:lang w:bidi="ar"/>
              </w:rPr>
            </w:pPr>
            <w:r>
              <w:rPr>
                <w:rFonts w:hint="eastAsia"/>
                <w:szCs w:val="21"/>
                <w:lang w:bidi="ar"/>
              </w:rPr>
              <w:t>在采取绿化降噪及使用改性沥青低噪声路面等工程降噪措施以及加强交通管理措施如控制车速、禁止鸣笛等管理措施、严格控制大型车在夜间的超速行驶行为后，沿线敏感点通过墙体、窗户隔声减噪，可保持较好的居住环境。</w:t>
            </w:r>
          </w:p>
          <w:p w14:paraId="7D0B0AFF">
            <w:pPr>
              <w:spacing w:line="500" w:lineRule="exact"/>
              <w:ind w:firstLine="422" w:firstLineChars="200"/>
              <w:jc w:val="left"/>
              <w:rPr>
                <w:szCs w:val="21"/>
                <w:lang w:bidi="ar"/>
              </w:rPr>
            </w:pPr>
            <w:r>
              <w:rPr>
                <w:b/>
                <w:szCs w:val="21"/>
                <w:lang w:bidi="ar"/>
              </w:rPr>
              <w:t>具体计算内容见声评价专章</w:t>
            </w:r>
            <w:r>
              <w:rPr>
                <w:szCs w:val="21"/>
                <w:lang w:bidi="ar"/>
              </w:rPr>
              <w:t>。</w:t>
            </w:r>
          </w:p>
          <w:p w14:paraId="51C6EA67">
            <w:pPr>
              <w:spacing w:line="500" w:lineRule="exact"/>
              <w:ind w:firstLine="422" w:firstLineChars="200"/>
              <w:jc w:val="left"/>
              <w:rPr>
                <w:b/>
                <w:szCs w:val="21"/>
              </w:rPr>
            </w:pPr>
            <w:r>
              <w:rPr>
                <w:b/>
                <w:szCs w:val="21"/>
                <w:lang w:bidi="ar"/>
              </w:rPr>
              <w:t>5、</w:t>
            </w:r>
            <w:r>
              <w:rPr>
                <w:b/>
                <w:bCs/>
                <w:szCs w:val="21"/>
                <w:lang w:bidi="ar"/>
              </w:rPr>
              <w:t>运营期</w:t>
            </w:r>
            <w:r>
              <w:rPr>
                <w:b/>
                <w:szCs w:val="21"/>
                <w:lang w:bidi="ar"/>
              </w:rPr>
              <w:t>固体废物</w:t>
            </w:r>
            <w:r>
              <w:rPr>
                <w:rFonts w:hint="eastAsia"/>
                <w:b/>
                <w:szCs w:val="21"/>
                <w:lang w:bidi="ar"/>
              </w:rPr>
              <w:t>环境影响分析</w:t>
            </w:r>
          </w:p>
          <w:p w14:paraId="714E402D">
            <w:pPr>
              <w:spacing w:line="500" w:lineRule="exact"/>
              <w:ind w:firstLine="420" w:firstLineChars="200"/>
              <w:jc w:val="left"/>
              <w:rPr>
                <w:szCs w:val="21"/>
              </w:rPr>
            </w:pPr>
            <w:r>
              <w:rPr>
                <w:szCs w:val="21"/>
                <w:lang w:bidi="ar"/>
              </w:rPr>
              <w:t>项目运营期固体废物主要来自</w:t>
            </w:r>
            <w:r>
              <w:rPr>
                <w:rFonts w:hint="eastAsia"/>
                <w:szCs w:val="21"/>
                <w:lang w:bidi="ar"/>
              </w:rPr>
              <w:t>道</w:t>
            </w:r>
            <w:r>
              <w:rPr>
                <w:szCs w:val="21"/>
                <w:lang w:bidi="ar"/>
              </w:rPr>
              <w:t>路侧绿化植物的残败物和部分过往车辆的</w:t>
            </w:r>
            <w:r>
              <w:rPr>
                <w:rFonts w:hint="eastAsia"/>
                <w:szCs w:val="21"/>
                <w:lang w:bidi="ar"/>
              </w:rPr>
              <w:t>洒落物</w:t>
            </w:r>
            <w:r>
              <w:rPr>
                <w:szCs w:val="21"/>
                <w:lang w:bidi="ar"/>
              </w:rPr>
              <w:t>，以及少量车辆事故发生后遗漏于路面的机油、运载物等。路侧绿化植物的残败物和部分过往车辆的</w:t>
            </w:r>
            <w:r>
              <w:rPr>
                <w:rFonts w:hint="eastAsia"/>
                <w:szCs w:val="21"/>
                <w:lang w:bidi="ar"/>
              </w:rPr>
              <w:t>洒落物</w:t>
            </w:r>
            <w:r>
              <w:rPr>
                <w:szCs w:val="21"/>
                <w:lang w:bidi="ar"/>
              </w:rPr>
              <w:t>若没有及时清扫，遇大风将飞扬影响景观和空气质量（粉尘），少量车辆事故发生后遗漏于路面的机油、运载物等遇暴雨将污染地表径流，对纳污水体的水质造成影响。</w:t>
            </w:r>
          </w:p>
          <w:p w14:paraId="23E927A6">
            <w:pPr>
              <w:spacing w:line="500" w:lineRule="exact"/>
              <w:ind w:firstLine="422" w:firstLineChars="200"/>
              <w:jc w:val="left"/>
              <w:rPr>
                <w:b/>
                <w:szCs w:val="21"/>
                <w:lang w:bidi="ar"/>
              </w:rPr>
            </w:pPr>
            <w:r>
              <w:rPr>
                <w:b/>
                <w:szCs w:val="21"/>
                <w:lang w:bidi="ar"/>
              </w:rPr>
              <w:t>6</w:t>
            </w:r>
            <w:r>
              <w:rPr>
                <w:rFonts w:hint="eastAsia"/>
                <w:b/>
                <w:szCs w:val="21"/>
                <w:lang w:bidi="ar"/>
              </w:rPr>
              <w:t>、</w:t>
            </w:r>
            <w:r>
              <w:rPr>
                <w:b/>
                <w:bCs/>
                <w:szCs w:val="21"/>
                <w:lang w:bidi="ar"/>
              </w:rPr>
              <w:t>运营期</w:t>
            </w:r>
            <w:r>
              <w:rPr>
                <w:b/>
                <w:szCs w:val="21"/>
                <w:lang w:bidi="ar"/>
              </w:rPr>
              <w:t>环境</w:t>
            </w:r>
            <w:r>
              <w:rPr>
                <w:rFonts w:hint="eastAsia"/>
                <w:b/>
                <w:szCs w:val="21"/>
                <w:lang w:bidi="ar"/>
              </w:rPr>
              <w:t>风险</w:t>
            </w:r>
            <w:r>
              <w:rPr>
                <w:b/>
                <w:szCs w:val="21"/>
                <w:lang w:bidi="ar"/>
              </w:rPr>
              <w:t>影响分析</w:t>
            </w:r>
          </w:p>
          <w:p w14:paraId="1B0DFFA7">
            <w:pPr>
              <w:spacing w:line="500" w:lineRule="exact"/>
              <w:ind w:firstLine="420" w:firstLineChars="200"/>
              <w:jc w:val="left"/>
              <w:rPr>
                <w:rFonts w:hint="eastAsia" w:ascii="宋体" w:hAnsi="宋体" w:cs="宋体"/>
                <w:bCs/>
                <w:szCs w:val="21"/>
              </w:rPr>
            </w:pPr>
            <w:r>
              <w:rPr>
                <w:rFonts w:hint="eastAsia"/>
                <w:bCs/>
                <w:szCs w:val="21"/>
              </w:rPr>
              <w:t>本项目为市政道路工程，道路运营期可能产生的环境风险主要来源于危险品运输车辆发生交通事故或违反危险品运输的有关规定，导致危险品(如农药、汽油、柴油)在运输途中突发泄漏、爆炸、燃烧，挥发到空气中或泄入水体。最大的危害是当危险品运输车辆出现撞车、翻车，使运送的这些固态危险品及液态危险品的泄漏而污染土壤或水质，威胁沿线附近人民群众的生命安全和水体和水生生物环境安全。在严格采取各项风险防范应急措施的情况下，本项目的建设所带来的环境风险可得到控制，环境风险影响程度可接受，从环保的角度而言是可以接受的。</w:t>
            </w:r>
          </w:p>
        </w:tc>
      </w:tr>
      <w:tr w14:paraId="43398F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1" w:hRule="atLeast"/>
          <w:jc w:val="center"/>
        </w:trPr>
        <w:tc>
          <w:tcPr>
            <w:tcW w:w="233" w:type="pct"/>
            <w:vAlign w:val="center"/>
          </w:tcPr>
          <w:p w14:paraId="18E7D9A8">
            <w:pPr>
              <w:pStyle w:val="30"/>
              <w:adjustRightInd w:val="0"/>
              <w:snapToGrid w:val="0"/>
              <w:spacing w:before="0" w:beforeAutospacing="0" w:after="0" w:afterAutospacing="0"/>
              <w:jc w:val="center"/>
              <w:rPr>
                <w:rFonts w:hint="eastAsia" w:cs="宋体"/>
                <w:bCs/>
                <w:kern w:val="2"/>
                <w:sz w:val="21"/>
                <w:szCs w:val="21"/>
              </w:rPr>
            </w:pPr>
            <w:r>
              <w:rPr>
                <w:rFonts w:hint="eastAsia" w:cs="宋体"/>
                <w:bCs/>
                <w:kern w:val="2"/>
                <w:sz w:val="21"/>
                <w:szCs w:val="21"/>
              </w:rPr>
              <w:t>选址选线环境合理性分析</w:t>
            </w:r>
          </w:p>
        </w:tc>
        <w:tc>
          <w:tcPr>
            <w:tcW w:w="4767" w:type="pct"/>
          </w:tcPr>
          <w:p w14:paraId="204836B4">
            <w:pPr>
              <w:adjustRightInd w:val="0"/>
              <w:snapToGrid w:val="0"/>
              <w:spacing w:line="500" w:lineRule="exact"/>
              <w:ind w:firstLine="420" w:firstLineChars="200"/>
              <w:jc w:val="left"/>
              <w:rPr>
                <w:szCs w:val="21"/>
              </w:rPr>
            </w:pPr>
            <w:bookmarkStart w:id="55" w:name="_Hlk118023645"/>
            <w:r>
              <w:rPr>
                <w:rFonts w:hint="eastAsia"/>
                <w:szCs w:val="21"/>
              </w:rPr>
              <w:t>博罗县城体育大道东延段建设工程(K0+878.712~K1+210.007)是博罗县重要的基础设施工程之一，本工程设计终点顺接白石渠中桥(K1+210.007)，本工程的建设将直接沟通惠城区快速路网，将进一步完善博罗县对外交通通道，并与惠城区形成经济辐射，对带动区域经济发展起着巨大的推动作用，对加快博罗县城市基础设施的建设、改善区域居民生活环境，乃至推动城市经济发展具有重大意义，且有利于推动博罗县社会经济的发展，从而带动全镇经济的增长。另本工程与惠霞高速公路(原惠州湾高速公路)体育大道立交沟通，本工程建成能后对该区域博罗、惠城两个县区的经济辐射，经济发展起着巨大的推动作用。</w:t>
            </w:r>
          </w:p>
          <w:p w14:paraId="5F8ACC84">
            <w:pPr>
              <w:adjustRightInd w:val="0"/>
              <w:snapToGrid w:val="0"/>
              <w:spacing w:line="500" w:lineRule="exact"/>
              <w:ind w:firstLine="420" w:firstLineChars="200"/>
              <w:jc w:val="left"/>
              <w:rPr>
                <w:kern w:val="0"/>
                <w:szCs w:val="21"/>
              </w:rPr>
            </w:pPr>
            <w:r>
              <w:rPr>
                <w:kern w:val="0"/>
                <w:szCs w:val="21"/>
              </w:rPr>
              <w:t>根据《</w:t>
            </w:r>
            <w:r>
              <w:rPr>
                <w:rFonts w:hint="eastAsia"/>
                <w:kern w:val="0"/>
                <w:szCs w:val="21"/>
              </w:rPr>
              <w:t>博罗县城东区控制性详细规划</w:t>
            </w:r>
            <w:r>
              <w:rPr>
                <w:kern w:val="0"/>
                <w:szCs w:val="21"/>
              </w:rPr>
              <w:t>》（</w:t>
            </w:r>
            <w:r>
              <w:rPr>
                <w:b/>
                <w:bCs/>
                <w:kern w:val="0"/>
                <w:szCs w:val="21"/>
              </w:rPr>
              <w:t>见附图1</w:t>
            </w:r>
            <w:r>
              <w:rPr>
                <w:rFonts w:hint="eastAsia"/>
                <w:b/>
                <w:bCs/>
                <w:kern w:val="0"/>
                <w:szCs w:val="21"/>
              </w:rPr>
              <w:t>9</w:t>
            </w:r>
            <w:r>
              <w:rPr>
                <w:kern w:val="0"/>
                <w:szCs w:val="21"/>
              </w:rPr>
              <w:t>）可知，项目用地为城市道路</w:t>
            </w:r>
            <w:r>
              <w:rPr>
                <w:rStyle w:val="41"/>
                <w:kern w:val="0"/>
                <w:szCs w:val="21"/>
              </w:rPr>
              <w:t>，</w:t>
            </w:r>
            <w:r>
              <w:rPr>
                <w:rFonts w:hint="eastAsia"/>
                <w:kern w:val="0"/>
                <w:szCs w:val="21"/>
              </w:rPr>
              <w:t>道路沿线以农林用地为主</w:t>
            </w:r>
            <w:r>
              <w:rPr>
                <w:kern w:val="0"/>
                <w:szCs w:val="21"/>
              </w:rPr>
              <w:t>，</w:t>
            </w:r>
            <w:r>
              <w:rPr>
                <w:rStyle w:val="41"/>
                <w:kern w:val="0"/>
                <w:szCs w:val="21"/>
              </w:rPr>
              <w:t>不涉及基本农田保护区、</w:t>
            </w:r>
            <w:r>
              <w:rPr>
                <w:rStyle w:val="41"/>
                <w:rFonts w:hint="eastAsia"/>
                <w:kern w:val="0"/>
                <w:szCs w:val="21"/>
              </w:rPr>
              <w:t>生态保护红线</w:t>
            </w:r>
            <w:r>
              <w:rPr>
                <w:rStyle w:val="41"/>
                <w:kern w:val="0"/>
                <w:szCs w:val="21"/>
              </w:rPr>
              <w:t>等需要特别保护的区域</w:t>
            </w:r>
            <w:r>
              <w:rPr>
                <w:kern w:val="0"/>
                <w:szCs w:val="21"/>
              </w:rPr>
              <w:t>。项目</w:t>
            </w:r>
            <w:r>
              <w:rPr>
                <w:bCs/>
                <w:iCs/>
                <w:szCs w:val="21"/>
              </w:rPr>
              <w:t>建设与</w:t>
            </w:r>
            <w:r>
              <w:rPr>
                <w:bCs/>
                <w:szCs w:val="21"/>
              </w:rPr>
              <w:t>《惠州市人民政府关于印发&lt;惠州市“三线一单”生态环境分区管控方案&gt;的通知》（惠府〔2021〕23号）</w:t>
            </w:r>
            <w:r>
              <w:rPr>
                <w:bCs/>
                <w:iCs/>
                <w:szCs w:val="21"/>
              </w:rPr>
              <w:t>不冲突</w:t>
            </w:r>
            <w:r>
              <w:rPr>
                <w:kern w:val="0"/>
                <w:szCs w:val="21"/>
              </w:rPr>
              <w:t>。</w:t>
            </w:r>
          </w:p>
          <w:p w14:paraId="24667475">
            <w:pPr>
              <w:adjustRightInd w:val="0"/>
              <w:snapToGrid w:val="0"/>
              <w:spacing w:line="500" w:lineRule="exact"/>
              <w:ind w:firstLine="420" w:firstLineChars="200"/>
              <w:jc w:val="left"/>
              <w:rPr>
                <w:bCs/>
                <w:szCs w:val="21"/>
              </w:rPr>
            </w:pPr>
            <w:r>
              <w:rPr>
                <w:rFonts w:hint="eastAsia"/>
                <w:bCs/>
                <w:szCs w:val="21"/>
              </w:rPr>
              <w:t>环境合理性分析：项目建设对周围环境会产生一定的影响，为了把生态环境的影响降到最小，本项目统筹安排整个项目，从工程设计阶段开始，到工程结束的运营期，采取必要的保护措施，防患于未然。如：在设计阶段就要充分考虑工程线路和用地的优化。建设项目已取得广东省林业局出具的《使用林地审核同意书》（粤(惠)林许准(2024)9号），取得了博罗县水利局出具的《博罗县城体育大道东延段建设工程(K0+878.712~ K1+210.007)水土保持方案准予许可决定书》（博水(2024)388号），设计水平年水土流失防治目标为:水土流失治理度 98%，土壤流失控制比1.0，渣土防护率99%，表土保护率92%，林草植被恢复率98%，林草覆盖率27%。严格制定施工规范，采取“减缓、补偿”的相关生态环保措施。在运营期的道路绿化和景观设计，充分考虑区域生态系统的需要，增加动植物多样性，使区域内的生态系统服务功能不降低。通过一系列的保护措施和后期补偿措施后，能控制对周边的影响降到可接受范围，不会导致周围环境质量下降和生态功能的损害。</w:t>
            </w:r>
          </w:p>
          <w:p w14:paraId="6FB8A271">
            <w:pPr>
              <w:adjustRightInd w:val="0"/>
              <w:snapToGrid w:val="0"/>
              <w:spacing w:line="500" w:lineRule="exact"/>
              <w:ind w:firstLine="420" w:firstLineChars="200"/>
              <w:jc w:val="left"/>
              <w:rPr>
                <w:bCs/>
                <w:szCs w:val="21"/>
              </w:rPr>
            </w:pPr>
            <w:r>
              <w:rPr>
                <w:rFonts w:hint="eastAsia"/>
                <w:bCs/>
                <w:szCs w:val="21"/>
              </w:rPr>
              <w:t>因此，本项目选址选线环境基本合理。</w:t>
            </w:r>
            <w:bookmarkEnd w:id="55"/>
          </w:p>
        </w:tc>
      </w:tr>
    </w:tbl>
    <w:p w14:paraId="5BDD2E35">
      <w:pPr>
        <w:pStyle w:val="30"/>
        <w:jc w:val="center"/>
        <w:rPr>
          <w:rFonts w:hint="eastAsia" w:ascii="黑体" w:hAnsi="黑体" w:eastAsia="黑体"/>
          <w:snapToGrid w:val="0"/>
          <w:sz w:val="36"/>
          <w:szCs w:val="36"/>
        </w:rPr>
        <w:sectPr>
          <w:pgSz w:w="11906" w:h="16838"/>
          <w:pgMar w:top="720" w:right="720" w:bottom="720" w:left="720" w:header="851" w:footer="567" w:gutter="0"/>
          <w:cols w:space="425" w:num="1"/>
          <w:docGrid w:linePitch="312" w:charSpace="0"/>
        </w:sectPr>
      </w:pPr>
    </w:p>
    <w:p w14:paraId="208DBCC8">
      <w:pPr>
        <w:pStyle w:val="30"/>
        <w:jc w:val="center"/>
        <w:outlineLvl w:val="0"/>
        <w:rPr>
          <w:rFonts w:hint="eastAsia" w:ascii="黑体" w:hAnsi="黑体" w:eastAsia="黑体"/>
          <w:snapToGrid w:val="0"/>
          <w:sz w:val="30"/>
          <w:szCs w:val="30"/>
        </w:rPr>
      </w:pPr>
      <w:bookmarkStart w:id="56" w:name="_Toc187243660"/>
      <w:bookmarkStart w:id="57" w:name="_Toc191907547"/>
      <w:bookmarkStart w:id="58" w:name="_Toc2267"/>
      <w:bookmarkStart w:id="59" w:name="_Toc185523897"/>
      <w:bookmarkStart w:id="60" w:name="_Toc185524005"/>
      <w:r>
        <w:rPr>
          <w:rFonts w:hint="eastAsia" w:ascii="黑体" w:hAnsi="黑体" w:eastAsia="黑体"/>
          <w:snapToGrid w:val="0"/>
          <w:sz w:val="30"/>
          <w:szCs w:val="30"/>
        </w:rPr>
        <w:t>五、主要生态环境保护措施</w:t>
      </w:r>
      <w:bookmarkEnd w:id="56"/>
      <w:bookmarkEnd w:id="57"/>
      <w:bookmarkEnd w:id="58"/>
      <w:bookmarkEnd w:id="59"/>
      <w:bookmarkEnd w:id="60"/>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9736"/>
      </w:tblGrid>
      <w:tr w14:paraId="5D4EED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2" w:hRule="atLeast"/>
          <w:jc w:val="center"/>
        </w:trPr>
        <w:tc>
          <w:tcPr>
            <w:tcW w:w="409" w:type="pct"/>
            <w:tcMar>
              <w:left w:w="28" w:type="dxa"/>
              <w:right w:w="28" w:type="dxa"/>
            </w:tcMar>
            <w:vAlign w:val="center"/>
          </w:tcPr>
          <w:p w14:paraId="6F95B7A6">
            <w:pPr>
              <w:adjustRightInd w:val="0"/>
              <w:snapToGrid w:val="0"/>
              <w:jc w:val="center"/>
              <w:rPr>
                <w:rFonts w:hint="eastAsia" w:ascii="宋体" w:hAnsi="宋体"/>
                <w:bCs/>
                <w:szCs w:val="21"/>
              </w:rPr>
            </w:pPr>
            <w:r>
              <w:rPr>
                <w:rFonts w:hint="eastAsia" w:ascii="宋体" w:hAnsi="宋体" w:cs="宋体"/>
                <w:bCs/>
                <w:spacing w:val="10"/>
                <w:szCs w:val="21"/>
              </w:rPr>
              <w:t>施工期生态环境保护措施</w:t>
            </w:r>
          </w:p>
        </w:tc>
        <w:tc>
          <w:tcPr>
            <w:tcW w:w="4591" w:type="pct"/>
          </w:tcPr>
          <w:p w14:paraId="7020476F">
            <w:pPr>
              <w:adjustRightInd w:val="0"/>
              <w:snapToGrid w:val="0"/>
              <w:spacing w:line="500" w:lineRule="auto"/>
              <w:ind w:firstLine="422" w:firstLineChars="200"/>
              <w:jc w:val="left"/>
              <w:rPr>
                <w:b/>
                <w:szCs w:val="21"/>
              </w:rPr>
            </w:pPr>
            <w:r>
              <w:rPr>
                <w:rFonts w:hint="eastAsia"/>
                <w:b/>
                <w:szCs w:val="21"/>
              </w:rPr>
              <w:t>1</w:t>
            </w:r>
            <w:r>
              <w:rPr>
                <w:b/>
                <w:szCs w:val="21"/>
              </w:rPr>
              <w:t>、施工期生态环境保护措施</w:t>
            </w:r>
          </w:p>
          <w:p w14:paraId="72D94379">
            <w:pPr>
              <w:adjustRightInd w:val="0"/>
              <w:snapToGrid w:val="0"/>
              <w:spacing w:line="500" w:lineRule="auto"/>
              <w:ind w:firstLine="422" w:firstLineChars="200"/>
              <w:jc w:val="left"/>
              <w:rPr>
                <w:b/>
                <w:bCs/>
                <w:szCs w:val="21"/>
              </w:rPr>
            </w:pPr>
            <w:r>
              <w:rPr>
                <w:rFonts w:hint="eastAsia"/>
                <w:b/>
                <w:bCs/>
                <w:szCs w:val="21"/>
              </w:rPr>
              <w:t>（1）</w:t>
            </w:r>
            <w:r>
              <w:rPr>
                <w:b/>
                <w:bCs/>
                <w:szCs w:val="21"/>
              </w:rPr>
              <w:t>施工过程中植物的保护</w:t>
            </w:r>
          </w:p>
          <w:p w14:paraId="3F7EEF4B">
            <w:pPr>
              <w:adjustRightInd w:val="0"/>
              <w:snapToGrid w:val="0"/>
              <w:spacing w:line="500" w:lineRule="auto"/>
              <w:ind w:firstLine="420" w:firstLineChars="200"/>
              <w:jc w:val="left"/>
              <w:rPr>
                <w:szCs w:val="21"/>
              </w:rPr>
            </w:pPr>
            <w:r>
              <w:rPr>
                <w:rFonts w:hint="eastAsia"/>
                <w:szCs w:val="21"/>
              </w:rPr>
              <w:t>①</w:t>
            </w:r>
            <w:r>
              <w:rPr>
                <w:szCs w:val="21"/>
              </w:rPr>
              <w:t>各种施工活动应严格控制在施工区域内，以免造成土壤不必要的破坏，将建设对现有周边植被的影响控制在最低限度</w:t>
            </w:r>
            <w:r>
              <w:rPr>
                <w:rFonts w:hint="eastAsia"/>
                <w:szCs w:val="21"/>
              </w:rPr>
              <w:t>；</w:t>
            </w:r>
          </w:p>
          <w:p w14:paraId="37471ABA">
            <w:pPr>
              <w:adjustRightInd w:val="0"/>
              <w:snapToGrid w:val="0"/>
              <w:spacing w:line="500" w:lineRule="auto"/>
              <w:ind w:firstLine="420" w:firstLineChars="200"/>
              <w:jc w:val="left"/>
              <w:rPr>
                <w:szCs w:val="21"/>
              </w:rPr>
            </w:pPr>
            <w:r>
              <w:rPr>
                <w:rFonts w:hint="eastAsia"/>
                <w:szCs w:val="21"/>
              </w:rPr>
              <w:t>②</w:t>
            </w:r>
            <w:r>
              <w:rPr>
                <w:szCs w:val="21"/>
              </w:rPr>
              <w:t>施工人员在建设期间，要规范人为施工和机械施工的方式，精确细致，不能对占地红线以外的植被造成破坏</w:t>
            </w:r>
            <w:r>
              <w:rPr>
                <w:rFonts w:hint="eastAsia"/>
                <w:szCs w:val="21"/>
              </w:rPr>
              <w:t>；</w:t>
            </w:r>
          </w:p>
          <w:p w14:paraId="3AFB7F73">
            <w:pPr>
              <w:adjustRightInd w:val="0"/>
              <w:snapToGrid w:val="0"/>
              <w:spacing w:line="500" w:lineRule="auto"/>
              <w:ind w:firstLine="420" w:firstLineChars="200"/>
              <w:jc w:val="left"/>
              <w:rPr>
                <w:szCs w:val="21"/>
              </w:rPr>
            </w:pPr>
            <w:r>
              <w:rPr>
                <w:rFonts w:hint="eastAsia"/>
                <w:szCs w:val="21"/>
              </w:rPr>
              <w:t>③</w:t>
            </w:r>
            <w:r>
              <w:rPr>
                <w:szCs w:val="21"/>
              </w:rPr>
              <w:t>相关部门和管理单位要建立防火、火警警报管理制度，并明确细则，强调各方责任，作好施工人员用火管理，严禁一切随意用火，避免火灾发生，对</w:t>
            </w:r>
            <w:r>
              <w:rPr>
                <w:rFonts w:hint="eastAsia"/>
                <w:szCs w:val="21"/>
              </w:rPr>
              <w:t>区</w:t>
            </w:r>
            <w:r>
              <w:rPr>
                <w:szCs w:val="21"/>
              </w:rPr>
              <w:t>内动植物造成更大的破坏</w:t>
            </w:r>
            <w:r>
              <w:rPr>
                <w:rFonts w:hint="eastAsia"/>
                <w:szCs w:val="21"/>
              </w:rPr>
              <w:t>；</w:t>
            </w:r>
          </w:p>
          <w:p w14:paraId="66310864">
            <w:pPr>
              <w:adjustRightInd w:val="0"/>
              <w:snapToGrid w:val="0"/>
              <w:spacing w:line="500" w:lineRule="auto"/>
              <w:ind w:firstLine="420" w:firstLineChars="200"/>
              <w:jc w:val="left"/>
              <w:rPr>
                <w:szCs w:val="21"/>
              </w:rPr>
            </w:pPr>
            <w:r>
              <w:rPr>
                <w:rFonts w:hint="eastAsia"/>
                <w:szCs w:val="21"/>
              </w:rPr>
              <w:t>④</w:t>
            </w:r>
            <w:r>
              <w:rPr>
                <w:szCs w:val="21"/>
              </w:rPr>
              <w:t>加强宣传力度，提高植物保护意识</w:t>
            </w:r>
            <w:r>
              <w:rPr>
                <w:rFonts w:hint="eastAsia"/>
                <w:szCs w:val="21"/>
              </w:rPr>
              <w:t>；</w:t>
            </w:r>
            <w:r>
              <w:rPr>
                <w:szCs w:val="21"/>
              </w:rPr>
              <w:t>大力宣传等相关法律法规，提高施工和管理人员的保护意识，使其在工程建设期自觉保护区域的植物。</w:t>
            </w:r>
          </w:p>
          <w:p w14:paraId="25BDBC9D">
            <w:pPr>
              <w:adjustRightInd w:val="0"/>
              <w:snapToGrid w:val="0"/>
              <w:spacing w:line="500" w:lineRule="auto"/>
              <w:ind w:firstLine="422" w:firstLineChars="200"/>
              <w:jc w:val="left"/>
              <w:rPr>
                <w:b/>
                <w:bCs/>
                <w:szCs w:val="21"/>
              </w:rPr>
            </w:pPr>
            <w:r>
              <w:rPr>
                <w:rFonts w:hint="eastAsia"/>
                <w:b/>
                <w:bCs/>
                <w:szCs w:val="21"/>
              </w:rPr>
              <w:t>（2）</w:t>
            </w:r>
            <w:r>
              <w:rPr>
                <w:b/>
                <w:bCs/>
                <w:szCs w:val="21"/>
              </w:rPr>
              <w:t>施工过程中动物的保护</w:t>
            </w:r>
          </w:p>
          <w:p w14:paraId="6A8F20E3">
            <w:pPr>
              <w:adjustRightInd w:val="0"/>
              <w:snapToGrid w:val="0"/>
              <w:spacing w:line="500" w:lineRule="auto"/>
              <w:ind w:firstLine="420" w:firstLineChars="200"/>
              <w:jc w:val="left"/>
              <w:rPr>
                <w:szCs w:val="21"/>
              </w:rPr>
            </w:pPr>
            <w:r>
              <w:rPr>
                <w:rFonts w:hint="eastAsia"/>
                <w:szCs w:val="21"/>
              </w:rPr>
              <w:t>①</w:t>
            </w:r>
            <w:r>
              <w:rPr>
                <w:szCs w:val="21"/>
              </w:rPr>
              <w:t>为了减少工程施工对动物的惊扰，尽量避开早晨、黄昏和正午时段使用强噪声施工机械</w:t>
            </w:r>
            <w:r>
              <w:rPr>
                <w:rFonts w:hint="eastAsia"/>
                <w:szCs w:val="21"/>
              </w:rPr>
              <w:t>；</w:t>
            </w:r>
          </w:p>
          <w:p w14:paraId="6448A8D1">
            <w:pPr>
              <w:adjustRightInd w:val="0"/>
              <w:snapToGrid w:val="0"/>
              <w:spacing w:line="500" w:lineRule="auto"/>
              <w:ind w:firstLine="420" w:firstLineChars="200"/>
              <w:jc w:val="left"/>
              <w:rPr>
                <w:szCs w:val="21"/>
              </w:rPr>
            </w:pPr>
            <w:r>
              <w:rPr>
                <w:rFonts w:hint="eastAsia"/>
                <w:szCs w:val="21"/>
              </w:rPr>
              <w:t>②</w:t>
            </w:r>
            <w:r>
              <w:rPr>
                <w:szCs w:val="21"/>
              </w:rPr>
              <w:t>针对两栖类与爬行类动物，防止因施工造成的水源污染、水质改变和</w:t>
            </w:r>
            <w:r>
              <w:rPr>
                <w:rFonts w:hint="eastAsia"/>
                <w:szCs w:val="21"/>
              </w:rPr>
              <w:t>土</w:t>
            </w:r>
            <w:r>
              <w:rPr>
                <w:szCs w:val="21"/>
              </w:rPr>
              <w:t>壤污染，尽量减少占地区内的植被破坏，尽可能保护好爬行动物的栖息</w:t>
            </w:r>
            <w:r>
              <w:rPr>
                <w:rFonts w:hint="eastAsia"/>
                <w:szCs w:val="21"/>
              </w:rPr>
              <w:t>环境；</w:t>
            </w:r>
          </w:p>
          <w:p w14:paraId="15C5DB25">
            <w:pPr>
              <w:adjustRightInd w:val="0"/>
              <w:snapToGrid w:val="0"/>
              <w:spacing w:line="500" w:lineRule="auto"/>
              <w:ind w:firstLine="420" w:firstLineChars="200"/>
              <w:jc w:val="left"/>
              <w:rPr>
                <w:szCs w:val="21"/>
              </w:rPr>
            </w:pPr>
            <w:r>
              <w:rPr>
                <w:rFonts w:hint="eastAsia"/>
                <w:szCs w:val="21"/>
              </w:rPr>
              <w:t>③</w:t>
            </w:r>
            <w:r>
              <w:rPr>
                <w:szCs w:val="21"/>
              </w:rPr>
              <w:t>针对鸟类，施工的季节避开鸟类的繁殖季节(一般为4~7月)，避开鸟类等飞禽的迁徙通道，并加强施工人员保护鸟类的宣传教育</w:t>
            </w:r>
            <w:r>
              <w:rPr>
                <w:rFonts w:hint="eastAsia"/>
                <w:szCs w:val="21"/>
              </w:rPr>
              <w:t>；</w:t>
            </w:r>
          </w:p>
          <w:p w14:paraId="675FF31B">
            <w:pPr>
              <w:adjustRightInd w:val="0"/>
              <w:snapToGrid w:val="0"/>
              <w:spacing w:line="500" w:lineRule="auto"/>
              <w:ind w:firstLine="420" w:firstLineChars="200"/>
              <w:jc w:val="left"/>
              <w:rPr>
                <w:szCs w:val="21"/>
              </w:rPr>
            </w:pPr>
            <w:r>
              <w:rPr>
                <w:rFonts w:hint="eastAsia"/>
                <w:szCs w:val="21"/>
              </w:rPr>
              <w:t>④</w:t>
            </w:r>
            <w:r>
              <w:rPr>
                <w:szCs w:val="21"/>
              </w:rPr>
              <w:t>针对兽类，严禁猎捕，对</w:t>
            </w:r>
            <w:r>
              <w:rPr>
                <w:rFonts w:hint="eastAsia"/>
                <w:szCs w:val="21"/>
              </w:rPr>
              <w:t>施工固体</w:t>
            </w:r>
            <w:r>
              <w:rPr>
                <w:szCs w:val="21"/>
              </w:rPr>
              <w:t>废物和施工人员的生活垃圾立即处理，避免生活垃圾为鼠类等疫源性兽类提供生活环境，避免小型兽类的种群爆发。</w:t>
            </w:r>
          </w:p>
          <w:p w14:paraId="745AA7E9">
            <w:pPr>
              <w:adjustRightInd w:val="0"/>
              <w:snapToGrid w:val="0"/>
              <w:spacing w:line="500" w:lineRule="auto"/>
              <w:ind w:firstLine="422" w:firstLineChars="200"/>
              <w:jc w:val="left"/>
              <w:rPr>
                <w:b/>
                <w:bCs/>
                <w:szCs w:val="21"/>
              </w:rPr>
            </w:pPr>
            <w:r>
              <w:rPr>
                <w:rFonts w:hint="eastAsia"/>
                <w:b/>
                <w:bCs/>
                <w:szCs w:val="21"/>
              </w:rPr>
              <w:t>（3）</w:t>
            </w:r>
            <w:r>
              <w:rPr>
                <w:b/>
                <w:bCs/>
                <w:szCs w:val="21"/>
              </w:rPr>
              <w:t>施工过程中水土保持措施</w:t>
            </w:r>
          </w:p>
          <w:p w14:paraId="34D8FC37">
            <w:pPr>
              <w:adjustRightInd w:val="0"/>
              <w:snapToGrid w:val="0"/>
              <w:spacing w:line="500" w:lineRule="auto"/>
              <w:ind w:firstLine="420" w:firstLineChars="200"/>
              <w:jc w:val="left"/>
              <w:rPr>
                <w:szCs w:val="21"/>
              </w:rPr>
            </w:pPr>
            <w:r>
              <w:rPr>
                <w:rFonts w:hint="eastAsia"/>
                <w:szCs w:val="21"/>
              </w:rPr>
              <w:t>①</w:t>
            </w:r>
            <w:r>
              <w:rPr>
                <w:szCs w:val="21"/>
              </w:rPr>
              <w:t>各种防护措施与主体工程同步实施，以预防下雨路面径流直接冲刷开挖面而造成水土流失。对裸土进行覆盖，可用沙袋或草席压住坡面进行暂时防护，以减少水土流失</w:t>
            </w:r>
            <w:r>
              <w:rPr>
                <w:rFonts w:hint="eastAsia"/>
                <w:szCs w:val="21"/>
              </w:rPr>
              <w:t>；</w:t>
            </w:r>
          </w:p>
          <w:p w14:paraId="0EB2E56C">
            <w:pPr>
              <w:adjustRightInd w:val="0"/>
              <w:snapToGrid w:val="0"/>
              <w:spacing w:line="500" w:lineRule="auto"/>
              <w:ind w:firstLine="420" w:firstLineChars="200"/>
              <w:jc w:val="left"/>
              <w:rPr>
                <w:szCs w:val="21"/>
              </w:rPr>
            </w:pPr>
            <w:r>
              <w:rPr>
                <w:rFonts w:hint="eastAsia"/>
                <w:szCs w:val="21"/>
              </w:rPr>
              <w:t>②</w:t>
            </w:r>
            <w:r>
              <w:rPr>
                <w:szCs w:val="21"/>
              </w:rPr>
              <w:t>施工单位应随时与气象部门联系，事先了解降雨时间和特点，以便采取适当的防护措施，暴雨时停止作业</w:t>
            </w:r>
            <w:r>
              <w:rPr>
                <w:rFonts w:hint="eastAsia"/>
                <w:szCs w:val="21"/>
              </w:rPr>
              <w:t>；</w:t>
            </w:r>
          </w:p>
          <w:p w14:paraId="0CE1D10F">
            <w:pPr>
              <w:adjustRightInd w:val="0"/>
              <w:snapToGrid w:val="0"/>
              <w:spacing w:line="500" w:lineRule="auto"/>
              <w:ind w:firstLine="420" w:firstLineChars="200"/>
              <w:jc w:val="left"/>
              <w:rPr>
                <w:szCs w:val="21"/>
              </w:rPr>
            </w:pPr>
            <w:r>
              <w:rPr>
                <w:rFonts w:hint="eastAsia"/>
                <w:szCs w:val="21"/>
              </w:rPr>
              <w:t>③</w:t>
            </w:r>
            <w:r>
              <w:rPr>
                <w:szCs w:val="21"/>
              </w:rPr>
              <w:t>为防止剥离的表层土被雨水冲刷产生流失，表层土堆存的外边坡脚采用上袋拦挡，坡面用草袋覆盖。</w:t>
            </w:r>
          </w:p>
          <w:p w14:paraId="6B19821F">
            <w:pPr>
              <w:adjustRightInd w:val="0"/>
              <w:snapToGrid w:val="0"/>
              <w:spacing w:line="500" w:lineRule="auto"/>
              <w:ind w:firstLine="422" w:firstLineChars="200"/>
              <w:jc w:val="left"/>
              <w:rPr>
                <w:b/>
                <w:szCs w:val="21"/>
              </w:rPr>
            </w:pPr>
            <w:r>
              <w:rPr>
                <w:rFonts w:hint="eastAsia"/>
                <w:b/>
                <w:szCs w:val="21"/>
              </w:rPr>
              <w:t>2</w:t>
            </w:r>
            <w:r>
              <w:rPr>
                <w:b/>
                <w:szCs w:val="21"/>
              </w:rPr>
              <w:t>、施工废气污染防治措施</w:t>
            </w:r>
          </w:p>
          <w:p w14:paraId="1124AF41">
            <w:pPr>
              <w:adjustRightInd w:val="0"/>
              <w:snapToGrid w:val="0"/>
              <w:spacing w:line="500" w:lineRule="auto"/>
              <w:ind w:firstLine="422" w:firstLineChars="200"/>
              <w:jc w:val="left"/>
              <w:rPr>
                <w:b/>
                <w:szCs w:val="21"/>
              </w:rPr>
            </w:pPr>
            <w:r>
              <w:rPr>
                <w:rFonts w:hint="eastAsia"/>
                <w:b/>
                <w:szCs w:val="21"/>
              </w:rPr>
              <w:t>（1）施工扬尘</w:t>
            </w:r>
          </w:p>
          <w:p w14:paraId="4F119951">
            <w:pPr>
              <w:adjustRightInd w:val="0"/>
              <w:snapToGrid w:val="0"/>
              <w:spacing w:line="500" w:lineRule="auto"/>
              <w:ind w:firstLine="420" w:firstLineChars="200"/>
              <w:jc w:val="left"/>
              <w:rPr>
                <w:bCs/>
                <w:szCs w:val="21"/>
              </w:rPr>
            </w:pPr>
            <w:r>
              <w:rPr>
                <w:rFonts w:hint="eastAsia"/>
                <w:bCs/>
                <w:szCs w:val="21"/>
              </w:rPr>
              <w:t>1）场地清扫</w:t>
            </w:r>
          </w:p>
          <w:p w14:paraId="5095EB50">
            <w:pPr>
              <w:adjustRightInd w:val="0"/>
              <w:snapToGrid w:val="0"/>
              <w:spacing w:line="500" w:lineRule="auto"/>
              <w:ind w:firstLine="420" w:firstLineChars="200"/>
              <w:jc w:val="left"/>
              <w:rPr>
                <w:bCs/>
                <w:szCs w:val="21"/>
              </w:rPr>
            </w:pPr>
            <w:r>
              <w:rPr>
                <w:rFonts w:hint="eastAsia"/>
                <w:bCs/>
                <w:szCs w:val="21"/>
              </w:rPr>
              <w:t>本工程施工工地应配备卫生管理人员，每天对施工场地等处的浮土、积灰进行清理，现场清理过程应配合洒水等抑尘措施进行，避免加重施工工地扬尘污染。</w:t>
            </w:r>
          </w:p>
          <w:p w14:paraId="1093C17F">
            <w:pPr>
              <w:adjustRightInd w:val="0"/>
              <w:snapToGrid w:val="0"/>
              <w:spacing w:line="500" w:lineRule="auto"/>
              <w:ind w:firstLine="420" w:firstLineChars="200"/>
              <w:jc w:val="left"/>
              <w:rPr>
                <w:bCs/>
                <w:szCs w:val="21"/>
              </w:rPr>
            </w:pPr>
            <w:r>
              <w:rPr>
                <w:bCs/>
                <w:szCs w:val="21"/>
              </w:rPr>
              <w:t>2</w:t>
            </w:r>
            <w:r>
              <w:rPr>
                <w:rFonts w:hint="eastAsia"/>
                <w:bCs/>
                <w:szCs w:val="21"/>
              </w:rPr>
              <w:t>）标准化设置施工围挡</w:t>
            </w:r>
          </w:p>
          <w:p w14:paraId="3EF5EDB0">
            <w:pPr>
              <w:adjustRightInd w:val="0"/>
              <w:snapToGrid w:val="0"/>
              <w:spacing w:line="500" w:lineRule="auto"/>
              <w:ind w:firstLine="420" w:firstLineChars="200"/>
              <w:jc w:val="left"/>
              <w:rPr>
                <w:bCs/>
                <w:szCs w:val="21"/>
              </w:rPr>
            </w:pPr>
            <w:r>
              <w:rPr>
                <w:rFonts w:hint="eastAsia"/>
                <w:bCs/>
                <w:szCs w:val="21"/>
              </w:rPr>
              <w:t>①施工工地周围应设置连续、密闭的围挡，其高度不得低于2.5米；</w:t>
            </w:r>
          </w:p>
          <w:p w14:paraId="35690DC6">
            <w:pPr>
              <w:adjustRightInd w:val="0"/>
              <w:snapToGrid w:val="0"/>
              <w:spacing w:line="500" w:lineRule="auto"/>
              <w:ind w:firstLine="420" w:firstLineChars="200"/>
              <w:jc w:val="left"/>
              <w:rPr>
                <w:bCs/>
                <w:szCs w:val="21"/>
              </w:rPr>
            </w:pPr>
            <w:r>
              <w:rPr>
                <w:rFonts w:hint="eastAsia"/>
                <w:bCs/>
                <w:szCs w:val="21"/>
              </w:rPr>
              <w:t>②围挡应采用彩钢板、砌体等硬质材料，不得使用彩色编织布、竹笆或安全网等易变形材料；</w:t>
            </w:r>
          </w:p>
          <w:p w14:paraId="519E7CAF">
            <w:pPr>
              <w:adjustRightInd w:val="0"/>
              <w:snapToGrid w:val="0"/>
              <w:spacing w:line="500" w:lineRule="auto"/>
              <w:ind w:firstLine="420" w:firstLineChars="200"/>
              <w:jc w:val="left"/>
              <w:rPr>
                <w:bCs/>
                <w:szCs w:val="21"/>
              </w:rPr>
            </w:pPr>
            <w:r>
              <w:rPr>
                <w:rFonts w:hint="eastAsia"/>
                <w:bCs/>
                <w:szCs w:val="21"/>
              </w:rPr>
              <w:t>③围挡底端应设置防溢座，围挡之间以及围挡与防溢座之间无缝隙；</w:t>
            </w:r>
          </w:p>
          <w:p w14:paraId="5AAC8B1C">
            <w:pPr>
              <w:adjustRightInd w:val="0"/>
              <w:snapToGrid w:val="0"/>
              <w:spacing w:line="500" w:lineRule="auto"/>
              <w:ind w:firstLine="420" w:firstLineChars="200"/>
              <w:jc w:val="left"/>
              <w:rPr>
                <w:bCs/>
                <w:szCs w:val="21"/>
              </w:rPr>
            </w:pPr>
            <w:r>
              <w:rPr>
                <w:rFonts w:hint="eastAsia"/>
                <w:bCs/>
                <w:szCs w:val="21"/>
              </w:rPr>
              <w:t>④围挡落尘应当定期清洗，保证施工工地周边环境整洁；</w:t>
            </w:r>
          </w:p>
          <w:p w14:paraId="1EFEE4C3">
            <w:pPr>
              <w:adjustRightInd w:val="0"/>
              <w:snapToGrid w:val="0"/>
              <w:spacing w:line="500" w:lineRule="auto"/>
              <w:ind w:firstLine="420" w:firstLineChars="200"/>
              <w:jc w:val="left"/>
              <w:rPr>
                <w:bCs/>
                <w:szCs w:val="21"/>
              </w:rPr>
            </w:pPr>
            <w:r>
              <w:rPr>
                <w:rFonts w:hint="eastAsia"/>
                <w:bCs/>
                <w:szCs w:val="21"/>
              </w:rPr>
              <w:t>⑤对特殊地点无法设置围挡及防溢座的，应设置警示牌。</w:t>
            </w:r>
          </w:p>
          <w:p w14:paraId="111BEAC3">
            <w:pPr>
              <w:adjustRightInd w:val="0"/>
              <w:snapToGrid w:val="0"/>
              <w:spacing w:line="500" w:lineRule="auto"/>
              <w:ind w:firstLine="420" w:firstLineChars="200"/>
              <w:jc w:val="left"/>
              <w:rPr>
                <w:bCs/>
                <w:szCs w:val="21"/>
              </w:rPr>
            </w:pPr>
            <w:r>
              <w:rPr>
                <w:bCs/>
                <w:szCs w:val="21"/>
              </w:rPr>
              <w:t>3</w:t>
            </w:r>
            <w:r>
              <w:rPr>
                <w:rFonts w:hint="eastAsia"/>
                <w:bCs/>
                <w:szCs w:val="21"/>
              </w:rPr>
              <w:t>）物料妥善堆放和封闭覆盖</w:t>
            </w:r>
          </w:p>
          <w:p w14:paraId="1289C88A">
            <w:pPr>
              <w:adjustRightInd w:val="0"/>
              <w:snapToGrid w:val="0"/>
              <w:spacing w:line="500" w:lineRule="auto"/>
              <w:ind w:firstLine="420" w:firstLineChars="200"/>
              <w:jc w:val="left"/>
              <w:rPr>
                <w:bCs/>
                <w:szCs w:val="21"/>
              </w:rPr>
            </w:pPr>
            <w:r>
              <w:rPr>
                <w:rFonts w:hint="eastAsia"/>
                <w:bCs/>
                <w:szCs w:val="21"/>
              </w:rPr>
              <w:t>施工现场的建筑材料、构配件等应按规定要求分类、分规格堆放，整齐有序、稳定牢固，并根据物料的不同性质采取覆盖、密闭存放等防止物料飞散、起尘的措施。</w:t>
            </w:r>
          </w:p>
          <w:p w14:paraId="3579363C">
            <w:pPr>
              <w:adjustRightInd w:val="0"/>
              <w:snapToGrid w:val="0"/>
              <w:spacing w:line="500" w:lineRule="auto"/>
              <w:ind w:firstLine="420" w:firstLineChars="200"/>
              <w:jc w:val="left"/>
              <w:rPr>
                <w:bCs/>
                <w:szCs w:val="21"/>
              </w:rPr>
            </w:pPr>
            <w:r>
              <w:rPr>
                <w:rFonts w:hint="eastAsia"/>
                <w:bCs/>
                <w:szCs w:val="21"/>
              </w:rPr>
              <w:t>具体要求如下：</w:t>
            </w:r>
          </w:p>
          <w:p w14:paraId="6538A3A3">
            <w:pPr>
              <w:adjustRightInd w:val="0"/>
              <w:snapToGrid w:val="0"/>
              <w:spacing w:line="500" w:lineRule="auto"/>
              <w:ind w:firstLine="420" w:firstLineChars="200"/>
              <w:jc w:val="left"/>
              <w:rPr>
                <w:bCs/>
                <w:szCs w:val="21"/>
              </w:rPr>
            </w:pPr>
            <w:r>
              <w:rPr>
                <w:rFonts w:hint="eastAsia"/>
                <w:bCs/>
                <w:szCs w:val="21"/>
              </w:rPr>
              <w:t>①砂石等散体材料应集中、分类堆放，并采取覆盖或洒水防尘措施；</w:t>
            </w:r>
          </w:p>
          <w:p w14:paraId="05F75DDC">
            <w:pPr>
              <w:adjustRightInd w:val="0"/>
              <w:snapToGrid w:val="0"/>
              <w:spacing w:line="500" w:lineRule="auto"/>
              <w:ind w:firstLine="420" w:firstLineChars="200"/>
              <w:jc w:val="left"/>
              <w:rPr>
                <w:bCs/>
                <w:szCs w:val="21"/>
              </w:rPr>
            </w:pPr>
            <w:r>
              <w:rPr>
                <w:rFonts w:hint="eastAsia"/>
                <w:bCs/>
                <w:szCs w:val="21"/>
              </w:rPr>
              <w:t>②建筑垃圾等临时性的废弃物应及时清运出场，无法在48时内清运完毕的，应在施工工地内设置临时堆放场，采取洒水、覆盖防尘网、喷洒抑尘剂等防尘设施；</w:t>
            </w:r>
          </w:p>
          <w:p w14:paraId="2501F6B4">
            <w:pPr>
              <w:adjustRightInd w:val="0"/>
              <w:snapToGrid w:val="0"/>
              <w:spacing w:line="500" w:lineRule="auto"/>
              <w:ind w:firstLine="420" w:firstLineChars="200"/>
              <w:jc w:val="left"/>
              <w:rPr>
                <w:bCs/>
                <w:szCs w:val="21"/>
              </w:rPr>
            </w:pPr>
            <w:r>
              <w:rPr>
                <w:rFonts w:hint="eastAsia"/>
                <w:bCs/>
                <w:szCs w:val="21"/>
              </w:rPr>
              <w:t>③长期存在的废弃物堆场，应当设置高于废弃物堆的围墙 防尘网或者在废弃物堆场表面植被绿化；</w:t>
            </w:r>
          </w:p>
          <w:p w14:paraId="10C80710">
            <w:pPr>
              <w:adjustRightInd w:val="0"/>
              <w:snapToGrid w:val="0"/>
              <w:spacing w:line="500" w:lineRule="auto"/>
              <w:ind w:firstLine="420" w:firstLineChars="200"/>
              <w:jc w:val="left"/>
              <w:rPr>
                <w:bCs/>
                <w:szCs w:val="21"/>
              </w:rPr>
            </w:pPr>
            <w:r>
              <w:rPr>
                <w:rFonts w:hint="eastAsia"/>
                <w:bCs/>
                <w:szCs w:val="21"/>
              </w:rPr>
              <w:t>④对于装卸作业频繁物料及少量的搅拌、粉碎、筛分等作业活动，应在密闭条件下进行；严禁在施工现场围挡外堆放建筑材料和建筑垃圾。</w:t>
            </w:r>
          </w:p>
          <w:p w14:paraId="114AF0C9">
            <w:pPr>
              <w:adjustRightInd w:val="0"/>
              <w:snapToGrid w:val="0"/>
              <w:spacing w:line="500" w:lineRule="auto"/>
              <w:ind w:firstLine="420" w:firstLineChars="200"/>
              <w:jc w:val="left"/>
              <w:rPr>
                <w:bCs/>
                <w:szCs w:val="21"/>
              </w:rPr>
            </w:pPr>
            <w:r>
              <w:rPr>
                <w:bCs/>
                <w:szCs w:val="21"/>
              </w:rPr>
              <w:t>4</w:t>
            </w:r>
            <w:r>
              <w:rPr>
                <w:rFonts w:hint="eastAsia"/>
                <w:bCs/>
                <w:szCs w:val="21"/>
              </w:rPr>
              <w:t>）洒水降尘、湿法施工</w:t>
            </w:r>
          </w:p>
          <w:p w14:paraId="1549FE0C">
            <w:pPr>
              <w:adjustRightInd w:val="0"/>
              <w:snapToGrid w:val="0"/>
              <w:spacing w:line="500" w:lineRule="auto"/>
              <w:ind w:firstLine="420" w:firstLineChars="200"/>
              <w:jc w:val="left"/>
              <w:rPr>
                <w:bCs/>
                <w:szCs w:val="21"/>
              </w:rPr>
            </w:pPr>
            <w:r>
              <w:rPr>
                <w:rFonts w:hint="eastAsia"/>
                <w:bCs/>
                <w:szCs w:val="21"/>
              </w:rPr>
              <w:t>洒水降尘和湿法施工是现阶段施工工地扬尘污染防治工作中最简单和常用的措施，且抑尘效果良好。建议工程配备洒水车一部，对施工现场和进场道路进行定期洒水保持地面湿度，建议在无雨日的上下午各洒水一次，减少二次扬尘产生。</w:t>
            </w:r>
          </w:p>
          <w:p w14:paraId="48DDCCAF">
            <w:pPr>
              <w:adjustRightInd w:val="0"/>
              <w:snapToGrid w:val="0"/>
              <w:spacing w:line="500" w:lineRule="auto"/>
              <w:ind w:firstLine="420" w:firstLineChars="200"/>
              <w:jc w:val="left"/>
              <w:rPr>
                <w:bCs/>
                <w:szCs w:val="21"/>
              </w:rPr>
            </w:pPr>
            <w:r>
              <w:rPr>
                <w:rFonts w:hint="eastAsia"/>
                <w:bCs/>
                <w:szCs w:val="21"/>
              </w:rPr>
              <w:t>遇到干燥、易起尘的土方工程作业时，应在作业过程中辅以洒水压尘的措施，并做到随挖随外运，尽量减少开挖过程中土方裸露的时间。施工现场土方开挖后应尽快回填，不能及时回填的裸露场地应采取洒水和覆盖等防尘措施。在场地内堆放作回填使用的土方应集中堆放，同时，在土方未干化之前，经表面整平压实后，定时洒水维持湿润。</w:t>
            </w:r>
          </w:p>
          <w:p w14:paraId="0392B893">
            <w:pPr>
              <w:adjustRightInd w:val="0"/>
              <w:snapToGrid w:val="0"/>
              <w:spacing w:line="500" w:lineRule="auto"/>
              <w:ind w:firstLine="420" w:firstLineChars="200"/>
              <w:jc w:val="left"/>
              <w:rPr>
                <w:bCs/>
                <w:szCs w:val="21"/>
              </w:rPr>
            </w:pPr>
            <w:r>
              <w:rPr>
                <w:bCs/>
                <w:szCs w:val="21"/>
              </w:rPr>
              <w:t>5</w:t>
            </w:r>
            <w:r>
              <w:rPr>
                <w:rFonts w:hint="eastAsia"/>
                <w:bCs/>
                <w:szCs w:val="21"/>
              </w:rPr>
              <w:t>）大气环境敏感目标保护措施</w:t>
            </w:r>
          </w:p>
          <w:p w14:paraId="7FE29331">
            <w:pPr>
              <w:adjustRightInd w:val="0"/>
              <w:snapToGrid w:val="0"/>
              <w:spacing w:line="500" w:lineRule="auto"/>
              <w:ind w:firstLine="420" w:firstLineChars="200"/>
              <w:jc w:val="left"/>
              <w:rPr>
                <w:bCs/>
                <w:szCs w:val="21"/>
              </w:rPr>
            </w:pPr>
            <w:r>
              <w:rPr>
                <w:rFonts w:hint="eastAsia"/>
                <w:bCs/>
                <w:szCs w:val="21"/>
              </w:rPr>
              <w:t>运土车辆密闭运输，并选取合理运输路线，尽量远离居民区等敏感目标，设置围挡、保持路面清洁、限制施工车辆行驶速度、施工现场定时洒水抑尘等。</w:t>
            </w:r>
          </w:p>
          <w:p w14:paraId="1A1423D3">
            <w:pPr>
              <w:adjustRightInd w:val="0"/>
              <w:snapToGrid w:val="0"/>
              <w:spacing w:line="500" w:lineRule="auto"/>
              <w:ind w:firstLine="420" w:firstLineChars="200"/>
              <w:jc w:val="left"/>
              <w:rPr>
                <w:bCs/>
                <w:szCs w:val="21"/>
              </w:rPr>
            </w:pPr>
            <w:r>
              <w:rPr>
                <w:bCs/>
                <w:szCs w:val="21"/>
              </w:rPr>
              <w:t>6</w:t>
            </w:r>
            <w:r>
              <w:rPr>
                <w:rFonts w:hint="eastAsia"/>
                <w:bCs/>
                <w:szCs w:val="21"/>
              </w:rPr>
              <w:t>）为了进一步降低项目施工扬尘对外环境的影响，本评价要求施工现场必须根据《惠州市扬尘污染防治条例》(2021年1月1日起施行)采取以下防治扬尘污染的措施：</w:t>
            </w:r>
          </w:p>
          <w:p w14:paraId="79A87CE3">
            <w:pPr>
              <w:adjustRightInd w:val="0"/>
              <w:snapToGrid w:val="0"/>
              <w:spacing w:line="500" w:lineRule="auto"/>
              <w:ind w:firstLine="420" w:firstLineChars="200"/>
              <w:jc w:val="left"/>
              <w:rPr>
                <w:szCs w:val="21"/>
              </w:rPr>
            </w:pPr>
            <w:r>
              <w:rPr>
                <w:rFonts w:hint="eastAsia"/>
                <w:szCs w:val="21"/>
              </w:rPr>
              <w:t>①</w:t>
            </w:r>
            <w:r>
              <w:rPr>
                <w:szCs w:val="21"/>
              </w:rPr>
              <w:t>在施工期间对车辆行驶的路面实施洒水抑尘，对车辆实施清洁、冲洗轮胎。施工期间路面每天洒水4-5次，可使扬尘减少70%左右，可有效地控制施工扬尘，可将TSP的污染距离缩小到20-50m。</w:t>
            </w:r>
          </w:p>
          <w:p w14:paraId="421BAC8F">
            <w:pPr>
              <w:adjustRightInd w:val="0"/>
              <w:snapToGrid w:val="0"/>
              <w:spacing w:line="500" w:lineRule="auto"/>
              <w:ind w:firstLine="420" w:firstLineChars="200"/>
              <w:jc w:val="left"/>
              <w:rPr>
                <w:szCs w:val="21"/>
              </w:rPr>
            </w:pPr>
            <w:r>
              <w:rPr>
                <w:rFonts w:hint="eastAsia"/>
                <w:szCs w:val="21"/>
              </w:rPr>
              <w:t>②</w:t>
            </w:r>
            <w:r>
              <w:rPr>
                <w:szCs w:val="21"/>
              </w:rPr>
              <w:t>在施工场地，对施工车辆实行限速行驶，可减少扬尘，又可以保证施工安全；施工现场主要道路硬化，运输车辆出入施工场地均要对车辆轮胎进行清洗，避免车辆经过居民区时产生大量的扬尘或污泥。</w:t>
            </w:r>
          </w:p>
          <w:p w14:paraId="0F02B038">
            <w:pPr>
              <w:adjustRightInd w:val="0"/>
              <w:snapToGrid w:val="0"/>
              <w:spacing w:line="500" w:lineRule="auto"/>
              <w:ind w:firstLine="420" w:firstLineChars="200"/>
              <w:jc w:val="left"/>
              <w:rPr>
                <w:szCs w:val="21"/>
              </w:rPr>
            </w:pPr>
            <w:r>
              <w:rPr>
                <w:rFonts w:hint="eastAsia"/>
                <w:szCs w:val="21"/>
              </w:rPr>
              <w:t>③</w:t>
            </w:r>
            <w:r>
              <w:rPr>
                <w:szCs w:val="21"/>
              </w:rPr>
              <w:t>选择合理的运输路线和时间，建筑垃圾必须由专业渣土运输公司清运，运输车辆需用帆布覆盖，覆盖率要达到100%。</w:t>
            </w:r>
          </w:p>
          <w:p w14:paraId="1CB24777">
            <w:pPr>
              <w:adjustRightInd w:val="0"/>
              <w:snapToGrid w:val="0"/>
              <w:spacing w:line="500" w:lineRule="auto"/>
              <w:ind w:firstLine="420" w:firstLineChars="200"/>
              <w:jc w:val="left"/>
              <w:rPr>
                <w:szCs w:val="21"/>
              </w:rPr>
            </w:pPr>
            <w:r>
              <w:rPr>
                <w:rFonts w:hint="eastAsia"/>
                <w:szCs w:val="21"/>
              </w:rPr>
              <w:t>④</w:t>
            </w:r>
            <w:r>
              <w:rPr>
                <w:szCs w:val="21"/>
              </w:rPr>
              <w:t>建立健全的工地保洁制度，保持施工场地、进出道路以及施工车辆的清洁，可通过及时清扫，对施工车辆及时清洗，禁止超载，清运车辆覆盖帆布，防止洒落等，采取有效措施来保持场地路面的清洁，减少施工扬尘。</w:t>
            </w:r>
          </w:p>
          <w:p w14:paraId="409EC0B3">
            <w:pPr>
              <w:adjustRightInd w:val="0"/>
              <w:snapToGrid w:val="0"/>
              <w:spacing w:line="500" w:lineRule="auto"/>
              <w:ind w:firstLine="420" w:firstLineChars="200"/>
              <w:jc w:val="left"/>
              <w:rPr>
                <w:szCs w:val="21"/>
              </w:rPr>
            </w:pPr>
            <w:r>
              <w:rPr>
                <w:rFonts w:hint="eastAsia"/>
                <w:szCs w:val="21"/>
              </w:rPr>
              <w:t>⑤</w:t>
            </w:r>
            <w:r>
              <w:rPr>
                <w:szCs w:val="21"/>
              </w:rPr>
              <w:t>在工地内堆放工程材料、砂石、土方等易产生扬尘的物料，应当采取覆盖防尘网或者防尘布，配合定期喷洒粉尘抑制剂、洒水等措施，防止风蚀起尘。</w:t>
            </w:r>
          </w:p>
          <w:p w14:paraId="7D23D447">
            <w:pPr>
              <w:adjustRightInd w:val="0"/>
              <w:snapToGrid w:val="0"/>
              <w:spacing w:line="500" w:lineRule="auto"/>
              <w:ind w:firstLine="420" w:firstLineChars="200"/>
              <w:jc w:val="left"/>
              <w:rPr>
                <w:szCs w:val="21"/>
              </w:rPr>
            </w:pPr>
            <w:r>
              <w:rPr>
                <w:rFonts w:hint="eastAsia"/>
                <w:szCs w:val="21"/>
              </w:rPr>
              <w:t>⑥</w:t>
            </w:r>
            <w:r>
              <w:rPr>
                <w:szCs w:val="21"/>
              </w:rPr>
              <w:t>加强运输管理，如散货车不得超高超载，以免车辆颠簸物料洒出；坚持文明装卸，避免袋装水泥散包；运输车辆卸完货后应清洗车厢；工作车辆及运输车辆在离开施工区域时清洗轮胎，检查装车质量。</w:t>
            </w:r>
          </w:p>
          <w:p w14:paraId="7D4EC073">
            <w:pPr>
              <w:adjustRightInd w:val="0"/>
              <w:snapToGrid w:val="0"/>
              <w:spacing w:line="500" w:lineRule="auto"/>
              <w:ind w:firstLine="420" w:firstLineChars="200"/>
              <w:jc w:val="left"/>
              <w:rPr>
                <w:szCs w:val="21"/>
              </w:rPr>
            </w:pPr>
            <w:r>
              <w:rPr>
                <w:rFonts w:hint="eastAsia"/>
                <w:szCs w:val="21"/>
              </w:rPr>
              <w:t>⑦</w:t>
            </w:r>
            <w:r>
              <w:rPr>
                <w:szCs w:val="21"/>
              </w:rPr>
              <w:t>施工期间的临时堆放场所应加强防起尘、遮盖措施。</w:t>
            </w:r>
          </w:p>
          <w:p w14:paraId="2C846C33">
            <w:pPr>
              <w:adjustRightInd w:val="0"/>
              <w:snapToGrid w:val="0"/>
              <w:spacing w:line="500" w:lineRule="auto"/>
              <w:ind w:firstLine="420" w:firstLineChars="200"/>
              <w:jc w:val="left"/>
              <w:rPr>
                <w:szCs w:val="21"/>
              </w:rPr>
            </w:pPr>
            <w:r>
              <w:rPr>
                <w:rFonts w:hint="eastAsia"/>
                <w:szCs w:val="21"/>
              </w:rPr>
              <w:t>⑧</w:t>
            </w:r>
            <w:r>
              <w:rPr>
                <w:szCs w:val="21"/>
              </w:rPr>
              <w:t>避免在大风天气进行水泥、黄沙等的装卸作业，使用商品混凝土时不应露天堆放，如必须露天堆放，也要注意加盖防雨布，减少大风造成的施工扬尘。</w:t>
            </w:r>
          </w:p>
          <w:p w14:paraId="27317F7B">
            <w:pPr>
              <w:adjustRightInd w:val="0"/>
              <w:snapToGrid w:val="0"/>
              <w:spacing w:line="500" w:lineRule="auto"/>
              <w:ind w:firstLine="420" w:firstLineChars="200"/>
              <w:jc w:val="left"/>
              <w:rPr>
                <w:szCs w:val="21"/>
              </w:rPr>
            </w:pPr>
            <w:r>
              <w:rPr>
                <w:rFonts w:hint="eastAsia"/>
                <w:szCs w:val="21"/>
              </w:rPr>
              <w:t>⑨</w:t>
            </w:r>
            <w:r>
              <w:rPr>
                <w:szCs w:val="21"/>
              </w:rPr>
              <w:t>作业区应配备专人负责，做到科学管理、文明施工，在土石方阶段，尽可能提高工程进度，对作业区和临时土堆勤洒水，保持一定湿度，减小起尘量。</w:t>
            </w:r>
          </w:p>
          <w:p w14:paraId="72B2D36E">
            <w:pPr>
              <w:adjustRightInd w:val="0"/>
              <w:snapToGrid w:val="0"/>
              <w:spacing w:line="500" w:lineRule="auto"/>
              <w:ind w:firstLine="420" w:firstLineChars="200"/>
              <w:jc w:val="left"/>
              <w:rPr>
                <w:szCs w:val="21"/>
              </w:rPr>
            </w:pPr>
            <w:r>
              <w:rPr>
                <w:rFonts w:hint="eastAsia"/>
                <w:szCs w:val="21"/>
              </w:rPr>
              <w:t>⑩</w:t>
            </w:r>
            <w:r>
              <w:rPr>
                <w:szCs w:val="21"/>
              </w:rPr>
              <w:t>建(构)筑物拆除施工时，施工单位还应当在作业过程中采取洒水、喷雾等防尘措施，洒水、喷雾可能危及施工安全的除外。</w:t>
            </w:r>
          </w:p>
          <w:p w14:paraId="027AF369">
            <w:pPr>
              <w:adjustRightInd w:val="0"/>
              <w:snapToGrid w:val="0"/>
              <w:spacing w:line="500" w:lineRule="auto"/>
              <w:ind w:firstLine="420" w:firstLineChars="200"/>
              <w:jc w:val="left"/>
              <w:rPr>
                <w:szCs w:val="21"/>
              </w:rPr>
            </w:pPr>
            <w:r>
              <w:rPr>
                <w:szCs w:val="21"/>
              </w:rPr>
              <w:t>⑪</w:t>
            </w:r>
            <w:r>
              <w:rPr>
                <w:rFonts w:hint="eastAsia"/>
                <w:szCs w:val="21"/>
              </w:rPr>
              <w:t>路面开挖后未及时回填、硬化的，采取遮盖等措施。</w:t>
            </w:r>
          </w:p>
          <w:p w14:paraId="44178FE5">
            <w:pPr>
              <w:adjustRightInd w:val="0"/>
              <w:snapToGrid w:val="0"/>
              <w:spacing w:line="500" w:lineRule="auto"/>
              <w:ind w:firstLine="420" w:firstLineChars="200"/>
              <w:jc w:val="left"/>
              <w:rPr>
                <w:szCs w:val="21"/>
              </w:rPr>
            </w:pPr>
            <w:r>
              <w:rPr>
                <w:szCs w:val="21"/>
              </w:rPr>
              <w:t>经以上措施处理后，施工期产生的扬尘对大气环境以及周边的环境敏感点影响可大大降低。</w:t>
            </w:r>
          </w:p>
          <w:p w14:paraId="1BB64665">
            <w:pPr>
              <w:adjustRightInd w:val="0"/>
              <w:snapToGrid w:val="0"/>
              <w:spacing w:line="500" w:lineRule="auto"/>
              <w:ind w:firstLine="422" w:firstLineChars="200"/>
              <w:jc w:val="left"/>
              <w:rPr>
                <w:b/>
                <w:szCs w:val="21"/>
              </w:rPr>
            </w:pPr>
            <w:r>
              <w:rPr>
                <w:rFonts w:hint="eastAsia"/>
                <w:b/>
                <w:szCs w:val="21"/>
              </w:rPr>
              <w:t>（2）</w:t>
            </w:r>
            <w:r>
              <w:rPr>
                <w:b/>
                <w:szCs w:val="21"/>
              </w:rPr>
              <w:t>施工车辆及作业机械尾气防治措施</w:t>
            </w:r>
          </w:p>
          <w:p w14:paraId="38427AED">
            <w:pPr>
              <w:adjustRightInd w:val="0"/>
              <w:snapToGrid w:val="0"/>
              <w:spacing w:line="500" w:lineRule="auto"/>
              <w:ind w:firstLine="420" w:firstLineChars="200"/>
              <w:jc w:val="left"/>
              <w:rPr>
                <w:szCs w:val="21"/>
              </w:rPr>
            </w:pPr>
            <w:r>
              <w:rPr>
                <w:szCs w:val="21"/>
              </w:rPr>
              <w:t>①施工单位尽量选用专业作业车辆，选用优质设备和燃油，加强设备和运输车辆的检修和维护，进一步减少施工过程对周围空气环境的影响。</w:t>
            </w:r>
          </w:p>
          <w:p w14:paraId="6A2A7C38">
            <w:pPr>
              <w:adjustRightInd w:val="0"/>
              <w:snapToGrid w:val="0"/>
              <w:spacing w:line="500" w:lineRule="auto"/>
              <w:ind w:firstLine="420" w:firstLineChars="200"/>
              <w:jc w:val="left"/>
              <w:rPr>
                <w:szCs w:val="21"/>
              </w:rPr>
            </w:pPr>
            <w:r>
              <w:rPr>
                <w:szCs w:val="21"/>
              </w:rPr>
              <w:t>②为减少施工车辆尾气对大气环境的影响，应合理安排施工运输工作时间，对于大型构件和大量物资及建筑垃圾运输，尽量避开交通高峰期，缓解交通压力。</w:t>
            </w:r>
          </w:p>
          <w:p w14:paraId="2D4C25C6">
            <w:pPr>
              <w:adjustRightInd w:val="0"/>
              <w:snapToGrid w:val="0"/>
              <w:spacing w:line="500" w:lineRule="auto"/>
              <w:ind w:firstLine="422" w:firstLineChars="200"/>
              <w:jc w:val="left"/>
              <w:rPr>
                <w:b/>
                <w:szCs w:val="21"/>
              </w:rPr>
            </w:pPr>
            <w:r>
              <w:rPr>
                <w:rFonts w:hint="eastAsia"/>
                <w:b/>
                <w:szCs w:val="21"/>
              </w:rPr>
              <w:t>3</w:t>
            </w:r>
            <w:r>
              <w:rPr>
                <w:b/>
                <w:szCs w:val="21"/>
              </w:rPr>
              <w:t>、施工废水污染防治措施</w:t>
            </w:r>
          </w:p>
          <w:p w14:paraId="7D5E2EAB">
            <w:pPr>
              <w:adjustRightInd w:val="0"/>
              <w:snapToGrid w:val="0"/>
              <w:spacing w:line="500" w:lineRule="auto"/>
              <w:ind w:firstLine="422" w:firstLineChars="200"/>
              <w:jc w:val="left"/>
              <w:rPr>
                <w:b/>
                <w:szCs w:val="21"/>
              </w:rPr>
            </w:pPr>
            <w:r>
              <w:rPr>
                <w:rFonts w:hint="eastAsia"/>
                <w:b/>
                <w:szCs w:val="21"/>
              </w:rPr>
              <w:t>（1）</w:t>
            </w:r>
            <w:r>
              <w:rPr>
                <w:b/>
                <w:szCs w:val="21"/>
              </w:rPr>
              <w:t>施工</w:t>
            </w:r>
            <w:r>
              <w:rPr>
                <w:rFonts w:hint="eastAsia"/>
                <w:b/>
                <w:szCs w:val="21"/>
              </w:rPr>
              <w:t>废水</w:t>
            </w:r>
            <w:r>
              <w:rPr>
                <w:b/>
                <w:szCs w:val="21"/>
              </w:rPr>
              <w:t>防</w:t>
            </w:r>
            <w:r>
              <w:rPr>
                <w:rFonts w:hint="eastAsia"/>
                <w:b/>
                <w:szCs w:val="21"/>
              </w:rPr>
              <w:t>治</w:t>
            </w:r>
            <w:r>
              <w:rPr>
                <w:b/>
                <w:szCs w:val="21"/>
              </w:rPr>
              <w:t>措施</w:t>
            </w:r>
          </w:p>
          <w:p w14:paraId="0EE6523E">
            <w:pPr>
              <w:adjustRightInd w:val="0"/>
              <w:snapToGrid w:val="0"/>
              <w:spacing w:line="500" w:lineRule="auto"/>
              <w:ind w:firstLine="420" w:firstLineChars="200"/>
              <w:jc w:val="left"/>
              <w:rPr>
                <w:szCs w:val="21"/>
              </w:rPr>
            </w:pPr>
            <w:r>
              <w:rPr>
                <w:rFonts w:hint="eastAsia"/>
                <w:szCs w:val="21"/>
              </w:rPr>
              <w:t>①</w:t>
            </w:r>
            <w:r>
              <w:rPr>
                <w:szCs w:val="21"/>
              </w:rPr>
              <w:t>合理安排施工顺序，雨</w:t>
            </w:r>
            <w:r>
              <w:rPr>
                <w:rFonts w:hint="eastAsia"/>
                <w:szCs w:val="21"/>
              </w:rPr>
              <w:t>季</w:t>
            </w:r>
            <w:r>
              <w:rPr>
                <w:szCs w:val="21"/>
              </w:rPr>
              <w:t>时尽量减少土地开挖面</w:t>
            </w:r>
            <w:r>
              <w:rPr>
                <w:rFonts w:hint="eastAsia"/>
                <w:szCs w:val="21"/>
              </w:rPr>
              <w:t>；</w:t>
            </w:r>
            <w:r>
              <w:rPr>
                <w:szCs w:val="21"/>
              </w:rPr>
              <w:t>从而减少挖填方随雨水影响区域水环境质量；</w:t>
            </w:r>
          </w:p>
          <w:p w14:paraId="373BC4FF">
            <w:pPr>
              <w:adjustRightInd w:val="0"/>
              <w:snapToGrid w:val="0"/>
              <w:spacing w:line="500" w:lineRule="auto"/>
              <w:ind w:firstLine="420" w:firstLineChars="200"/>
              <w:jc w:val="left"/>
              <w:rPr>
                <w:szCs w:val="21"/>
              </w:rPr>
            </w:pPr>
            <w:r>
              <w:rPr>
                <w:rFonts w:hint="eastAsia"/>
                <w:szCs w:val="21"/>
              </w:rPr>
              <w:t>②</w:t>
            </w:r>
            <w:r>
              <w:rPr>
                <w:szCs w:val="21"/>
              </w:rPr>
              <w:t>合理安排施工活动，加快施工进度，及时对施工场地进行复绿，从而最大程度减少施工过程对水环境的影响；</w:t>
            </w:r>
          </w:p>
          <w:p w14:paraId="471E68BF">
            <w:pPr>
              <w:adjustRightInd w:val="0"/>
              <w:snapToGrid w:val="0"/>
              <w:spacing w:line="500" w:lineRule="auto"/>
              <w:ind w:firstLine="420" w:firstLineChars="200"/>
              <w:jc w:val="left"/>
              <w:rPr>
                <w:szCs w:val="21"/>
              </w:rPr>
            </w:pPr>
            <w:r>
              <w:rPr>
                <w:rFonts w:hint="eastAsia"/>
                <w:szCs w:val="21"/>
              </w:rPr>
              <w:t>③</w:t>
            </w:r>
            <w:r>
              <w:rPr>
                <w:szCs w:val="21"/>
              </w:rPr>
              <w:t>加强施工机械设备的维修保养，避免施工机械在施工过程中燃料用油跑、冒、滴、漏现象的发生；</w:t>
            </w:r>
          </w:p>
          <w:p w14:paraId="59FA6994">
            <w:pPr>
              <w:adjustRightInd w:val="0"/>
              <w:snapToGrid w:val="0"/>
              <w:spacing w:line="500" w:lineRule="auto"/>
              <w:ind w:firstLine="420" w:firstLineChars="200"/>
              <w:jc w:val="left"/>
              <w:rPr>
                <w:szCs w:val="21"/>
              </w:rPr>
            </w:pPr>
            <w:r>
              <w:rPr>
                <w:rFonts w:hint="eastAsia"/>
                <w:szCs w:val="21"/>
              </w:rPr>
              <w:t>④</w:t>
            </w:r>
            <w:r>
              <w:rPr>
                <w:szCs w:val="21"/>
              </w:rPr>
              <w:t>降雨时水泥、黄沙等建筑材料需集中堆放，并采取苫布遮盖等防雨淋措施，设置临时雨水导流沟，汛期时有效收集雨水，防止雨水直排，且工作场地四周设置临时排水沟并要及时疏通，及时清扫施工运输过程中</w:t>
            </w:r>
            <w:r>
              <w:rPr>
                <w:rFonts w:hint="eastAsia"/>
                <w:szCs w:val="21"/>
              </w:rPr>
              <w:t>洒落</w:t>
            </w:r>
            <w:r>
              <w:rPr>
                <w:szCs w:val="21"/>
              </w:rPr>
              <w:t>的建筑材料，以免随雨水的冲刷</w:t>
            </w:r>
            <w:r>
              <w:rPr>
                <w:rFonts w:hint="eastAsia"/>
                <w:szCs w:val="21"/>
              </w:rPr>
              <w:t>，</w:t>
            </w:r>
            <w:r>
              <w:rPr>
                <w:szCs w:val="21"/>
              </w:rPr>
              <w:t>污染临近的河流。</w:t>
            </w:r>
          </w:p>
          <w:p w14:paraId="718E1250">
            <w:pPr>
              <w:adjustRightInd w:val="0"/>
              <w:snapToGrid w:val="0"/>
              <w:spacing w:line="500" w:lineRule="auto"/>
              <w:ind w:firstLine="420" w:firstLineChars="200"/>
              <w:jc w:val="left"/>
              <w:rPr>
                <w:szCs w:val="21"/>
              </w:rPr>
            </w:pPr>
            <w:r>
              <w:rPr>
                <w:rFonts w:hint="eastAsia"/>
                <w:szCs w:val="21"/>
              </w:rPr>
              <w:t>⑤</w:t>
            </w:r>
            <w:r>
              <w:rPr>
                <w:szCs w:val="21"/>
              </w:rPr>
              <w:t>施工机械设备运转的冷却水和洗涤水经沉淀处理及车辆冲洗水经隔油沉淀处理后回用于施工场地及道路洒水，不对外排放</w:t>
            </w:r>
            <w:r>
              <w:rPr>
                <w:rFonts w:hint="eastAsia"/>
                <w:szCs w:val="21"/>
              </w:rPr>
              <w:t>；</w:t>
            </w:r>
            <w:r>
              <w:rPr>
                <w:szCs w:val="21"/>
              </w:rPr>
              <w:t>通过采取以上措施，可有效控制施工废水污染，措施是切实可行的。</w:t>
            </w:r>
          </w:p>
          <w:p w14:paraId="1B10C942">
            <w:pPr>
              <w:adjustRightInd w:val="0"/>
              <w:snapToGrid w:val="0"/>
              <w:spacing w:line="500" w:lineRule="auto"/>
              <w:ind w:firstLine="422" w:firstLineChars="200"/>
              <w:jc w:val="left"/>
              <w:rPr>
                <w:b/>
                <w:bCs/>
                <w:szCs w:val="21"/>
              </w:rPr>
            </w:pPr>
            <w:r>
              <w:rPr>
                <w:rFonts w:hint="eastAsia"/>
                <w:b/>
                <w:bCs/>
                <w:szCs w:val="21"/>
              </w:rPr>
              <w:t>（2）</w:t>
            </w:r>
            <w:r>
              <w:rPr>
                <w:b/>
                <w:bCs/>
                <w:szCs w:val="21"/>
              </w:rPr>
              <w:t>人员生活污水</w:t>
            </w:r>
            <w:r>
              <w:rPr>
                <w:rFonts w:hint="eastAsia"/>
                <w:b/>
                <w:bCs/>
                <w:szCs w:val="21"/>
              </w:rPr>
              <w:t>防治措施</w:t>
            </w:r>
          </w:p>
          <w:p w14:paraId="0B6B8EFE">
            <w:pPr>
              <w:adjustRightInd w:val="0"/>
              <w:snapToGrid w:val="0"/>
              <w:spacing w:line="500" w:lineRule="auto"/>
              <w:ind w:firstLine="420" w:firstLineChars="200"/>
              <w:jc w:val="left"/>
              <w:rPr>
                <w:szCs w:val="21"/>
              </w:rPr>
            </w:pPr>
            <w:r>
              <w:rPr>
                <w:szCs w:val="21"/>
              </w:rPr>
              <w:t>项目</w:t>
            </w:r>
            <w:r>
              <w:rPr>
                <w:rFonts w:hint="eastAsia"/>
                <w:szCs w:val="21"/>
              </w:rPr>
              <w:t>不设</w:t>
            </w:r>
            <w:r>
              <w:rPr>
                <w:szCs w:val="21"/>
              </w:rPr>
              <w:t>施工营地，</w:t>
            </w:r>
            <w:r>
              <w:rPr>
                <w:rFonts w:hint="eastAsia"/>
                <w:szCs w:val="21"/>
              </w:rPr>
              <w:t>不</w:t>
            </w:r>
            <w:r>
              <w:rPr>
                <w:szCs w:val="21"/>
              </w:rPr>
              <w:t>产生生活污水。</w:t>
            </w:r>
            <w:r>
              <w:rPr>
                <w:szCs w:val="21"/>
                <w:lang w:bidi="ar"/>
              </w:rPr>
              <w:t>施工现场设移动厕所，施工人员的粪便污水经移动厕所收集后委托有资质单位定期清运进行综合处理。</w:t>
            </w:r>
          </w:p>
          <w:p w14:paraId="4491D1D6">
            <w:pPr>
              <w:adjustRightInd w:val="0"/>
              <w:snapToGrid w:val="0"/>
              <w:spacing w:line="500" w:lineRule="auto"/>
              <w:ind w:firstLine="422" w:firstLineChars="200"/>
              <w:jc w:val="left"/>
              <w:rPr>
                <w:szCs w:val="21"/>
              </w:rPr>
            </w:pPr>
            <w:r>
              <w:rPr>
                <w:rFonts w:hint="eastAsia"/>
                <w:b/>
                <w:bCs/>
                <w:szCs w:val="21"/>
              </w:rPr>
              <w:t>（3）降雨</w:t>
            </w:r>
            <w:r>
              <w:rPr>
                <w:b/>
                <w:bCs/>
                <w:szCs w:val="21"/>
              </w:rPr>
              <w:t>雨地表</w:t>
            </w:r>
            <w:r>
              <w:rPr>
                <w:rFonts w:hint="eastAsia"/>
                <w:b/>
                <w:bCs/>
                <w:szCs w:val="21"/>
              </w:rPr>
              <w:t>径流</w:t>
            </w:r>
          </w:p>
          <w:p w14:paraId="1B682FDF">
            <w:pPr>
              <w:adjustRightInd w:val="0"/>
              <w:snapToGrid w:val="0"/>
              <w:spacing w:line="500" w:lineRule="auto"/>
              <w:ind w:firstLine="420" w:firstLineChars="200"/>
              <w:jc w:val="left"/>
              <w:rPr>
                <w:szCs w:val="21"/>
              </w:rPr>
            </w:pPr>
            <w:r>
              <w:rPr>
                <w:szCs w:val="21"/>
              </w:rPr>
              <w:t>惠州市属亚热带季风气候，降雨量充沛，特别是夏季暴雨易对施工场地的浮土造成的冲刷，造成含有大量悬浮物的地表径流水污染周围环境，本项目施工单位</w:t>
            </w:r>
            <w:r>
              <w:rPr>
                <w:rFonts w:hint="eastAsia"/>
                <w:szCs w:val="21"/>
              </w:rPr>
              <w:t>应</w:t>
            </w:r>
            <w:r>
              <w:rPr>
                <w:szCs w:val="21"/>
              </w:rPr>
              <w:t>加强施工期的环境管理，在施工场地挖雨水排水明渠，明渠两端设置沉砂池，经沉淀后排入就近雨水渠，则本项目施工期的地表径流水不会对水环境造成明显影响。本项目在暴雨、大雨期间暂停施工，无施工废水产生，故无需对施工废水进行处理回用。施工单位只需做好现场围蔽及采取其他防止雨水冲刷的措施，并在施工场地建设临时的雨水导排沟、导排沟末端设置沉砂池，暴雨径流经沉砂后引至附近雨水管网排放，可以避免雨水横流现象，不会对周围环境造成明显不利影响。</w:t>
            </w:r>
          </w:p>
          <w:p w14:paraId="2AFF4481">
            <w:pPr>
              <w:adjustRightInd w:val="0"/>
              <w:snapToGrid w:val="0"/>
              <w:spacing w:line="500" w:lineRule="auto"/>
              <w:ind w:firstLine="422" w:firstLineChars="200"/>
              <w:jc w:val="left"/>
              <w:rPr>
                <w:b/>
                <w:bCs/>
                <w:szCs w:val="21"/>
              </w:rPr>
            </w:pPr>
            <w:r>
              <w:rPr>
                <w:rFonts w:hint="eastAsia"/>
                <w:b/>
                <w:bCs/>
                <w:szCs w:val="21"/>
              </w:rPr>
              <w:t>（4）</w:t>
            </w:r>
            <w:r>
              <w:rPr>
                <w:b/>
                <w:szCs w:val="21"/>
              </w:rPr>
              <w:t>施工管理</w:t>
            </w:r>
            <w:r>
              <w:rPr>
                <w:rFonts w:hint="eastAsia"/>
                <w:b/>
                <w:szCs w:val="21"/>
              </w:rPr>
              <w:t>措施</w:t>
            </w:r>
          </w:p>
          <w:p w14:paraId="0798E0DA">
            <w:pPr>
              <w:adjustRightInd w:val="0"/>
              <w:snapToGrid w:val="0"/>
              <w:spacing w:line="500" w:lineRule="auto"/>
              <w:ind w:firstLine="420" w:firstLineChars="200"/>
              <w:jc w:val="left"/>
              <w:rPr>
                <w:szCs w:val="21"/>
              </w:rPr>
            </w:pPr>
            <w:r>
              <w:rPr>
                <w:szCs w:val="21"/>
              </w:rPr>
              <w:t>本工程施工期间，施工单位应严格执行</w:t>
            </w:r>
            <w:r>
              <w:rPr>
                <w:rFonts w:hint="eastAsia"/>
                <w:szCs w:val="21"/>
              </w:rPr>
              <w:t>《</w:t>
            </w:r>
            <w:r>
              <w:rPr>
                <w:szCs w:val="21"/>
              </w:rPr>
              <w:t>建设工程施工场地文明施工及环境管理暂行规定》，对地面水的排放进行组织设计，严禁乱排、乱流污染道路和环境。建议本工程施工期间采取以下水污染防治措施</w:t>
            </w:r>
            <w:r>
              <w:rPr>
                <w:rFonts w:hint="eastAsia"/>
                <w:szCs w:val="21"/>
              </w:rPr>
              <w:t>：</w:t>
            </w:r>
          </w:p>
          <w:p w14:paraId="691B6B94">
            <w:pPr>
              <w:adjustRightInd w:val="0"/>
              <w:snapToGrid w:val="0"/>
              <w:spacing w:line="500" w:lineRule="auto"/>
              <w:ind w:firstLine="420" w:firstLineChars="200"/>
              <w:jc w:val="left"/>
              <w:rPr>
                <w:szCs w:val="21"/>
              </w:rPr>
            </w:pPr>
            <w:r>
              <w:rPr>
                <w:rFonts w:hint="eastAsia"/>
                <w:szCs w:val="21"/>
              </w:rPr>
              <w:t>①</w:t>
            </w:r>
            <w:r>
              <w:rPr>
                <w:szCs w:val="21"/>
              </w:rPr>
              <w:t>首先施工期应合理安排施工时间，开挖、回填土方等工程应避开雨季，同时做好施工期排水设计。项目工程量较小、并且采用分段施工，对施工机械加强管理，避免施工机械不规范施工，不在现场冲洗施工机械，避免产生含油冲洗水对周围产生影响。</w:t>
            </w:r>
          </w:p>
          <w:p w14:paraId="48B278A4">
            <w:pPr>
              <w:adjustRightInd w:val="0"/>
              <w:snapToGrid w:val="0"/>
              <w:spacing w:line="500" w:lineRule="auto"/>
              <w:ind w:firstLine="420" w:firstLineChars="200"/>
              <w:jc w:val="left"/>
              <w:rPr>
                <w:szCs w:val="21"/>
              </w:rPr>
            </w:pPr>
            <w:r>
              <w:rPr>
                <w:rFonts w:hint="eastAsia"/>
                <w:szCs w:val="21"/>
              </w:rPr>
              <w:t>②</w:t>
            </w:r>
            <w:r>
              <w:rPr>
                <w:szCs w:val="21"/>
              </w:rPr>
              <w:t>定期清洁建筑施工机械表面不必要的润滑油及其它油污，对废弃的用油应妥善处置</w:t>
            </w:r>
            <w:r>
              <w:rPr>
                <w:rFonts w:hint="eastAsia"/>
                <w:szCs w:val="21"/>
              </w:rPr>
              <w:t>；</w:t>
            </w:r>
            <w:r>
              <w:rPr>
                <w:szCs w:val="21"/>
              </w:rPr>
              <w:t>加强施工机械设备的维修保养，避免施工机械在施工过程中燃料用油跑、冒、滴、漏现象的发生。对施工期废水作沉淀处理后进行回用。</w:t>
            </w:r>
          </w:p>
          <w:p w14:paraId="3DE7DF4B">
            <w:pPr>
              <w:adjustRightInd w:val="0"/>
              <w:snapToGrid w:val="0"/>
              <w:spacing w:line="500" w:lineRule="auto"/>
              <w:ind w:firstLine="420" w:firstLineChars="200"/>
              <w:jc w:val="left"/>
              <w:rPr>
                <w:szCs w:val="21"/>
              </w:rPr>
            </w:pPr>
            <w:r>
              <w:rPr>
                <w:rFonts w:hint="eastAsia"/>
                <w:szCs w:val="21"/>
              </w:rPr>
              <w:t>③</w:t>
            </w:r>
            <w:r>
              <w:rPr>
                <w:szCs w:val="21"/>
              </w:rPr>
              <w:t>施工现场机械和设备在清洗维修过程中产生的废水，其主要污染物为SS和石油类，可在施工场地建立沉砂池，以收集冲洗车辆、施工机械产生的废水，经沉砂池预处理达标后回用于施工中，严禁直接排入水环境。</w:t>
            </w:r>
          </w:p>
          <w:p w14:paraId="3D1CEB56">
            <w:pPr>
              <w:adjustRightInd w:val="0"/>
              <w:snapToGrid w:val="0"/>
              <w:spacing w:line="500" w:lineRule="auto"/>
              <w:ind w:firstLine="422" w:firstLineChars="200"/>
              <w:jc w:val="left"/>
              <w:rPr>
                <w:b/>
                <w:szCs w:val="21"/>
              </w:rPr>
            </w:pPr>
            <w:r>
              <w:rPr>
                <w:rFonts w:hint="eastAsia"/>
                <w:b/>
                <w:szCs w:val="21"/>
              </w:rPr>
              <w:t>4</w:t>
            </w:r>
            <w:r>
              <w:rPr>
                <w:b/>
                <w:szCs w:val="21"/>
              </w:rPr>
              <w:t>、施工噪声污染防治措施</w:t>
            </w:r>
          </w:p>
          <w:p w14:paraId="4A812264">
            <w:pPr>
              <w:adjustRightInd w:val="0"/>
              <w:snapToGrid w:val="0"/>
              <w:spacing w:line="500" w:lineRule="auto"/>
              <w:ind w:firstLine="420" w:firstLineChars="200"/>
              <w:jc w:val="left"/>
              <w:rPr>
                <w:szCs w:val="21"/>
              </w:rPr>
            </w:pPr>
            <w:r>
              <w:rPr>
                <w:szCs w:val="21"/>
              </w:rPr>
              <w:t>需采取一定的防治措施来减轻施工噪声对敏感点声环境的影响。可采取的措施如下：</w:t>
            </w:r>
          </w:p>
          <w:p w14:paraId="2375010F">
            <w:pPr>
              <w:adjustRightInd w:val="0"/>
              <w:snapToGrid w:val="0"/>
              <w:spacing w:line="500" w:lineRule="auto"/>
              <w:ind w:firstLine="420" w:firstLineChars="200"/>
              <w:jc w:val="left"/>
              <w:rPr>
                <w:szCs w:val="21"/>
              </w:rPr>
            </w:pPr>
            <w:r>
              <w:rPr>
                <w:rFonts w:hint="eastAsia"/>
                <w:szCs w:val="21"/>
              </w:rPr>
              <w:t>①</w:t>
            </w:r>
            <w:r>
              <w:rPr>
                <w:szCs w:val="21"/>
              </w:rPr>
              <w:t>合理安排施工时间，并要求施工单位严格执行《建筑施工场界环境噪声排放标准》（GB12523-2011）的相关规定。使用高噪声设备的施工阶段应尽量安排在白天，减少夜间的施工量；施工方减少在中午（12：00-14：00）和夜间（22：00—次日6：00）进行施工作业，确需施工的，必须有县级以上人民政府或者其有关主管部门的证明，且必须公告附近居民。</w:t>
            </w:r>
          </w:p>
          <w:p w14:paraId="13C2ABCB">
            <w:pPr>
              <w:adjustRightInd w:val="0"/>
              <w:snapToGrid w:val="0"/>
              <w:spacing w:line="500" w:lineRule="auto"/>
              <w:ind w:firstLine="420" w:firstLineChars="200"/>
              <w:jc w:val="left"/>
              <w:rPr>
                <w:szCs w:val="21"/>
              </w:rPr>
            </w:pPr>
            <w:r>
              <w:rPr>
                <w:rFonts w:hint="eastAsia"/>
                <w:szCs w:val="21"/>
              </w:rPr>
              <w:t>②</w:t>
            </w:r>
            <w:r>
              <w:rPr>
                <w:szCs w:val="21"/>
              </w:rPr>
              <w:t>避免在夜间运输，同时在运输车辆途经居民区及其附近敏感点时应采取禁鸣喇叭和限制车速等措施。</w:t>
            </w:r>
          </w:p>
          <w:p w14:paraId="0ECCC852">
            <w:pPr>
              <w:adjustRightInd w:val="0"/>
              <w:snapToGrid w:val="0"/>
              <w:spacing w:line="500" w:lineRule="auto"/>
              <w:ind w:firstLine="420" w:firstLineChars="200"/>
              <w:jc w:val="left"/>
              <w:rPr>
                <w:szCs w:val="21"/>
              </w:rPr>
            </w:pPr>
            <w:r>
              <w:rPr>
                <w:rFonts w:hint="eastAsia"/>
                <w:szCs w:val="21"/>
              </w:rPr>
              <w:t>③</w:t>
            </w:r>
            <w:r>
              <w:rPr>
                <w:szCs w:val="21"/>
              </w:rPr>
              <w:t>在施工进度上，要适当组合搭配，避免高噪设备同时在相对集中的地点作业，尽量减少运行动力机械设备数量，合理布局，尽量使高噪设备远离敏感点；闲置设备应予以关闭或减速；路基施工阶段，应针对振动式压路作业提出监控措施或替代作业方式。</w:t>
            </w:r>
          </w:p>
          <w:p w14:paraId="124A258F">
            <w:pPr>
              <w:adjustRightInd w:val="0"/>
              <w:snapToGrid w:val="0"/>
              <w:spacing w:line="500" w:lineRule="auto"/>
              <w:ind w:firstLine="420" w:firstLineChars="200"/>
              <w:jc w:val="left"/>
              <w:rPr>
                <w:szCs w:val="21"/>
              </w:rPr>
            </w:pPr>
            <w:r>
              <w:rPr>
                <w:rFonts w:hint="eastAsia"/>
                <w:szCs w:val="21"/>
              </w:rPr>
              <w:t>④</w:t>
            </w:r>
            <w:r>
              <w:rPr>
                <w:szCs w:val="21"/>
              </w:rPr>
              <w:t>选择低噪设备，必要时，在高噪设备进排气口安装消声器和隔离震动部分，使场界噪声低于相关标准限值。一切动力机械设备都应适时维修，特别是松动部件和降噪部件。</w:t>
            </w:r>
          </w:p>
          <w:p w14:paraId="244D582E">
            <w:pPr>
              <w:adjustRightInd w:val="0"/>
              <w:snapToGrid w:val="0"/>
              <w:spacing w:line="500" w:lineRule="auto"/>
              <w:ind w:firstLine="420" w:firstLineChars="200"/>
              <w:jc w:val="left"/>
              <w:rPr>
                <w:szCs w:val="21"/>
              </w:rPr>
            </w:pPr>
            <w:r>
              <w:rPr>
                <w:rFonts w:hint="eastAsia"/>
                <w:szCs w:val="21"/>
              </w:rPr>
              <w:t>⑤</w:t>
            </w:r>
            <w:r>
              <w:rPr>
                <w:szCs w:val="21"/>
              </w:rPr>
              <w:t>对必须连续高噪的施工作业，应在事前向有关单位申报，并会同建设单位找当地居民协调，得到群众谅解，经同意后方可施工。</w:t>
            </w:r>
          </w:p>
          <w:p w14:paraId="49482B93">
            <w:pPr>
              <w:adjustRightInd w:val="0"/>
              <w:snapToGrid w:val="0"/>
              <w:spacing w:line="500" w:lineRule="auto"/>
              <w:ind w:firstLine="420" w:firstLineChars="200"/>
              <w:jc w:val="left"/>
              <w:rPr>
                <w:szCs w:val="21"/>
              </w:rPr>
            </w:pPr>
            <w:r>
              <w:rPr>
                <w:rFonts w:hint="eastAsia"/>
                <w:szCs w:val="21"/>
              </w:rPr>
              <w:t>⑥</w:t>
            </w:r>
            <w:r>
              <w:rPr>
                <w:szCs w:val="21"/>
              </w:rPr>
              <w:t>本项目会造成沿线各敏感点不同程度的噪声超标和噪声增加现象，建议对造成噪声影响的敏感点采取隔声效果较好的措施以保证其室内噪声满足相关标准。</w:t>
            </w:r>
          </w:p>
          <w:p w14:paraId="0344C7BD">
            <w:pPr>
              <w:adjustRightInd w:val="0"/>
              <w:snapToGrid w:val="0"/>
              <w:spacing w:line="500" w:lineRule="auto"/>
              <w:ind w:firstLine="420" w:firstLineChars="200"/>
              <w:jc w:val="left"/>
              <w:rPr>
                <w:szCs w:val="21"/>
              </w:rPr>
            </w:pPr>
            <w:r>
              <w:rPr>
                <w:rFonts w:hint="eastAsia"/>
                <w:szCs w:val="21"/>
              </w:rPr>
              <w:t>⑦</w:t>
            </w:r>
            <w:r>
              <w:rPr>
                <w:szCs w:val="21"/>
              </w:rPr>
              <w:t>经上述措施进行处理后，项目施工噪声通过距离衰减，这种暂时性的噪声对周围声环境敏感点的影响在可接受范围内。</w:t>
            </w:r>
          </w:p>
          <w:p w14:paraId="061D5ADC">
            <w:pPr>
              <w:adjustRightInd w:val="0"/>
              <w:snapToGrid w:val="0"/>
              <w:spacing w:line="500" w:lineRule="auto"/>
              <w:ind w:firstLine="420" w:firstLineChars="200"/>
              <w:jc w:val="left"/>
              <w:rPr>
                <w:szCs w:val="21"/>
              </w:rPr>
            </w:pPr>
            <w:r>
              <w:rPr>
                <w:szCs w:val="21"/>
              </w:rPr>
              <w:t>本项目施工将会对周围环境产生比较明显的影响，因此项目建设期间，施工单位应严格执行国家和地方法律法规对噪声污染防治的要求，通过上述措施可减缓施工噪声对敏感点的影响。</w:t>
            </w:r>
          </w:p>
          <w:p w14:paraId="3678E1E2">
            <w:pPr>
              <w:adjustRightInd w:val="0"/>
              <w:snapToGrid w:val="0"/>
              <w:spacing w:line="500" w:lineRule="auto"/>
              <w:ind w:firstLine="422" w:firstLineChars="200"/>
              <w:jc w:val="left"/>
              <w:rPr>
                <w:b/>
                <w:szCs w:val="21"/>
              </w:rPr>
            </w:pPr>
            <w:r>
              <w:rPr>
                <w:rFonts w:hint="eastAsia"/>
                <w:b/>
                <w:szCs w:val="21"/>
              </w:rPr>
              <w:t>五</w:t>
            </w:r>
            <w:r>
              <w:rPr>
                <w:b/>
                <w:szCs w:val="21"/>
              </w:rPr>
              <w:t>、施工期固废污染防治措施</w:t>
            </w:r>
          </w:p>
          <w:p w14:paraId="633A95B0">
            <w:pPr>
              <w:adjustRightInd w:val="0"/>
              <w:snapToGrid w:val="0"/>
              <w:spacing w:line="500" w:lineRule="auto"/>
              <w:ind w:firstLine="420" w:firstLineChars="200"/>
              <w:jc w:val="left"/>
              <w:rPr>
                <w:szCs w:val="21"/>
              </w:rPr>
            </w:pPr>
            <w:r>
              <w:rPr>
                <w:szCs w:val="21"/>
              </w:rPr>
              <w:t>本项目施工期产生的固体废物主要有生活垃圾、建筑垃圾等。施工人员生活垃圾经集中收集后，由环卫部门集中清运；项目产生的建筑垃圾，应尽可能就地回用，不能回用的应及时清运到相关回收公司回收处理；同时注意清洁运输，防止建筑材料运输过程中的撒漏，装卸过程中的扬尘与噪声。</w:t>
            </w:r>
          </w:p>
          <w:p w14:paraId="03B301DC">
            <w:pPr>
              <w:adjustRightInd w:val="0"/>
              <w:snapToGrid w:val="0"/>
              <w:spacing w:line="500" w:lineRule="auto"/>
              <w:ind w:firstLine="420" w:firstLineChars="200"/>
              <w:jc w:val="left"/>
              <w:rPr>
                <w:szCs w:val="21"/>
              </w:rPr>
            </w:pPr>
            <w:r>
              <w:rPr>
                <w:szCs w:val="21"/>
              </w:rPr>
              <w:t>经采取上述措施后，项目施工期产生的固体废物不会对周围环境产生明显的影响。</w:t>
            </w:r>
          </w:p>
          <w:p w14:paraId="024FFF2A">
            <w:pPr>
              <w:adjustRightInd w:val="0"/>
              <w:snapToGrid w:val="0"/>
              <w:spacing w:line="500" w:lineRule="auto"/>
              <w:ind w:firstLine="460" w:firstLineChars="200"/>
              <w:jc w:val="left"/>
              <w:rPr>
                <w:bCs/>
                <w:spacing w:val="10"/>
                <w:szCs w:val="21"/>
              </w:rPr>
            </w:pPr>
          </w:p>
        </w:tc>
      </w:tr>
      <w:tr w14:paraId="3E0C7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8" w:hRule="atLeast"/>
          <w:jc w:val="center"/>
        </w:trPr>
        <w:tc>
          <w:tcPr>
            <w:tcW w:w="409" w:type="pct"/>
            <w:tcMar>
              <w:left w:w="28" w:type="dxa"/>
              <w:right w:w="28" w:type="dxa"/>
            </w:tcMar>
            <w:vAlign w:val="center"/>
          </w:tcPr>
          <w:p w14:paraId="125788B6">
            <w:pPr>
              <w:adjustRightInd w:val="0"/>
              <w:snapToGrid w:val="0"/>
              <w:jc w:val="center"/>
              <w:rPr>
                <w:rFonts w:hint="eastAsia" w:ascii="宋体" w:hAnsi="宋体" w:cs="宋体"/>
                <w:bCs/>
                <w:spacing w:val="10"/>
                <w:szCs w:val="21"/>
              </w:rPr>
            </w:pPr>
            <w:r>
              <w:rPr>
                <w:rFonts w:hint="eastAsia" w:ascii="宋体" w:hAnsi="宋体" w:cs="宋体"/>
                <w:bCs/>
                <w:spacing w:val="10"/>
                <w:szCs w:val="21"/>
              </w:rPr>
              <w:t>运营期生态环境保护措施</w:t>
            </w:r>
          </w:p>
        </w:tc>
        <w:tc>
          <w:tcPr>
            <w:tcW w:w="4591" w:type="pct"/>
          </w:tcPr>
          <w:p w14:paraId="4711F3ED">
            <w:pPr>
              <w:adjustRightInd w:val="0"/>
              <w:snapToGrid w:val="0"/>
              <w:spacing w:line="500" w:lineRule="auto"/>
              <w:ind w:firstLine="422" w:firstLineChars="200"/>
              <w:jc w:val="left"/>
              <w:rPr>
                <w:b/>
                <w:bCs/>
                <w:szCs w:val="21"/>
              </w:rPr>
            </w:pPr>
            <w:r>
              <w:rPr>
                <w:rFonts w:hint="eastAsia"/>
                <w:b/>
                <w:bCs/>
                <w:szCs w:val="21"/>
              </w:rPr>
              <w:t>一</w:t>
            </w:r>
            <w:r>
              <w:rPr>
                <w:b/>
                <w:bCs/>
                <w:szCs w:val="21"/>
              </w:rPr>
              <w:t>、运营期生态污染防治措施</w:t>
            </w:r>
          </w:p>
          <w:p w14:paraId="2D43BAA7">
            <w:pPr>
              <w:adjustRightInd w:val="0"/>
              <w:snapToGrid w:val="0"/>
              <w:spacing w:line="500" w:lineRule="auto"/>
              <w:ind w:firstLine="420" w:firstLineChars="200"/>
              <w:jc w:val="left"/>
              <w:rPr>
                <w:szCs w:val="21"/>
              </w:rPr>
            </w:pPr>
            <w:r>
              <w:rPr>
                <w:szCs w:val="21"/>
              </w:rPr>
              <w:t>（1）制定巡线生态保护方案：对线路巡线工作人员，加强生态意识，爱护公园的一草一木，保护好生态环境，严禁猎杀野生动物，不允许毁坏建设用地以外的林木资源。</w:t>
            </w:r>
          </w:p>
          <w:p w14:paraId="5C99BD8F">
            <w:pPr>
              <w:adjustRightInd w:val="0"/>
              <w:snapToGrid w:val="0"/>
              <w:spacing w:line="500" w:lineRule="auto"/>
              <w:ind w:firstLine="420" w:firstLineChars="200"/>
              <w:jc w:val="left"/>
              <w:rPr>
                <w:szCs w:val="21"/>
              </w:rPr>
            </w:pPr>
            <w:r>
              <w:rPr>
                <w:szCs w:val="21"/>
              </w:rPr>
              <w:t>（2）制定应急处置方案：对界线线路对湿地可能产生的事故（如线路火灾等），制定应急处置预案，减轻事故对湿地的影响。</w:t>
            </w:r>
          </w:p>
          <w:p w14:paraId="6E8292CE">
            <w:pPr>
              <w:pStyle w:val="59"/>
              <w:spacing w:line="500" w:lineRule="auto"/>
              <w:ind w:firstLine="422" w:firstLineChars="200"/>
              <w:jc w:val="left"/>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二</w:t>
            </w:r>
            <w:r>
              <w:rPr>
                <w:rFonts w:ascii="Times New Roman" w:hAnsi="Times New Roman" w:eastAsia="宋体" w:cs="Times New Roman"/>
                <w:b/>
                <w:bCs/>
                <w:color w:val="auto"/>
                <w:sz w:val="21"/>
                <w:szCs w:val="21"/>
              </w:rPr>
              <w:t>、运营期大气污染防治措施</w:t>
            </w:r>
          </w:p>
          <w:p w14:paraId="57771424">
            <w:pPr>
              <w:adjustRightInd w:val="0"/>
              <w:snapToGrid w:val="0"/>
              <w:spacing w:line="500" w:lineRule="auto"/>
              <w:ind w:firstLine="420" w:firstLineChars="200"/>
              <w:jc w:val="left"/>
              <w:rPr>
                <w:szCs w:val="21"/>
              </w:rPr>
            </w:pPr>
            <w:r>
              <w:rPr>
                <w:szCs w:val="21"/>
              </w:rPr>
              <w:t>国内外经验表明，机动车尾气控制应该是一个城市或整个区域或全球范围内的系统工程。所以，项目机动车尾气控制应与惠州市甚至广东省乃至全国机动车尾气污染物排放控制政策密切结合起来，并采取相应措施对尾气污染物排放进行控制，具体来讲，建议采取以下防治措施：</w:t>
            </w:r>
          </w:p>
          <w:p w14:paraId="037843B8">
            <w:pPr>
              <w:adjustRightInd w:val="0"/>
              <w:snapToGrid w:val="0"/>
              <w:spacing w:line="500" w:lineRule="auto"/>
              <w:ind w:firstLine="420" w:firstLineChars="200"/>
              <w:jc w:val="left"/>
              <w:rPr>
                <w:szCs w:val="21"/>
              </w:rPr>
            </w:pPr>
            <w:r>
              <w:rPr>
                <w:szCs w:val="21"/>
              </w:rPr>
              <w:t>（1）禁止尾气污染物超标排放的机动车通行；</w:t>
            </w:r>
          </w:p>
          <w:p w14:paraId="228CF421">
            <w:pPr>
              <w:adjustRightInd w:val="0"/>
              <w:snapToGrid w:val="0"/>
              <w:spacing w:line="500" w:lineRule="auto"/>
              <w:ind w:firstLine="420" w:firstLineChars="200"/>
              <w:jc w:val="left"/>
              <w:rPr>
                <w:szCs w:val="21"/>
              </w:rPr>
            </w:pPr>
            <w:r>
              <w:rPr>
                <w:szCs w:val="21"/>
              </w:rPr>
              <w:t>（2）加强机动车检测与维修；</w:t>
            </w:r>
          </w:p>
          <w:p w14:paraId="2A4CB4C7">
            <w:pPr>
              <w:adjustRightInd w:val="0"/>
              <w:snapToGrid w:val="0"/>
              <w:spacing w:line="500" w:lineRule="auto"/>
              <w:ind w:firstLine="420" w:firstLineChars="200"/>
              <w:jc w:val="left"/>
              <w:rPr>
                <w:szCs w:val="21"/>
              </w:rPr>
            </w:pPr>
            <w:r>
              <w:rPr>
                <w:szCs w:val="21"/>
              </w:rPr>
              <w:t>（3）进行道路绿化，采取乔、灌、草相结合方式栽植，提高地表植被吸收有毒、有害气体效率，增强植被的生态功能，净化空气，美化环境；</w:t>
            </w:r>
          </w:p>
          <w:p w14:paraId="54C85BDB">
            <w:pPr>
              <w:adjustRightInd w:val="0"/>
              <w:snapToGrid w:val="0"/>
              <w:spacing w:line="500" w:lineRule="auto"/>
              <w:ind w:firstLine="420" w:firstLineChars="200"/>
              <w:jc w:val="left"/>
              <w:rPr>
                <w:szCs w:val="21"/>
              </w:rPr>
            </w:pPr>
            <w:r>
              <w:rPr>
                <w:szCs w:val="21"/>
              </w:rPr>
              <w:t>（4）积极配合当地政府及其环境保护主管部门，共同做好区域机动车尾气污染控制。</w:t>
            </w:r>
          </w:p>
          <w:p w14:paraId="619F8050">
            <w:pPr>
              <w:adjustRightInd w:val="0"/>
              <w:snapToGrid w:val="0"/>
              <w:spacing w:line="500" w:lineRule="auto"/>
              <w:ind w:firstLine="420" w:firstLineChars="200"/>
              <w:jc w:val="left"/>
              <w:rPr>
                <w:szCs w:val="21"/>
              </w:rPr>
            </w:pPr>
            <w:r>
              <w:rPr>
                <w:szCs w:val="21"/>
              </w:rPr>
              <w:t>经上述措施处理后，项目营运期废气污染物对周围敏感点空气环境的影响较小。</w:t>
            </w:r>
          </w:p>
          <w:p w14:paraId="708625FB">
            <w:pPr>
              <w:pStyle w:val="59"/>
              <w:spacing w:line="500" w:lineRule="auto"/>
              <w:ind w:firstLine="422" w:firstLineChars="200"/>
              <w:jc w:val="left"/>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三</w:t>
            </w:r>
            <w:r>
              <w:rPr>
                <w:rFonts w:ascii="Times New Roman" w:hAnsi="Times New Roman" w:eastAsia="宋体" w:cs="Times New Roman"/>
                <w:b/>
                <w:bCs/>
                <w:color w:val="auto"/>
                <w:sz w:val="21"/>
                <w:szCs w:val="21"/>
              </w:rPr>
              <w:t>、运营期废水污染防治措施</w:t>
            </w:r>
          </w:p>
          <w:p w14:paraId="7F57C35A">
            <w:pPr>
              <w:adjustRightInd w:val="0"/>
              <w:snapToGrid w:val="0"/>
              <w:spacing w:line="500" w:lineRule="auto"/>
              <w:ind w:firstLine="420" w:firstLineChars="200"/>
              <w:jc w:val="left"/>
              <w:rPr>
                <w:szCs w:val="21"/>
              </w:rPr>
            </w:pPr>
            <w:r>
              <w:rPr>
                <w:szCs w:val="21"/>
              </w:rPr>
              <w:t>由于项目营运期道路本身不产生废水，污染物主要为雨水冲刷路面产生的路面径流和危险品运输泄漏事故污染。本环评主要从这两方面产生污染的途径提出</w:t>
            </w:r>
            <w:r>
              <w:rPr>
                <w:szCs w:val="21"/>
                <w:lang w:bidi="ar"/>
              </w:rPr>
              <w:t>相应的管理措施建议</w:t>
            </w:r>
            <w:r>
              <w:rPr>
                <w:szCs w:val="21"/>
              </w:rPr>
              <w:t>：</w:t>
            </w:r>
          </w:p>
          <w:p w14:paraId="540ED881">
            <w:pPr>
              <w:spacing w:line="500" w:lineRule="auto"/>
              <w:ind w:firstLine="420" w:firstLineChars="200"/>
              <w:jc w:val="left"/>
              <w:rPr>
                <w:szCs w:val="21"/>
              </w:rPr>
            </w:pPr>
            <w:r>
              <w:rPr>
                <w:szCs w:val="21"/>
                <w:lang w:bidi="ar"/>
              </w:rPr>
              <w:t>（1）防止路面径流污染水体的措施</w:t>
            </w:r>
          </w:p>
          <w:p w14:paraId="16D5E1BC">
            <w:pPr>
              <w:spacing w:line="500" w:lineRule="auto"/>
              <w:ind w:firstLine="420" w:firstLineChars="200"/>
              <w:jc w:val="left"/>
              <w:rPr>
                <w:szCs w:val="21"/>
              </w:rPr>
            </w:pPr>
            <w:r>
              <w:rPr>
                <w:szCs w:val="21"/>
                <w:lang w:bidi="ar"/>
              </w:rPr>
              <w:t>建设单位应在</w:t>
            </w:r>
            <w:r>
              <w:rPr>
                <w:rFonts w:hint="eastAsia"/>
                <w:szCs w:val="21"/>
                <w:lang w:bidi="ar"/>
              </w:rPr>
              <w:t>路面</w:t>
            </w:r>
            <w:r>
              <w:rPr>
                <w:szCs w:val="21"/>
                <w:lang w:bidi="ar"/>
              </w:rPr>
              <w:t>铺设雨水管网，尽量收集雨水纳入市政雨水管。</w:t>
            </w:r>
          </w:p>
          <w:p w14:paraId="79BF548B">
            <w:pPr>
              <w:spacing w:line="500" w:lineRule="auto"/>
              <w:ind w:firstLine="420" w:firstLineChars="200"/>
              <w:jc w:val="left"/>
              <w:rPr>
                <w:szCs w:val="21"/>
              </w:rPr>
            </w:pPr>
            <w:r>
              <w:rPr>
                <w:szCs w:val="21"/>
                <w:lang w:bidi="ar"/>
              </w:rPr>
              <w:t>（2）防止危险品运输泄漏事故污染的管理措施</w:t>
            </w:r>
          </w:p>
          <w:p w14:paraId="13ABA7AC">
            <w:pPr>
              <w:spacing w:line="500" w:lineRule="auto"/>
              <w:ind w:firstLine="420" w:firstLineChars="200"/>
              <w:jc w:val="left"/>
              <w:rPr>
                <w:szCs w:val="21"/>
              </w:rPr>
            </w:pPr>
            <w:r>
              <w:rPr>
                <w:szCs w:val="21"/>
                <w:lang w:bidi="ar"/>
              </w:rPr>
              <w:t>交通道路上运输有毒有害或易燃易爆品等危险品是不可避免的，其风险主要表现在因交通事故和违反危险品运输的有关规定，使被运送的危险品在运输途中突发性发生逸漏、爆炸、燃烧等，一旦发生将在很短时间内造成周边一定范围内的恶性污染事故，对当地环境造成较大危害，给国家财产造成损失。</w:t>
            </w:r>
          </w:p>
          <w:p w14:paraId="3E4FCEDA">
            <w:pPr>
              <w:spacing w:line="500" w:lineRule="auto"/>
              <w:ind w:firstLine="420" w:firstLineChars="200"/>
              <w:jc w:val="left"/>
              <w:rPr>
                <w:szCs w:val="21"/>
              </w:rPr>
            </w:pPr>
            <w:r>
              <w:rPr>
                <w:szCs w:val="21"/>
                <w:lang w:bidi="ar"/>
              </w:rPr>
              <w:t>车辆对水体产生污染事故类型主要有：车辆本身携带的汽油(柴油)和机油泄漏，并排入附近水体；化学危险品的运输车辆发生交通事故后，化学危险品发生泄漏，并排入附近水体</w:t>
            </w:r>
            <w:r>
              <w:rPr>
                <w:rFonts w:hint="eastAsia"/>
                <w:szCs w:val="21"/>
                <w:lang w:bidi="ar"/>
              </w:rPr>
              <w:t>，</w:t>
            </w:r>
            <w:r>
              <w:rPr>
                <w:szCs w:val="21"/>
                <w:lang w:bidi="ar"/>
              </w:rPr>
              <w:t>如运输石油化工车辆在河流附近坠落水体，化学危险品的泄漏、落水将造成水体的严重污染。</w:t>
            </w:r>
          </w:p>
          <w:p w14:paraId="76BAFF91">
            <w:pPr>
              <w:adjustRightInd w:val="0"/>
              <w:snapToGrid w:val="0"/>
              <w:spacing w:line="500" w:lineRule="auto"/>
              <w:ind w:firstLine="420" w:firstLineChars="200"/>
              <w:jc w:val="left"/>
              <w:rPr>
                <w:szCs w:val="21"/>
                <w:lang w:bidi="ar"/>
              </w:rPr>
            </w:pPr>
            <w:r>
              <w:rPr>
                <w:szCs w:val="21"/>
                <w:lang w:bidi="ar"/>
              </w:rPr>
              <w:t>运输途中发生燃烧、爆炸、污染、中毒等事故时，驾驶员必须根据承运危险品货物的性质及有关规定的要求采取相应紧急措施，防止事态扩大，并及时向当地道路管理行政机关和当地消防、公安、环保部门报告，共同采取措施清除危害。</w:t>
            </w:r>
          </w:p>
          <w:p w14:paraId="36938A2E">
            <w:pPr>
              <w:adjustRightInd w:val="0"/>
              <w:snapToGrid w:val="0"/>
              <w:spacing w:line="500" w:lineRule="auto"/>
              <w:ind w:firstLine="422" w:firstLineChars="200"/>
              <w:jc w:val="left"/>
              <w:rPr>
                <w:b/>
                <w:bCs/>
                <w:szCs w:val="21"/>
              </w:rPr>
            </w:pPr>
            <w:r>
              <w:rPr>
                <w:rFonts w:hint="eastAsia"/>
                <w:b/>
                <w:bCs/>
                <w:szCs w:val="21"/>
              </w:rPr>
              <w:t>四</w:t>
            </w:r>
            <w:r>
              <w:rPr>
                <w:b/>
                <w:bCs/>
                <w:szCs w:val="21"/>
              </w:rPr>
              <w:t>、运营期噪声污染防治措施</w:t>
            </w:r>
          </w:p>
          <w:p w14:paraId="1AB69C5A">
            <w:pPr>
              <w:adjustRightInd w:val="0"/>
              <w:snapToGrid w:val="0"/>
              <w:spacing w:line="500" w:lineRule="auto"/>
              <w:ind w:firstLine="420" w:firstLineChars="200"/>
              <w:jc w:val="left"/>
              <w:rPr>
                <w:szCs w:val="21"/>
              </w:rPr>
            </w:pPr>
            <w:r>
              <w:rPr>
                <w:szCs w:val="21"/>
              </w:rPr>
              <w:t>本项目属于新建性质，主要</w:t>
            </w:r>
            <w:r>
              <w:rPr>
                <w:rFonts w:hint="eastAsia"/>
                <w:szCs w:val="21"/>
              </w:rPr>
              <w:t>对道路两侧的居民区及规划敏感点造成影响</w:t>
            </w:r>
            <w:r>
              <w:rPr>
                <w:szCs w:val="21"/>
              </w:rPr>
              <w:t>，为此针对本项目的实际情况提出噪声污染防治措施建议，并根据所需的降噪效果以及是否可实施操作等各种因素的基础上提出可行性建议，项目采用绿化降噪及使用改性沥青低噪声路面作为项目的工程降噪措施。辅以管理措施，本报告提出的防治及管理措施如下：</w:t>
            </w:r>
          </w:p>
          <w:p w14:paraId="0C96B015">
            <w:pPr>
              <w:adjustRightInd w:val="0"/>
              <w:snapToGrid w:val="0"/>
              <w:spacing w:line="500" w:lineRule="auto"/>
              <w:ind w:firstLine="420" w:firstLineChars="200"/>
              <w:jc w:val="left"/>
              <w:rPr>
                <w:szCs w:val="21"/>
              </w:rPr>
            </w:pPr>
            <w:bookmarkStart w:id="61" w:name="_Hlk93586411"/>
            <w:r>
              <w:rPr>
                <w:szCs w:val="21"/>
              </w:rPr>
              <w:t>（1）声源控制。建议本项目确保各种市政管线的井盖与路面保持路面平整，可以有效避免汽车运行过程中轮胎擦碰井盖产生的瞬时高噪声，同时建议运营期加强路面的保养工作，定期对路面进行维护，使其保持良好状态，对降低噪声的影响也是有益的。</w:t>
            </w:r>
          </w:p>
          <w:p w14:paraId="7B2401C4">
            <w:pPr>
              <w:adjustRightInd w:val="0"/>
              <w:snapToGrid w:val="0"/>
              <w:spacing w:line="500" w:lineRule="auto"/>
              <w:ind w:firstLine="420" w:firstLineChars="200"/>
              <w:jc w:val="left"/>
              <w:rPr>
                <w:szCs w:val="21"/>
              </w:rPr>
            </w:pPr>
            <w:r>
              <w:rPr>
                <w:szCs w:val="21"/>
              </w:rPr>
              <w:t>（2）传声途径噪声削减。本项目采用沥青混凝土路面，对噪声有一定的吸收作用；绿化在降噪的同时，可以美化环境、净化空气，本工程设计了绿化带，建议对道路绿化采用种植枝叶茂盛的乔灌木树种，并在不阻碍行车安全的前提下尽量落实“乔灌草”三体绿化，美化景观的同时也增加区域的生物量。</w:t>
            </w:r>
          </w:p>
          <w:p w14:paraId="0B8D2833">
            <w:pPr>
              <w:adjustRightInd w:val="0"/>
              <w:snapToGrid w:val="0"/>
              <w:spacing w:line="500" w:lineRule="auto"/>
              <w:ind w:firstLine="420" w:firstLineChars="200"/>
              <w:jc w:val="left"/>
              <w:rPr>
                <w:szCs w:val="21"/>
              </w:rPr>
            </w:pPr>
            <w:r>
              <w:rPr>
                <w:szCs w:val="21"/>
              </w:rPr>
              <w:t>（3）加强交通、车辆管理。为减轻噪声影响，在通过人口密集的镇区应设立明显车速提醒的警示牌，限制行车速度，设置</w:t>
            </w:r>
            <w:r>
              <w:rPr>
                <w:rFonts w:hint="eastAsia"/>
                <w:szCs w:val="21"/>
              </w:rPr>
              <w:t>车</w:t>
            </w:r>
            <w:r>
              <w:rPr>
                <w:szCs w:val="21"/>
              </w:rPr>
              <w:t>辆鸣笛标志，严格控制大型车在夜间的超速行驶行为，这对于减轻交通噪声十分有用的。</w:t>
            </w:r>
          </w:p>
          <w:p w14:paraId="1451665A">
            <w:pPr>
              <w:adjustRightInd w:val="0"/>
              <w:snapToGrid w:val="0"/>
              <w:spacing w:line="500" w:lineRule="auto"/>
              <w:ind w:firstLine="420" w:firstLineChars="200"/>
              <w:jc w:val="left"/>
              <w:rPr>
                <w:szCs w:val="21"/>
              </w:rPr>
            </w:pPr>
            <w:r>
              <w:rPr>
                <w:szCs w:val="21"/>
              </w:rPr>
              <w:t>（4）在声敏感地段严格限制行车速度，特别是夜间的超速行驶。沿线树立明显的禁鸣标志</w:t>
            </w:r>
            <w:bookmarkEnd w:id="61"/>
            <w:r>
              <w:rPr>
                <w:szCs w:val="21"/>
              </w:rPr>
              <w:t>。</w:t>
            </w:r>
          </w:p>
          <w:p w14:paraId="1ACF18B1">
            <w:pPr>
              <w:adjustRightInd w:val="0"/>
              <w:snapToGrid w:val="0"/>
              <w:spacing w:line="500" w:lineRule="auto"/>
              <w:ind w:firstLine="422" w:firstLineChars="200"/>
              <w:jc w:val="left"/>
              <w:rPr>
                <w:b/>
                <w:bCs/>
                <w:szCs w:val="21"/>
              </w:rPr>
            </w:pPr>
            <w:r>
              <w:rPr>
                <w:rFonts w:hint="eastAsia"/>
                <w:b/>
                <w:bCs/>
                <w:szCs w:val="21"/>
              </w:rPr>
              <w:t>五</w:t>
            </w:r>
            <w:r>
              <w:rPr>
                <w:b/>
                <w:bCs/>
                <w:szCs w:val="21"/>
              </w:rPr>
              <w:t>、运营期固废污染防治措施</w:t>
            </w:r>
          </w:p>
          <w:p w14:paraId="5829E301">
            <w:pPr>
              <w:adjustRightInd w:val="0"/>
              <w:snapToGrid w:val="0"/>
              <w:spacing w:line="500" w:lineRule="auto"/>
              <w:ind w:firstLine="420" w:firstLineChars="200"/>
              <w:jc w:val="left"/>
              <w:rPr>
                <w:szCs w:val="21"/>
              </w:rPr>
            </w:pPr>
            <w:r>
              <w:rPr>
                <w:szCs w:val="21"/>
              </w:rPr>
              <w:t>项目运行后，设专人管理，对道路两侧行人、过往车辆的</w:t>
            </w:r>
            <w:r>
              <w:rPr>
                <w:rFonts w:hint="eastAsia"/>
                <w:szCs w:val="21"/>
              </w:rPr>
              <w:t>洒落物</w:t>
            </w:r>
            <w:r>
              <w:rPr>
                <w:szCs w:val="21"/>
              </w:rPr>
              <w:t>及时打扫和清运，则对周边环境不会产生明显的影响。</w:t>
            </w:r>
          </w:p>
          <w:p w14:paraId="56A144D3">
            <w:pPr>
              <w:adjustRightInd w:val="0"/>
              <w:snapToGrid w:val="0"/>
              <w:spacing w:line="500" w:lineRule="auto"/>
              <w:ind w:firstLine="422" w:firstLineChars="200"/>
              <w:jc w:val="left"/>
              <w:rPr>
                <w:b/>
                <w:bCs/>
                <w:szCs w:val="21"/>
              </w:rPr>
            </w:pPr>
            <w:r>
              <w:rPr>
                <w:rFonts w:hint="eastAsia"/>
                <w:b/>
                <w:bCs/>
                <w:szCs w:val="21"/>
              </w:rPr>
              <w:t>六</w:t>
            </w:r>
            <w:r>
              <w:rPr>
                <w:b/>
                <w:bCs/>
                <w:szCs w:val="21"/>
              </w:rPr>
              <w:t>、</w:t>
            </w:r>
            <w:r>
              <w:rPr>
                <w:rFonts w:hint="eastAsia"/>
                <w:b/>
                <w:bCs/>
                <w:szCs w:val="21"/>
              </w:rPr>
              <w:t>环境</w:t>
            </w:r>
            <w:r>
              <w:rPr>
                <w:b/>
                <w:bCs/>
                <w:szCs w:val="21"/>
              </w:rPr>
              <w:t>风险</w:t>
            </w:r>
          </w:p>
          <w:p w14:paraId="5AA2BF28">
            <w:pPr>
              <w:adjustRightInd w:val="0"/>
              <w:snapToGrid w:val="0"/>
              <w:spacing w:line="500" w:lineRule="auto"/>
              <w:ind w:firstLine="420" w:firstLineChars="200"/>
              <w:jc w:val="left"/>
              <w:rPr>
                <w:szCs w:val="21"/>
              </w:rPr>
            </w:pPr>
            <w:r>
              <w:rPr>
                <w:rFonts w:hint="eastAsia"/>
                <w:szCs w:val="21"/>
              </w:rPr>
              <w:t>本项目属于城市道路建设项目，项目不涉及有毒有害、易燃易爆等危险化学品的生产、储存和使用。</w:t>
            </w:r>
          </w:p>
          <w:p w14:paraId="473AFBA3">
            <w:pPr>
              <w:adjustRightInd w:val="0"/>
              <w:snapToGrid w:val="0"/>
              <w:spacing w:line="500" w:lineRule="auto"/>
              <w:ind w:firstLine="420" w:firstLineChars="200"/>
              <w:jc w:val="left"/>
              <w:rPr>
                <w:szCs w:val="21"/>
              </w:rPr>
            </w:pPr>
            <w:r>
              <w:rPr>
                <w:rFonts w:hint="eastAsia"/>
                <w:szCs w:val="21"/>
              </w:rPr>
              <w:t>本项目属于非污染型的建设项目，仅在施工期产生废水、废气及废渣等，营运期主要为汽车尾气及路面径流污水。在正常状态下，道路本身对沿线区域不会造成环境风险。</w:t>
            </w:r>
          </w:p>
          <w:p w14:paraId="669207AE">
            <w:pPr>
              <w:adjustRightInd w:val="0"/>
              <w:snapToGrid w:val="0"/>
              <w:spacing w:line="500" w:lineRule="auto"/>
              <w:ind w:firstLine="420" w:firstLineChars="200"/>
              <w:jc w:val="left"/>
              <w:rPr>
                <w:szCs w:val="21"/>
              </w:rPr>
            </w:pPr>
          </w:p>
        </w:tc>
      </w:tr>
      <w:tr w14:paraId="74CFFE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409" w:type="pct"/>
            <w:vAlign w:val="center"/>
          </w:tcPr>
          <w:p w14:paraId="21639D4A">
            <w:pPr>
              <w:adjustRightInd w:val="0"/>
              <w:snapToGrid w:val="0"/>
              <w:jc w:val="center"/>
              <w:rPr>
                <w:rFonts w:hint="eastAsia" w:ascii="宋体" w:hAnsi="宋体" w:cs="宋体"/>
                <w:bCs/>
                <w:spacing w:val="10"/>
                <w:szCs w:val="21"/>
              </w:rPr>
            </w:pPr>
            <w:r>
              <w:rPr>
                <w:rFonts w:hint="eastAsia" w:ascii="宋体" w:hAnsi="宋体"/>
                <w:bCs/>
                <w:szCs w:val="21"/>
              </w:rPr>
              <w:t>其他</w:t>
            </w:r>
          </w:p>
        </w:tc>
        <w:tc>
          <w:tcPr>
            <w:tcW w:w="4591" w:type="pct"/>
          </w:tcPr>
          <w:p w14:paraId="11A258FF">
            <w:pPr>
              <w:spacing w:line="500" w:lineRule="exact"/>
              <w:ind w:firstLine="420" w:firstLineChars="200"/>
              <w:jc w:val="left"/>
              <w:rPr>
                <w:szCs w:val="21"/>
              </w:rPr>
            </w:pPr>
            <w:r>
              <w:rPr>
                <w:rFonts w:hint="eastAsia"/>
                <w:szCs w:val="21"/>
              </w:rPr>
              <w:t>根据本项目的污染物排放情况，按照《排污单位自行监测技术指南 总则》（</w:t>
            </w:r>
            <w:r>
              <w:rPr>
                <w:szCs w:val="21"/>
              </w:rPr>
              <w:t>HJ819-2017</w:t>
            </w:r>
            <w:r>
              <w:rPr>
                <w:rFonts w:hint="eastAsia"/>
                <w:szCs w:val="21"/>
              </w:rPr>
              <w:t>）规定，本项目环境监测计划如下表所示。</w:t>
            </w:r>
          </w:p>
          <w:p w14:paraId="2A323657">
            <w:pPr>
              <w:spacing w:before="120" w:beforeLines="50" w:line="360" w:lineRule="auto"/>
              <w:ind w:firstLine="422" w:firstLineChars="200"/>
              <w:jc w:val="center"/>
              <w:rPr>
                <w:b/>
                <w:bCs/>
                <w:szCs w:val="21"/>
              </w:rPr>
            </w:pPr>
            <w:r>
              <w:rPr>
                <w:rFonts w:hint="eastAsia"/>
                <w:b/>
                <w:bCs/>
                <w:szCs w:val="21"/>
              </w:rPr>
              <w:t>表</w:t>
            </w:r>
            <w:r>
              <w:rPr>
                <w:b/>
                <w:bCs/>
                <w:szCs w:val="21"/>
              </w:rPr>
              <w:t xml:space="preserve">5-1 </w:t>
            </w:r>
            <w:r>
              <w:rPr>
                <w:rFonts w:hint="eastAsia"/>
                <w:b/>
                <w:bCs/>
                <w:szCs w:val="21"/>
              </w:rPr>
              <w:t>监测计划一览表</w:t>
            </w:r>
          </w:p>
          <w:tbl>
            <w:tblPr>
              <w:tblStyle w:val="33"/>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854"/>
              <w:gridCol w:w="1701"/>
              <w:gridCol w:w="1134"/>
              <w:gridCol w:w="1697"/>
              <w:gridCol w:w="3042"/>
            </w:tblGrid>
            <w:tr w14:paraId="6FD54F2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shd w:val="clear" w:color="auto" w:fill="auto"/>
                  <w:vAlign w:val="center"/>
                </w:tcPr>
                <w:p w14:paraId="02594B5E">
                  <w:pPr>
                    <w:jc w:val="center"/>
                    <w:rPr>
                      <w:szCs w:val="21"/>
                    </w:rPr>
                  </w:pPr>
                  <w:r>
                    <w:rPr>
                      <w:rFonts w:hint="eastAsia"/>
                      <w:b/>
                      <w:bCs/>
                      <w:szCs w:val="21"/>
                    </w:rPr>
                    <w:t>类别</w:t>
                  </w:r>
                </w:p>
              </w:tc>
              <w:tc>
                <w:tcPr>
                  <w:tcW w:w="854" w:type="dxa"/>
                  <w:shd w:val="clear" w:color="auto" w:fill="auto"/>
                  <w:vAlign w:val="center"/>
                </w:tcPr>
                <w:p w14:paraId="33E3AE1C">
                  <w:pPr>
                    <w:jc w:val="center"/>
                    <w:rPr>
                      <w:szCs w:val="21"/>
                    </w:rPr>
                  </w:pPr>
                  <w:r>
                    <w:rPr>
                      <w:rFonts w:hint="eastAsia"/>
                      <w:b/>
                      <w:bCs/>
                      <w:szCs w:val="21"/>
                    </w:rPr>
                    <w:t>阶段</w:t>
                  </w:r>
                </w:p>
              </w:tc>
              <w:tc>
                <w:tcPr>
                  <w:tcW w:w="1701" w:type="dxa"/>
                  <w:shd w:val="clear" w:color="auto" w:fill="auto"/>
                  <w:vAlign w:val="center"/>
                </w:tcPr>
                <w:p w14:paraId="7F72DB83">
                  <w:pPr>
                    <w:jc w:val="center"/>
                    <w:rPr>
                      <w:szCs w:val="21"/>
                    </w:rPr>
                  </w:pPr>
                  <w:r>
                    <w:rPr>
                      <w:rFonts w:hint="eastAsia"/>
                      <w:b/>
                      <w:bCs/>
                      <w:szCs w:val="21"/>
                    </w:rPr>
                    <w:t>监测项目</w:t>
                  </w:r>
                </w:p>
              </w:tc>
              <w:tc>
                <w:tcPr>
                  <w:tcW w:w="1134" w:type="dxa"/>
                  <w:shd w:val="clear" w:color="auto" w:fill="auto"/>
                  <w:vAlign w:val="center"/>
                </w:tcPr>
                <w:p w14:paraId="02549FC3">
                  <w:pPr>
                    <w:jc w:val="center"/>
                    <w:rPr>
                      <w:szCs w:val="21"/>
                    </w:rPr>
                  </w:pPr>
                  <w:r>
                    <w:rPr>
                      <w:rFonts w:hint="eastAsia"/>
                      <w:b/>
                      <w:bCs/>
                      <w:szCs w:val="21"/>
                    </w:rPr>
                    <w:t>监测点位</w:t>
                  </w:r>
                </w:p>
              </w:tc>
              <w:tc>
                <w:tcPr>
                  <w:tcW w:w="1697" w:type="dxa"/>
                  <w:shd w:val="clear" w:color="auto" w:fill="auto"/>
                  <w:vAlign w:val="center"/>
                </w:tcPr>
                <w:p w14:paraId="47732E2E">
                  <w:pPr>
                    <w:jc w:val="center"/>
                    <w:rPr>
                      <w:szCs w:val="21"/>
                    </w:rPr>
                  </w:pPr>
                  <w:r>
                    <w:rPr>
                      <w:rFonts w:hint="eastAsia"/>
                      <w:b/>
                      <w:bCs/>
                      <w:szCs w:val="21"/>
                    </w:rPr>
                    <w:t>监测频率</w:t>
                  </w:r>
                </w:p>
              </w:tc>
              <w:tc>
                <w:tcPr>
                  <w:tcW w:w="3042" w:type="dxa"/>
                  <w:shd w:val="clear" w:color="auto" w:fill="auto"/>
                  <w:vAlign w:val="center"/>
                </w:tcPr>
                <w:p w14:paraId="4A9B40E3">
                  <w:pPr>
                    <w:jc w:val="center"/>
                    <w:rPr>
                      <w:szCs w:val="21"/>
                    </w:rPr>
                  </w:pPr>
                  <w:r>
                    <w:rPr>
                      <w:rFonts w:hint="eastAsia"/>
                      <w:b/>
                      <w:bCs/>
                      <w:szCs w:val="21"/>
                    </w:rPr>
                    <w:t>执行标准</w:t>
                  </w:r>
                </w:p>
              </w:tc>
            </w:tr>
            <w:tr w14:paraId="6C1722D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shd w:val="clear" w:color="auto" w:fill="auto"/>
                  <w:vAlign w:val="center"/>
                </w:tcPr>
                <w:p w14:paraId="3F86F991">
                  <w:pPr>
                    <w:widowControl/>
                    <w:jc w:val="center"/>
                    <w:rPr>
                      <w:rFonts w:hint="eastAsia" w:ascii="宋体" w:hAnsi="宋体" w:cs="宋体"/>
                      <w:kern w:val="0"/>
                      <w:szCs w:val="21"/>
                    </w:rPr>
                  </w:pPr>
                  <w:r>
                    <w:rPr>
                      <w:rFonts w:hint="eastAsia" w:ascii="宋体" w:hAnsi="宋体" w:cs="宋体"/>
                      <w:kern w:val="0"/>
                      <w:szCs w:val="21"/>
                    </w:rPr>
                    <w:t>水质监测</w:t>
                  </w:r>
                </w:p>
              </w:tc>
              <w:tc>
                <w:tcPr>
                  <w:tcW w:w="854" w:type="dxa"/>
                  <w:shd w:val="clear" w:color="auto" w:fill="auto"/>
                  <w:vAlign w:val="center"/>
                </w:tcPr>
                <w:p w14:paraId="6A0E3B99">
                  <w:pPr>
                    <w:widowControl/>
                    <w:jc w:val="center"/>
                    <w:rPr>
                      <w:rFonts w:hint="eastAsia" w:ascii="宋体" w:hAnsi="宋体" w:cs="宋体"/>
                      <w:kern w:val="0"/>
                      <w:szCs w:val="21"/>
                    </w:rPr>
                  </w:pPr>
                  <w:r>
                    <w:rPr>
                      <w:rFonts w:hint="eastAsia" w:ascii="宋体" w:hAnsi="宋体" w:cs="宋体"/>
                      <w:kern w:val="0"/>
                      <w:szCs w:val="21"/>
                    </w:rPr>
                    <w:t>施工期</w:t>
                  </w:r>
                </w:p>
              </w:tc>
              <w:tc>
                <w:tcPr>
                  <w:tcW w:w="1701" w:type="dxa"/>
                  <w:shd w:val="clear" w:color="auto" w:fill="auto"/>
                  <w:vAlign w:val="center"/>
                </w:tcPr>
                <w:p w14:paraId="53950A32">
                  <w:pPr>
                    <w:widowControl/>
                    <w:jc w:val="center"/>
                    <w:rPr>
                      <w:rFonts w:hint="eastAsia" w:ascii="宋体" w:hAnsi="宋体" w:cs="宋体"/>
                      <w:kern w:val="0"/>
                      <w:szCs w:val="21"/>
                    </w:rPr>
                  </w:pPr>
                  <w:r>
                    <w:rPr>
                      <w:kern w:val="0"/>
                      <w:szCs w:val="21"/>
                    </w:rPr>
                    <w:t>SS</w:t>
                  </w:r>
                  <w:r>
                    <w:rPr>
                      <w:rFonts w:hint="eastAsia" w:ascii="宋体" w:hAnsi="宋体" w:cs="宋体"/>
                      <w:kern w:val="0"/>
                      <w:szCs w:val="21"/>
                    </w:rPr>
                    <w:t>、石油类</w:t>
                  </w:r>
                </w:p>
              </w:tc>
              <w:tc>
                <w:tcPr>
                  <w:tcW w:w="1134" w:type="dxa"/>
                  <w:shd w:val="clear" w:color="auto" w:fill="auto"/>
                  <w:vAlign w:val="center"/>
                </w:tcPr>
                <w:p w14:paraId="095A25F8">
                  <w:pPr>
                    <w:jc w:val="center"/>
                    <w:rPr>
                      <w:szCs w:val="21"/>
                    </w:rPr>
                  </w:pPr>
                  <w:r>
                    <w:rPr>
                      <w:rFonts w:hint="eastAsia"/>
                      <w:kern w:val="0"/>
                      <w:szCs w:val="21"/>
                    </w:rPr>
                    <w:t>白石渠</w:t>
                  </w:r>
                </w:p>
              </w:tc>
              <w:tc>
                <w:tcPr>
                  <w:tcW w:w="1697" w:type="dxa"/>
                  <w:shd w:val="clear" w:color="auto" w:fill="auto"/>
                  <w:vAlign w:val="center"/>
                </w:tcPr>
                <w:p w14:paraId="5CEECDB6">
                  <w:pPr>
                    <w:widowControl/>
                    <w:jc w:val="center"/>
                    <w:rPr>
                      <w:rFonts w:hint="eastAsia" w:ascii="宋体" w:hAnsi="宋体" w:cs="宋体"/>
                      <w:kern w:val="0"/>
                      <w:szCs w:val="21"/>
                    </w:rPr>
                  </w:pPr>
                  <w:r>
                    <w:rPr>
                      <w:rFonts w:hint="eastAsia" w:ascii="宋体" w:hAnsi="宋体" w:cs="宋体"/>
                      <w:kern w:val="0"/>
                      <w:szCs w:val="21"/>
                    </w:rPr>
                    <w:t>根据施工进展情况定，随时抽查</w:t>
                  </w:r>
                </w:p>
              </w:tc>
              <w:tc>
                <w:tcPr>
                  <w:tcW w:w="3042" w:type="dxa"/>
                  <w:shd w:val="clear" w:color="auto" w:fill="auto"/>
                  <w:vAlign w:val="center"/>
                </w:tcPr>
                <w:p w14:paraId="25E76D85">
                  <w:pPr>
                    <w:widowControl/>
                    <w:jc w:val="center"/>
                    <w:rPr>
                      <w:rFonts w:hint="eastAsia" w:ascii="宋体" w:hAnsi="宋体" w:cs="宋体"/>
                      <w:kern w:val="0"/>
                      <w:szCs w:val="21"/>
                    </w:rPr>
                  </w:pPr>
                  <w:r>
                    <w:rPr>
                      <w:rFonts w:hint="eastAsia" w:ascii="宋体" w:hAnsi="宋体" w:cs="宋体"/>
                      <w:kern w:val="0"/>
                      <w:szCs w:val="21"/>
                    </w:rPr>
                    <w:t>《地表水环境质量标准》</w:t>
                  </w:r>
                  <w:r>
                    <w:rPr>
                      <w:rFonts w:hint="eastAsia"/>
                      <w:kern w:val="0"/>
                      <w:szCs w:val="21"/>
                    </w:rPr>
                    <w:t>（</w:t>
                  </w:r>
                  <w:r>
                    <w:rPr>
                      <w:kern w:val="0"/>
                      <w:szCs w:val="21"/>
                    </w:rPr>
                    <w:t>GB3838-2002</w:t>
                  </w:r>
                  <w:r>
                    <w:rPr>
                      <w:rFonts w:hint="eastAsia"/>
                      <w:kern w:val="0"/>
                      <w:szCs w:val="21"/>
                    </w:rPr>
                    <w:t>）</w:t>
                  </w:r>
                  <w:r>
                    <w:rPr>
                      <w:kern w:val="0"/>
                      <w:szCs w:val="21"/>
                    </w:rPr>
                    <w:t>Ⅴ</w:t>
                  </w:r>
                  <w:r>
                    <w:rPr>
                      <w:rFonts w:hint="eastAsia"/>
                      <w:kern w:val="0"/>
                      <w:szCs w:val="21"/>
                    </w:rPr>
                    <w:t>类</w:t>
                  </w:r>
                  <w:r>
                    <w:rPr>
                      <w:rFonts w:hint="eastAsia" w:ascii="宋体" w:hAnsi="宋体" w:cs="宋体"/>
                      <w:kern w:val="0"/>
                      <w:szCs w:val="21"/>
                    </w:rPr>
                    <w:t>标准</w:t>
                  </w:r>
                </w:p>
              </w:tc>
            </w:tr>
            <w:tr w14:paraId="564B1C2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shd w:val="clear" w:color="auto" w:fill="auto"/>
                  <w:vAlign w:val="center"/>
                </w:tcPr>
                <w:p w14:paraId="0D888706">
                  <w:pPr>
                    <w:widowControl/>
                    <w:jc w:val="center"/>
                    <w:rPr>
                      <w:rFonts w:hint="eastAsia" w:ascii="宋体" w:hAnsi="宋体" w:cs="宋体"/>
                      <w:kern w:val="0"/>
                      <w:szCs w:val="21"/>
                    </w:rPr>
                  </w:pPr>
                  <w:r>
                    <w:rPr>
                      <w:rFonts w:hint="eastAsia" w:ascii="宋体" w:hAnsi="宋体" w:cs="宋体"/>
                      <w:kern w:val="0"/>
                      <w:szCs w:val="21"/>
                    </w:rPr>
                    <w:t>废气监测</w:t>
                  </w:r>
                </w:p>
              </w:tc>
              <w:tc>
                <w:tcPr>
                  <w:tcW w:w="854" w:type="dxa"/>
                  <w:shd w:val="clear" w:color="auto" w:fill="auto"/>
                  <w:vAlign w:val="center"/>
                </w:tcPr>
                <w:p w14:paraId="7EBA579A">
                  <w:pPr>
                    <w:jc w:val="center"/>
                    <w:rPr>
                      <w:szCs w:val="21"/>
                    </w:rPr>
                  </w:pPr>
                  <w:r>
                    <w:rPr>
                      <w:rFonts w:hint="eastAsia" w:ascii="宋体" w:hAnsi="宋体" w:cs="宋体"/>
                      <w:kern w:val="0"/>
                      <w:szCs w:val="21"/>
                    </w:rPr>
                    <w:t>施工期</w:t>
                  </w:r>
                </w:p>
              </w:tc>
              <w:tc>
                <w:tcPr>
                  <w:tcW w:w="1701" w:type="dxa"/>
                  <w:shd w:val="clear" w:color="auto" w:fill="auto"/>
                  <w:vAlign w:val="center"/>
                </w:tcPr>
                <w:p w14:paraId="7E0737DB">
                  <w:pPr>
                    <w:widowControl/>
                    <w:jc w:val="center"/>
                    <w:rPr>
                      <w:rFonts w:hint="eastAsia" w:ascii="宋体" w:hAnsi="宋体" w:cs="宋体"/>
                      <w:kern w:val="0"/>
                      <w:szCs w:val="21"/>
                    </w:rPr>
                  </w:pPr>
                  <w:r>
                    <w:rPr>
                      <w:rFonts w:hint="eastAsia" w:ascii="宋体" w:hAnsi="宋体" w:cs="宋体"/>
                      <w:kern w:val="0"/>
                      <w:szCs w:val="21"/>
                    </w:rPr>
                    <w:t>沥青烟、</w:t>
                  </w:r>
                  <w:r>
                    <w:rPr>
                      <w:kern w:val="0"/>
                      <w:szCs w:val="21"/>
                    </w:rPr>
                    <w:t>TSP</w:t>
                  </w:r>
                  <w:r>
                    <w:rPr>
                      <w:rFonts w:hint="eastAsia" w:ascii="宋体" w:hAnsi="宋体" w:cs="宋体"/>
                      <w:kern w:val="0"/>
                      <w:szCs w:val="21"/>
                    </w:rPr>
                    <w:t>、</w:t>
                  </w:r>
                </w:p>
                <w:p w14:paraId="46CA1EC4">
                  <w:pPr>
                    <w:widowControl/>
                    <w:jc w:val="center"/>
                    <w:rPr>
                      <w:rFonts w:hint="eastAsia" w:ascii="宋体" w:hAnsi="宋体" w:cs="宋体"/>
                      <w:kern w:val="0"/>
                      <w:szCs w:val="21"/>
                    </w:rPr>
                  </w:pPr>
                  <w:r>
                    <w:rPr>
                      <w:kern w:val="0"/>
                      <w:szCs w:val="21"/>
                    </w:rPr>
                    <w:t>CO</w:t>
                  </w:r>
                  <w:r>
                    <w:rPr>
                      <w:rFonts w:hint="eastAsia" w:ascii="宋体" w:hAnsi="宋体" w:cs="宋体"/>
                      <w:kern w:val="0"/>
                      <w:szCs w:val="21"/>
                    </w:rPr>
                    <w:t>、</w:t>
                  </w:r>
                  <w:r>
                    <w:rPr>
                      <w:kern w:val="0"/>
                      <w:szCs w:val="21"/>
                    </w:rPr>
                    <w:t>NOx</w:t>
                  </w:r>
                </w:p>
              </w:tc>
              <w:tc>
                <w:tcPr>
                  <w:tcW w:w="1134" w:type="dxa"/>
                  <w:shd w:val="clear" w:color="auto" w:fill="auto"/>
                  <w:vAlign w:val="center"/>
                </w:tcPr>
                <w:p w14:paraId="5A543B77">
                  <w:pPr>
                    <w:jc w:val="center"/>
                    <w:rPr>
                      <w:szCs w:val="21"/>
                    </w:rPr>
                  </w:pPr>
                  <w:r>
                    <w:rPr>
                      <w:rFonts w:hint="eastAsia"/>
                      <w:szCs w:val="21"/>
                    </w:rPr>
                    <w:t>道路两侧</w:t>
                  </w:r>
                </w:p>
              </w:tc>
              <w:tc>
                <w:tcPr>
                  <w:tcW w:w="1697" w:type="dxa"/>
                  <w:shd w:val="clear" w:color="auto" w:fill="auto"/>
                  <w:vAlign w:val="center"/>
                </w:tcPr>
                <w:p w14:paraId="2F97F749">
                  <w:pPr>
                    <w:jc w:val="center"/>
                    <w:rPr>
                      <w:szCs w:val="21"/>
                    </w:rPr>
                  </w:pPr>
                  <w:r>
                    <w:rPr>
                      <w:rFonts w:hint="eastAsia" w:ascii="宋体" w:hAnsi="宋体" w:cs="宋体"/>
                      <w:kern w:val="0"/>
                      <w:szCs w:val="21"/>
                    </w:rPr>
                    <w:t>根据施工进展情况定，随时抽查</w:t>
                  </w:r>
                </w:p>
              </w:tc>
              <w:tc>
                <w:tcPr>
                  <w:tcW w:w="3042" w:type="dxa"/>
                  <w:shd w:val="clear" w:color="auto" w:fill="auto"/>
                  <w:vAlign w:val="center"/>
                </w:tcPr>
                <w:p w14:paraId="554B6430">
                  <w:pPr>
                    <w:jc w:val="center"/>
                    <w:rPr>
                      <w:szCs w:val="21"/>
                    </w:rPr>
                  </w:pPr>
                  <w:r>
                    <w:rPr>
                      <w:rFonts w:hint="eastAsia"/>
                      <w:szCs w:val="21"/>
                    </w:rPr>
                    <w:t>《大气污染物排放限值》（DB44/27-2001）第二时段无组织排放监控浓度限值</w:t>
                  </w:r>
                </w:p>
              </w:tc>
            </w:tr>
            <w:tr w14:paraId="2280B90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vMerge w:val="restart"/>
                  <w:shd w:val="clear" w:color="auto" w:fill="auto"/>
                  <w:vAlign w:val="center"/>
                </w:tcPr>
                <w:p w14:paraId="223BDECD">
                  <w:pPr>
                    <w:jc w:val="center"/>
                    <w:rPr>
                      <w:szCs w:val="21"/>
                    </w:rPr>
                  </w:pPr>
                  <w:r>
                    <w:rPr>
                      <w:rFonts w:hint="eastAsia"/>
                      <w:szCs w:val="21"/>
                    </w:rPr>
                    <w:t>噪声监测</w:t>
                  </w:r>
                </w:p>
              </w:tc>
              <w:tc>
                <w:tcPr>
                  <w:tcW w:w="854" w:type="dxa"/>
                  <w:shd w:val="clear" w:color="auto" w:fill="auto"/>
                  <w:vAlign w:val="center"/>
                </w:tcPr>
                <w:p w14:paraId="2B5BCCF5">
                  <w:pPr>
                    <w:jc w:val="center"/>
                    <w:rPr>
                      <w:szCs w:val="21"/>
                    </w:rPr>
                  </w:pPr>
                  <w:r>
                    <w:rPr>
                      <w:rFonts w:hint="eastAsia" w:ascii="宋体" w:hAnsi="宋体" w:cs="宋体"/>
                      <w:kern w:val="0"/>
                      <w:szCs w:val="21"/>
                    </w:rPr>
                    <w:t>施工期</w:t>
                  </w:r>
                </w:p>
              </w:tc>
              <w:tc>
                <w:tcPr>
                  <w:tcW w:w="1701" w:type="dxa"/>
                  <w:shd w:val="clear" w:color="auto" w:fill="auto"/>
                  <w:vAlign w:val="center"/>
                </w:tcPr>
                <w:p w14:paraId="0E3BFC89">
                  <w:pPr>
                    <w:widowControl/>
                    <w:jc w:val="center"/>
                    <w:rPr>
                      <w:rFonts w:hint="eastAsia" w:ascii="宋体" w:hAnsi="宋体" w:cs="宋体"/>
                      <w:kern w:val="0"/>
                      <w:szCs w:val="21"/>
                    </w:rPr>
                  </w:pPr>
                  <w:r>
                    <w:rPr>
                      <w:rFonts w:hint="eastAsia" w:ascii="宋体" w:hAnsi="宋体" w:cs="宋体"/>
                      <w:kern w:val="0"/>
                      <w:szCs w:val="21"/>
                    </w:rPr>
                    <w:t>连续等效</w:t>
                  </w:r>
                  <w:r>
                    <w:rPr>
                      <w:kern w:val="0"/>
                      <w:szCs w:val="21"/>
                    </w:rPr>
                    <w:t>A</w:t>
                  </w:r>
                  <w:r>
                    <w:rPr>
                      <w:rFonts w:hint="eastAsia" w:ascii="宋体" w:hAnsi="宋体" w:cs="宋体"/>
                      <w:kern w:val="0"/>
                      <w:szCs w:val="21"/>
                    </w:rPr>
                    <w:t>声级</w:t>
                  </w:r>
                </w:p>
              </w:tc>
              <w:tc>
                <w:tcPr>
                  <w:tcW w:w="1134" w:type="dxa"/>
                  <w:shd w:val="clear" w:color="auto" w:fill="auto"/>
                  <w:vAlign w:val="center"/>
                </w:tcPr>
                <w:p w14:paraId="504909D5">
                  <w:pPr>
                    <w:jc w:val="center"/>
                    <w:rPr>
                      <w:szCs w:val="21"/>
                    </w:rPr>
                  </w:pPr>
                  <w:r>
                    <w:rPr>
                      <w:rFonts w:hint="eastAsia"/>
                      <w:szCs w:val="21"/>
                    </w:rPr>
                    <w:t>道路两侧</w:t>
                  </w:r>
                </w:p>
              </w:tc>
              <w:tc>
                <w:tcPr>
                  <w:tcW w:w="1697" w:type="dxa"/>
                  <w:shd w:val="clear" w:color="auto" w:fill="auto"/>
                  <w:vAlign w:val="center"/>
                </w:tcPr>
                <w:p w14:paraId="72EB5B64">
                  <w:pPr>
                    <w:jc w:val="center"/>
                    <w:rPr>
                      <w:szCs w:val="21"/>
                    </w:rPr>
                  </w:pPr>
                  <w:r>
                    <w:rPr>
                      <w:rFonts w:hint="eastAsia" w:ascii="宋体" w:hAnsi="宋体" w:cs="宋体"/>
                      <w:kern w:val="0"/>
                      <w:szCs w:val="21"/>
                    </w:rPr>
                    <w:t>根据施工进展情况定，随时抽查</w:t>
                  </w:r>
                </w:p>
              </w:tc>
              <w:tc>
                <w:tcPr>
                  <w:tcW w:w="3042" w:type="dxa"/>
                  <w:shd w:val="clear" w:color="auto" w:fill="auto"/>
                  <w:vAlign w:val="center"/>
                </w:tcPr>
                <w:p w14:paraId="25DB8F0C">
                  <w:pPr>
                    <w:jc w:val="center"/>
                    <w:rPr>
                      <w:szCs w:val="21"/>
                    </w:rPr>
                  </w:pPr>
                  <w:r>
                    <w:rPr>
                      <w:rFonts w:hint="eastAsia"/>
                      <w:szCs w:val="21"/>
                    </w:rPr>
                    <w:t>《建筑施工场界环境噪声排放标准》(GB12523-2011)标准</w:t>
                  </w:r>
                </w:p>
              </w:tc>
            </w:tr>
            <w:tr w14:paraId="092F094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vMerge w:val="continue"/>
                  <w:shd w:val="clear" w:color="auto" w:fill="auto"/>
                  <w:vAlign w:val="center"/>
                </w:tcPr>
                <w:p w14:paraId="3C63BBF3">
                  <w:pPr>
                    <w:jc w:val="center"/>
                    <w:rPr>
                      <w:szCs w:val="21"/>
                    </w:rPr>
                  </w:pPr>
                </w:p>
              </w:tc>
              <w:tc>
                <w:tcPr>
                  <w:tcW w:w="854" w:type="dxa"/>
                  <w:vMerge w:val="restart"/>
                  <w:shd w:val="clear" w:color="auto" w:fill="auto"/>
                  <w:vAlign w:val="center"/>
                </w:tcPr>
                <w:p w14:paraId="70546990">
                  <w:pPr>
                    <w:widowControl/>
                    <w:jc w:val="center"/>
                    <w:rPr>
                      <w:rFonts w:hint="eastAsia" w:ascii="宋体" w:hAnsi="宋体" w:cs="宋体"/>
                      <w:kern w:val="0"/>
                      <w:szCs w:val="21"/>
                    </w:rPr>
                  </w:pPr>
                  <w:r>
                    <w:rPr>
                      <w:rFonts w:hint="eastAsia" w:ascii="宋体" w:hAnsi="宋体" w:cs="宋体"/>
                      <w:kern w:val="0"/>
                      <w:szCs w:val="21"/>
                    </w:rPr>
                    <w:t>运营期</w:t>
                  </w:r>
                </w:p>
              </w:tc>
              <w:tc>
                <w:tcPr>
                  <w:tcW w:w="1701" w:type="dxa"/>
                  <w:shd w:val="clear" w:color="auto" w:fill="auto"/>
                  <w:vAlign w:val="center"/>
                </w:tcPr>
                <w:p w14:paraId="4400CA84">
                  <w:pPr>
                    <w:widowControl/>
                    <w:jc w:val="center"/>
                    <w:rPr>
                      <w:rFonts w:hint="eastAsia" w:ascii="宋体" w:hAnsi="宋体" w:cs="宋体"/>
                      <w:kern w:val="0"/>
                      <w:szCs w:val="21"/>
                    </w:rPr>
                  </w:pPr>
                  <w:r>
                    <w:rPr>
                      <w:rFonts w:hint="eastAsia" w:ascii="宋体" w:hAnsi="宋体" w:cs="宋体"/>
                      <w:kern w:val="0"/>
                      <w:szCs w:val="21"/>
                    </w:rPr>
                    <w:t>连续等效</w:t>
                  </w:r>
                  <w:r>
                    <w:rPr>
                      <w:kern w:val="0"/>
                      <w:szCs w:val="21"/>
                    </w:rPr>
                    <w:t>A</w:t>
                  </w:r>
                  <w:r>
                    <w:rPr>
                      <w:rFonts w:hint="eastAsia" w:ascii="宋体" w:hAnsi="宋体" w:cs="宋体"/>
                      <w:kern w:val="0"/>
                      <w:szCs w:val="21"/>
                    </w:rPr>
                    <w:t>声级</w:t>
                  </w:r>
                </w:p>
              </w:tc>
              <w:tc>
                <w:tcPr>
                  <w:tcW w:w="1134" w:type="dxa"/>
                  <w:shd w:val="clear" w:color="auto" w:fill="auto"/>
                  <w:vAlign w:val="center"/>
                </w:tcPr>
                <w:p w14:paraId="11FE0802">
                  <w:pPr>
                    <w:jc w:val="center"/>
                    <w:rPr>
                      <w:szCs w:val="21"/>
                    </w:rPr>
                  </w:pPr>
                  <w:r>
                    <w:rPr>
                      <w:rFonts w:hint="eastAsia"/>
                      <w:szCs w:val="21"/>
                    </w:rPr>
                    <w:t>道路两侧</w:t>
                  </w:r>
                </w:p>
              </w:tc>
              <w:tc>
                <w:tcPr>
                  <w:tcW w:w="1697" w:type="dxa"/>
                  <w:shd w:val="clear" w:color="auto" w:fill="auto"/>
                  <w:vAlign w:val="center"/>
                </w:tcPr>
                <w:p w14:paraId="6AEBF58D">
                  <w:pPr>
                    <w:jc w:val="center"/>
                    <w:rPr>
                      <w:szCs w:val="21"/>
                    </w:rPr>
                  </w:pPr>
                  <w:r>
                    <w:rPr>
                      <w:szCs w:val="21"/>
                    </w:rPr>
                    <w:t>每年安排一次监测</w:t>
                  </w:r>
                </w:p>
              </w:tc>
              <w:tc>
                <w:tcPr>
                  <w:tcW w:w="3042" w:type="dxa"/>
                  <w:shd w:val="clear" w:color="auto" w:fill="auto"/>
                  <w:vAlign w:val="center"/>
                </w:tcPr>
                <w:p w14:paraId="5CA12CF7">
                  <w:pPr>
                    <w:widowControl/>
                    <w:jc w:val="center"/>
                    <w:rPr>
                      <w:rFonts w:hint="eastAsia" w:ascii="宋体" w:hAnsi="宋体" w:cs="宋体"/>
                      <w:kern w:val="0"/>
                      <w:szCs w:val="21"/>
                    </w:rPr>
                  </w:pPr>
                  <w:r>
                    <w:rPr>
                      <w:rFonts w:hint="eastAsia" w:ascii="宋体" w:hAnsi="宋体" w:cs="宋体"/>
                      <w:kern w:val="0"/>
                      <w:szCs w:val="21"/>
                    </w:rPr>
                    <w:t>《声环境质量标准》（</w:t>
                  </w:r>
                  <w:r>
                    <w:rPr>
                      <w:kern w:val="0"/>
                      <w:szCs w:val="21"/>
                    </w:rPr>
                    <w:t>GB3096-2008</w:t>
                  </w:r>
                  <w:r>
                    <w:rPr>
                      <w:rFonts w:hint="eastAsia" w:ascii="宋体" w:hAnsi="宋体" w:cs="宋体"/>
                      <w:kern w:val="0"/>
                      <w:szCs w:val="21"/>
                    </w:rPr>
                    <w:t>）</w:t>
                  </w:r>
                  <w:r>
                    <w:rPr>
                      <w:kern w:val="0"/>
                      <w:szCs w:val="21"/>
                    </w:rPr>
                    <w:t>2</w:t>
                  </w:r>
                  <w:r>
                    <w:rPr>
                      <w:rFonts w:hint="eastAsia" w:ascii="宋体" w:hAnsi="宋体" w:cs="宋体"/>
                      <w:kern w:val="0"/>
                      <w:szCs w:val="21"/>
                    </w:rPr>
                    <w:t>类和</w:t>
                  </w:r>
                  <w:r>
                    <w:rPr>
                      <w:kern w:val="0"/>
                      <w:szCs w:val="21"/>
                    </w:rPr>
                    <w:t>4a</w:t>
                  </w:r>
                  <w:r>
                    <w:rPr>
                      <w:rFonts w:hint="eastAsia" w:ascii="宋体" w:hAnsi="宋体" w:cs="宋体"/>
                      <w:kern w:val="0"/>
                      <w:szCs w:val="21"/>
                    </w:rPr>
                    <w:t>类标准</w:t>
                  </w:r>
                </w:p>
              </w:tc>
            </w:tr>
            <w:tr w14:paraId="049439A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vMerge w:val="continue"/>
                  <w:shd w:val="clear" w:color="auto" w:fill="auto"/>
                  <w:vAlign w:val="center"/>
                </w:tcPr>
                <w:p w14:paraId="47DAFE55">
                  <w:pPr>
                    <w:jc w:val="center"/>
                    <w:rPr>
                      <w:szCs w:val="21"/>
                    </w:rPr>
                  </w:pPr>
                </w:p>
              </w:tc>
              <w:tc>
                <w:tcPr>
                  <w:tcW w:w="854" w:type="dxa"/>
                  <w:vMerge w:val="continue"/>
                  <w:shd w:val="clear" w:color="auto" w:fill="auto"/>
                  <w:vAlign w:val="center"/>
                </w:tcPr>
                <w:p w14:paraId="32D48DD9">
                  <w:pPr>
                    <w:widowControl/>
                    <w:jc w:val="center"/>
                    <w:rPr>
                      <w:rFonts w:hint="eastAsia" w:ascii="宋体" w:hAnsi="宋体" w:cs="宋体"/>
                      <w:kern w:val="0"/>
                      <w:szCs w:val="21"/>
                    </w:rPr>
                  </w:pPr>
                </w:p>
              </w:tc>
              <w:tc>
                <w:tcPr>
                  <w:tcW w:w="1701" w:type="dxa"/>
                  <w:shd w:val="clear" w:color="auto" w:fill="auto"/>
                  <w:vAlign w:val="center"/>
                </w:tcPr>
                <w:p w14:paraId="7D72EB26">
                  <w:pPr>
                    <w:widowControl/>
                    <w:jc w:val="center"/>
                    <w:rPr>
                      <w:rFonts w:hint="eastAsia" w:ascii="宋体" w:hAnsi="宋体" w:cs="宋体"/>
                      <w:kern w:val="0"/>
                      <w:szCs w:val="21"/>
                    </w:rPr>
                  </w:pPr>
                  <w:r>
                    <w:rPr>
                      <w:szCs w:val="21"/>
                    </w:rPr>
                    <w:t>等效连续A声级</w:t>
                  </w:r>
                </w:p>
              </w:tc>
              <w:tc>
                <w:tcPr>
                  <w:tcW w:w="1134" w:type="dxa"/>
                  <w:shd w:val="clear" w:color="auto" w:fill="auto"/>
                  <w:vAlign w:val="center"/>
                </w:tcPr>
                <w:p w14:paraId="724E0ECF">
                  <w:pPr>
                    <w:jc w:val="center"/>
                    <w:rPr>
                      <w:szCs w:val="21"/>
                    </w:rPr>
                  </w:pPr>
                  <w:r>
                    <w:rPr>
                      <w:rFonts w:hint="eastAsia"/>
                      <w:szCs w:val="21"/>
                    </w:rPr>
                    <w:t>中海锦宸花园小区</w:t>
                  </w:r>
                </w:p>
              </w:tc>
              <w:tc>
                <w:tcPr>
                  <w:tcW w:w="1697" w:type="dxa"/>
                  <w:shd w:val="clear" w:color="auto" w:fill="auto"/>
                  <w:vAlign w:val="center"/>
                </w:tcPr>
                <w:p w14:paraId="3A070DC2">
                  <w:pPr>
                    <w:jc w:val="center"/>
                    <w:rPr>
                      <w:szCs w:val="21"/>
                    </w:rPr>
                  </w:pPr>
                  <w:r>
                    <w:rPr>
                      <w:szCs w:val="21"/>
                    </w:rPr>
                    <w:t>每年安排一次监测</w:t>
                  </w:r>
                </w:p>
              </w:tc>
              <w:tc>
                <w:tcPr>
                  <w:tcW w:w="3042" w:type="dxa"/>
                  <w:shd w:val="clear" w:color="auto" w:fill="auto"/>
                  <w:vAlign w:val="center"/>
                </w:tcPr>
                <w:p w14:paraId="14E4C6FE">
                  <w:pPr>
                    <w:widowControl/>
                    <w:jc w:val="center"/>
                    <w:rPr>
                      <w:rFonts w:hint="eastAsia" w:ascii="宋体" w:hAnsi="宋体" w:cs="宋体"/>
                      <w:kern w:val="0"/>
                      <w:szCs w:val="21"/>
                    </w:rPr>
                  </w:pPr>
                  <w:r>
                    <w:rPr>
                      <w:szCs w:val="21"/>
                    </w:rPr>
                    <w:t>《声环境质量标准》（GB3096-2008）中的2类标准</w:t>
                  </w:r>
                </w:p>
              </w:tc>
            </w:tr>
          </w:tbl>
          <w:p w14:paraId="4C73FA4E">
            <w:pPr>
              <w:adjustRightInd w:val="0"/>
              <w:snapToGrid w:val="0"/>
              <w:spacing w:line="500" w:lineRule="exact"/>
              <w:ind w:firstLine="420" w:firstLineChars="200"/>
              <w:jc w:val="left"/>
              <w:rPr>
                <w:szCs w:val="21"/>
              </w:rPr>
            </w:pPr>
            <w:r>
              <w:rPr>
                <w:szCs w:val="21"/>
              </w:rPr>
              <w:t>根据国家“三同时”的有关规定，项目的设计、施工、竣工验收等主要环节要落实环境保护措施，建设单位需对工程环保设施进行验收检查。本项目环保设施验收内容详见见下表。</w:t>
            </w:r>
          </w:p>
          <w:p w14:paraId="3989C5CB">
            <w:pPr>
              <w:autoSpaceDE w:val="0"/>
              <w:autoSpaceDN w:val="0"/>
              <w:adjustRightInd w:val="0"/>
              <w:snapToGrid w:val="0"/>
              <w:spacing w:before="120" w:beforeLines="50" w:line="360" w:lineRule="auto"/>
              <w:jc w:val="center"/>
              <w:rPr>
                <w:b/>
                <w:bCs/>
                <w:kern w:val="0"/>
                <w:szCs w:val="21"/>
              </w:rPr>
            </w:pPr>
            <w:r>
              <w:rPr>
                <w:b/>
                <w:bCs/>
                <w:kern w:val="0"/>
                <w:szCs w:val="21"/>
              </w:rPr>
              <w:t>表5-2  “三同时”竣工环保验收内容</w:t>
            </w:r>
          </w:p>
          <w:tbl>
            <w:tblPr>
              <w:tblStyle w:val="33"/>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597"/>
              <w:gridCol w:w="1919"/>
              <w:gridCol w:w="3678"/>
              <w:gridCol w:w="2745"/>
            </w:tblGrid>
            <w:tr w14:paraId="189E16D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Align w:val="center"/>
                </w:tcPr>
                <w:p w14:paraId="0091D2F9">
                  <w:pPr>
                    <w:adjustRightInd w:val="0"/>
                    <w:snapToGrid w:val="0"/>
                    <w:jc w:val="center"/>
                    <w:rPr>
                      <w:b/>
                      <w:spacing w:val="10"/>
                      <w:szCs w:val="21"/>
                    </w:rPr>
                  </w:pPr>
                  <w:r>
                    <w:rPr>
                      <w:b/>
                      <w:spacing w:val="10"/>
                      <w:szCs w:val="21"/>
                    </w:rPr>
                    <w:t>阶段</w:t>
                  </w:r>
                </w:p>
              </w:tc>
              <w:tc>
                <w:tcPr>
                  <w:tcW w:w="314" w:type="pct"/>
                  <w:vAlign w:val="center"/>
                </w:tcPr>
                <w:p w14:paraId="3251C356">
                  <w:pPr>
                    <w:adjustRightInd w:val="0"/>
                    <w:snapToGrid w:val="0"/>
                    <w:jc w:val="center"/>
                    <w:rPr>
                      <w:b/>
                      <w:spacing w:val="10"/>
                      <w:szCs w:val="21"/>
                    </w:rPr>
                  </w:pPr>
                  <w:r>
                    <w:rPr>
                      <w:b/>
                      <w:spacing w:val="10"/>
                      <w:szCs w:val="21"/>
                    </w:rPr>
                    <w:t>项目</w:t>
                  </w:r>
                </w:p>
              </w:tc>
              <w:tc>
                <w:tcPr>
                  <w:tcW w:w="1009" w:type="pct"/>
                  <w:vAlign w:val="center"/>
                </w:tcPr>
                <w:p w14:paraId="4E665BCE">
                  <w:pPr>
                    <w:adjustRightInd w:val="0"/>
                    <w:snapToGrid w:val="0"/>
                    <w:jc w:val="center"/>
                    <w:rPr>
                      <w:b/>
                      <w:spacing w:val="10"/>
                      <w:szCs w:val="21"/>
                    </w:rPr>
                  </w:pPr>
                  <w:r>
                    <w:rPr>
                      <w:b/>
                      <w:spacing w:val="10"/>
                      <w:szCs w:val="21"/>
                    </w:rPr>
                    <w:t>污染源</w:t>
                  </w:r>
                </w:p>
              </w:tc>
              <w:tc>
                <w:tcPr>
                  <w:tcW w:w="1934" w:type="pct"/>
                  <w:vAlign w:val="center"/>
                </w:tcPr>
                <w:p w14:paraId="2CCD1AE3">
                  <w:pPr>
                    <w:adjustRightInd w:val="0"/>
                    <w:snapToGrid w:val="0"/>
                    <w:jc w:val="center"/>
                    <w:rPr>
                      <w:b/>
                      <w:spacing w:val="10"/>
                      <w:szCs w:val="21"/>
                    </w:rPr>
                  </w:pPr>
                  <w:r>
                    <w:rPr>
                      <w:b/>
                      <w:spacing w:val="10"/>
                      <w:szCs w:val="21"/>
                    </w:rPr>
                    <w:t>污染防治措施及验收内容</w:t>
                  </w:r>
                </w:p>
              </w:tc>
              <w:tc>
                <w:tcPr>
                  <w:tcW w:w="1443" w:type="pct"/>
                  <w:vAlign w:val="center"/>
                </w:tcPr>
                <w:p w14:paraId="5CEB968C">
                  <w:pPr>
                    <w:adjustRightInd w:val="0"/>
                    <w:snapToGrid w:val="0"/>
                    <w:jc w:val="center"/>
                    <w:rPr>
                      <w:b/>
                      <w:spacing w:val="10"/>
                      <w:szCs w:val="21"/>
                    </w:rPr>
                  </w:pPr>
                  <w:r>
                    <w:rPr>
                      <w:b/>
                      <w:spacing w:val="10"/>
                      <w:szCs w:val="21"/>
                    </w:rPr>
                    <w:t>验收标准及达到的效果</w:t>
                  </w:r>
                </w:p>
              </w:tc>
            </w:tr>
            <w:tr w14:paraId="51837D0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restart"/>
                  <w:vAlign w:val="center"/>
                </w:tcPr>
                <w:p w14:paraId="1B7B09EB">
                  <w:pPr>
                    <w:adjustRightInd w:val="0"/>
                    <w:snapToGrid w:val="0"/>
                    <w:jc w:val="center"/>
                    <w:rPr>
                      <w:bCs/>
                      <w:spacing w:val="10"/>
                      <w:szCs w:val="21"/>
                    </w:rPr>
                  </w:pPr>
                  <w:r>
                    <w:rPr>
                      <w:bCs/>
                      <w:spacing w:val="10"/>
                      <w:szCs w:val="21"/>
                    </w:rPr>
                    <w:t>施工期</w:t>
                  </w:r>
                </w:p>
              </w:tc>
              <w:tc>
                <w:tcPr>
                  <w:tcW w:w="314" w:type="pct"/>
                  <w:vAlign w:val="center"/>
                </w:tcPr>
                <w:p w14:paraId="30511419">
                  <w:pPr>
                    <w:adjustRightInd w:val="0"/>
                    <w:snapToGrid w:val="0"/>
                    <w:jc w:val="center"/>
                    <w:rPr>
                      <w:bCs/>
                      <w:spacing w:val="10"/>
                      <w:szCs w:val="21"/>
                    </w:rPr>
                  </w:pPr>
                  <w:r>
                    <w:rPr>
                      <w:bCs/>
                      <w:spacing w:val="10"/>
                      <w:szCs w:val="21"/>
                    </w:rPr>
                    <w:t>环境空气</w:t>
                  </w:r>
                </w:p>
              </w:tc>
              <w:tc>
                <w:tcPr>
                  <w:tcW w:w="1009" w:type="pct"/>
                  <w:vAlign w:val="center"/>
                </w:tcPr>
                <w:p w14:paraId="33EDDBE0">
                  <w:pPr>
                    <w:adjustRightInd w:val="0"/>
                    <w:snapToGrid w:val="0"/>
                    <w:jc w:val="center"/>
                    <w:rPr>
                      <w:bCs/>
                      <w:spacing w:val="10"/>
                      <w:szCs w:val="21"/>
                    </w:rPr>
                  </w:pPr>
                  <w:r>
                    <w:rPr>
                      <w:bCs/>
                      <w:spacing w:val="10"/>
                      <w:szCs w:val="21"/>
                    </w:rPr>
                    <w:t>扬尘污染、沥青烟、恶臭</w:t>
                  </w:r>
                </w:p>
              </w:tc>
              <w:tc>
                <w:tcPr>
                  <w:tcW w:w="1934" w:type="pct"/>
                  <w:vAlign w:val="center"/>
                </w:tcPr>
                <w:p w14:paraId="55E2DF3D">
                  <w:pPr>
                    <w:adjustRightInd w:val="0"/>
                    <w:snapToGrid w:val="0"/>
                    <w:rPr>
                      <w:bCs/>
                      <w:spacing w:val="10"/>
                      <w:szCs w:val="21"/>
                    </w:rPr>
                  </w:pPr>
                  <w:r>
                    <w:rPr>
                      <w:rFonts w:ascii="宋体" w:hAnsi="宋体" w:cs="宋体"/>
                      <w:szCs w:val="21"/>
                    </w:rPr>
                    <w:t>施工场地四周设围挡；临时堆土场进行覆盖；配备洒水车，及时对施工场地和进出场道路进行洒水抑尘；运输散状物料车辆进行覆盖；出入口设置车辆冲洗设施；施工现场设防治扬尘责任标识牌；施工人员佩戴防护口罩</w:t>
                  </w:r>
                </w:p>
              </w:tc>
              <w:tc>
                <w:tcPr>
                  <w:tcW w:w="1443" w:type="pct"/>
                  <w:vAlign w:val="center"/>
                </w:tcPr>
                <w:p w14:paraId="7559D951">
                  <w:pPr>
                    <w:adjustRightInd w:val="0"/>
                    <w:snapToGrid w:val="0"/>
                    <w:jc w:val="center"/>
                    <w:rPr>
                      <w:bCs/>
                      <w:spacing w:val="10"/>
                      <w:szCs w:val="21"/>
                    </w:rPr>
                  </w:pPr>
                  <w:r>
                    <w:rPr>
                      <w:rFonts w:ascii="宋体" w:hAnsi="宋体" w:cs="宋体"/>
                      <w:szCs w:val="21"/>
                    </w:rPr>
                    <w:t>《大气污染物排放限值》（DB44/27-2001）第二时段无组织排放监控浓度限值要求</w:t>
                  </w:r>
                </w:p>
              </w:tc>
            </w:tr>
            <w:tr w14:paraId="14CC408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26DDDCC1">
                  <w:pPr>
                    <w:adjustRightInd w:val="0"/>
                    <w:snapToGrid w:val="0"/>
                    <w:jc w:val="center"/>
                    <w:rPr>
                      <w:bCs/>
                      <w:spacing w:val="10"/>
                      <w:szCs w:val="21"/>
                    </w:rPr>
                  </w:pPr>
                </w:p>
              </w:tc>
              <w:tc>
                <w:tcPr>
                  <w:tcW w:w="314" w:type="pct"/>
                  <w:vMerge w:val="restart"/>
                  <w:vAlign w:val="center"/>
                </w:tcPr>
                <w:p w14:paraId="59C50792">
                  <w:pPr>
                    <w:adjustRightInd w:val="0"/>
                    <w:snapToGrid w:val="0"/>
                    <w:jc w:val="center"/>
                    <w:rPr>
                      <w:bCs/>
                      <w:spacing w:val="10"/>
                      <w:szCs w:val="21"/>
                    </w:rPr>
                  </w:pPr>
                  <w:r>
                    <w:rPr>
                      <w:bCs/>
                      <w:spacing w:val="10"/>
                      <w:szCs w:val="21"/>
                    </w:rPr>
                    <w:t>水环境</w:t>
                  </w:r>
                </w:p>
              </w:tc>
              <w:tc>
                <w:tcPr>
                  <w:tcW w:w="1009" w:type="pct"/>
                  <w:vAlign w:val="center"/>
                </w:tcPr>
                <w:p w14:paraId="6A773965">
                  <w:pPr>
                    <w:adjustRightInd w:val="0"/>
                    <w:snapToGrid w:val="0"/>
                    <w:jc w:val="center"/>
                    <w:rPr>
                      <w:bCs/>
                      <w:spacing w:val="10"/>
                      <w:szCs w:val="21"/>
                    </w:rPr>
                  </w:pPr>
                  <w:r>
                    <w:rPr>
                      <w:bCs/>
                      <w:spacing w:val="10"/>
                      <w:szCs w:val="21"/>
                    </w:rPr>
                    <w:t>车辆冲洗废水、混凝土养护废水</w:t>
                  </w:r>
                </w:p>
              </w:tc>
              <w:tc>
                <w:tcPr>
                  <w:tcW w:w="1934" w:type="pct"/>
                  <w:vAlign w:val="center"/>
                </w:tcPr>
                <w:p w14:paraId="435B65A4">
                  <w:pPr>
                    <w:adjustRightInd w:val="0"/>
                    <w:snapToGrid w:val="0"/>
                    <w:jc w:val="center"/>
                    <w:rPr>
                      <w:bCs/>
                      <w:spacing w:val="10"/>
                      <w:szCs w:val="21"/>
                    </w:rPr>
                  </w:pPr>
                  <w:r>
                    <w:rPr>
                      <w:bCs/>
                      <w:spacing w:val="10"/>
                      <w:szCs w:val="21"/>
                    </w:rPr>
                    <w:t>沉淀后循环使用</w:t>
                  </w:r>
                </w:p>
              </w:tc>
              <w:tc>
                <w:tcPr>
                  <w:tcW w:w="1443" w:type="pct"/>
                  <w:vMerge w:val="restart"/>
                  <w:vAlign w:val="center"/>
                </w:tcPr>
                <w:p w14:paraId="52CA221B">
                  <w:pPr>
                    <w:adjustRightInd w:val="0"/>
                    <w:snapToGrid w:val="0"/>
                    <w:jc w:val="center"/>
                    <w:rPr>
                      <w:bCs/>
                      <w:spacing w:val="10"/>
                      <w:szCs w:val="21"/>
                    </w:rPr>
                  </w:pPr>
                  <w:r>
                    <w:rPr>
                      <w:bCs/>
                      <w:spacing w:val="10"/>
                      <w:szCs w:val="21"/>
                    </w:rPr>
                    <w:t>不会对区域水环境造成影响</w:t>
                  </w:r>
                </w:p>
              </w:tc>
            </w:tr>
            <w:tr w14:paraId="0818719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24E43913">
                  <w:pPr>
                    <w:adjustRightInd w:val="0"/>
                    <w:snapToGrid w:val="0"/>
                    <w:jc w:val="center"/>
                    <w:rPr>
                      <w:bCs/>
                      <w:spacing w:val="10"/>
                      <w:szCs w:val="21"/>
                    </w:rPr>
                  </w:pPr>
                </w:p>
              </w:tc>
              <w:tc>
                <w:tcPr>
                  <w:tcW w:w="314" w:type="pct"/>
                  <w:vMerge w:val="continue"/>
                  <w:vAlign w:val="center"/>
                </w:tcPr>
                <w:p w14:paraId="4F0B68EA">
                  <w:pPr>
                    <w:adjustRightInd w:val="0"/>
                    <w:snapToGrid w:val="0"/>
                    <w:jc w:val="center"/>
                    <w:rPr>
                      <w:bCs/>
                      <w:spacing w:val="10"/>
                      <w:szCs w:val="21"/>
                    </w:rPr>
                  </w:pPr>
                </w:p>
              </w:tc>
              <w:tc>
                <w:tcPr>
                  <w:tcW w:w="1009" w:type="pct"/>
                  <w:vAlign w:val="center"/>
                </w:tcPr>
                <w:p w14:paraId="02758972">
                  <w:pPr>
                    <w:adjustRightInd w:val="0"/>
                    <w:snapToGrid w:val="0"/>
                    <w:jc w:val="center"/>
                    <w:rPr>
                      <w:bCs/>
                      <w:spacing w:val="10"/>
                      <w:szCs w:val="21"/>
                    </w:rPr>
                  </w:pPr>
                  <w:r>
                    <w:rPr>
                      <w:bCs/>
                      <w:spacing w:val="10"/>
                      <w:szCs w:val="21"/>
                    </w:rPr>
                    <w:t>施工人员生活污水</w:t>
                  </w:r>
                </w:p>
              </w:tc>
              <w:tc>
                <w:tcPr>
                  <w:tcW w:w="1934" w:type="pct"/>
                  <w:vAlign w:val="center"/>
                </w:tcPr>
                <w:p w14:paraId="59BFE7AF">
                  <w:pPr>
                    <w:adjustRightInd w:val="0"/>
                    <w:snapToGrid w:val="0"/>
                    <w:rPr>
                      <w:bCs/>
                      <w:spacing w:val="10"/>
                      <w:szCs w:val="21"/>
                    </w:rPr>
                  </w:pPr>
                  <w:r>
                    <w:rPr>
                      <w:bCs/>
                      <w:spacing w:val="10"/>
                      <w:szCs w:val="21"/>
                    </w:rPr>
                    <w:t>经移动厕所收集后定期抽运至污水厂处理</w:t>
                  </w:r>
                </w:p>
              </w:tc>
              <w:tc>
                <w:tcPr>
                  <w:tcW w:w="1443" w:type="pct"/>
                  <w:vMerge w:val="continue"/>
                  <w:vAlign w:val="center"/>
                </w:tcPr>
                <w:p w14:paraId="446E4D22">
                  <w:pPr>
                    <w:adjustRightInd w:val="0"/>
                    <w:snapToGrid w:val="0"/>
                    <w:jc w:val="center"/>
                    <w:rPr>
                      <w:bCs/>
                      <w:spacing w:val="10"/>
                      <w:szCs w:val="21"/>
                    </w:rPr>
                  </w:pPr>
                </w:p>
              </w:tc>
            </w:tr>
            <w:tr w14:paraId="35F855E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53CD644D">
                  <w:pPr>
                    <w:adjustRightInd w:val="0"/>
                    <w:snapToGrid w:val="0"/>
                    <w:jc w:val="center"/>
                    <w:rPr>
                      <w:bCs/>
                      <w:spacing w:val="10"/>
                      <w:szCs w:val="21"/>
                    </w:rPr>
                  </w:pPr>
                </w:p>
              </w:tc>
              <w:tc>
                <w:tcPr>
                  <w:tcW w:w="314" w:type="pct"/>
                  <w:vAlign w:val="center"/>
                </w:tcPr>
                <w:p w14:paraId="3BDCC77F">
                  <w:pPr>
                    <w:adjustRightInd w:val="0"/>
                    <w:snapToGrid w:val="0"/>
                    <w:jc w:val="center"/>
                    <w:rPr>
                      <w:bCs/>
                      <w:spacing w:val="10"/>
                      <w:szCs w:val="21"/>
                    </w:rPr>
                  </w:pPr>
                  <w:r>
                    <w:rPr>
                      <w:bCs/>
                      <w:spacing w:val="10"/>
                      <w:szCs w:val="21"/>
                    </w:rPr>
                    <w:t>声环境</w:t>
                  </w:r>
                </w:p>
              </w:tc>
              <w:tc>
                <w:tcPr>
                  <w:tcW w:w="1009" w:type="pct"/>
                  <w:vAlign w:val="center"/>
                </w:tcPr>
                <w:p w14:paraId="2035FF2B">
                  <w:pPr>
                    <w:adjustRightInd w:val="0"/>
                    <w:snapToGrid w:val="0"/>
                    <w:jc w:val="center"/>
                    <w:rPr>
                      <w:bCs/>
                      <w:spacing w:val="10"/>
                      <w:szCs w:val="21"/>
                    </w:rPr>
                  </w:pPr>
                  <w:r>
                    <w:rPr>
                      <w:bCs/>
                      <w:spacing w:val="10"/>
                      <w:szCs w:val="21"/>
                    </w:rPr>
                    <w:t>施工机械噪声</w:t>
                  </w:r>
                </w:p>
              </w:tc>
              <w:tc>
                <w:tcPr>
                  <w:tcW w:w="1934" w:type="pct"/>
                  <w:vAlign w:val="center"/>
                </w:tcPr>
                <w:p w14:paraId="655F77C8">
                  <w:pPr>
                    <w:adjustRightInd w:val="0"/>
                    <w:snapToGrid w:val="0"/>
                    <w:jc w:val="left"/>
                    <w:rPr>
                      <w:bCs/>
                      <w:spacing w:val="10"/>
                      <w:szCs w:val="21"/>
                    </w:rPr>
                  </w:pPr>
                  <w:r>
                    <w:rPr>
                      <w:bCs/>
                      <w:spacing w:val="10"/>
                      <w:szCs w:val="21"/>
                    </w:rPr>
                    <w:t>1、使用低噪声设备；</w:t>
                  </w:r>
                </w:p>
                <w:p w14:paraId="0CFE65DF">
                  <w:pPr>
                    <w:adjustRightInd w:val="0"/>
                    <w:snapToGrid w:val="0"/>
                    <w:jc w:val="left"/>
                    <w:rPr>
                      <w:bCs/>
                      <w:spacing w:val="10"/>
                      <w:szCs w:val="21"/>
                    </w:rPr>
                  </w:pPr>
                  <w:r>
                    <w:rPr>
                      <w:bCs/>
                      <w:spacing w:val="10"/>
                      <w:szCs w:val="21"/>
                    </w:rPr>
                    <w:t>2、合理安排施工时间、高噪声设备夜间不施工；</w:t>
                  </w:r>
                </w:p>
                <w:p w14:paraId="249D472B">
                  <w:pPr>
                    <w:adjustRightInd w:val="0"/>
                    <w:snapToGrid w:val="0"/>
                    <w:jc w:val="left"/>
                    <w:rPr>
                      <w:bCs/>
                      <w:spacing w:val="10"/>
                      <w:szCs w:val="21"/>
                    </w:rPr>
                  </w:pPr>
                  <w:r>
                    <w:rPr>
                      <w:bCs/>
                      <w:spacing w:val="10"/>
                      <w:szCs w:val="21"/>
                    </w:rPr>
                    <w:t>3、对施工机械设备进行维修保养</w:t>
                  </w:r>
                </w:p>
              </w:tc>
              <w:tc>
                <w:tcPr>
                  <w:tcW w:w="1443" w:type="pct"/>
                  <w:vAlign w:val="center"/>
                </w:tcPr>
                <w:p w14:paraId="22D65570">
                  <w:pPr>
                    <w:adjustRightInd w:val="0"/>
                    <w:snapToGrid w:val="0"/>
                    <w:jc w:val="center"/>
                    <w:rPr>
                      <w:bCs/>
                      <w:spacing w:val="10"/>
                      <w:szCs w:val="21"/>
                    </w:rPr>
                  </w:pPr>
                  <w:r>
                    <w:rPr>
                      <w:bCs/>
                      <w:spacing w:val="10"/>
                      <w:szCs w:val="21"/>
                    </w:rPr>
                    <w:t>《建筑施工场界环境噪声排放标准》(GB12523-2011)</w:t>
                  </w:r>
                </w:p>
              </w:tc>
            </w:tr>
            <w:tr w14:paraId="73D65E5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63B660AD">
                  <w:pPr>
                    <w:adjustRightInd w:val="0"/>
                    <w:snapToGrid w:val="0"/>
                    <w:jc w:val="center"/>
                    <w:rPr>
                      <w:bCs/>
                      <w:spacing w:val="10"/>
                      <w:szCs w:val="21"/>
                    </w:rPr>
                  </w:pPr>
                </w:p>
              </w:tc>
              <w:tc>
                <w:tcPr>
                  <w:tcW w:w="314" w:type="pct"/>
                  <w:vMerge w:val="restart"/>
                  <w:vAlign w:val="center"/>
                </w:tcPr>
                <w:p w14:paraId="021A022A">
                  <w:pPr>
                    <w:adjustRightInd w:val="0"/>
                    <w:snapToGrid w:val="0"/>
                    <w:jc w:val="center"/>
                    <w:rPr>
                      <w:bCs/>
                      <w:spacing w:val="10"/>
                      <w:szCs w:val="21"/>
                    </w:rPr>
                  </w:pPr>
                  <w:r>
                    <w:rPr>
                      <w:bCs/>
                      <w:spacing w:val="10"/>
                      <w:szCs w:val="21"/>
                    </w:rPr>
                    <w:t>固体废物</w:t>
                  </w:r>
                </w:p>
              </w:tc>
              <w:tc>
                <w:tcPr>
                  <w:tcW w:w="1009" w:type="pct"/>
                  <w:vAlign w:val="center"/>
                </w:tcPr>
                <w:p w14:paraId="6FA9B0A5">
                  <w:pPr>
                    <w:adjustRightInd w:val="0"/>
                    <w:snapToGrid w:val="0"/>
                    <w:jc w:val="center"/>
                    <w:rPr>
                      <w:bCs/>
                      <w:spacing w:val="10"/>
                      <w:szCs w:val="21"/>
                    </w:rPr>
                  </w:pPr>
                  <w:r>
                    <w:rPr>
                      <w:bCs/>
                      <w:spacing w:val="10"/>
                      <w:szCs w:val="21"/>
                    </w:rPr>
                    <w:t>拆迁建筑垃圾、弃方</w:t>
                  </w:r>
                </w:p>
              </w:tc>
              <w:tc>
                <w:tcPr>
                  <w:tcW w:w="1934" w:type="pct"/>
                  <w:vAlign w:val="center"/>
                </w:tcPr>
                <w:p w14:paraId="7A9AD55D">
                  <w:pPr>
                    <w:adjustRightInd w:val="0"/>
                    <w:snapToGrid w:val="0"/>
                    <w:jc w:val="center"/>
                    <w:rPr>
                      <w:bCs/>
                      <w:spacing w:val="10"/>
                      <w:szCs w:val="21"/>
                    </w:rPr>
                  </w:pPr>
                  <w:r>
                    <w:rPr>
                      <w:rFonts w:hint="eastAsia"/>
                      <w:szCs w:val="21"/>
                    </w:rPr>
                    <w:t>运至博罗县 2013 年度第 72、73 批次县储备用地</w:t>
                  </w:r>
                </w:p>
              </w:tc>
              <w:tc>
                <w:tcPr>
                  <w:tcW w:w="1443" w:type="pct"/>
                  <w:vMerge w:val="restart"/>
                  <w:vAlign w:val="center"/>
                </w:tcPr>
                <w:p w14:paraId="3A5C3B74">
                  <w:pPr>
                    <w:adjustRightInd w:val="0"/>
                    <w:snapToGrid w:val="0"/>
                    <w:jc w:val="center"/>
                    <w:rPr>
                      <w:bCs/>
                      <w:spacing w:val="10"/>
                      <w:szCs w:val="21"/>
                    </w:rPr>
                  </w:pPr>
                  <w:r>
                    <w:rPr>
                      <w:bCs/>
                      <w:spacing w:val="10"/>
                      <w:szCs w:val="21"/>
                    </w:rPr>
                    <w:t>固体废物得到合理处置</w:t>
                  </w:r>
                </w:p>
              </w:tc>
            </w:tr>
            <w:tr w14:paraId="5D70BAA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00E75753">
                  <w:pPr>
                    <w:adjustRightInd w:val="0"/>
                    <w:snapToGrid w:val="0"/>
                    <w:jc w:val="center"/>
                    <w:rPr>
                      <w:bCs/>
                      <w:spacing w:val="10"/>
                      <w:szCs w:val="21"/>
                    </w:rPr>
                  </w:pPr>
                </w:p>
              </w:tc>
              <w:tc>
                <w:tcPr>
                  <w:tcW w:w="314" w:type="pct"/>
                  <w:vMerge w:val="continue"/>
                  <w:vAlign w:val="center"/>
                </w:tcPr>
                <w:p w14:paraId="420F5787">
                  <w:pPr>
                    <w:adjustRightInd w:val="0"/>
                    <w:snapToGrid w:val="0"/>
                    <w:jc w:val="center"/>
                    <w:rPr>
                      <w:bCs/>
                      <w:spacing w:val="10"/>
                      <w:szCs w:val="21"/>
                    </w:rPr>
                  </w:pPr>
                </w:p>
              </w:tc>
              <w:tc>
                <w:tcPr>
                  <w:tcW w:w="1009" w:type="pct"/>
                  <w:vAlign w:val="center"/>
                </w:tcPr>
                <w:p w14:paraId="006FBF48">
                  <w:pPr>
                    <w:adjustRightInd w:val="0"/>
                    <w:snapToGrid w:val="0"/>
                    <w:jc w:val="center"/>
                    <w:rPr>
                      <w:bCs/>
                      <w:spacing w:val="10"/>
                      <w:szCs w:val="21"/>
                    </w:rPr>
                  </w:pPr>
                  <w:r>
                    <w:rPr>
                      <w:bCs/>
                      <w:spacing w:val="10"/>
                      <w:szCs w:val="21"/>
                    </w:rPr>
                    <w:t>施工人员生活垃圾</w:t>
                  </w:r>
                </w:p>
              </w:tc>
              <w:tc>
                <w:tcPr>
                  <w:tcW w:w="1934" w:type="pct"/>
                  <w:vAlign w:val="center"/>
                </w:tcPr>
                <w:p w14:paraId="372D66DA">
                  <w:pPr>
                    <w:adjustRightInd w:val="0"/>
                    <w:snapToGrid w:val="0"/>
                    <w:jc w:val="center"/>
                    <w:rPr>
                      <w:bCs/>
                      <w:spacing w:val="10"/>
                      <w:szCs w:val="21"/>
                    </w:rPr>
                  </w:pPr>
                  <w:r>
                    <w:rPr>
                      <w:bCs/>
                      <w:spacing w:val="10"/>
                      <w:szCs w:val="21"/>
                    </w:rPr>
                    <w:t>由环卫部门统一清运</w:t>
                  </w:r>
                </w:p>
              </w:tc>
              <w:tc>
                <w:tcPr>
                  <w:tcW w:w="1443" w:type="pct"/>
                  <w:vMerge w:val="continue"/>
                  <w:vAlign w:val="center"/>
                </w:tcPr>
                <w:p w14:paraId="41C0B3A5">
                  <w:pPr>
                    <w:adjustRightInd w:val="0"/>
                    <w:snapToGrid w:val="0"/>
                    <w:jc w:val="center"/>
                    <w:rPr>
                      <w:bCs/>
                      <w:spacing w:val="10"/>
                      <w:szCs w:val="21"/>
                    </w:rPr>
                  </w:pPr>
                </w:p>
              </w:tc>
            </w:tr>
            <w:tr w14:paraId="627E598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092CE63F">
                  <w:pPr>
                    <w:adjustRightInd w:val="0"/>
                    <w:snapToGrid w:val="0"/>
                    <w:jc w:val="center"/>
                    <w:rPr>
                      <w:bCs/>
                      <w:spacing w:val="10"/>
                      <w:szCs w:val="21"/>
                    </w:rPr>
                  </w:pPr>
                </w:p>
              </w:tc>
              <w:tc>
                <w:tcPr>
                  <w:tcW w:w="1323" w:type="pct"/>
                  <w:gridSpan w:val="2"/>
                  <w:vAlign w:val="center"/>
                </w:tcPr>
                <w:p w14:paraId="7DE385F9">
                  <w:pPr>
                    <w:adjustRightInd w:val="0"/>
                    <w:snapToGrid w:val="0"/>
                    <w:jc w:val="center"/>
                    <w:rPr>
                      <w:bCs/>
                      <w:spacing w:val="10"/>
                      <w:szCs w:val="21"/>
                    </w:rPr>
                  </w:pPr>
                  <w:r>
                    <w:rPr>
                      <w:bCs/>
                      <w:spacing w:val="10"/>
                      <w:szCs w:val="21"/>
                    </w:rPr>
                    <w:t>生态环境</w:t>
                  </w:r>
                </w:p>
              </w:tc>
              <w:tc>
                <w:tcPr>
                  <w:tcW w:w="1934" w:type="pct"/>
                  <w:vAlign w:val="center"/>
                </w:tcPr>
                <w:p w14:paraId="72CD55D9">
                  <w:pPr>
                    <w:adjustRightInd w:val="0"/>
                    <w:snapToGrid w:val="0"/>
                    <w:jc w:val="center"/>
                    <w:rPr>
                      <w:bCs/>
                      <w:spacing w:val="10"/>
                      <w:szCs w:val="21"/>
                    </w:rPr>
                  </w:pPr>
                  <w:r>
                    <w:rPr>
                      <w:bCs/>
                      <w:spacing w:val="10"/>
                      <w:szCs w:val="21"/>
                    </w:rPr>
                    <w:t>避免水土流失</w:t>
                  </w:r>
                </w:p>
              </w:tc>
              <w:tc>
                <w:tcPr>
                  <w:tcW w:w="1443" w:type="pct"/>
                  <w:vAlign w:val="center"/>
                </w:tcPr>
                <w:p w14:paraId="3E6D93A1">
                  <w:pPr>
                    <w:adjustRightInd w:val="0"/>
                    <w:snapToGrid w:val="0"/>
                    <w:jc w:val="center"/>
                    <w:rPr>
                      <w:bCs/>
                      <w:spacing w:val="10"/>
                      <w:szCs w:val="21"/>
                    </w:rPr>
                  </w:pPr>
                  <w:r>
                    <w:rPr>
                      <w:bCs/>
                      <w:spacing w:val="10"/>
                      <w:szCs w:val="21"/>
                    </w:rPr>
                    <w:t>施工期生态破坏得到补偿</w:t>
                  </w:r>
                </w:p>
              </w:tc>
            </w:tr>
            <w:tr w14:paraId="1CFB1A9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300" w:type="pct"/>
                  <w:vMerge w:val="restart"/>
                  <w:vAlign w:val="center"/>
                </w:tcPr>
                <w:p w14:paraId="271A8EB1">
                  <w:pPr>
                    <w:adjustRightInd w:val="0"/>
                    <w:snapToGrid w:val="0"/>
                    <w:jc w:val="center"/>
                    <w:rPr>
                      <w:bCs/>
                      <w:spacing w:val="10"/>
                      <w:szCs w:val="21"/>
                    </w:rPr>
                  </w:pPr>
                  <w:r>
                    <w:rPr>
                      <w:bCs/>
                      <w:spacing w:val="10"/>
                      <w:szCs w:val="21"/>
                    </w:rPr>
                    <w:t>运营期</w:t>
                  </w:r>
                </w:p>
              </w:tc>
              <w:tc>
                <w:tcPr>
                  <w:tcW w:w="314" w:type="pct"/>
                  <w:vAlign w:val="center"/>
                </w:tcPr>
                <w:p w14:paraId="3E5E3F17">
                  <w:pPr>
                    <w:adjustRightInd w:val="0"/>
                    <w:snapToGrid w:val="0"/>
                    <w:jc w:val="center"/>
                    <w:rPr>
                      <w:bCs/>
                      <w:spacing w:val="10"/>
                      <w:szCs w:val="21"/>
                    </w:rPr>
                  </w:pPr>
                  <w:r>
                    <w:rPr>
                      <w:bCs/>
                      <w:spacing w:val="10"/>
                      <w:szCs w:val="21"/>
                    </w:rPr>
                    <w:t>环境空气</w:t>
                  </w:r>
                </w:p>
              </w:tc>
              <w:tc>
                <w:tcPr>
                  <w:tcW w:w="1009" w:type="pct"/>
                  <w:vAlign w:val="center"/>
                </w:tcPr>
                <w:p w14:paraId="2C567332">
                  <w:pPr>
                    <w:adjustRightInd w:val="0"/>
                    <w:snapToGrid w:val="0"/>
                    <w:jc w:val="center"/>
                    <w:rPr>
                      <w:bCs/>
                      <w:spacing w:val="10"/>
                      <w:szCs w:val="21"/>
                    </w:rPr>
                  </w:pPr>
                  <w:r>
                    <w:rPr>
                      <w:bCs/>
                      <w:spacing w:val="10"/>
                      <w:szCs w:val="21"/>
                    </w:rPr>
                    <w:t>汽车尾气</w:t>
                  </w:r>
                </w:p>
              </w:tc>
              <w:tc>
                <w:tcPr>
                  <w:tcW w:w="1934" w:type="pct"/>
                  <w:vAlign w:val="center"/>
                </w:tcPr>
                <w:p w14:paraId="3DC47F67">
                  <w:pPr>
                    <w:adjustRightInd w:val="0"/>
                    <w:snapToGrid w:val="0"/>
                    <w:jc w:val="left"/>
                    <w:rPr>
                      <w:bCs/>
                      <w:spacing w:val="10"/>
                      <w:szCs w:val="21"/>
                    </w:rPr>
                  </w:pPr>
                  <w:r>
                    <w:rPr>
                      <w:bCs/>
                      <w:spacing w:val="10"/>
                      <w:szCs w:val="21"/>
                    </w:rPr>
                    <w:t>1、加强交通管理，实行汽车排放检查制度，加强运输车辆管理；</w:t>
                  </w:r>
                </w:p>
                <w:p w14:paraId="14299776">
                  <w:pPr>
                    <w:adjustRightInd w:val="0"/>
                    <w:snapToGrid w:val="0"/>
                    <w:jc w:val="left"/>
                    <w:rPr>
                      <w:bCs/>
                      <w:spacing w:val="10"/>
                      <w:szCs w:val="21"/>
                    </w:rPr>
                  </w:pPr>
                  <w:r>
                    <w:rPr>
                      <w:bCs/>
                      <w:spacing w:val="10"/>
                      <w:szCs w:val="21"/>
                    </w:rPr>
                    <w:t>2、经常清洁桥梁桥面并安排洒水车进行洒水，以减少扬尘污染；</w:t>
                  </w:r>
                </w:p>
                <w:p w14:paraId="0C0E1E4F">
                  <w:pPr>
                    <w:adjustRightInd w:val="0"/>
                    <w:snapToGrid w:val="0"/>
                    <w:jc w:val="left"/>
                    <w:rPr>
                      <w:bCs/>
                      <w:spacing w:val="10"/>
                      <w:szCs w:val="21"/>
                    </w:rPr>
                  </w:pPr>
                  <w:r>
                    <w:rPr>
                      <w:bCs/>
                      <w:spacing w:val="10"/>
                      <w:szCs w:val="21"/>
                    </w:rPr>
                    <w:t>3、加强道路管理及路面养护，保持良好运营状态</w:t>
                  </w:r>
                </w:p>
              </w:tc>
              <w:tc>
                <w:tcPr>
                  <w:tcW w:w="1443" w:type="pct"/>
                  <w:vAlign w:val="center"/>
                </w:tcPr>
                <w:p w14:paraId="2EB5F7E8">
                  <w:pPr>
                    <w:adjustRightInd w:val="0"/>
                    <w:snapToGrid w:val="0"/>
                    <w:jc w:val="center"/>
                    <w:rPr>
                      <w:bCs/>
                      <w:spacing w:val="10"/>
                      <w:szCs w:val="21"/>
                    </w:rPr>
                  </w:pPr>
                  <w:r>
                    <w:rPr>
                      <w:bCs/>
                      <w:spacing w:val="10"/>
                      <w:szCs w:val="21"/>
                    </w:rPr>
                    <w:t>/</w:t>
                  </w:r>
                </w:p>
              </w:tc>
            </w:tr>
            <w:tr w14:paraId="2007143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5E22E0BF">
                  <w:pPr>
                    <w:adjustRightInd w:val="0"/>
                    <w:snapToGrid w:val="0"/>
                    <w:jc w:val="center"/>
                    <w:rPr>
                      <w:bCs/>
                      <w:spacing w:val="10"/>
                      <w:szCs w:val="21"/>
                    </w:rPr>
                  </w:pPr>
                </w:p>
              </w:tc>
              <w:tc>
                <w:tcPr>
                  <w:tcW w:w="1323" w:type="pct"/>
                  <w:gridSpan w:val="2"/>
                  <w:vAlign w:val="center"/>
                </w:tcPr>
                <w:p w14:paraId="149D66F0">
                  <w:pPr>
                    <w:adjustRightInd w:val="0"/>
                    <w:snapToGrid w:val="0"/>
                    <w:jc w:val="center"/>
                    <w:rPr>
                      <w:bCs/>
                      <w:spacing w:val="10"/>
                      <w:szCs w:val="21"/>
                    </w:rPr>
                  </w:pPr>
                  <w:r>
                    <w:rPr>
                      <w:bCs/>
                      <w:spacing w:val="10"/>
                      <w:szCs w:val="21"/>
                    </w:rPr>
                    <w:t>声环境</w:t>
                  </w:r>
                </w:p>
              </w:tc>
              <w:tc>
                <w:tcPr>
                  <w:tcW w:w="1934" w:type="pct"/>
                  <w:vAlign w:val="center"/>
                </w:tcPr>
                <w:p w14:paraId="75817DCA">
                  <w:pPr>
                    <w:numPr>
                      <w:ilvl w:val="0"/>
                      <w:numId w:val="5"/>
                    </w:numPr>
                    <w:adjustRightInd w:val="0"/>
                    <w:snapToGrid w:val="0"/>
                    <w:jc w:val="left"/>
                    <w:rPr>
                      <w:bCs/>
                      <w:spacing w:val="10"/>
                      <w:szCs w:val="21"/>
                    </w:rPr>
                  </w:pPr>
                  <w:r>
                    <w:rPr>
                      <w:bCs/>
                      <w:spacing w:val="10"/>
                      <w:szCs w:val="21"/>
                    </w:rPr>
                    <w:t>铺装改性沥青路面；</w:t>
                  </w:r>
                </w:p>
                <w:p w14:paraId="1D589F01">
                  <w:pPr>
                    <w:numPr>
                      <w:ilvl w:val="0"/>
                      <w:numId w:val="5"/>
                    </w:numPr>
                    <w:adjustRightInd w:val="0"/>
                    <w:snapToGrid w:val="0"/>
                    <w:jc w:val="left"/>
                    <w:rPr>
                      <w:bCs/>
                      <w:spacing w:val="10"/>
                      <w:szCs w:val="21"/>
                    </w:rPr>
                  </w:pPr>
                  <w:r>
                    <w:rPr>
                      <w:bCs/>
                      <w:spacing w:val="10"/>
                      <w:szCs w:val="21"/>
                    </w:rPr>
                    <w:t>绿化降噪；</w:t>
                  </w:r>
                </w:p>
                <w:p w14:paraId="2841F676">
                  <w:pPr>
                    <w:numPr>
                      <w:ilvl w:val="0"/>
                      <w:numId w:val="5"/>
                    </w:numPr>
                    <w:adjustRightInd w:val="0"/>
                    <w:snapToGrid w:val="0"/>
                    <w:jc w:val="left"/>
                    <w:rPr>
                      <w:bCs/>
                      <w:spacing w:val="10"/>
                      <w:szCs w:val="21"/>
                    </w:rPr>
                  </w:pPr>
                  <w:r>
                    <w:rPr>
                      <w:bCs/>
                      <w:spacing w:val="10"/>
                      <w:szCs w:val="21"/>
                    </w:rPr>
                    <w:t>控制车速、禁止鸣笛、加强管理</w:t>
                  </w:r>
                </w:p>
              </w:tc>
              <w:tc>
                <w:tcPr>
                  <w:tcW w:w="1443" w:type="pct"/>
                  <w:vAlign w:val="center"/>
                </w:tcPr>
                <w:p w14:paraId="617B1349">
                  <w:pPr>
                    <w:adjustRightInd w:val="0"/>
                    <w:snapToGrid w:val="0"/>
                    <w:jc w:val="center"/>
                    <w:rPr>
                      <w:bCs/>
                      <w:spacing w:val="10"/>
                      <w:szCs w:val="21"/>
                    </w:rPr>
                  </w:pPr>
                  <w:r>
                    <w:rPr>
                      <w:szCs w:val="21"/>
                      <w:lang w:bidi="ar"/>
                    </w:rPr>
                    <w:t>道路边界线两侧35m内执行《声环境质量标准》（GB3096-2008）4a类标准，道路边界线两侧35m外执行《声环境质量标准》（GB3096-2008）2 类标准</w:t>
                  </w:r>
                </w:p>
              </w:tc>
            </w:tr>
            <w:tr w14:paraId="5C53A0D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 w:type="pct"/>
                  <w:vMerge w:val="continue"/>
                  <w:vAlign w:val="center"/>
                </w:tcPr>
                <w:p w14:paraId="749C9550">
                  <w:pPr>
                    <w:adjustRightInd w:val="0"/>
                    <w:snapToGrid w:val="0"/>
                    <w:jc w:val="center"/>
                    <w:rPr>
                      <w:bCs/>
                      <w:spacing w:val="10"/>
                      <w:szCs w:val="21"/>
                    </w:rPr>
                  </w:pPr>
                </w:p>
              </w:tc>
              <w:tc>
                <w:tcPr>
                  <w:tcW w:w="1323" w:type="pct"/>
                  <w:gridSpan w:val="2"/>
                  <w:vAlign w:val="center"/>
                </w:tcPr>
                <w:p w14:paraId="0E54A2A7">
                  <w:pPr>
                    <w:adjustRightInd w:val="0"/>
                    <w:snapToGrid w:val="0"/>
                    <w:jc w:val="center"/>
                    <w:rPr>
                      <w:bCs/>
                      <w:spacing w:val="10"/>
                      <w:szCs w:val="21"/>
                    </w:rPr>
                  </w:pPr>
                  <w:r>
                    <w:rPr>
                      <w:bCs/>
                      <w:spacing w:val="10"/>
                      <w:szCs w:val="21"/>
                    </w:rPr>
                    <w:t>固体废物</w:t>
                  </w:r>
                </w:p>
              </w:tc>
              <w:tc>
                <w:tcPr>
                  <w:tcW w:w="1934" w:type="pct"/>
                  <w:vAlign w:val="center"/>
                </w:tcPr>
                <w:p w14:paraId="4B3B0AE7">
                  <w:pPr>
                    <w:adjustRightInd w:val="0"/>
                    <w:snapToGrid w:val="0"/>
                    <w:rPr>
                      <w:bCs/>
                      <w:spacing w:val="10"/>
                      <w:szCs w:val="21"/>
                    </w:rPr>
                  </w:pPr>
                  <w:r>
                    <w:rPr>
                      <w:bCs/>
                      <w:spacing w:val="10"/>
                      <w:szCs w:val="21"/>
                    </w:rPr>
                    <w:t>沿线设置垃圾箱，行人产生的生活垃圾经集中收集后由当地环卫部门清运处理</w:t>
                  </w:r>
                </w:p>
              </w:tc>
              <w:tc>
                <w:tcPr>
                  <w:tcW w:w="1443" w:type="pct"/>
                  <w:vAlign w:val="center"/>
                </w:tcPr>
                <w:p w14:paraId="51C0FC78">
                  <w:pPr>
                    <w:adjustRightInd w:val="0"/>
                    <w:snapToGrid w:val="0"/>
                    <w:jc w:val="center"/>
                    <w:rPr>
                      <w:bCs/>
                      <w:spacing w:val="10"/>
                      <w:szCs w:val="21"/>
                    </w:rPr>
                  </w:pPr>
                  <w:r>
                    <w:rPr>
                      <w:bCs/>
                      <w:spacing w:val="10"/>
                      <w:szCs w:val="21"/>
                    </w:rPr>
                    <w:t>/</w:t>
                  </w:r>
                </w:p>
              </w:tc>
            </w:tr>
          </w:tbl>
          <w:p w14:paraId="02399AB7">
            <w:pPr>
              <w:adjustRightInd w:val="0"/>
              <w:snapToGrid w:val="0"/>
              <w:jc w:val="center"/>
              <w:rPr>
                <w:rFonts w:hint="eastAsia" w:ascii="宋体" w:hAnsi="宋体" w:cs="宋体"/>
                <w:bCs/>
                <w:spacing w:val="10"/>
                <w:szCs w:val="21"/>
              </w:rPr>
            </w:pPr>
          </w:p>
        </w:tc>
      </w:tr>
      <w:tr w14:paraId="062F4D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1" w:hRule="atLeast"/>
          <w:jc w:val="center"/>
        </w:trPr>
        <w:tc>
          <w:tcPr>
            <w:tcW w:w="409" w:type="pct"/>
            <w:vAlign w:val="center"/>
          </w:tcPr>
          <w:p w14:paraId="6EAF8945">
            <w:pPr>
              <w:adjustRightInd w:val="0"/>
              <w:snapToGrid w:val="0"/>
              <w:jc w:val="center"/>
              <w:rPr>
                <w:rFonts w:hint="eastAsia" w:ascii="宋体" w:hAnsi="宋体" w:cs="宋体"/>
                <w:bCs/>
                <w:spacing w:val="10"/>
                <w:szCs w:val="21"/>
              </w:rPr>
            </w:pPr>
            <w:r>
              <w:rPr>
                <w:rFonts w:hint="eastAsia" w:ascii="宋体" w:hAnsi="宋体"/>
                <w:bCs/>
                <w:szCs w:val="21"/>
              </w:rPr>
              <w:t>环保投资</w:t>
            </w:r>
          </w:p>
        </w:tc>
        <w:tc>
          <w:tcPr>
            <w:tcW w:w="4591" w:type="pct"/>
          </w:tcPr>
          <w:p w14:paraId="5820397E">
            <w:pPr>
              <w:spacing w:line="500" w:lineRule="exact"/>
              <w:ind w:firstLine="420" w:firstLineChars="200"/>
              <w:jc w:val="left"/>
              <w:rPr>
                <w:szCs w:val="21"/>
              </w:rPr>
            </w:pPr>
            <w:r>
              <w:rPr>
                <w:szCs w:val="21"/>
                <w:lang w:bidi="ar"/>
              </w:rPr>
              <w:t>根据项目设计方案及环保措施可知，本项目总投资约</w:t>
            </w:r>
            <w:r>
              <w:rPr>
                <w:rFonts w:hint="eastAsia"/>
                <w:szCs w:val="21"/>
                <w:lang w:bidi="ar"/>
              </w:rPr>
              <w:t>4883.04</w:t>
            </w:r>
            <w:r>
              <w:rPr>
                <w:szCs w:val="21"/>
                <w:lang w:bidi="ar"/>
              </w:rPr>
              <w:t>万元人民币，本报告建议环保投资估算约</w:t>
            </w:r>
            <w:r>
              <w:rPr>
                <w:rFonts w:hint="eastAsia"/>
                <w:szCs w:val="21"/>
                <w:lang w:bidi="ar"/>
              </w:rPr>
              <w:t>218</w:t>
            </w:r>
            <w:r>
              <w:rPr>
                <w:szCs w:val="21"/>
                <w:lang w:bidi="ar"/>
              </w:rPr>
              <w:t>万元，约占项目总投资的</w:t>
            </w:r>
            <w:r>
              <w:rPr>
                <w:rFonts w:hint="eastAsia"/>
                <w:szCs w:val="21"/>
                <w:lang w:bidi="ar"/>
              </w:rPr>
              <w:t>4.46</w:t>
            </w:r>
            <w:r>
              <w:rPr>
                <w:szCs w:val="21"/>
                <w:lang w:bidi="ar"/>
              </w:rPr>
              <w:t>%。投资估算如下表。</w:t>
            </w:r>
          </w:p>
          <w:p w14:paraId="4F0319A8">
            <w:pPr>
              <w:autoSpaceDE w:val="0"/>
              <w:autoSpaceDN w:val="0"/>
              <w:adjustRightInd w:val="0"/>
              <w:snapToGrid w:val="0"/>
              <w:spacing w:before="120" w:beforeLines="50" w:line="360" w:lineRule="auto"/>
              <w:jc w:val="center"/>
              <w:rPr>
                <w:b/>
                <w:bCs/>
                <w:szCs w:val="21"/>
              </w:rPr>
            </w:pPr>
            <w:r>
              <w:rPr>
                <w:b/>
                <w:szCs w:val="21"/>
                <w:lang w:bidi="ar"/>
              </w:rPr>
              <w:t xml:space="preserve"> </w:t>
            </w:r>
            <w:r>
              <w:rPr>
                <w:b/>
                <w:bCs/>
                <w:kern w:val="0"/>
                <w:szCs w:val="21"/>
              </w:rPr>
              <w:t>表5-3 主要环保投资措施及投资估算一览表</w:t>
            </w:r>
          </w:p>
          <w:tbl>
            <w:tblPr>
              <w:tblStyle w:val="33"/>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9"/>
              <w:gridCol w:w="2228"/>
              <w:gridCol w:w="4433"/>
            </w:tblGrid>
            <w:tr w14:paraId="78F871D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806" w:type="dxa"/>
                  <w:shd w:val="clear" w:color="auto" w:fill="auto"/>
                  <w:vAlign w:val="center"/>
                </w:tcPr>
                <w:p w14:paraId="5D430175">
                  <w:pPr>
                    <w:adjustRightInd w:val="0"/>
                    <w:snapToGrid w:val="0"/>
                    <w:jc w:val="center"/>
                    <w:rPr>
                      <w:b/>
                      <w:bCs/>
                      <w:kern w:val="0"/>
                      <w:szCs w:val="21"/>
                      <w:lang w:bidi="ar"/>
                    </w:rPr>
                  </w:pPr>
                  <w:r>
                    <w:rPr>
                      <w:b/>
                      <w:bCs/>
                      <w:kern w:val="0"/>
                      <w:szCs w:val="21"/>
                      <w:lang w:bidi="ar"/>
                    </w:rPr>
                    <w:t>投资项目</w:t>
                  </w:r>
                </w:p>
              </w:tc>
              <w:tc>
                <w:tcPr>
                  <w:tcW w:w="2194" w:type="dxa"/>
                  <w:shd w:val="clear" w:color="auto" w:fill="auto"/>
                  <w:vAlign w:val="center"/>
                </w:tcPr>
                <w:p w14:paraId="0F81BD01">
                  <w:pPr>
                    <w:adjustRightInd w:val="0"/>
                    <w:snapToGrid w:val="0"/>
                    <w:jc w:val="center"/>
                    <w:rPr>
                      <w:b/>
                      <w:bCs/>
                      <w:kern w:val="0"/>
                      <w:szCs w:val="21"/>
                      <w:lang w:bidi="ar"/>
                    </w:rPr>
                  </w:pPr>
                  <w:r>
                    <w:rPr>
                      <w:b/>
                      <w:bCs/>
                      <w:kern w:val="0"/>
                      <w:szCs w:val="21"/>
                      <w:lang w:bidi="ar"/>
                    </w:rPr>
                    <w:t>投资额（万元）</w:t>
                  </w:r>
                </w:p>
              </w:tc>
              <w:tc>
                <w:tcPr>
                  <w:tcW w:w="4366" w:type="dxa"/>
                  <w:shd w:val="clear" w:color="auto" w:fill="auto"/>
                  <w:vAlign w:val="center"/>
                </w:tcPr>
                <w:p w14:paraId="71308BAC">
                  <w:pPr>
                    <w:adjustRightInd w:val="0"/>
                    <w:snapToGrid w:val="0"/>
                    <w:jc w:val="center"/>
                    <w:rPr>
                      <w:b/>
                      <w:bCs/>
                      <w:kern w:val="0"/>
                      <w:szCs w:val="21"/>
                      <w:lang w:bidi="ar"/>
                    </w:rPr>
                  </w:pPr>
                  <w:r>
                    <w:rPr>
                      <w:b/>
                      <w:bCs/>
                      <w:kern w:val="0"/>
                      <w:szCs w:val="21"/>
                      <w:lang w:bidi="ar"/>
                    </w:rPr>
                    <w:t>备注</w:t>
                  </w:r>
                </w:p>
              </w:tc>
            </w:tr>
            <w:tr w14:paraId="594FED1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5202B004">
                  <w:pPr>
                    <w:adjustRightInd w:val="0"/>
                    <w:snapToGrid w:val="0"/>
                    <w:jc w:val="center"/>
                    <w:rPr>
                      <w:kern w:val="0"/>
                      <w:szCs w:val="21"/>
                      <w:lang w:bidi="ar"/>
                    </w:rPr>
                  </w:pPr>
                  <w:r>
                    <w:rPr>
                      <w:kern w:val="0"/>
                      <w:szCs w:val="21"/>
                      <w:lang w:bidi="ar"/>
                    </w:rPr>
                    <w:t>一、环境污染治理投资</w:t>
                  </w:r>
                </w:p>
              </w:tc>
            </w:tr>
            <w:tr w14:paraId="4434F13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4C5B530A">
                  <w:pPr>
                    <w:adjustRightInd w:val="0"/>
                    <w:snapToGrid w:val="0"/>
                    <w:jc w:val="center"/>
                    <w:rPr>
                      <w:kern w:val="0"/>
                      <w:szCs w:val="21"/>
                      <w:lang w:bidi="ar"/>
                    </w:rPr>
                  </w:pPr>
                  <w:r>
                    <w:rPr>
                      <w:kern w:val="0"/>
                      <w:szCs w:val="21"/>
                      <w:lang w:bidi="ar"/>
                    </w:rPr>
                    <w:t>1、地表水污染治理措施：</w:t>
                  </w:r>
                  <w:r>
                    <w:rPr>
                      <w:rFonts w:hint="eastAsia"/>
                      <w:kern w:val="0"/>
                      <w:szCs w:val="21"/>
                      <w:lang w:bidi="ar"/>
                    </w:rPr>
                    <w:t>4</w:t>
                  </w:r>
                  <w:r>
                    <w:rPr>
                      <w:kern w:val="0"/>
                      <w:szCs w:val="21"/>
                      <w:lang w:bidi="ar"/>
                    </w:rPr>
                    <w:t>万元</w:t>
                  </w:r>
                </w:p>
              </w:tc>
            </w:tr>
            <w:tr w14:paraId="3F139C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1DD34149">
                  <w:pPr>
                    <w:adjustRightInd w:val="0"/>
                    <w:snapToGrid w:val="0"/>
                    <w:jc w:val="center"/>
                    <w:rPr>
                      <w:kern w:val="0"/>
                      <w:szCs w:val="21"/>
                      <w:lang w:bidi="ar"/>
                    </w:rPr>
                  </w:pPr>
                  <w:r>
                    <w:rPr>
                      <w:kern w:val="0"/>
                      <w:szCs w:val="21"/>
                      <w:lang w:bidi="ar"/>
                    </w:rPr>
                    <w:t>沉淀池、隔油池</w:t>
                  </w:r>
                </w:p>
              </w:tc>
              <w:tc>
                <w:tcPr>
                  <w:tcW w:w="2194" w:type="dxa"/>
                  <w:shd w:val="clear" w:color="auto" w:fill="auto"/>
                  <w:vAlign w:val="center"/>
                </w:tcPr>
                <w:p w14:paraId="2F3E07A3">
                  <w:pPr>
                    <w:pStyle w:val="74"/>
                    <w:wordWrap/>
                    <w:autoSpaceDE/>
                    <w:autoSpaceDN/>
                    <w:snapToGrid w:val="0"/>
                    <w:rPr>
                      <w:rFonts w:ascii="Times New Roman" w:hAnsi="Times New Roman"/>
                      <w:lang w:val="en-US" w:bidi="ar"/>
                    </w:rPr>
                  </w:pPr>
                  <w:r>
                    <w:rPr>
                      <w:rFonts w:hint="eastAsia" w:ascii="Times New Roman" w:hAnsi="Times New Roman"/>
                      <w:lang w:val="en-US" w:bidi="ar"/>
                    </w:rPr>
                    <w:t>4</w:t>
                  </w:r>
                </w:p>
              </w:tc>
              <w:tc>
                <w:tcPr>
                  <w:tcW w:w="4366" w:type="dxa"/>
                  <w:shd w:val="clear" w:color="auto" w:fill="auto"/>
                  <w:vAlign w:val="center"/>
                </w:tcPr>
                <w:p w14:paraId="077057AE">
                  <w:pPr>
                    <w:pStyle w:val="74"/>
                    <w:wordWrap/>
                    <w:autoSpaceDE/>
                    <w:autoSpaceDN/>
                    <w:snapToGrid w:val="0"/>
                    <w:rPr>
                      <w:rFonts w:ascii="Times New Roman" w:hAnsi="Times New Roman"/>
                      <w:lang w:val="en-US" w:bidi="ar"/>
                    </w:rPr>
                  </w:pPr>
                  <w:r>
                    <w:rPr>
                      <w:rFonts w:ascii="Times New Roman" w:hAnsi="Times New Roman"/>
                      <w:lang w:val="en-US" w:bidi="ar"/>
                    </w:rPr>
                    <w:t>设置4个</w:t>
                  </w:r>
                </w:p>
              </w:tc>
            </w:tr>
            <w:tr w14:paraId="1D97B5F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47942FA6">
                  <w:pPr>
                    <w:adjustRightInd w:val="0"/>
                    <w:snapToGrid w:val="0"/>
                    <w:jc w:val="center"/>
                    <w:rPr>
                      <w:kern w:val="0"/>
                      <w:szCs w:val="21"/>
                      <w:lang w:bidi="ar"/>
                    </w:rPr>
                  </w:pPr>
                  <w:r>
                    <w:rPr>
                      <w:kern w:val="0"/>
                      <w:szCs w:val="21"/>
                      <w:lang w:bidi="ar"/>
                    </w:rPr>
                    <w:t>2、大气污染防范措施：</w:t>
                  </w:r>
                  <w:r>
                    <w:rPr>
                      <w:rFonts w:hint="eastAsia"/>
                      <w:kern w:val="0"/>
                      <w:szCs w:val="21"/>
                      <w:lang w:bidi="ar"/>
                    </w:rPr>
                    <w:t>16</w:t>
                  </w:r>
                  <w:r>
                    <w:rPr>
                      <w:kern w:val="0"/>
                      <w:szCs w:val="21"/>
                      <w:lang w:bidi="ar"/>
                    </w:rPr>
                    <w:t>万元</w:t>
                  </w:r>
                </w:p>
              </w:tc>
            </w:tr>
            <w:tr w14:paraId="03879FC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2952E1D4">
                  <w:pPr>
                    <w:adjustRightInd w:val="0"/>
                    <w:snapToGrid w:val="0"/>
                    <w:jc w:val="center"/>
                    <w:rPr>
                      <w:kern w:val="0"/>
                      <w:szCs w:val="21"/>
                      <w:lang w:bidi="ar"/>
                    </w:rPr>
                  </w:pPr>
                  <w:r>
                    <w:rPr>
                      <w:kern w:val="0"/>
                      <w:szCs w:val="21"/>
                      <w:lang w:bidi="ar"/>
                    </w:rPr>
                    <w:t>施工裸露场地洒水及覆盖</w:t>
                  </w:r>
                </w:p>
              </w:tc>
              <w:tc>
                <w:tcPr>
                  <w:tcW w:w="2194" w:type="dxa"/>
                  <w:shd w:val="clear" w:color="auto" w:fill="auto"/>
                  <w:vAlign w:val="center"/>
                </w:tcPr>
                <w:p w14:paraId="6C3868A8">
                  <w:pPr>
                    <w:adjustRightInd w:val="0"/>
                    <w:snapToGrid w:val="0"/>
                    <w:jc w:val="center"/>
                    <w:rPr>
                      <w:kern w:val="0"/>
                      <w:szCs w:val="21"/>
                      <w:lang w:bidi="ar"/>
                    </w:rPr>
                  </w:pPr>
                  <w:r>
                    <w:rPr>
                      <w:rFonts w:hint="eastAsia"/>
                      <w:kern w:val="0"/>
                      <w:szCs w:val="21"/>
                      <w:lang w:bidi="ar"/>
                    </w:rPr>
                    <w:t>8</w:t>
                  </w:r>
                </w:p>
              </w:tc>
              <w:tc>
                <w:tcPr>
                  <w:tcW w:w="4366" w:type="dxa"/>
                  <w:shd w:val="clear" w:color="auto" w:fill="auto"/>
                  <w:vAlign w:val="center"/>
                </w:tcPr>
                <w:p w14:paraId="204E2F79">
                  <w:pPr>
                    <w:adjustRightInd w:val="0"/>
                    <w:snapToGrid w:val="0"/>
                    <w:jc w:val="center"/>
                    <w:rPr>
                      <w:kern w:val="0"/>
                      <w:szCs w:val="21"/>
                      <w:lang w:bidi="ar"/>
                    </w:rPr>
                  </w:pPr>
                </w:p>
              </w:tc>
            </w:tr>
            <w:tr w14:paraId="6545C14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454DEF98">
                  <w:pPr>
                    <w:adjustRightInd w:val="0"/>
                    <w:snapToGrid w:val="0"/>
                    <w:jc w:val="center"/>
                    <w:rPr>
                      <w:kern w:val="0"/>
                      <w:szCs w:val="21"/>
                      <w:lang w:bidi="ar"/>
                    </w:rPr>
                  </w:pPr>
                  <w:r>
                    <w:rPr>
                      <w:kern w:val="0"/>
                      <w:szCs w:val="21"/>
                      <w:lang w:bidi="ar"/>
                    </w:rPr>
                    <w:t>设置围挡、运输车辆清洗</w:t>
                  </w:r>
                </w:p>
              </w:tc>
              <w:tc>
                <w:tcPr>
                  <w:tcW w:w="2194" w:type="dxa"/>
                  <w:shd w:val="clear" w:color="auto" w:fill="auto"/>
                  <w:vAlign w:val="center"/>
                </w:tcPr>
                <w:p w14:paraId="277DD2A4">
                  <w:pPr>
                    <w:adjustRightInd w:val="0"/>
                    <w:snapToGrid w:val="0"/>
                    <w:jc w:val="center"/>
                    <w:rPr>
                      <w:kern w:val="0"/>
                      <w:szCs w:val="21"/>
                      <w:lang w:bidi="ar"/>
                    </w:rPr>
                  </w:pPr>
                  <w:r>
                    <w:rPr>
                      <w:rFonts w:hint="eastAsia"/>
                      <w:kern w:val="0"/>
                      <w:szCs w:val="21"/>
                      <w:lang w:bidi="ar"/>
                    </w:rPr>
                    <w:t>8</w:t>
                  </w:r>
                </w:p>
              </w:tc>
              <w:tc>
                <w:tcPr>
                  <w:tcW w:w="4366" w:type="dxa"/>
                  <w:shd w:val="clear" w:color="auto" w:fill="auto"/>
                  <w:vAlign w:val="center"/>
                </w:tcPr>
                <w:p w14:paraId="6C191E5D">
                  <w:pPr>
                    <w:adjustRightInd w:val="0"/>
                    <w:snapToGrid w:val="0"/>
                    <w:jc w:val="center"/>
                    <w:rPr>
                      <w:kern w:val="0"/>
                      <w:szCs w:val="21"/>
                      <w:lang w:bidi="ar"/>
                    </w:rPr>
                  </w:pPr>
                  <w:r>
                    <w:rPr>
                      <w:kern w:val="0"/>
                      <w:szCs w:val="21"/>
                      <w:lang w:bidi="ar"/>
                    </w:rPr>
                    <w:t>/</w:t>
                  </w:r>
                </w:p>
              </w:tc>
            </w:tr>
            <w:tr w14:paraId="738DF38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4AB173B4">
                  <w:pPr>
                    <w:adjustRightInd w:val="0"/>
                    <w:snapToGrid w:val="0"/>
                    <w:jc w:val="center"/>
                    <w:rPr>
                      <w:kern w:val="0"/>
                      <w:szCs w:val="21"/>
                      <w:lang w:bidi="ar"/>
                    </w:rPr>
                  </w:pPr>
                  <w:r>
                    <w:rPr>
                      <w:rFonts w:hint="eastAsia"/>
                      <w:kern w:val="0"/>
                      <w:szCs w:val="21"/>
                      <w:lang w:bidi="ar"/>
                    </w:rPr>
                    <w:t>3、噪声</w:t>
                  </w:r>
                  <w:r>
                    <w:rPr>
                      <w:kern w:val="0"/>
                      <w:szCs w:val="21"/>
                      <w:lang w:bidi="ar"/>
                    </w:rPr>
                    <w:t>防范措施</w:t>
                  </w:r>
                  <w:r>
                    <w:rPr>
                      <w:rFonts w:hint="eastAsia"/>
                      <w:kern w:val="0"/>
                      <w:szCs w:val="21"/>
                      <w:lang w:bidi="ar"/>
                    </w:rPr>
                    <w:t>：40</w:t>
                  </w:r>
                  <w:r>
                    <w:rPr>
                      <w:kern w:val="0"/>
                      <w:szCs w:val="21"/>
                      <w:lang w:bidi="ar"/>
                    </w:rPr>
                    <w:t>万元</w:t>
                  </w:r>
                </w:p>
              </w:tc>
            </w:tr>
            <w:tr w14:paraId="28D966C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1C6E4E16">
                  <w:pPr>
                    <w:adjustRightInd w:val="0"/>
                    <w:snapToGrid w:val="0"/>
                    <w:jc w:val="center"/>
                    <w:rPr>
                      <w:kern w:val="0"/>
                      <w:szCs w:val="21"/>
                      <w:lang w:bidi="ar"/>
                    </w:rPr>
                  </w:pPr>
                  <w:r>
                    <w:rPr>
                      <w:rFonts w:hint="eastAsia"/>
                      <w:kern w:val="0"/>
                      <w:szCs w:val="21"/>
                      <w:lang w:bidi="ar"/>
                    </w:rPr>
                    <w:t>低噪声设备</w:t>
                  </w:r>
                </w:p>
              </w:tc>
              <w:tc>
                <w:tcPr>
                  <w:tcW w:w="2194" w:type="dxa"/>
                  <w:shd w:val="clear" w:color="auto" w:fill="auto"/>
                  <w:vAlign w:val="center"/>
                </w:tcPr>
                <w:p w14:paraId="65949938">
                  <w:pPr>
                    <w:adjustRightInd w:val="0"/>
                    <w:snapToGrid w:val="0"/>
                    <w:jc w:val="center"/>
                    <w:rPr>
                      <w:kern w:val="0"/>
                      <w:szCs w:val="21"/>
                      <w:lang w:bidi="ar"/>
                    </w:rPr>
                  </w:pPr>
                  <w:r>
                    <w:rPr>
                      <w:rFonts w:hint="eastAsia"/>
                      <w:kern w:val="0"/>
                      <w:szCs w:val="21"/>
                      <w:lang w:bidi="ar"/>
                    </w:rPr>
                    <w:t>30</w:t>
                  </w:r>
                </w:p>
              </w:tc>
              <w:tc>
                <w:tcPr>
                  <w:tcW w:w="4366" w:type="dxa"/>
                  <w:shd w:val="clear" w:color="auto" w:fill="auto"/>
                  <w:vAlign w:val="center"/>
                </w:tcPr>
                <w:p w14:paraId="568B5DE1">
                  <w:pPr>
                    <w:adjustRightInd w:val="0"/>
                    <w:snapToGrid w:val="0"/>
                    <w:jc w:val="center"/>
                    <w:rPr>
                      <w:kern w:val="0"/>
                      <w:szCs w:val="21"/>
                      <w:lang w:bidi="ar"/>
                    </w:rPr>
                  </w:pPr>
                  <w:r>
                    <w:rPr>
                      <w:kern w:val="0"/>
                      <w:szCs w:val="21"/>
                      <w:lang w:bidi="ar"/>
                    </w:rPr>
                    <w:t>/</w:t>
                  </w:r>
                </w:p>
              </w:tc>
            </w:tr>
            <w:tr w14:paraId="6AACA2D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3045B338">
                  <w:pPr>
                    <w:adjustRightInd w:val="0"/>
                    <w:snapToGrid w:val="0"/>
                    <w:jc w:val="center"/>
                    <w:rPr>
                      <w:kern w:val="0"/>
                      <w:szCs w:val="21"/>
                      <w:lang w:bidi="ar"/>
                    </w:rPr>
                  </w:pPr>
                  <w:r>
                    <w:rPr>
                      <w:szCs w:val="21"/>
                    </w:rPr>
                    <w:t>限速、禁鸣标识</w:t>
                  </w:r>
                </w:p>
              </w:tc>
              <w:tc>
                <w:tcPr>
                  <w:tcW w:w="2194" w:type="dxa"/>
                  <w:shd w:val="clear" w:color="auto" w:fill="auto"/>
                  <w:vAlign w:val="center"/>
                </w:tcPr>
                <w:p w14:paraId="21C77E1F">
                  <w:pPr>
                    <w:adjustRightInd w:val="0"/>
                    <w:snapToGrid w:val="0"/>
                    <w:jc w:val="center"/>
                    <w:rPr>
                      <w:kern w:val="0"/>
                      <w:szCs w:val="21"/>
                      <w:lang w:bidi="ar"/>
                    </w:rPr>
                  </w:pPr>
                  <w:r>
                    <w:rPr>
                      <w:rFonts w:hint="eastAsia"/>
                      <w:kern w:val="0"/>
                      <w:szCs w:val="21"/>
                      <w:lang w:bidi="ar"/>
                    </w:rPr>
                    <w:t>5</w:t>
                  </w:r>
                </w:p>
              </w:tc>
              <w:tc>
                <w:tcPr>
                  <w:tcW w:w="4366" w:type="dxa"/>
                  <w:shd w:val="clear" w:color="auto" w:fill="auto"/>
                  <w:vAlign w:val="center"/>
                </w:tcPr>
                <w:p w14:paraId="3395BB83">
                  <w:pPr>
                    <w:adjustRightInd w:val="0"/>
                    <w:snapToGrid w:val="0"/>
                    <w:jc w:val="center"/>
                    <w:rPr>
                      <w:kern w:val="0"/>
                      <w:szCs w:val="21"/>
                      <w:lang w:bidi="ar"/>
                    </w:rPr>
                  </w:pPr>
                </w:p>
              </w:tc>
            </w:tr>
            <w:tr w14:paraId="6909DAD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4B5793C9">
                  <w:pPr>
                    <w:adjustRightInd w:val="0"/>
                    <w:snapToGrid w:val="0"/>
                    <w:jc w:val="center"/>
                    <w:rPr>
                      <w:szCs w:val="21"/>
                    </w:rPr>
                  </w:pPr>
                  <w:r>
                    <w:rPr>
                      <w:szCs w:val="21"/>
                    </w:rPr>
                    <w:t>交通噪声和环境噪声</w:t>
                  </w:r>
                  <w:r>
                    <w:rPr>
                      <w:rFonts w:hint="eastAsia"/>
                      <w:szCs w:val="21"/>
                    </w:rPr>
                    <w:t>监测</w:t>
                  </w:r>
                </w:p>
              </w:tc>
              <w:tc>
                <w:tcPr>
                  <w:tcW w:w="2194" w:type="dxa"/>
                  <w:shd w:val="clear" w:color="auto" w:fill="auto"/>
                  <w:vAlign w:val="center"/>
                </w:tcPr>
                <w:p w14:paraId="7FC98673">
                  <w:pPr>
                    <w:adjustRightInd w:val="0"/>
                    <w:snapToGrid w:val="0"/>
                    <w:jc w:val="center"/>
                    <w:rPr>
                      <w:kern w:val="0"/>
                      <w:szCs w:val="21"/>
                      <w:lang w:bidi="ar"/>
                    </w:rPr>
                  </w:pPr>
                  <w:r>
                    <w:rPr>
                      <w:rFonts w:hint="eastAsia"/>
                      <w:kern w:val="0"/>
                      <w:szCs w:val="21"/>
                      <w:lang w:bidi="ar"/>
                    </w:rPr>
                    <w:t>5</w:t>
                  </w:r>
                </w:p>
              </w:tc>
              <w:tc>
                <w:tcPr>
                  <w:tcW w:w="4366" w:type="dxa"/>
                  <w:shd w:val="clear" w:color="auto" w:fill="auto"/>
                  <w:vAlign w:val="center"/>
                </w:tcPr>
                <w:p w14:paraId="0EAE431D">
                  <w:pPr>
                    <w:adjustRightInd w:val="0"/>
                    <w:snapToGrid w:val="0"/>
                    <w:jc w:val="center"/>
                    <w:rPr>
                      <w:kern w:val="0"/>
                      <w:szCs w:val="21"/>
                      <w:lang w:bidi="ar"/>
                    </w:rPr>
                  </w:pPr>
                  <w:r>
                    <w:rPr>
                      <w:szCs w:val="21"/>
                    </w:rPr>
                    <w:t>每年安排一次监测</w:t>
                  </w:r>
                </w:p>
              </w:tc>
            </w:tr>
            <w:tr w14:paraId="485468B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5BB1713B">
                  <w:pPr>
                    <w:adjustRightInd w:val="0"/>
                    <w:snapToGrid w:val="0"/>
                    <w:jc w:val="center"/>
                    <w:rPr>
                      <w:kern w:val="0"/>
                      <w:szCs w:val="21"/>
                      <w:lang w:bidi="ar"/>
                    </w:rPr>
                  </w:pPr>
                  <w:r>
                    <w:rPr>
                      <w:kern w:val="0"/>
                      <w:szCs w:val="21"/>
                      <w:lang w:bidi="ar"/>
                    </w:rPr>
                    <w:t>4、固体废物处置措施：30万元</w:t>
                  </w:r>
                </w:p>
              </w:tc>
            </w:tr>
            <w:tr w14:paraId="3D073BD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1319882F">
                  <w:pPr>
                    <w:adjustRightInd w:val="0"/>
                    <w:snapToGrid w:val="0"/>
                    <w:jc w:val="center"/>
                    <w:rPr>
                      <w:szCs w:val="21"/>
                    </w:rPr>
                  </w:pPr>
                  <w:r>
                    <w:rPr>
                      <w:szCs w:val="21"/>
                      <w:lang w:bidi="ar"/>
                    </w:rPr>
                    <w:t>固体废物处置</w:t>
                  </w:r>
                </w:p>
              </w:tc>
              <w:tc>
                <w:tcPr>
                  <w:tcW w:w="2194" w:type="dxa"/>
                  <w:shd w:val="clear" w:color="auto" w:fill="auto"/>
                  <w:vAlign w:val="center"/>
                </w:tcPr>
                <w:p w14:paraId="4B5D4D0B">
                  <w:pPr>
                    <w:adjustRightInd w:val="0"/>
                    <w:snapToGrid w:val="0"/>
                    <w:jc w:val="center"/>
                    <w:rPr>
                      <w:szCs w:val="21"/>
                    </w:rPr>
                  </w:pPr>
                  <w:r>
                    <w:rPr>
                      <w:szCs w:val="21"/>
                    </w:rPr>
                    <w:t>30</w:t>
                  </w:r>
                </w:p>
              </w:tc>
              <w:tc>
                <w:tcPr>
                  <w:tcW w:w="4366" w:type="dxa"/>
                  <w:shd w:val="clear" w:color="auto" w:fill="auto"/>
                  <w:vAlign w:val="center"/>
                </w:tcPr>
                <w:p w14:paraId="4F8E0FD9">
                  <w:pPr>
                    <w:adjustRightInd w:val="0"/>
                    <w:snapToGrid w:val="0"/>
                    <w:jc w:val="center"/>
                    <w:rPr>
                      <w:szCs w:val="21"/>
                    </w:rPr>
                  </w:pPr>
                  <w:r>
                    <w:rPr>
                      <w:szCs w:val="21"/>
                      <w:lang w:bidi="ar"/>
                    </w:rPr>
                    <w:t>建筑垃圾及</w:t>
                  </w:r>
                  <w:r>
                    <w:rPr>
                      <w:rFonts w:hint="eastAsia"/>
                      <w:szCs w:val="21"/>
                      <w:lang w:bidi="ar"/>
                    </w:rPr>
                    <w:t>弃方</w:t>
                  </w:r>
                  <w:r>
                    <w:rPr>
                      <w:szCs w:val="21"/>
                      <w:lang w:bidi="ar"/>
                    </w:rPr>
                    <w:t>等</w:t>
                  </w:r>
                  <w:r>
                    <w:rPr>
                      <w:rFonts w:hint="eastAsia"/>
                      <w:szCs w:val="21"/>
                    </w:rPr>
                    <w:t>运至博罗县 2013 年度第 72、73 批次县储备用地</w:t>
                  </w:r>
                  <w:r>
                    <w:rPr>
                      <w:szCs w:val="21"/>
                      <w:lang w:bidi="ar"/>
                    </w:rPr>
                    <w:t>；生活垃圾交由环卫部门处理</w:t>
                  </w:r>
                </w:p>
              </w:tc>
            </w:tr>
            <w:tr w14:paraId="7C4DE0A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07804CD2">
                  <w:pPr>
                    <w:adjustRightInd w:val="0"/>
                    <w:snapToGrid w:val="0"/>
                    <w:jc w:val="center"/>
                    <w:rPr>
                      <w:kern w:val="0"/>
                      <w:szCs w:val="21"/>
                      <w:lang w:bidi="ar"/>
                    </w:rPr>
                  </w:pPr>
                  <w:r>
                    <w:rPr>
                      <w:kern w:val="0"/>
                      <w:szCs w:val="21"/>
                      <w:lang w:bidi="ar"/>
                    </w:rPr>
                    <w:t>第一部分小计：</w:t>
                  </w:r>
                  <w:r>
                    <w:rPr>
                      <w:rFonts w:hint="eastAsia"/>
                      <w:kern w:val="0"/>
                      <w:szCs w:val="21"/>
                      <w:lang w:bidi="ar"/>
                    </w:rPr>
                    <w:t>90</w:t>
                  </w:r>
                  <w:r>
                    <w:rPr>
                      <w:kern w:val="0"/>
                      <w:szCs w:val="21"/>
                      <w:lang w:bidi="ar"/>
                    </w:rPr>
                    <w:t>万元</w:t>
                  </w:r>
                </w:p>
              </w:tc>
            </w:tr>
            <w:tr w14:paraId="4CFB46A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57665E8A">
                  <w:pPr>
                    <w:adjustRightInd w:val="0"/>
                    <w:snapToGrid w:val="0"/>
                    <w:jc w:val="center"/>
                    <w:rPr>
                      <w:kern w:val="0"/>
                      <w:szCs w:val="21"/>
                      <w:lang w:bidi="ar"/>
                    </w:rPr>
                  </w:pPr>
                  <w:r>
                    <w:rPr>
                      <w:kern w:val="0"/>
                      <w:szCs w:val="21"/>
                      <w:lang w:bidi="ar"/>
                    </w:rPr>
                    <w:t>二、生态环境保护和生态建设投资</w:t>
                  </w:r>
                </w:p>
              </w:tc>
            </w:tr>
            <w:tr w14:paraId="191EC03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4122DB78">
                  <w:pPr>
                    <w:adjustRightInd w:val="0"/>
                    <w:snapToGrid w:val="0"/>
                    <w:jc w:val="center"/>
                    <w:rPr>
                      <w:kern w:val="0"/>
                      <w:szCs w:val="21"/>
                      <w:lang w:bidi="ar"/>
                    </w:rPr>
                  </w:pPr>
                  <w:r>
                    <w:rPr>
                      <w:kern w:val="0"/>
                      <w:szCs w:val="21"/>
                      <w:lang w:bidi="ar"/>
                    </w:rPr>
                    <w:t>水土保持投资</w:t>
                  </w:r>
                </w:p>
              </w:tc>
              <w:tc>
                <w:tcPr>
                  <w:tcW w:w="2194" w:type="dxa"/>
                  <w:shd w:val="clear" w:color="auto" w:fill="auto"/>
                  <w:vAlign w:val="center"/>
                </w:tcPr>
                <w:p w14:paraId="01D7AF7A">
                  <w:pPr>
                    <w:pStyle w:val="74"/>
                    <w:wordWrap/>
                    <w:autoSpaceDE/>
                    <w:autoSpaceDN/>
                    <w:snapToGrid w:val="0"/>
                    <w:rPr>
                      <w:rFonts w:ascii="Times New Roman" w:hAnsi="Times New Roman"/>
                      <w:lang w:val="en-US" w:bidi="ar"/>
                    </w:rPr>
                  </w:pPr>
                  <w:r>
                    <w:rPr>
                      <w:rFonts w:ascii="Times New Roman" w:hAnsi="Times New Roman"/>
                      <w:lang w:val="en-US" w:bidi="ar"/>
                    </w:rPr>
                    <w:t>20</w:t>
                  </w:r>
                </w:p>
              </w:tc>
              <w:tc>
                <w:tcPr>
                  <w:tcW w:w="4366" w:type="dxa"/>
                  <w:shd w:val="clear" w:color="auto" w:fill="auto"/>
                  <w:vAlign w:val="center"/>
                </w:tcPr>
                <w:p w14:paraId="254EC7CF">
                  <w:pPr>
                    <w:pStyle w:val="74"/>
                    <w:wordWrap/>
                    <w:autoSpaceDE/>
                    <w:autoSpaceDN/>
                    <w:snapToGrid w:val="0"/>
                    <w:rPr>
                      <w:rFonts w:ascii="Times New Roman" w:hAnsi="Times New Roman"/>
                      <w:lang w:val="en-US" w:bidi="ar"/>
                    </w:rPr>
                  </w:pPr>
                  <w:r>
                    <w:rPr>
                      <w:rFonts w:ascii="Times New Roman" w:hAnsi="Times New Roman"/>
                      <w:lang w:val="en-US" w:bidi="ar"/>
                    </w:rPr>
                    <w:t>拦挡工程、排水工程</w:t>
                  </w:r>
                  <w:bookmarkStart w:id="62" w:name="_Toc329272918"/>
                  <w:bookmarkStart w:id="63" w:name="_Toc329271608"/>
                  <w:r>
                    <w:rPr>
                      <w:rFonts w:ascii="Times New Roman" w:hAnsi="Times New Roman"/>
                      <w:lang w:val="en-US" w:bidi="ar"/>
                    </w:rPr>
                    <w:t>、浆砌片石护坡</w:t>
                  </w:r>
                  <w:bookmarkEnd w:id="62"/>
                  <w:bookmarkEnd w:id="63"/>
                  <w:r>
                    <w:rPr>
                      <w:rFonts w:ascii="Times New Roman" w:hAnsi="Times New Roman"/>
                      <w:lang w:val="en-US" w:bidi="ar"/>
                    </w:rPr>
                    <w:t>、</w:t>
                  </w:r>
                  <w:bookmarkStart w:id="64" w:name="_Toc329272923"/>
                  <w:bookmarkStart w:id="65" w:name="_Toc329271613"/>
                  <w:r>
                    <w:rPr>
                      <w:rFonts w:ascii="Times New Roman" w:hAnsi="Times New Roman"/>
                      <w:lang w:val="en-US" w:bidi="ar"/>
                    </w:rPr>
                    <w:t>植草防护</w:t>
                  </w:r>
                  <w:bookmarkEnd w:id="64"/>
                  <w:bookmarkEnd w:id="65"/>
                  <w:r>
                    <w:rPr>
                      <w:rFonts w:ascii="Times New Roman" w:hAnsi="Times New Roman"/>
                      <w:lang w:val="en-US" w:bidi="ar"/>
                    </w:rPr>
                    <w:t>等投资</w:t>
                  </w:r>
                </w:p>
              </w:tc>
            </w:tr>
            <w:tr w14:paraId="69918F4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7B474DF6">
                  <w:pPr>
                    <w:adjustRightInd w:val="0"/>
                    <w:snapToGrid w:val="0"/>
                    <w:jc w:val="center"/>
                    <w:rPr>
                      <w:kern w:val="0"/>
                      <w:szCs w:val="21"/>
                      <w:lang w:bidi="ar"/>
                    </w:rPr>
                  </w:pPr>
                  <w:r>
                    <w:rPr>
                      <w:kern w:val="0"/>
                      <w:szCs w:val="21"/>
                      <w:lang w:bidi="ar"/>
                    </w:rPr>
                    <w:t>降低生态环境影响工程建设费</w:t>
                  </w:r>
                </w:p>
              </w:tc>
              <w:tc>
                <w:tcPr>
                  <w:tcW w:w="2194" w:type="dxa"/>
                  <w:shd w:val="clear" w:color="auto" w:fill="auto"/>
                  <w:vAlign w:val="center"/>
                </w:tcPr>
                <w:p w14:paraId="65AC96BF">
                  <w:pPr>
                    <w:pStyle w:val="74"/>
                    <w:wordWrap/>
                    <w:autoSpaceDE/>
                    <w:autoSpaceDN/>
                    <w:snapToGrid w:val="0"/>
                    <w:rPr>
                      <w:rFonts w:ascii="Times New Roman" w:hAnsi="Times New Roman"/>
                      <w:lang w:val="en-US" w:bidi="ar"/>
                    </w:rPr>
                  </w:pPr>
                  <w:r>
                    <w:rPr>
                      <w:rFonts w:ascii="Times New Roman" w:hAnsi="Times New Roman"/>
                      <w:lang w:val="en-US" w:bidi="ar"/>
                    </w:rPr>
                    <w:t>5</w:t>
                  </w:r>
                </w:p>
              </w:tc>
              <w:tc>
                <w:tcPr>
                  <w:tcW w:w="4366" w:type="dxa"/>
                  <w:shd w:val="clear" w:color="auto" w:fill="auto"/>
                  <w:vAlign w:val="center"/>
                </w:tcPr>
                <w:p w14:paraId="2E1F3356">
                  <w:pPr>
                    <w:pStyle w:val="74"/>
                    <w:wordWrap/>
                    <w:autoSpaceDE/>
                    <w:autoSpaceDN/>
                    <w:snapToGrid w:val="0"/>
                    <w:rPr>
                      <w:rFonts w:ascii="Times New Roman" w:hAnsi="Times New Roman"/>
                      <w:lang w:val="en-US" w:bidi="ar"/>
                    </w:rPr>
                  </w:pPr>
                  <w:r>
                    <w:rPr>
                      <w:rFonts w:ascii="Times New Roman" w:hAnsi="Times New Roman"/>
                      <w:lang w:val="en-US" w:bidi="ar"/>
                    </w:rPr>
                    <w:t>标牌、警示牌、宣传牌</w:t>
                  </w:r>
                </w:p>
              </w:tc>
            </w:tr>
            <w:tr w14:paraId="33CE2AE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5DE82C65">
                  <w:pPr>
                    <w:adjustRightInd w:val="0"/>
                    <w:snapToGrid w:val="0"/>
                    <w:jc w:val="center"/>
                    <w:rPr>
                      <w:kern w:val="0"/>
                      <w:szCs w:val="21"/>
                      <w:lang w:bidi="ar"/>
                    </w:rPr>
                  </w:pPr>
                  <w:r>
                    <w:rPr>
                      <w:kern w:val="0"/>
                      <w:szCs w:val="21"/>
                      <w:lang w:bidi="ar"/>
                    </w:rPr>
                    <w:t>生态影响监测费</w:t>
                  </w:r>
                </w:p>
              </w:tc>
              <w:tc>
                <w:tcPr>
                  <w:tcW w:w="2194" w:type="dxa"/>
                  <w:shd w:val="clear" w:color="auto" w:fill="auto"/>
                  <w:vAlign w:val="center"/>
                </w:tcPr>
                <w:p w14:paraId="605257C1">
                  <w:pPr>
                    <w:pStyle w:val="74"/>
                    <w:wordWrap/>
                    <w:autoSpaceDE/>
                    <w:autoSpaceDN/>
                    <w:snapToGrid w:val="0"/>
                    <w:rPr>
                      <w:rFonts w:ascii="Times New Roman" w:hAnsi="Times New Roman"/>
                      <w:lang w:val="en-US" w:bidi="ar"/>
                    </w:rPr>
                  </w:pPr>
                  <w:r>
                    <w:rPr>
                      <w:rFonts w:hint="eastAsia" w:ascii="Times New Roman" w:hAnsi="Times New Roman"/>
                      <w:lang w:val="en-US" w:bidi="ar"/>
                    </w:rPr>
                    <w:t>8</w:t>
                  </w:r>
                </w:p>
              </w:tc>
              <w:tc>
                <w:tcPr>
                  <w:tcW w:w="4366" w:type="dxa"/>
                  <w:shd w:val="clear" w:color="auto" w:fill="auto"/>
                  <w:vAlign w:val="center"/>
                </w:tcPr>
                <w:p w14:paraId="53F459E5">
                  <w:pPr>
                    <w:pStyle w:val="74"/>
                    <w:wordWrap/>
                    <w:autoSpaceDE/>
                    <w:autoSpaceDN/>
                    <w:snapToGrid w:val="0"/>
                    <w:rPr>
                      <w:rFonts w:ascii="Times New Roman" w:hAnsi="Times New Roman"/>
                      <w:lang w:val="en-US" w:bidi="ar"/>
                    </w:rPr>
                  </w:pPr>
                  <w:r>
                    <w:rPr>
                      <w:rFonts w:ascii="Times New Roman" w:hAnsi="Times New Roman"/>
                      <w:lang w:val="en-US" w:bidi="ar"/>
                    </w:rPr>
                    <w:t>环境监测设施、人工费</w:t>
                  </w:r>
                </w:p>
              </w:tc>
            </w:tr>
            <w:tr w14:paraId="322C9D4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743563A9">
                  <w:pPr>
                    <w:adjustRightInd w:val="0"/>
                    <w:snapToGrid w:val="0"/>
                    <w:jc w:val="center"/>
                    <w:rPr>
                      <w:kern w:val="0"/>
                      <w:szCs w:val="21"/>
                      <w:lang w:bidi="ar"/>
                    </w:rPr>
                  </w:pPr>
                  <w:r>
                    <w:rPr>
                      <w:kern w:val="0"/>
                      <w:szCs w:val="21"/>
                      <w:lang w:bidi="ar"/>
                    </w:rPr>
                    <w:t>巡护员巡护费</w:t>
                  </w:r>
                </w:p>
              </w:tc>
              <w:tc>
                <w:tcPr>
                  <w:tcW w:w="2194" w:type="dxa"/>
                  <w:shd w:val="clear" w:color="auto" w:fill="auto"/>
                  <w:vAlign w:val="center"/>
                </w:tcPr>
                <w:p w14:paraId="74739DA4">
                  <w:pPr>
                    <w:pStyle w:val="74"/>
                    <w:wordWrap/>
                    <w:autoSpaceDE/>
                    <w:autoSpaceDN/>
                    <w:snapToGrid w:val="0"/>
                    <w:rPr>
                      <w:rFonts w:ascii="Times New Roman" w:hAnsi="Times New Roman"/>
                      <w:lang w:val="en-US" w:bidi="ar"/>
                    </w:rPr>
                  </w:pPr>
                  <w:r>
                    <w:rPr>
                      <w:rFonts w:hint="eastAsia" w:ascii="Times New Roman" w:hAnsi="Times New Roman"/>
                      <w:lang w:val="en-US" w:bidi="ar"/>
                    </w:rPr>
                    <w:t>1</w:t>
                  </w:r>
                  <w:r>
                    <w:rPr>
                      <w:rFonts w:ascii="Times New Roman" w:hAnsi="Times New Roman"/>
                      <w:lang w:val="en-US" w:bidi="ar"/>
                    </w:rPr>
                    <w:t>0</w:t>
                  </w:r>
                </w:p>
              </w:tc>
              <w:tc>
                <w:tcPr>
                  <w:tcW w:w="4366" w:type="dxa"/>
                  <w:shd w:val="clear" w:color="auto" w:fill="auto"/>
                  <w:vAlign w:val="center"/>
                </w:tcPr>
                <w:p w14:paraId="643FDBC4">
                  <w:pPr>
                    <w:pStyle w:val="74"/>
                    <w:wordWrap/>
                    <w:autoSpaceDE/>
                    <w:autoSpaceDN/>
                    <w:snapToGrid w:val="0"/>
                    <w:rPr>
                      <w:rFonts w:ascii="Times New Roman" w:hAnsi="Times New Roman"/>
                      <w:lang w:val="en-US" w:bidi="ar"/>
                    </w:rPr>
                  </w:pPr>
                  <w:r>
                    <w:rPr>
                      <w:rFonts w:ascii="Times New Roman" w:hAnsi="Times New Roman"/>
                      <w:lang w:val="en-US" w:bidi="ar"/>
                    </w:rPr>
                    <w:t>/</w:t>
                  </w:r>
                </w:p>
              </w:tc>
            </w:tr>
            <w:tr w14:paraId="72D03B2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5A0CE442">
                  <w:pPr>
                    <w:adjustRightInd w:val="0"/>
                    <w:snapToGrid w:val="0"/>
                    <w:jc w:val="center"/>
                    <w:rPr>
                      <w:kern w:val="0"/>
                      <w:szCs w:val="21"/>
                      <w:lang w:bidi="ar"/>
                    </w:rPr>
                  </w:pPr>
                  <w:r>
                    <w:rPr>
                      <w:kern w:val="0"/>
                      <w:szCs w:val="21"/>
                      <w:lang w:bidi="ar"/>
                    </w:rPr>
                    <w:t>第二部分小计：43万元</w:t>
                  </w:r>
                </w:p>
              </w:tc>
            </w:tr>
            <w:tr w14:paraId="4E3A559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3B831F1D">
                  <w:pPr>
                    <w:adjustRightInd w:val="0"/>
                    <w:snapToGrid w:val="0"/>
                    <w:jc w:val="center"/>
                    <w:rPr>
                      <w:kern w:val="0"/>
                      <w:szCs w:val="21"/>
                      <w:lang w:bidi="ar"/>
                    </w:rPr>
                  </w:pPr>
                  <w:r>
                    <w:rPr>
                      <w:kern w:val="0"/>
                      <w:szCs w:val="21"/>
                      <w:lang w:bidi="ar"/>
                    </w:rPr>
                    <w:t>三、运营期环保投资</w:t>
                  </w:r>
                </w:p>
              </w:tc>
            </w:tr>
            <w:tr w14:paraId="091E95C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5BBCB33C">
                  <w:pPr>
                    <w:adjustRightInd w:val="0"/>
                    <w:snapToGrid w:val="0"/>
                    <w:jc w:val="center"/>
                    <w:rPr>
                      <w:szCs w:val="21"/>
                    </w:rPr>
                  </w:pPr>
                  <w:r>
                    <w:rPr>
                      <w:szCs w:val="21"/>
                      <w:lang w:bidi="ar"/>
                    </w:rPr>
                    <w:t>路面维护</w:t>
                  </w:r>
                </w:p>
              </w:tc>
              <w:tc>
                <w:tcPr>
                  <w:tcW w:w="2194" w:type="dxa"/>
                  <w:shd w:val="clear" w:color="auto" w:fill="auto"/>
                  <w:vAlign w:val="center"/>
                </w:tcPr>
                <w:p w14:paraId="2DCC0543">
                  <w:pPr>
                    <w:adjustRightInd w:val="0"/>
                    <w:snapToGrid w:val="0"/>
                    <w:jc w:val="center"/>
                    <w:rPr>
                      <w:kern w:val="0"/>
                      <w:szCs w:val="21"/>
                    </w:rPr>
                  </w:pPr>
                  <w:r>
                    <w:rPr>
                      <w:kern w:val="0"/>
                      <w:szCs w:val="21"/>
                    </w:rPr>
                    <w:t>20</w:t>
                  </w:r>
                </w:p>
              </w:tc>
              <w:tc>
                <w:tcPr>
                  <w:tcW w:w="4366" w:type="dxa"/>
                  <w:shd w:val="clear" w:color="auto" w:fill="auto"/>
                  <w:vAlign w:val="center"/>
                </w:tcPr>
                <w:p w14:paraId="5A37F620">
                  <w:pPr>
                    <w:adjustRightInd w:val="0"/>
                    <w:snapToGrid w:val="0"/>
                    <w:jc w:val="center"/>
                    <w:rPr>
                      <w:kern w:val="0"/>
                      <w:szCs w:val="21"/>
                      <w:lang w:bidi="ar"/>
                    </w:rPr>
                  </w:pPr>
                  <w:r>
                    <w:rPr>
                      <w:kern w:val="0"/>
                      <w:szCs w:val="21"/>
                      <w:lang w:bidi="ar"/>
                    </w:rPr>
                    <w:t>/</w:t>
                  </w:r>
                </w:p>
              </w:tc>
            </w:tr>
            <w:tr w14:paraId="1019B5B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3FC750EA">
                  <w:pPr>
                    <w:pStyle w:val="75"/>
                    <w:adjustRightInd w:val="0"/>
                    <w:snapToGrid w:val="0"/>
                    <w:spacing w:after="0" w:line="240" w:lineRule="auto"/>
                    <w:outlineLvl w:val="9"/>
                    <w:rPr>
                      <w:rFonts w:eastAsia="宋体"/>
                      <w:szCs w:val="21"/>
                    </w:rPr>
                  </w:pPr>
                  <w:r>
                    <w:rPr>
                      <w:rFonts w:eastAsia="宋体"/>
                      <w:szCs w:val="21"/>
                    </w:rPr>
                    <w:t>加强</w:t>
                  </w:r>
                  <w:r>
                    <w:rPr>
                      <w:rFonts w:hint="eastAsia" w:eastAsia="宋体"/>
                      <w:szCs w:val="21"/>
                    </w:rPr>
                    <w:t>道路两岸</w:t>
                  </w:r>
                  <w:r>
                    <w:rPr>
                      <w:rFonts w:eastAsia="宋体"/>
                      <w:szCs w:val="21"/>
                    </w:rPr>
                    <w:t>绿化</w:t>
                  </w:r>
                </w:p>
              </w:tc>
              <w:tc>
                <w:tcPr>
                  <w:tcW w:w="2194" w:type="dxa"/>
                  <w:shd w:val="clear" w:color="auto" w:fill="auto"/>
                  <w:vAlign w:val="center"/>
                </w:tcPr>
                <w:p w14:paraId="41D2E9FF">
                  <w:pPr>
                    <w:adjustRightInd w:val="0"/>
                    <w:snapToGrid w:val="0"/>
                    <w:jc w:val="center"/>
                    <w:rPr>
                      <w:kern w:val="0"/>
                      <w:szCs w:val="21"/>
                    </w:rPr>
                  </w:pPr>
                  <w:r>
                    <w:rPr>
                      <w:kern w:val="0"/>
                      <w:szCs w:val="21"/>
                      <w:lang w:bidi="ar"/>
                    </w:rPr>
                    <w:t>25</w:t>
                  </w:r>
                </w:p>
              </w:tc>
              <w:tc>
                <w:tcPr>
                  <w:tcW w:w="4366" w:type="dxa"/>
                  <w:shd w:val="clear" w:color="auto" w:fill="auto"/>
                  <w:vAlign w:val="center"/>
                </w:tcPr>
                <w:p w14:paraId="6E316689">
                  <w:pPr>
                    <w:adjustRightInd w:val="0"/>
                    <w:snapToGrid w:val="0"/>
                    <w:jc w:val="center"/>
                    <w:rPr>
                      <w:kern w:val="0"/>
                      <w:szCs w:val="21"/>
                      <w:lang w:bidi="ar"/>
                    </w:rPr>
                  </w:pPr>
                </w:p>
              </w:tc>
            </w:tr>
            <w:tr w14:paraId="1F5A047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1151ED19">
                  <w:pPr>
                    <w:pStyle w:val="75"/>
                    <w:adjustRightInd w:val="0"/>
                    <w:snapToGrid w:val="0"/>
                    <w:spacing w:after="0" w:line="240" w:lineRule="auto"/>
                    <w:outlineLvl w:val="9"/>
                    <w:rPr>
                      <w:rFonts w:eastAsia="宋体"/>
                      <w:szCs w:val="21"/>
                    </w:rPr>
                  </w:pPr>
                  <w:r>
                    <w:rPr>
                      <w:rFonts w:hint="eastAsia" w:eastAsia="宋体"/>
                      <w:szCs w:val="21"/>
                    </w:rPr>
                    <w:t>隔声设施</w:t>
                  </w:r>
                </w:p>
              </w:tc>
              <w:tc>
                <w:tcPr>
                  <w:tcW w:w="2194" w:type="dxa"/>
                  <w:shd w:val="clear" w:color="auto" w:fill="auto"/>
                  <w:vAlign w:val="center"/>
                </w:tcPr>
                <w:p w14:paraId="1CEAEF47">
                  <w:pPr>
                    <w:adjustRightInd w:val="0"/>
                    <w:snapToGrid w:val="0"/>
                    <w:jc w:val="center"/>
                    <w:rPr>
                      <w:kern w:val="0"/>
                      <w:szCs w:val="21"/>
                      <w:lang w:bidi="ar"/>
                    </w:rPr>
                  </w:pPr>
                  <w:r>
                    <w:rPr>
                      <w:kern w:val="0"/>
                      <w:szCs w:val="21"/>
                      <w:lang w:bidi="ar"/>
                    </w:rPr>
                    <w:t>10</w:t>
                  </w:r>
                </w:p>
              </w:tc>
              <w:tc>
                <w:tcPr>
                  <w:tcW w:w="4366" w:type="dxa"/>
                  <w:shd w:val="clear" w:color="auto" w:fill="auto"/>
                  <w:vAlign w:val="center"/>
                </w:tcPr>
                <w:p w14:paraId="1478C054">
                  <w:pPr>
                    <w:adjustRightInd w:val="0"/>
                    <w:snapToGrid w:val="0"/>
                    <w:jc w:val="center"/>
                    <w:rPr>
                      <w:kern w:val="0"/>
                      <w:szCs w:val="21"/>
                      <w:lang w:bidi="ar"/>
                    </w:rPr>
                  </w:pPr>
                </w:p>
              </w:tc>
            </w:tr>
            <w:tr w14:paraId="06400E2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1224C3AD">
                  <w:pPr>
                    <w:adjustRightInd w:val="0"/>
                    <w:snapToGrid w:val="0"/>
                    <w:jc w:val="center"/>
                    <w:rPr>
                      <w:szCs w:val="21"/>
                    </w:rPr>
                  </w:pPr>
                  <w:r>
                    <w:rPr>
                      <w:szCs w:val="21"/>
                      <w:lang w:bidi="ar"/>
                    </w:rPr>
                    <w:t>固体废物处置</w:t>
                  </w:r>
                </w:p>
              </w:tc>
              <w:tc>
                <w:tcPr>
                  <w:tcW w:w="2194" w:type="dxa"/>
                  <w:shd w:val="clear" w:color="auto" w:fill="auto"/>
                  <w:vAlign w:val="center"/>
                </w:tcPr>
                <w:p w14:paraId="045CD268">
                  <w:pPr>
                    <w:adjustRightInd w:val="0"/>
                    <w:snapToGrid w:val="0"/>
                    <w:jc w:val="center"/>
                    <w:rPr>
                      <w:kern w:val="0"/>
                      <w:szCs w:val="21"/>
                    </w:rPr>
                  </w:pPr>
                  <w:r>
                    <w:rPr>
                      <w:kern w:val="0"/>
                      <w:szCs w:val="21"/>
                      <w:lang w:bidi="ar"/>
                    </w:rPr>
                    <w:t>5</w:t>
                  </w:r>
                </w:p>
              </w:tc>
              <w:tc>
                <w:tcPr>
                  <w:tcW w:w="4366" w:type="dxa"/>
                  <w:shd w:val="clear" w:color="auto" w:fill="auto"/>
                  <w:vAlign w:val="center"/>
                </w:tcPr>
                <w:p w14:paraId="7A77DCA5">
                  <w:pPr>
                    <w:adjustRightInd w:val="0"/>
                    <w:snapToGrid w:val="0"/>
                    <w:jc w:val="center"/>
                    <w:rPr>
                      <w:kern w:val="0"/>
                      <w:szCs w:val="21"/>
                      <w:lang w:bidi="ar"/>
                    </w:rPr>
                  </w:pPr>
                  <w:r>
                    <w:rPr>
                      <w:szCs w:val="21"/>
                      <w:lang w:bidi="ar"/>
                    </w:rPr>
                    <w:t>绿化带残枝败叶交由环卫部门处理，截污管污物泥沙则运往指定受纳场</w:t>
                  </w:r>
                </w:p>
              </w:tc>
            </w:tr>
            <w:tr w14:paraId="25CD283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642AFCAF">
                  <w:pPr>
                    <w:adjustRightInd w:val="0"/>
                    <w:snapToGrid w:val="0"/>
                    <w:jc w:val="center"/>
                    <w:rPr>
                      <w:szCs w:val="21"/>
                    </w:rPr>
                  </w:pPr>
                  <w:r>
                    <w:rPr>
                      <w:szCs w:val="21"/>
                      <w:lang w:bidi="ar"/>
                    </w:rPr>
                    <w:t>警示标识、排水沟、防撞栏、检修车道等</w:t>
                  </w:r>
                </w:p>
              </w:tc>
              <w:tc>
                <w:tcPr>
                  <w:tcW w:w="2194" w:type="dxa"/>
                  <w:shd w:val="clear" w:color="auto" w:fill="auto"/>
                  <w:vAlign w:val="center"/>
                </w:tcPr>
                <w:p w14:paraId="46D301CD">
                  <w:pPr>
                    <w:adjustRightInd w:val="0"/>
                    <w:snapToGrid w:val="0"/>
                    <w:jc w:val="center"/>
                    <w:rPr>
                      <w:kern w:val="0"/>
                      <w:szCs w:val="21"/>
                    </w:rPr>
                  </w:pPr>
                  <w:r>
                    <w:rPr>
                      <w:kern w:val="0"/>
                      <w:szCs w:val="21"/>
                      <w:lang w:bidi="ar"/>
                    </w:rPr>
                    <w:t>20</w:t>
                  </w:r>
                </w:p>
              </w:tc>
              <w:tc>
                <w:tcPr>
                  <w:tcW w:w="4366" w:type="dxa"/>
                  <w:shd w:val="clear" w:color="auto" w:fill="auto"/>
                  <w:vAlign w:val="center"/>
                </w:tcPr>
                <w:p w14:paraId="6DF82E76">
                  <w:pPr>
                    <w:adjustRightInd w:val="0"/>
                    <w:snapToGrid w:val="0"/>
                    <w:jc w:val="center"/>
                    <w:rPr>
                      <w:kern w:val="0"/>
                      <w:szCs w:val="21"/>
                      <w:lang w:bidi="ar"/>
                    </w:rPr>
                  </w:pPr>
                  <w:r>
                    <w:rPr>
                      <w:kern w:val="0"/>
                      <w:szCs w:val="21"/>
                      <w:lang w:bidi="ar"/>
                    </w:rPr>
                    <w:t>/</w:t>
                  </w:r>
                </w:p>
              </w:tc>
            </w:tr>
            <w:tr w14:paraId="3276622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4A035109">
                  <w:pPr>
                    <w:adjustRightInd w:val="0"/>
                    <w:snapToGrid w:val="0"/>
                    <w:jc w:val="center"/>
                    <w:rPr>
                      <w:szCs w:val="21"/>
                      <w:lang w:bidi="ar"/>
                    </w:rPr>
                  </w:pPr>
                  <w:r>
                    <w:rPr>
                      <w:szCs w:val="21"/>
                    </w:rPr>
                    <w:t>交通噪声和环境噪声</w:t>
                  </w:r>
                </w:p>
              </w:tc>
              <w:tc>
                <w:tcPr>
                  <w:tcW w:w="2194" w:type="dxa"/>
                  <w:shd w:val="clear" w:color="auto" w:fill="auto"/>
                  <w:vAlign w:val="center"/>
                </w:tcPr>
                <w:p w14:paraId="31F1195F">
                  <w:pPr>
                    <w:adjustRightInd w:val="0"/>
                    <w:snapToGrid w:val="0"/>
                    <w:jc w:val="center"/>
                    <w:rPr>
                      <w:kern w:val="0"/>
                      <w:szCs w:val="21"/>
                      <w:lang w:bidi="ar"/>
                    </w:rPr>
                  </w:pPr>
                  <w:r>
                    <w:rPr>
                      <w:rFonts w:hint="eastAsia"/>
                      <w:kern w:val="0"/>
                      <w:szCs w:val="21"/>
                      <w:lang w:bidi="ar"/>
                    </w:rPr>
                    <w:t>5</w:t>
                  </w:r>
                </w:p>
              </w:tc>
              <w:tc>
                <w:tcPr>
                  <w:tcW w:w="4366" w:type="dxa"/>
                  <w:shd w:val="clear" w:color="auto" w:fill="auto"/>
                  <w:vAlign w:val="center"/>
                </w:tcPr>
                <w:p w14:paraId="63DAEB87">
                  <w:pPr>
                    <w:adjustRightInd w:val="0"/>
                    <w:snapToGrid w:val="0"/>
                    <w:jc w:val="center"/>
                    <w:rPr>
                      <w:kern w:val="0"/>
                      <w:szCs w:val="21"/>
                      <w:lang w:bidi="ar"/>
                    </w:rPr>
                  </w:pPr>
                  <w:r>
                    <w:rPr>
                      <w:szCs w:val="21"/>
                    </w:rPr>
                    <w:t>每年安排一次监测</w:t>
                  </w:r>
                </w:p>
              </w:tc>
            </w:tr>
            <w:tr w14:paraId="141D200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6" w:type="dxa"/>
                  <w:gridSpan w:val="3"/>
                  <w:shd w:val="clear" w:color="auto" w:fill="auto"/>
                  <w:vAlign w:val="center"/>
                </w:tcPr>
                <w:p w14:paraId="5FF94F8C">
                  <w:pPr>
                    <w:adjustRightInd w:val="0"/>
                    <w:snapToGrid w:val="0"/>
                    <w:jc w:val="center"/>
                    <w:rPr>
                      <w:kern w:val="0"/>
                      <w:szCs w:val="21"/>
                      <w:lang w:bidi="ar"/>
                    </w:rPr>
                  </w:pPr>
                  <w:r>
                    <w:rPr>
                      <w:kern w:val="0"/>
                      <w:szCs w:val="21"/>
                      <w:lang w:bidi="ar"/>
                    </w:rPr>
                    <w:t>第三部分小计：</w:t>
                  </w:r>
                  <w:r>
                    <w:rPr>
                      <w:rFonts w:hint="eastAsia"/>
                      <w:kern w:val="0"/>
                      <w:szCs w:val="21"/>
                      <w:lang w:bidi="ar"/>
                    </w:rPr>
                    <w:t>85</w:t>
                  </w:r>
                  <w:r>
                    <w:rPr>
                      <w:kern w:val="0"/>
                      <w:szCs w:val="21"/>
                      <w:lang w:bidi="ar"/>
                    </w:rPr>
                    <w:t>万元</w:t>
                  </w:r>
                </w:p>
              </w:tc>
            </w:tr>
            <w:tr w14:paraId="59C3BF5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6" w:type="dxa"/>
                  <w:shd w:val="clear" w:color="auto" w:fill="auto"/>
                  <w:vAlign w:val="center"/>
                </w:tcPr>
                <w:p w14:paraId="52BD8718">
                  <w:pPr>
                    <w:adjustRightInd w:val="0"/>
                    <w:snapToGrid w:val="0"/>
                    <w:jc w:val="center"/>
                    <w:rPr>
                      <w:kern w:val="0"/>
                      <w:szCs w:val="21"/>
                      <w:lang w:bidi="ar"/>
                    </w:rPr>
                  </w:pPr>
                  <w:r>
                    <w:rPr>
                      <w:kern w:val="0"/>
                      <w:szCs w:val="21"/>
                      <w:lang w:bidi="ar"/>
                    </w:rPr>
                    <w:t>总计</w:t>
                  </w:r>
                </w:p>
              </w:tc>
              <w:tc>
                <w:tcPr>
                  <w:tcW w:w="6560" w:type="dxa"/>
                  <w:gridSpan w:val="2"/>
                  <w:shd w:val="clear" w:color="auto" w:fill="auto"/>
                  <w:vAlign w:val="center"/>
                </w:tcPr>
                <w:p w14:paraId="15B0D9E1">
                  <w:pPr>
                    <w:adjustRightInd w:val="0"/>
                    <w:snapToGrid w:val="0"/>
                    <w:jc w:val="center"/>
                    <w:rPr>
                      <w:kern w:val="0"/>
                      <w:szCs w:val="21"/>
                      <w:lang w:bidi="ar"/>
                    </w:rPr>
                  </w:pPr>
                  <w:r>
                    <w:rPr>
                      <w:rFonts w:hint="eastAsia"/>
                      <w:kern w:val="0"/>
                      <w:szCs w:val="21"/>
                      <w:lang w:bidi="ar"/>
                    </w:rPr>
                    <w:t>218</w:t>
                  </w:r>
                  <w:r>
                    <w:rPr>
                      <w:kern w:val="0"/>
                      <w:szCs w:val="21"/>
                      <w:lang w:bidi="ar"/>
                    </w:rPr>
                    <w:t>万元</w:t>
                  </w:r>
                </w:p>
              </w:tc>
            </w:tr>
          </w:tbl>
          <w:p w14:paraId="45922ADE">
            <w:pPr>
              <w:adjustRightInd w:val="0"/>
              <w:snapToGrid w:val="0"/>
              <w:rPr>
                <w:rFonts w:hint="eastAsia" w:ascii="宋体" w:hAnsi="宋体" w:cs="宋体"/>
                <w:bCs/>
                <w:spacing w:val="10"/>
                <w:szCs w:val="21"/>
              </w:rPr>
            </w:pPr>
          </w:p>
        </w:tc>
      </w:tr>
    </w:tbl>
    <w:p w14:paraId="6F77B5FD">
      <w:pPr>
        <w:sectPr>
          <w:pgSz w:w="11907" w:h="16840"/>
          <w:pgMar w:top="720" w:right="720" w:bottom="720" w:left="720" w:header="851" w:footer="567" w:gutter="0"/>
          <w:cols w:space="425" w:num="1"/>
          <w:docGrid w:linePitch="312" w:charSpace="0"/>
        </w:sectPr>
      </w:pPr>
    </w:p>
    <w:p w14:paraId="2EFEC170">
      <w:pPr>
        <w:pStyle w:val="30"/>
        <w:jc w:val="center"/>
        <w:outlineLvl w:val="0"/>
        <w:rPr>
          <w:rFonts w:hint="eastAsia" w:ascii="黑体" w:hAnsi="黑体" w:eastAsia="黑体"/>
          <w:snapToGrid w:val="0"/>
          <w:sz w:val="30"/>
          <w:szCs w:val="30"/>
        </w:rPr>
      </w:pPr>
      <w:bookmarkStart w:id="66" w:name="_Toc1275"/>
      <w:bookmarkStart w:id="67" w:name="_Toc185524006"/>
      <w:bookmarkStart w:id="68" w:name="_Toc187243661"/>
      <w:bookmarkStart w:id="69" w:name="_Toc185523898"/>
      <w:bookmarkStart w:id="70" w:name="_Toc191907548"/>
      <w:r>
        <w:rPr>
          <w:rFonts w:hint="eastAsia" w:ascii="黑体" w:hAnsi="黑体" w:eastAsia="黑体"/>
          <w:snapToGrid w:val="0"/>
          <w:sz w:val="30"/>
          <w:szCs w:val="30"/>
        </w:rPr>
        <w:t>六、生态环境保护措施监督检查清单</w:t>
      </w:r>
      <w:bookmarkEnd w:id="66"/>
      <w:bookmarkEnd w:id="67"/>
      <w:bookmarkEnd w:id="68"/>
      <w:bookmarkEnd w:id="69"/>
      <w:bookmarkEnd w:id="70"/>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2976"/>
        <w:gridCol w:w="2198"/>
        <w:gridCol w:w="2008"/>
        <w:gridCol w:w="1975"/>
      </w:tblGrid>
      <w:tr w14:paraId="3B6334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Merge w:val="restart"/>
            <w:tcBorders>
              <w:tl2br w:val="single" w:color="auto" w:sz="4" w:space="0"/>
            </w:tcBorders>
            <w:vAlign w:val="center"/>
          </w:tcPr>
          <w:p w14:paraId="6BA3FECD">
            <w:pPr>
              <w:pStyle w:val="30"/>
              <w:adjustRightInd w:val="0"/>
              <w:snapToGrid w:val="0"/>
              <w:spacing w:before="72" w:beforeLines="30" w:beforeAutospacing="0" w:after="0" w:afterAutospacing="0"/>
              <w:jc w:val="right"/>
              <w:outlineLvl w:val="0"/>
              <w:rPr>
                <w:rFonts w:hint="eastAsia" w:cs="宋体"/>
                <w:b/>
                <w:bCs/>
                <w:kern w:val="2"/>
                <w:sz w:val="21"/>
                <w:szCs w:val="21"/>
              </w:rPr>
            </w:pPr>
            <w:bookmarkStart w:id="71" w:name="_Toc187243662"/>
            <w:bookmarkStart w:id="72" w:name="_Toc191907549"/>
            <w:bookmarkStart w:id="73" w:name="_Toc185523899"/>
            <w:bookmarkStart w:id="74" w:name="_Toc29550"/>
            <w:bookmarkStart w:id="75" w:name="_Toc185524007"/>
            <w:r>
              <w:rPr>
                <w:rFonts w:hint="eastAsia" w:cs="宋体"/>
                <w:b/>
                <w:bCs/>
                <w:kern w:val="2"/>
                <w:sz w:val="21"/>
                <w:szCs w:val="21"/>
              </w:rPr>
              <w:t>内容</w:t>
            </w:r>
            <w:bookmarkEnd w:id="71"/>
            <w:bookmarkEnd w:id="72"/>
            <w:bookmarkEnd w:id="73"/>
            <w:bookmarkEnd w:id="74"/>
            <w:bookmarkEnd w:id="75"/>
            <w:r>
              <w:rPr>
                <w:rFonts w:hint="eastAsia" w:cs="宋体"/>
                <w:b/>
                <w:bCs/>
                <w:kern w:val="2"/>
                <w:sz w:val="21"/>
                <w:szCs w:val="21"/>
              </w:rPr>
              <w:t xml:space="preserve">      </w:t>
            </w:r>
            <w:r>
              <w:rPr>
                <w:rFonts w:cs="宋体"/>
                <w:b/>
                <w:bCs/>
                <w:kern w:val="2"/>
                <w:sz w:val="21"/>
                <w:szCs w:val="21"/>
              </w:rPr>
              <w:t xml:space="preserve">        </w:t>
            </w:r>
          </w:p>
          <w:p w14:paraId="45A6999F">
            <w:pPr>
              <w:pStyle w:val="30"/>
              <w:adjustRightInd w:val="0"/>
              <w:snapToGrid w:val="0"/>
              <w:spacing w:before="0" w:beforeAutospacing="0" w:after="0" w:afterAutospacing="0" w:line="14" w:lineRule="auto"/>
              <w:outlineLvl w:val="0"/>
              <w:rPr>
                <w:rFonts w:hint="eastAsia" w:cs="宋体"/>
                <w:b/>
                <w:bCs/>
                <w:kern w:val="2"/>
                <w:sz w:val="135"/>
                <w:szCs w:val="21"/>
              </w:rPr>
            </w:pPr>
            <w:r>
              <w:rPr>
                <w:rFonts w:hint="eastAsia" w:cs="宋体"/>
                <w:b/>
                <w:bCs/>
                <w:kern w:val="2"/>
                <w:sz w:val="21"/>
                <w:szCs w:val="21"/>
              </w:rPr>
              <w:t xml:space="preserve"> </w:t>
            </w:r>
            <w:r>
              <w:rPr>
                <w:rFonts w:hint="eastAsia" w:cs="宋体"/>
                <w:b/>
                <w:bCs/>
                <w:kern w:val="2"/>
                <w:sz w:val="135"/>
                <w:szCs w:val="21"/>
              </w:rPr>
              <w:t xml:space="preserve"> </w:t>
            </w:r>
          </w:p>
          <w:p w14:paraId="5075EC68">
            <w:pPr>
              <w:pStyle w:val="30"/>
              <w:adjustRightInd w:val="0"/>
              <w:snapToGrid w:val="0"/>
              <w:spacing w:before="0" w:beforeAutospacing="0" w:after="0" w:afterAutospacing="0"/>
              <w:outlineLvl w:val="0"/>
              <w:rPr>
                <w:rFonts w:hint="eastAsia" w:cs="宋体"/>
                <w:b/>
                <w:bCs/>
                <w:kern w:val="2"/>
                <w:sz w:val="21"/>
                <w:szCs w:val="21"/>
              </w:rPr>
            </w:pPr>
            <w:bookmarkStart w:id="76" w:name="_Toc187243663"/>
            <w:bookmarkStart w:id="77" w:name="_Toc25038"/>
            <w:bookmarkStart w:id="78" w:name="_Toc185524008"/>
            <w:bookmarkStart w:id="79" w:name="_Toc191907550"/>
            <w:bookmarkStart w:id="80" w:name="_Toc185523900"/>
            <w:r>
              <w:rPr>
                <w:rFonts w:hint="eastAsia" w:cs="宋体"/>
                <w:b/>
                <w:bCs/>
                <w:kern w:val="2"/>
                <w:sz w:val="21"/>
                <w:szCs w:val="21"/>
              </w:rPr>
              <w:t>要素</w:t>
            </w:r>
            <w:bookmarkEnd w:id="76"/>
            <w:bookmarkEnd w:id="77"/>
            <w:bookmarkEnd w:id="78"/>
            <w:bookmarkEnd w:id="79"/>
            <w:bookmarkEnd w:id="80"/>
          </w:p>
        </w:tc>
        <w:tc>
          <w:tcPr>
            <w:tcW w:w="2422" w:type="pct"/>
            <w:gridSpan w:val="2"/>
            <w:vAlign w:val="center"/>
          </w:tcPr>
          <w:p w14:paraId="5FD53109">
            <w:pPr>
              <w:pStyle w:val="30"/>
              <w:adjustRightInd w:val="0"/>
              <w:snapToGrid w:val="0"/>
              <w:spacing w:before="0" w:beforeAutospacing="0" w:after="0" w:afterAutospacing="0"/>
              <w:jc w:val="center"/>
              <w:outlineLvl w:val="0"/>
              <w:rPr>
                <w:rFonts w:hint="eastAsia" w:cs="宋体"/>
                <w:b/>
                <w:bCs/>
                <w:kern w:val="2"/>
                <w:sz w:val="21"/>
                <w:szCs w:val="21"/>
              </w:rPr>
            </w:pPr>
            <w:bookmarkStart w:id="81" w:name="_Toc758"/>
            <w:bookmarkStart w:id="82" w:name="_Toc187243664"/>
            <w:bookmarkStart w:id="83" w:name="_Toc185523901"/>
            <w:bookmarkStart w:id="84" w:name="_Toc191907551"/>
            <w:bookmarkStart w:id="85" w:name="_Toc185524009"/>
            <w:r>
              <w:rPr>
                <w:rFonts w:hint="eastAsia" w:cs="宋体"/>
                <w:b/>
                <w:bCs/>
                <w:kern w:val="2"/>
                <w:sz w:val="21"/>
                <w:szCs w:val="21"/>
              </w:rPr>
              <w:t>施工期</w:t>
            </w:r>
            <w:bookmarkEnd w:id="81"/>
            <w:bookmarkEnd w:id="82"/>
            <w:bookmarkEnd w:id="83"/>
            <w:bookmarkEnd w:id="84"/>
            <w:bookmarkEnd w:id="85"/>
          </w:p>
        </w:tc>
        <w:tc>
          <w:tcPr>
            <w:tcW w:w="1864" w:type="pct"/>
            <w:gridSpan w:val="2"/>
            <w:vAlign w:val="center"/>
          </w:tcPr>
          <w:p w14:paraId="1808D409">
            <w:pPr>
              <w:pStyle w:val="30"/>
              <w:adjustRightInd w:val="0"/>
              <w:snapToGrid w:val="0"/>
              <w:spacing w:before="0" w:beforeAutospacing="0" w:after="0" w:afterAutospacing="0"/>
              <w:jc w:val="center"/>
              <w:outlineLvl w:val="0"/>
              <w:rPr>
                <w:rFonts w:hint="eastAsia" w:cs="宋体"/>
                <w:b/>
                <w:bCs/>
                <w:kern w:val="2"/>
                <w:sz w:val="21"/>
                <w:szCs w:val="21"/>
              </w:rPr>
            </w:pPr>
            <w:bookmarkStart w:id="86" w:name="_Toc185524010"/>
            <w:bookmarkStart w:id="87" w:name="_Toc187243665"/>
            <w:bookmarkStart w:id="88" w:name="_Toc20050"/>
            <w:bookmarkStart w:id="89" w:name="_Toc185523902"/>
            <w:bookmarkStart w:id="90" w:name="_Toc191907552"/>
            <w:r>
              <w:rPr>
                <w:rFonts w:hint="eastAsia" w:cs="宋体"/>
                <w:b/>
                <w:bCs/>
                <w:kern w:val="2"/>
                <w:sz w:val="21"/>
                <w:szCs w:val="21"/>
              </w:rPr>
              <w:t>运营期</w:t>
            </w:r>
            <w:bookmarkEnd w:id="86"/>
            <w:bookmarkEnd w:id="87"/>
            <w:bookmarkEnd w:id="88"/>
            <w:bookmarkEnd w:id="89"/>
            <w:bookmarkEnd w:id="90"/>
          </w:p>
        </w:tc>
      </w:tr>
      <w:tr w14:paraId="72B2D0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Merge w:val="continue"/>
            <w:vAlign w:val="center"/>
          </w:tcPr>
          <w:p w14:paraId="16700C68">
            <w:pPr>
              <w:pStyle w:val="30"/>
              <w:adjustRightInd w:val="0"/>
              <w:snapToGrid w:val="0"/>
              <w:spacing w:before="0" w:beforeAutospacing="0" w:after="0" w:afterAutospacing="0"/>
              <w:ind w:firstLine="840"/>
              <w:jc w:val="center"/>
              <w:outlineLvl w:val="0"/>
              <w:rPr>
                <w:rFonts w:hint="eastAsia" w:cs="宋体"/>
                <w:b/>
                <w:bCs/>
                <w:kern w:val="2"/>
                <w:sz w:val="21"/>
                <w:szCs w:val="21"/>
              </w:rPr>
            </w:pPr>
          </w:p>
        </w:tc>
        <w:tc>
          <w:tcPr>
            <w:tcW w:w="1393" w:type="pct"/>
            <w:vAlign w:val="center"/>
          </w:tcPr>
          <w:p w14:paraId="5E8CA480">
            <w:pPr>
              <w:pStyle w:val="30"/>
              <w:adjustRightInd w:val="0"/>
              <w:snapToGrid w:val="0"/>
              <w:spacing w:before="0" w:beforeAutospacing="0" w:after="0" w:afterAutospacing="0"/>
              <w:jc w:val="center"/>
              <w:outlineLvl w:val="0"/>
              <w:rPr>
                <w:rFonts w:hint="eastAsia" w:cs="宋体"/>
                <w:b/>
                <w:bCs/>
                <w:kern w:val="2"/>
                <w:sz w:val="21"/>
                <w:szCs w:val="21"/>
              </w:rPr>
            </w:pPr>
            <w:bookmarkStart w:id="91" w:name="_Toc187243666"/>
            <w:bookmarkStart w:id="92" w:name="_Toc191907553"/>
            <w:bookmarkStart w:id="93" w:name="_Toc185524011"/>
            <w:bookmarkStart w:id="94" w:name="_Toc17586"/>
            <w:bookmarkStart w:id="95" w:name="_Toc185523903"/>
            <w:r>
              <w:rPr>
                <w:rFonts w:hint="eastAsia" w:cs="宋体"/>
                <w:b/>
                <w:bCs/>
                <w:kern w:val="2"/>
                <w:sz w:val="21"/>
                <w:szCs w:val="21"/>
              </w:rPr>
              <w:t>环境保护措施</w:t>
            </w:r>
            <w:bookmarkEnd w:id="91"/>
            <w:bookmarkEnd w:id="92"/>
            <w:bookmarkEnd w:id="93"/>
            <w:bookmarkEnd w:id="94"/>
            <w:bookmarkEnd w:id="95"/>
          </w:p>
        </w:tc>
        <w:tc>
          <w:tcPr>
            <w:tcW w:w="1028" w:type="pct"/>
            <w:vAlign w:val="center"/>
          </w:tcPr>
          <w:p w14:paraId="6ED3EE94">
            <w:pPr>
              <w:pStyle w:val="30"/>
              <w:adjustRightInd w:val="0"/>
              <w:snapToGrid w:val="0"/>
              <w:spacing w:before="0" w:beforeAutospacing="0" w:after="0" w:afterAutospacing="0"/>
              <w:jc w:val="center"/>
              <w:outlineLvl w:val="0"/>
              <w:rPr>
                <w:rFonts w:hint="eastAsia" w:cs="宋体"/>
                <w:b/>
                <w:bCs/>
                <w:kern w:val="2"/>
                <w:sz w:val="21"/>
                <w:szCs w:val="21"/>
              </w:rPr>
            </w:pPr>
            <w:bookmarkStart w:id="96" w:name="_Toc26986"/>
            <w:bookmarkStart w:id="97" w:name="_Toc191907554"/>
            <w:bookmarkStart w:id="98" w:name="_Toc185523904"/>
            <w:bookmarkStart w:id="99" w:name="_Toc185524012"/>
            <w:bookmarkStart w:id="100" w:name="_Toc187243667"/>
            <w:r>
              <w:rPr>
                <w:rFonts w:hint="eastAsia" w:cs="宋体"/>
                <w:b/>
                <w:bCs/>
                <w:kern w:val="2"/>
                <w:sz w:val="21"/>
                <w:szCs w:val="21"/>
              </w:rPr>
              <w:t>验收要求</w:t>
            </w:r>
            <w:bookmarkEnd w:id="96"/>
            <w:bookmarkEnd w:id="97"/>
            <w:bookmarkEnd w:id="98"/>
            <w:bookmarkEnd w:id="99"/>
            <w:bookmarkEnd w:id="100"/>
          </w:p>
        </w:tc>
        <w:tc>
          <w:tcPr>
            <w:tcW w:w="940" w:type="pct"/>
            <w:vAlign w:val="center"/>
          </w:tcPr>
          <w:p w14:paraId="3E6E6627">
            <w:pPr>
              <w:pStyle w:val="30"/>
              <w:adjustRightInd w:val="0"/>
              <w:snapToGrid w:val="0"/>
              <w:spacing w:before="0" w:beforeAutospacing="0" w:after="0" w:afterAutospacing="0"/>
              <w:jc w:val="center"/>
              <w:outlineLvl w:val="0"/>
              <w:rPr>
                <w:rFonts w:hint="eastAsia" w:cs="宋体"/>
                <w:b/>
                <w:bCs/>
                <w:kern w:val="2"/>
                <w:sz w:val="21"/>
                <w:szCs w:val="21"/>
              </w:rPr>
            </w:pPr>
            <w:bookmarkStart w:id="101" w:name="_Toc185523905"/>
            <w:bookmarkStart w:id="102" w:name="_Toc187243668"/>
            <w:bookmarkStart w:id="103" w:name="_Toc185524013"/>
            <w:bookmarkStart w:id="104" w:name="_Toc191907555"/>
            <w:bookmarkStart w:id="105" w:name="_Toc28712"/>
            <w:r>
              <w:rPr>
                <w:rFonts w:hint="eastAsia" w:cs="宋体"/>
                <w:b/>
                <w:bCs/>
                <w:kern w:val="2"/>
                <w:sz w:val="21"/>
                <w:szCs w:val="21"/>
              </w:rPr>
              <w:t>环境保护措施</w:t>
            </w:r>
            <w:bookmarkEnd w:id="101"/>
            <w:bookmarkEnd w:id="102"/>
            <w:bookmarkEnd w:id="103"/>
            <w:bookmarkEnd w:id="104"/>
            <w:bookmarkEnd w:id="105"/>
          </w:p>
        </w:tc>
        <w:tc>
          <w:tcPr>
            <w:tcW w:w="924" w:type="pct"/>
            <w:vAlign w:val="center"/>
          </w:tcPr>
          <w:p w14:paraId="1C087A98">
            <w:pPr>
              <w:pStyle w:val="30"/>
              <w:adjustRightInd w:val="0"/>
              <w:snapToGrid w:val="0"/>
              <w:spacing w:before="0" w:beforeAutospacing="0" w:after="0" w:afterAutospacing="0"/>
              <w:jc w:val="center"/>
              <w:outlineLvl w:val="0"/>
              <w:rPr>
                <w:rFonts w:hint="eastAsia" w:cs="宋体"/>
                <w:b/>
                <w:bCs/>
                <w:kern w:val="2"/>
                <w:sz w:val="21"/>
                <w:szCs w:val="21"/>
              </w:rPr>
            </w:pPr>
            <w:bookmarkStart w:id="106" w:name="_Toc191907556"/>
            <w:bookmarkStart w:id="107" w:name="_Toc187243669"/>
            <w:bookmarkStart w:id="108" w:name="_Toc6122"/>
            <w:bookmarkStart w:id="109" w:name="_Toc185523906"/>
            <w:bookmarkStart w:id="110" w:name="_Toc185524014"/>
            <w:r>
              <w:rPr>
                <w:rFonts w:hint="eastAsia" w:cs="宋体"/>
                <w:b/>
                <w:bCs/>
                <w:kern w:val="2"/>
                <w:sz w:val="21"/>
                <w:szCs w:val="21"/>
              </w:rPr>
              <w:t>验收要求</w:t>
            </w:r>
            <w:bookmarkEnd w:id="106"/>
            <w:bookmarkEnd w:id="107"/>
            <w:bookmarkEnd w:id="108"/>
            <w:bookmarkEnd w:id="109"/>
            <w:bookmarkEnd w:id="110"/>
          </w:p>
        </w:tc>
      </w:tr>
      <w:tr w14:paraId="7F14C2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6E55869C">
            <w:pPr>
              <w:adjustRightInd w:val="0"/>
              <w:snapToGrid w:val="0"/>
              <w:jc w:val="center"/>
              <w:rPr>
                <w:rFonts w:hint="eastAsia" w:ascii="宋体" w:hAnsi="宋体" w:cs="宋体"/>
                <w:szCs w:val="21"/>
              </w:rPr>
            </w:pPr>
            <w:r>
              <w:rPr>
                <w:rFonts w:hint="eastAsia" w:ascii="宋体" w:hAnsi="宋体" w:cs="宋体"/>
                <w:szCs w:val="21"/>
              </w:rPr>
              <w:t>陆生生态</w:t>
            </w:r>
          </w:p>
        </w:tc>
        <w:tc>
          <w:tcPr>
            <w:tcW w:w="1393" w:type="pct"/>
            <w:vAlign w:val="center"/>
          </w:tcPr>
          <w:p w14:paraId="4B515583">
            <w:pPr>
              <w:adjustRightInd w:val="0"/>
              <w:snapToGrid w:val="0"/>
              <w:rPr>
                <w:rFonts w:hint="eastAsia" w:ascii="宋体" w:hAnsi="宋体" w:cs="宋体"/>
                <w:szCs w:val="21"/>
              </w:rPr>
            </w:pPr>
            <w:r>
              <w:rPr>
                <w:rFonts w:hint="eastAsia"/>
                <w:szCs w:val="21"/>
              </w:rPr>
              <w:t>及时布设边坡防护及路面绿化；合理指定施工计划，减少水土流失，绿化、树木种植等植被恢复工作，做好临时占地恢复工程</w:t>
            </w:r>
          </w:p>
        </w:tc>
        <w:tc>
          <w:tcPr>
            <w:tcW w:w="1028" w:type="pct"/>
            <w:vAlign w:val="center"/>
          </w:tcPr>
          <w:p w14:paraId="5F6F4B0A">
            <w:pPr>
              <w:adjustRightInd w:val="0"/>
              <w:snapToGrid w:val="0"/>
              <w:rPr>
                <w:rFonts w:hint="eastAsia" w:ascii="宋体" w:hAnsi="宋体" w:cs="宋体"/>
                <w:szCs w:val="21"/>
              </w:rPr>
            </w:pPr>
            <w:r>
              <w:rPr>
                <w:rFonts w:hint="eastAsia"/>
                <w:szCs w:val="21"/>
                <w:lang w:bidi="ar"/>
              </w:rPr>
              <w:t>落实相关措施，</w:t>
            </w:r>
            <w:r>
              <w:rPr>
                <w:szCs w:val="21"/>
                <w:lang w:bidi="ar"/>
              </w:rPr>
              <w:t>减少水土流失</w:t>
            </w:r>
            <w:r>
              <w:rPr>
                <w:rFonts w:hint="eastAsia"/>
                <w:szCs w:val="21"/>
                <w:lang w:bidi="ar"/>
              </w:rPr>
              <w:t>，对周围陆生环境无影响</w:t>
            </w:r>
          </w:p>
        </w:tc>
        <w:tc>
          <w:tcPr>
            <w:tcW w:w="940" w:type="pct"/>
            <w:vAlign w:val="center"/>
          </w:tcPr>
          <w:p w14:paraId="76056A02">
            <w:pPr>
              <w:adjustRightInd w:val="0"/>
              <w:snapToGrid w:val="0"/>
              <w:rPr>
                <w:rFonts w:hint="eastAsia" w:ascii="宋体" w:hAnsi="宋体" w:cs="宋体"/>
                <w:szCs w:val="21"/>
              </w:rPr>
            </w:pPr>
            <w:r>
              <w:rPr>
                <w:szCs w:val="21"/>
              </w:rPr>
              <w:t>植被恢复</w:t>
            </w:r>
          </w:p>
        </w:tc>
        <w:tc>
          <w:tcPr>
            <w:tcW w:w="924" w:type="pct"/>
            <w:vAlign w:val="center"/>
          </w:tcPr>
          <w:p w14:paraId="58764CAB">
            <w:pPr>
              <w:adjustRightInd w:val="0"/>
              <w:snapToGrid w:val="0"/>
              <w:rPr>
                <w:rFonts w:hint="eastAsia" w:ascii="宋体" w:hAnsi="宋体" w:cs="宋体"/>
                <w:szCs w:val="21"/>
              </w:rPr>
            </w:pPr>
            <w:r>
              <w:rPr>
                <w:szCs w:val="21"/>
              </w:rPr>
              <w:t>植被恢复效果达到要求</w:t>
            </w:r>
          </w:p>
        </w:tc>
      </w:tr>
      <w:tr w14:paraId="17AA4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361A0013">
            <w:pPr>
              <w:adjustRightInd w:val="0"/>
              <w:snapToGrid w:val="0"/>
              <w:jc w:val="center"/>
              <w:rPr>
                <w:rFonts w:hint="eastAsia" w:ascii="宋体" w:hAnsi="宋体" w:cs="宋体"/>
                <w:szCs w:val="21"/>
              </w:rPr>
            </w:pPr>
            <w:r>
              <w:rPr>
                <w:rFonts w:hint="eastAsia" w:ascii="宋体" w:hAnsi="宋体" w:cs="宋体"/>
                <w:szCs w:val="21"/>
              </w:rPr>
              <w:t>水生生态</w:t>
            </w:r>
          </w:p>
        </w:tc>
        <w:tc>
          <w:tcPr>
            <w:tcW w:w="1393" w:type="pct"/>
            <w:vAlign w:val="center"/>
          </w:tcPr>
          <w:p w14:paraId="162DF62D">
            <w:pPr>
              <w:adjustRightInd w:val="0"/>
              <w:snapToGrid w:val="0"/>
              <w:rPr>
                <w:rFonts w:hint="eastAsia" w:ascii="宋体" w:hAnsi="宋体" w:cs="宋体"/>
                <w:szCs w:val="21"/>
              </w:rPr>
            </w:pPr>
            <w:r>
              <w:rPr>
                <w:rFonts w:hint="eastAsia"/>
                <w:szCs w:val="21"/>
                <w:lang w:bidi="ar"/>
              </w:rPr>
              <w:t>不向水体排放污染物</w:t>
            </w:r>
            <w:r>
              <w:rPr>
                <w:rFonts w:ascii="宋体" w:hAnsi="宋体" w:cs="宋体"/>
                <w:szCs w:val="21"/>
              </w:rPr>
              <w:t xml:space="preserve"> </w:t>
            </w:r>
          </w:p>
        </w:tc>
        <w:tc>
          <w:tcPr>
            <w:tcW w:w="1028" w:type="pct"/>
            <w:vAlign w:val="center"/>
          </w:tcPr>
          <w:p w14:paraId="25C864EE">
            <w:pPr>
              <w:adjustRightInd w:val="0"/>
              <w:snapToGrid w:val="0"/>
              <w:rPr>
                <w:rFonts w:hint="eastAsia" w:ascii="宋体" w:hAnsi="宋体" w:cs="宋体"/>
                <w:szCs w:val="21"/>
              </w:rPr>
            </w:pPr>
            <w:r>
              <w:rPr>
                <w:szCs w:val="21"/>
                <w:lang w:bidi="ar"/>
              </w:rPr>
              <w:t>不对水域造成影响</w:t>
            </w:r>
          </w:p>
        </w:tc>
        <w:tc>
          <w:tcPr>
            <w:tcW w:w="940" w:type="pct"/>
            <w:vAlign w:val="center"/>
          </w:tcPr>
          <w:p w14:paraId="3B1ABF3C">
            <w:pPr>
              <w:adjustRightInd w:val="0"/>
              <w:snapToGrid w:val="0"/>
              <w:rPr>
                <w:rFonts w:hint="eastAsia" w:ascii="宋体" w:hAnsi="宋体" w:cs="宋体"/>
                <w:szCs w:val="21"/>
              </w:rPr>
            </w:pPr>
            <w:r>
              <w:rPr>
                <w:szCs w:val="21"/>
              </w:rPr>
              <w:t>/</w:t>
            </w:r>
          </w:p>
        </w:tc>
        <w:tc>
          <w:tcPr>
            <w:tcW w:w="924" w:type="pct"/>
            <w:vAlign w:val="center"/>
          </w:tcPr>
          <w:p w14:paraId="0F20022C">
            <w:pPr>
              <w:adjustRightInd w:val="0"/>
              <w:snapToGrid w:val="0"/>
              <w:rPr>
                <w:rFonts w:hint="eastAsia" w:ascii="宋体" w:hAnsi="宋体" w:cs="宋体"/>
                <w:szCs w:val="21"/>
              </w:rPr>
            </w:pPr>
            <w:r>
              <w:rPr>
                <w:szCs w:val="21"/>
              </w:rPr>
              <w:t>/</w:t>
            </w:r>
          </w:p>
        </w:tc>
      </w:tr>
      <w:tr w14:paraId="5638B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3A08030F">
            <w:pPr>
              <w:adjustRightInd w:val="0"/>
              <w:snapToGrid w:val="0"/>
              <w:jc w:val="center"/>
              <w:rPr>
                <w:rFonts w:hint="eastAsia" w:ascii="宋体" w:hAnsi="宋体" w:cs="宋体"/>
                <w:szCs w:val="21"/>
              </w:rPr>
            </w:pPr>
            <w:r>
              <w:rPr>
                <w:rFonts w:hint="eastAsia" w:ascii="宋体" w:hAnsi="宋体" w:cs="宋体"/>
                <w:szCs w:val="21"/>
              </w:rPr>
              <w:t>地表水环境</w:t>
            </w:r>
          </w:p>
        </w:tc>
        <w:tc>
          <w:tcPr>
            <w:tcW w:w="1393" w:type="pct"/>
            <w:vAlign w:val="center"/>
          </w:tcPr>
          <w:p w14:paraId="12326650">
            <w:pPr>
              <w:adjustRightInd w:val="0"/>
              <w:snapToGrid w:val="0"/>
              <w:rPr>
                <w:rFonts w:hint="eastAsia" w:ascii="宋体" w:hAnsi="宋体" w:cs="宋体"/>
                <w:szCs w:val="21"/>
              </w:rPr>
            </w:pPr>
            <w:r>
              <w:rPr>
                <w:rFonts w:hint="eastAsia"/>
                <w:szCs w:val="21"/>
                <w:lang w:bidi="ar"/>
              </w:rPr>
              <w:t>现场修筑隔油池和沉淀池</w:t>
            </w:r>
            <w:r>
              <w:rPr>
                <w:szCs w:val="21"/>
                <w:lang w:bidi="ar"/>
              </w:rPr>
              <w:t>，废水经沉淀后回用于场地洒水，不外排</w:t>
            </w:r>
          </w:p>
        </w:tc>
        <w:tc>
          <w:tcPr>
            <w:tcW w:w="1028" w:type="pct"/>
            <w:vAlign w:val="center"/>
          </w:tcPr>
          <w:p w14:paraId="4BFEA6D8">
            <w:pPr>
              <w:adjustRightInd w:val="0"/>
              <w:snapToGrid w:val="0"/>
              <w:rPr>
                <w:rFonts w:hint="eastAsia" w:ascii="宋体" w:hAnsi="宋体" w:cs="宋体"/>
                <w:szCs w:val="21"/>
              </w:rPr>
            </w:pPr>
            <w:r>
              <w:rPr>
                <w:rFonts w:hint="eastAsia"/>
                <w:szCs w:val="21"/>
              </w:rPr>
              <w:t>施工</w:t>
            </w:r>
            <w:r>
              <w:rPr>
                <w:szCs w:val="21"/>
              </w:rPr>
              <w:t>废水不外排</w:t>
            </w:r>
          </w:p>
        </w:tc>
        <w:tc>
          <w:tcPr>
            <w:tcW w:w="940" w:type="pct"/>
            <w:vAlign w:val="center"/>
          </w:tcPr>
          <w:p w14:paraId="4F805F08">
            <w:pPr>
              <w:adjustRightInd w:val="0"/>
              <w:snapToGrid w:val="0"/>
              <w:rPr>
                <w:rFonts w:hint="eastAsia" w:ascii="宋体" w:hAnsi="宋体" w:cs="宋体"/>
                <w:szCs w:val="21"/>
              </w:rPr>
            </w:pPr>
            <w:r>
              <w:rPr>
                <w:szCs w:val="21"/>
                <w:lang w:bidi="ar"/>
              </w:rPr>
              <w:t>雨水工程</w:t>
            </w:r>
          </w:p>
        </w:tc>
        <w:tc>
          <w:tcPr>
            <w:tcW w:w="924" w:type="pct"/>
            <w:vAlign w:val="center"/>
          </w:tcPr>
          <w:p w14:paraId="4EBA06DD">
            <w:pPr>
              <w:adjustRightInd w:val="0"/>
              <w:snapToGrid w:val="0"/>
              <w:rPr>
                <w:rFonts w:hint="eastAsia" w:ascii="宋体" w:hAnsi="宋体" w:cs="宋体"/>
                <w:szCs w:val="21"/>
              </w:rPr>
            </w:pPr>
            <w:r>
              <w:rPr>
                <w:szCs w:val="21"/>
                <w:lang w:bidi="ar"/>
              </w:rPr>
              <w:t>不对水域造成影响</w:t>
            </w:r>
          </w:p>
        </w:tc>
      </w:tr>
      <w:tr w14:paraId="08CFE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7452901C">
            <w:pPr>
              <w:adjustRightInd w:val="0"/>
              <w:snapToGrid w:val="0"/>
              <w:jc w:val="center"/>
              <w:rPr>
                <w:rFonts w:hint="eastAsia" w:ascii="宋体" w:hAnsi="宋体" w:cs="宋体"/>
                <w:szCs w:val="21"/>
              </w:rPr>
            </w:pPr>
            <w:r>
              <w:rPr>
                <w:rFonts w:hint="eastAsia" w:ascii="宋体" w:hAnsi="宋体" w:cs="宋体"/>
                <w:szCs w:val="21"/>
              </w:rPr>
              <w:t>地下水及土壤环境</w:t>
            </w:r>
          </w:p>
        </w:tc>
        <w:tc>
          <w:tcPr>
            <w:tcW w:w="1393" w:type="pct"/>
            <w:vAlign w:val="center"/>
          </w:tcPr>
          <w:p w14:paraId="1C0B8F60">
            <w:pPr>
              <w:adjustRightInd w:val="0"/>
              <w:snapToGrid w:val="0"/>
              <w:rPr>
                <w:rFonts w:hint="eastAsia" w:ascii="宋体" w:hAnsi="宋体" w:cs="宋体"/>
                <w:szCs w:val="21"/>
              </w:rPr>
            </w:pPr>
            <w:r>
              <w:rPr>
                <w:szCs w:val="21"/>
              </w:rPr>
              <w:t>/</w:t>
            </w:r>
          </w:p>
        </w:tc>
        <w:tc>
          <w:tcPr>
            <w:tcW w:w="1028" w:type="pct"/>
            <w:vAlign w:val="center"/>
          </w:tcPr>
          <w:p w14:paraId="5F03C251">
            <w:pPr>
              <w:adjustRightInd w:val="0"/>
              <w:snapToGrid w:val="0"/>
              <w:rPr>
                <w:rFonts w:hint="eastAsia" w:ascii="宋体" w:hAnsi="宋体" w:cs="宋体"/>
                <w:szCs w:val="21"/>
              </w:rPr>
            </w:pPr>
            <w:r>
              <w:rPr>
                <w:szCs w:val="21"/>
              </w:rPr>
              <w:t>/</w:t>
            </w:r>
          </w:p>
        </w:tc>
        <w:tc>
          <w:tcPr>
            <w:tcW w:w="940" w:type="pct"/>
            <w:vAlign w:val="center"/>
          </w:tcPr>
          <w:p w14:paraId="195D0D1A">
            <w:pPr>
              <w:adjustRightInd w:val="0"/>
              <w:snapToGrid w:val="0"/>
              <w:rPr>
                <w:rFonts w:hint="eastAsia" w:ascii="宋体" w:hAnsi="宋体" w:cs="宋体"/>
                <w:szCs w:val="21"/>
              </w:rPr>
            </w:pPr>
            <w:r>
              <w:rPr>
                <w:szCs w:val="21"/>
              </w:rPr>
              <w:t>/</w:t>
            </w:r>
          </w:p>
        </w:tc>
        <w:tc>
          <w:tcPr>
            <w:tcW w:w="924" w:type="pct"/>
            <w:vAlign w:val="center"/>
          </w:tcPr>
          <w:p w14:paraId="2171E6C6">
            <w:pPr>
              <w:adjustRightInd w:val="0"/>
              <w:snapToGrid w:val="0"/>
              <w:rPr>
                <w:rFonts w:hint="eastAsia" w:ascii="宋体" w:hAnsi="宋体" w:cs="宋体"/>
                <w:szCs w:val="21"/>
              </w:rPr>
            </w:pPr>
            <w:r>
              <w:rPr>
                <w:szCs w:val="21"/>
              </w:rPr>
              <w:t>/</w:t>
            </w:r>
          </w:p>
        </w:tc>
      </w:tr>
      <w:tr w14:paraId="54693F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196872B6">
            <w:pPr>
              <w:adjustRightInd w:val="0"/>
              <w:snapToGrid w:val="0"/>
              <w:jc w:val="center"/>
              <w:rPr>
                <w:rFonts w:hint="eastAsia" w:ascii="宋体" w:hAnsi="宋体" w:cs="宋体"/>
                <w:szCs w:val="21"/>
              </w:rPr>
            </w:pPr>
            <w:r>
              <w:rPr>
                <w:rFonts w:hint="eastAsia" w:ascii="宋体" w:hAnsi="宋体" w:cs="宋体"/>
                <w:szCs w:val="21"/>
              </w:rPr>
              <w:t>声环境</w:t>
            </w:r>
          </w:p>
        </w:tc>
        <w:tc>
          <w:tcPr>
            <w:tcW w:w="1393" w:type="pct"/>
            <w:vAlign w:val="center"/>
          </w:tcPr>
          <w:p w14:paraId="4C7C9534">
            <w:pPr>
              <w:adjustRightInd w:val="0"/>
              <w:snapToGrid w:val="0"/>
              <w:rPr>
                <w:rFonts w:hint="eastAsia" w:ascii="宋体" w:hAnsi="宋体" w:cs="宋体"/>
                <w:szCs w:val="21"/>
              </w:rPr>
            </w:pPr>
            <w:r>
              <w:rPr>
                <w:szCs w:val="21"/>
                <w:lang w:bidi="ar"/>
              </w:rPr>
              <w:t>合理安排时间和工程进度，选择低噪设备，设置简易声屏障，加强管理等措施</w:t>
            </w:r>
          </w:p>
        </w:tc>
        <w:tc>
          <w:tcPr>
            <w:tcW w:w="1028" w:type="pct"/>
            <w:vAlign w:val="center"/>
          </w:tcPr>
          <w:p w14:paraId="6C9A3FC6">
            <w:pPr>
              <w:adjustRightInd w:val="0"/>
              <w:snapToGrid w:val="0"/>
              <w:rPr>
                <w:rFonts w:hint="eastAsia" w:ascii="宋体" w:hAnsi="宋体" w:cs="宋体"/>
                <w:szCs w:val="21"/>
              </w:rPr>
            </w:pPr>
            <w:r>
              <w:rPr>
                <w:szCs w:val="21"/>
                <w:lang w:bidi="ar"/>
              </w:rPr>
              <w:t>满足《建筑施工场界环境噪声排放标准》(GB12523-2011)标准</w:t>
            </w:r>
          </w:p>
        </w:tc>
        <w:tc>
          <w:tcPr>
            <w:tcW w:w="940" w:type="pct"/>
            <w:vAlign w:val="center"/>
          </w:tcPr>
          <w:p w14:paraId="244AB4D5">
            <w:pPr>
              <w:adjustRightInd w:val="0"/>
              <w:snapToGrid w:val="0"/>
              <w:rPr>
                <w:rFonts w:hint="eastAsia" w:ascii="宋体" w:hAnsi="宋体" w:cs="宋体"/>
                <w:szCs w:val="21"/>
              </w:rPr>
            </w:pPr>
            <w:r>
              <w:rPr>
                <w:szCs w:val="21"/>
                <w:lang w:bidi="ar"/>
              </w:rPr>
              <w:t>使用降噪路面、合理选材，限制车速，加强交通管理，注重路面养护，设置车道隔离栏等</w:t>
            </w:r>
          </w:p>
        </w:tc>
        <w:tc>
          <w:tcPr>
            <w:tcW w:w="924" w:type="pct"/>
            <w:vAlign w:val="center"/>
          </w:tcPr>
          <w:p w14:paraId="0C77557F">
            <w:pPr>
              <w:adjustRightInd w:val="0"/>
              <w:snapToGrid w:val="0"/>
              <w:rPr>
                <w:rFonts w:hint="eastAsia" w:ascii="宋体" w:hAnsi="宋体" w:cs="宋体"/>
                <w:szCs w:val="21"/>
              </w:rPr>
            </w:pPr>
            <w:r>
              <w:rPr>
                <w:szCs w:val="21"/>
                <w:lang w:bidi="ar"/>
              </w:rPr>
              <w:t>道路边界线两侧35m内执行《声环境质量标准》（GB3096-2008）4a类标准，道路边界线两侧35m外执行《声环境质量标准》（GB3096-2008）2 类标准</w:t>
            </w:r>
          </w:p>
        </w:tc>
      </w:tr>
      <w:tr w14:paraId="52CCDB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31363EDA">
            <w:pPr>
              <w:adjustRightInd w:val="0"/>
              <w:snapToGrid w:val="0"/>
              <w:jc w:val="center"/>
              <w:rPr>
                <w:rFonts w:hint="eastAsia" w:ascii="宋体" w:hAnsi="宋体" w:cs="宋体"/>
                <w:szCs w:val="21"/>
              </w:rPr>
            </w:pPr>
            <w:r>
              <w:rPr>
                <w:rFonts w:hint="eastAsia" w:ascii="宋体" w:hAnsi="宋体" w:cs="宋体"/>
                <w:szCs w:val="21"/>
              </w:rPr>
              <w:t>振动</w:t>
            </w:r>
          </w:p>
        </w:tc>
        <w:tc>
          <w:tcPr>
            <w:tcW w:w="1393" w:type="pct"/>
            <w:vAlign w:val="center"/>
          </w:tcPr>
          <w:p w14:paraId="056C0E36">
            <w:pPr>
              <w:adjustRightInd w:val="0"/>
              <w:snapToGrid w:val="0"/>
              <w:rPr>
                <w:rFonts w:hint="eastAsia" w:ascii="宋体" w:hAnsi="宋体" w:cs="宋体"/>
                <w:szCs w:val="21"/>
              </w:rPr>
            </w:pPr>
            <w:r>
              <w:rPr>
                <w:szCs w:val="21"/>
              </w:rPr>
              <w:t>/</w:t>
            </w:r>
          </w:p>
        </w:tc>
        <w:tc>
          <w:tcPr>
            <w:tcW w:w="1028" w:type="pct"/>
            <w:vAlign w:val="center"/>
          </w:tcPr>
          <w:p w14:paraId="5EE205F4">
            <w:pPr>
              <w:adjustRightInd w:val="0"/>
              <w:snapToGrid w:val="0"/>
              <w:rPr>
                <w:rFonts w:hint="eastAsia" w:ascii="宋体" w:hAnsi="宋体" w:cs="宋体"/>
                <w:szCs w:val="21"/>
              </w:rPr>
            </w:pPr>
            <w:r>
              <w:rPr>
                <w:szCs w:val="21"/>
              </w:rPr>
              <w:t>/</w:t>
            </w:r>
          </w:p>
        </w:tc>
        <w:tc>
          <w:tcPr>
            <w:tcW w:w="940" w:type="pct"/>
            <w:vAlign w:val="center"/>
          </w:tcPr>
          <w:p w14:paraId="75B4A8DC">
            <w:pPr>
              <w:adjustRightInd w:val="0"/>
              <w:snapToGrid w:val="0"/>
              <w:rPr>
                <w:rFonts w:hint="eastAsia" w:ascii="宋体" w:hAnsi="宋体" w:cs="宋体"/>
                <w:szCs w:val="21"/>
              </w:rPr>
            </w:pPr>
            <w:r>
              <w:rPr>
                <w:szCs w:val="21"/>
              </w:rPr>
              <w:t>/</w:t>
            </w:r>
          </w:p>
        </w:tc>
        <w:tc>
          <w:tcPr>
            <w:tcW w:w="924" w:type="pct"/>
            <w:vAlign w:val="center"/>
          </w:tcPr>
          <w:p w14:paraId="3C41BF58">
            <w:pPr>
              <w:adjustRightInd w:val="0"/>
              <w:snapToGrid w:val="0"/>
              <w:rPr>
                <w:rFonts w:hint="eastAsia" w:ascii="宋体" w:hAnsi="宋体" w:cs="宋体"/>
                <w:szCs w:val="21"/>
              </w:rPr>
            </w:pPr>
            <w:r>
              <w:rPr>
                <w:szCs w:val="21"/>
              </w:rPr>
              <w:t>/</w:t>
            </w:r>
          </w:p>
        </w:tc>
      </w:tr>
      <w:tr w14:paraId="1B0F60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7B3D1E75">
            <w:pPr>
              <w:adjustRightInd w:val="0"/>
              <w:snapToGrid w:val="0"/>
              <w:jc w:val="center"/>
              <w:rPr>
                <w:rFonts w:hint="eastAsia" w:ascii="宋体" w:hAnsi="宋体" w:cs="宋体"/>
                <w:szCs w:val="21"/>
              </w:rPr>
            </w:pPr>
            <w:r>
              <w:rPr>
                <w:rFonts w:hint="eastAsia" w:ascii="宋体" w:hAnsi="宋体" w:cs="宋体"/>
                <w:szCs w:val="21"/>
              </w:rPr>
              <w:t>大气环境</w:t>
            </w:r>
          </w:p>
        </w:tc>
        <w:tc>
          <w:tcPr>
            <w:tcW w:w="1393" w:type="pct"/>
            <w:vAlign w:val="center"/>
          </w:tcPr>
          <w:p w14:paraId="630109FF">
            <w:pPr>
              <w:adjustRightInd w:val="0"/>
              <w:snapToGrid w:val="0"/>
              <w:jc w:val="center"/>
              <w:rPr>
                <w:szCs w:val="21"/>
                <w:lang w:bidi="ar"/>
              </w:rPr>
            </w:pPr>
            <w:r>
              <w:rPr>
                <w:szCs w:val="21"/>
                <w:lang w:bidi="ar"/>
              </w:rPr>
              <w:t>在施工场地设置围挡，作业面和临时土堆洒水，物料运输采取蓬布遮盖、封闭措施，设置车辆清洗池等</w:t>
            </w:r>
          </w:p>
        </w:tc>
        <w:tc>
          <w:tcPr>
            <w:tcW w:w="1028" w:type="pct"/>
            <w:vAlign w:val="center"/>
          </w:tcPr>
          <w:p w14:paraId="46C96D4B">
            <w:pPr>
              <w:adjustRightInd w:val="0"/>
              <w:snapToGrid w:val="0"/>
              <w:rPr>
                <w:szCs w:val="21"/>
                <w:lang w:bidi="ar"/>
              </w:rPr>
            </w:pPr>
            <w:r>
              <w:rPr>
                <w:szCs w:val="21"/>
                <w:lang w:bidi="ar"/>
              </w:rPr>
              <w:t>满足</w:t>
            </w:r>
            <w:r>
              <w:rPr>
                <w:rFonts w:hint="eastAsia"/>
                <w:szCs w:val="21"/>
                <w:lang w:bidi="ar"/>
              </w:rPr>
              <w:t>广东省《大气污染物排放限值》(DB44/27-2001)第二时段二级标准</w:t>
            </w:r>
          </w:p>
        </w:tc>
        <w:tc>
          <w:tcPr>
            <w:tcW w:w="940" w:type="pct"/>
            <w:vAlign w:val="center"/>
          </w:tcPr>
          <w:p w14:paraId="3ECBD1C3">
            <w:pPr>
              <w:adjustRightInd w:val="0"/>
              <w:snapToGrid w:val="0"/>
              <w:rPr>
                <w:rFonts w:hint="eastAsia" w:ascii="宋体" w:hAnsi="宋体" w:cs="宋体"/>
                <w:szCs w:val="21"/>
              </w:rPr>
            </w:pPr>
            <w:r>
              <w:rPr>
                <w:szCs w:val="21"/>
                <w:lang w:bidi="ar"/>
              </w:rPr>
              <w:t>加强道路绿化，加强机动车检测与维修，加强车辆管理等措施</w:t>
            </w:r>
          </w:p>
        </w:tc>
        <w:tc>
          <w:tcPr>
            <w:tcW w:w="924" w:type="pct"/>
            <w:vAlign w:val="center"/>
          </w:tcPr>
          <w:p w14:paraId="128EFAEA">
            <w:pPr>
              <w:adjustRightInd w:val="0"/>
              <w:snapToGrid w:val="0"/>
              <w:rPr>
                <w:rFonts w:hint="eastAsia" w:ascii="宋体" w:hAnsi="宋体" w:cs="宋体"/>
                <w:szCs w:val="21"/>
              </w:rPr>
            </w:pPr>
            <w:r>
              <w:rPr>
                <w:szCs w:val="21"/>
              </w:rPr>
              <w:t>项目影响区域内环境空气质量达到二级标准</w:t>
            </w:r>
          </w:p>
        </w:tc>
      </w:tr>
      <w:tr w14:paraId="1532F1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6F29ED5F">
            <w:pPr>
              <w:adjustRightInd w:val="0"/>
              <w:snapToGrid w:val="0"/>
              <w:jc w:val="center"/>
              <w:rPr>
                <w:rFonts w:hint="eastAsia" w:ascii="宋体" w:hAnsi="宋体" w:cs="宋体"/>
                <w:szCs w:val="21"/>
              </w:rPr>
            </w:pPr>
            <w:r>
              <w:rPr>
                <w:rFonts w:hint="eastAsia" w:ascii="宋体" w:hAnsi="宋体" w:cs="宋体"/>
                <w:szCs w:val="21"/>
              </w:rPr>
              <w:t>固体废物</w:t>
            </w:r>
          </w:p>
        </w:tc>
        <w:tc>
          <w:tcPr>
            <w:tcW w:w="1393" w:type="pct"/>
            <w:vAlign w:val="center"/>
          </w:tcPr>
          <w:p w14:paraId="6D0E8546">
            <w:pPr>
              <w:adjustRightInd w:val="0"/>
              <w:snapToGrid w:val="0"/>
              <w:rPr>
                <w:rFonts w:hint="eastAsia" w:ascii="宋体" w:hAnsi="宋体" w:cs="宋体"/>
                <w:szCs w:val="21"/>
              </w:rPr>
            </w:pPr>
            <w:r>
              <w:rPr>
                <w:szCs w:val="21"/>
                <w:lang w:bidi="ar"/>
              </w:rPr>
              <w:t>拆迁建筑垃圾、废弃土石方等</w:t>
            </w:r>
            <w:r>
              <w:rPr>
                <w:rFonts w:hint="eastAsia"/>
              </w:rPr>
              <w:t>运至博罗县2013年度第 72、73批次县储备用地</w:t>
            </w:r>
            <w:r>
              <w:rPr>
                <w:szCs w:val="21"/>
              </w:rPr>
              <w:t>；生活垃圾交由环卫部门处理</w:t>
            </w:r>
          </w:p>
        </w:tc>
        <w:tc>
          <w:tcPr>
            <w:tcW w:w="1028" w:type="pct"/>
            <w:vAlign w:val="center"/>
          </w:tcPr>
          <w:p w14:paraId="12243876">
            <w:pPr>
              <w:adjustRightInd w:val="0"/>
              <w:snapToGrid w:val="0"/>
              <w:rPr>
                <w:rFonts w:hint="eastAsia" w:ascii="宋体" w:hAnsi="宋体" w:cs="宋体"/>
                <w:szCs w:val="21"/>
              </w:rPr>
            </w:pPr>
            <w:r>
              <w:rPr>
                <w:kern w:val="0"/>
                <w:szCs w:val="21"/>
                <w:lang w:bidi="ar"/>
              </w:rPr>
              <w:t>妥善处置</w:t>
            </w:r>
            <w:r>
              <w:rPr>
                <w:szCs w:val="21"/>
              </w:rPr>
              <w:t>，不外排</w:t>
            </w:r>
          </w:p>
        </w:tc>
        <w:tc>
          <w:tcPr>
            <w:tcW w:w="940" w:type="pct"/>
            <w:vAlign w:val="center"/>
          </w:tcPr>
          <w:p w14:paraId="23E80037">
            <w:pPr>
              <w:adjustRightInd w:val="0"/>
              <w:snapToGrid w:val="0"/>
              <w:rPr>
                <w:rFonts w:hint="eastAsia" w:ascii="宋体" w:hAnsi="宋体" w:cs="宋体"/>
                <w:szCs w:val="21"/>
              </w:rPr>
            </w:pPr>
            <w:r>
              <w:rPr>
                <w:szCs w:val="21"/>
                <w:lang w:bidi="ar"/>
              </w:rPr>
              <w:t>沿线设置垃圾箱收集，由地方环卫部门及时转运统一处理</w:t>
            </w:r>
          </w:p>
        </w:tc>
        <w:tc>
          <w:tcPr>
            <w:tcW w:w="924" w:type="pct"/>
            <w:vAlign w:val="center"/>
          </w:tcPr>
          <w:p w14:paraId="2853AFE7">
            <w:pPr>
              <w:adjustRightInd w:val="0"/>
              <w:snapToGrid w:val="0"/>
              <w:rPr>
                <w:rFonts w:hint="eastAsia" w:ascii="宋体" w:hAnsi="宋体" w:cs="宋体"/>
                <w:szCs w:val="21"/>
              </w:rPr>
            </w:pPr>
            <w:r>
              <w:rPr>
                <w:szCs w:val="21"/>
                <w:lang w:bidi="ar"/>
              </w:rPr>
              <w:t>未造成因固体废物防治措施未落实而导致的水、气环境污染</w:t>
            </w:r>
          </w:p>
        </w:tc>
      </w:tr>
      <w:tr w14:paraId="554CE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383EC124">
            <w:pPr>
              <w:adjustRightInd w:val="0"/>
              <w:snapToGrid w:val="0"/>
              <w:jc w:val="center"/>
              <w:rPr>
                <w:rFonts w:hint="eastAsia" w:ascii="宋体" w:hAnsi="宋体" w:cs="宋体"/>
                <w:szCs w:val="21"/>
              </w:rPr>
            </w:pPr>
            <w:r>
              <w:rPr>
                <w:rFonts w:hint="eastAsia" w:ascii="宋体" w:hAnsi="宋体" w:cs="宋体"/>
                <w:szCs w:val="21"/>
              </w:rPr>
              <w:t>电磁环境</w:t>
            </w:r>
          </w:p>
        </w:tc>
        <w:tc>
          <w:tcPr>
            <w:tcW w:w="1393" w:type="pct"/>
            <w:vAlign w:val="center"/>
          </w:tcPr>
          <w:p w14:paraId="05D40E27">
            <w:pPr>
              <w:adjustRightInd w:val="0"/>
              <w:snapToGrid w:val="0"/>
              <w:rPr>
                <w:rFonts w:hint="eastAsia" w:ascii="宋体" w:hAnsi="宋体" w:cs="宋体"/>
                <w:szCs w:val="21"/>
              </w:rPr>
            </w:pPr>
            <w:r>
              <w:rPr>
                <w:szCs w:val="21"/>
              </w:rPr>
              <w:t>/</w:t>
            </w:r>
          </w:p>
        </w:tc>
        <w:tc>
          <w:tcPr>
            <w:tcW w:w="1028" w:type="pct"/>
            <w:vAlign w:val="center"/>
          </w:tcPr>
          <w:p w14:paraId="421C755C">
            <w:pPr>
              <w:adjustRightInd w:val="0"/>
              <w:snapToGrid w:val="0"/>
              <w:rPr>
                <w:rFonts w:hint="eastAsia" w:ascii="宋体" w:hAnsi="宋体" w:cs="宋体"/>
                <w:szCs w:val="21"/>
              </w:rPr>
            </w:pPr>
            <w:r>
              <w:rPr>
                <w:szCs w:val="21"/>
              </w:rPr>
              <w:t>/</w:t>
            </w:r>
          </w:p>
        </w:tc>
        <w:tc>
          <w:tcPr>
            <w:tcW w:w="940" w:type="pct"/>
            <w:vAlign w:val="center"/>
          </w:tcPr>
          <w:p w14:paraId="7C48F96A">
            <w:pPr>
              <w:adjustRightInd w:val="0"/>
              <w:snapToGrid w:val="0"/>
              <w:rPr>
                <w:rFonts w:hint="eastAsia" w:ascii="宋体" w:hAnsi="宋体" w:cs="宋体"/>
                <w:szCs w:val="21"/>
              </w:rPr>
            </w:pPr>
            <w:r>
              <w:rPr>
                <w:szCs w:val="21"/>
              </w:rPr>
              <w:t>/</w:t>
            </w:r>
          </w:p>
        </w:tc>
        <w:tc>
          <w:tcPr>
            <w:tcW w:w="924" w:type="pct"/>
            <w:vAlign w:val="center"/>
          </w:tcPr>
          <w:p w14:paraId="27EED0DF">
            <w:pPr>
              <w:adjustRightInd w:val="0"/>
              <w:snapToGrid w:val="0"/>
              <w:rPr>
                <w:rFonts w:hint="eastAsia" w:ascii="宋体" w:hAnsi="宋体" w:cs="宋体"/>
                <w:szCs w:val="21"/>
              </w:rPr>
            </w:pPr>
            <w:r>
              <w:rPr>
                <w:szCs w:val="21"/>
              </w:rPr>
              <w:t>/</w:t>
            </w:r>
          </w:p>
        </w:tc>
      </w:tr>
      <w:tr w14:paraId="3C7CCF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69D70FA9">
            <w:pPr>
              <w:adjustRightInd w:val="0"/>
              <w:snapToGrid w:val="0"/>
              <w:jc w:val="center"/>
              <w:rPr>
                <w:rFonts w:hint="eastAsia" w:ascii="宋体" w:hAnsi="宋体" w:cs="宋体"/>
                <w:szCs w:val="21"/>
              </w:rPr>
            </w:pPr>
            <w:r>
              <w:rPr>
                <w:rFonts w:hint="eastAsia" w:ascii="宋体" w:hAnsi="宋体" w:cs="宋体"/>
                <w:szCs w:val="21"/>
              </w:rPr>
              <w:t>环境风险</w:t>
            </w:r>
          </w:p>
        </w:tc>
        <w:tc>
          <w:tcPr>
            <w:tcW w:w="1393" w:type="pct"/>
            <w:vAlign w:val="center"/>
          </w:tcPr>
          <w:p w14:paraId="4A02189F">
            <w:pPr>
              <w:adjustRightInd w:val="0"/>
              <w:snapToGrid w:val="0"/>
              <w:jc w:val="center"/>
              <w:rPr>
                <w:rFonts w:hint="eastAsia" w:ascii="宋体" w:hAnsi="宋体" w:cs="宋体"/>
                <w:szCs w:val="21"/>
              </w:rPr>
            </w:pPr>
            <w:r>
              <w:rPr>
                <w:szCs w:val="21"/>
              </w:rPr>
              <w:t>加强施工管理、设置防落网、沉淀池等</w:t>
            </w:r>
          </w:p>
        </w:tc>
        <w:tc>
          <w:tcPr>
            <w:tcW w:w="1028" w:type="pct"/>
            <w:vAlign w:val="center"/>
          </w:tcPr>
          <w:p w14:paraId="213695B0">
            <w:pPr>
              <w:adjustRightInd w:val="0"/>
              <w:snapToGrid w:val="0"/>
              <w:jc w:val="center"/>
              <w:rPr>
                <w:rFonts w:hint="eastAsia" w:ascii="宋体" w:hAnsi="宋体" w:cs="宋体"/>
                <w:szCs w:val="21"/>
              </w:rPr>
            </w:pPr>
            <w:r>
              <w:rPr>
                <w:szCs w:val="21"/>
                <w:lang w:bidi="ar"/>
              </w:rPr>
              <w:t>不对水域造成影响</w:t>
            </w:r>
          </w:p>
        </w:tc>
        <w:tc>
          <w:tcPr>
            <w:tcW w:w="940" w:type="pct"/>
            <w:vAlign w:val="center"/>
          </w:tcPr>
          <w:p w14:paraId="64BB1628">
            <w:pPr>
              <w:adjustRightInd w:val="0"/>
              <w:snapToGrid w:val="0"/>
              <w:jc w:val="center"/>
              <w:rPr>
                <w:rFonts w:hint="eastAsia" w:ascii="宋体" w:hAnsi="宋体" w:cs="宋体"/>
                <w:szCs w:val="21"/>
              </w:rPr>
            </w:pPr>
            <w:r>
              <w:rPr>
                <w:szCs w:val="21"/>
                <w:lang w:bidi="ar"/>
              </w:rPr>
              <w:t>警示标识、排水沟、防撞栏、检修车道等</w:t>
            </w:r>
          </w:p>
        </w:tc>
        <w:tc>
          <w:tcPr>
            <w:tcW w:w="924" w:type="pct"/>
            <w:vAlign w:val="center"/>
          </w:tcPr>
          <w:p w14:paraId="562E419B">
            <w:pPr>
              <w:adjustRightInd w:val="0"/>
              <w:snapToGrid w:val="0"/>
              <w:jc w:val="center"/>
              <w:rPr>
                <w:rFonts w:hint="eastAsia" w:ascii="宋体" w:hAnsi="宋体" w:cs="宋体"/>
                <w:szCs w:val="21"/>
              </w:rPr>
            </w:pPr>
            <w:r>
              <w:rPr>
                <w:szCs w:val="21"/>
                <w:lang w:bidi="ar"/>
              </w:rPr>
              <w:t>不对水域造成影响</w:t>
            </w:r>
          </w:p>
        </w:tc>
      </w:tr>
      <w:tr w14:paraId="340535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6D0F2BB4">
            <w:pPr>
              <w:adjustRightInd w:val="0"/>
              <w:snapToGrid w:val="0"/>
              <w:jc w:val="center"/>
              <w:rPr>
                <w:rFonts w:hint="eastAsia" w:ascii="宋体" w:hAnsi="宋体" w:cs="宋体"/>
                <w:szCs w:val="21"/>
              </w:rPr>
            </w:pPr>
            <w:r>
              <w:rPr>
                <w:rFonts w:hint="eastAsia" w:ascii="宋体" w:hAnsi="宋体" w:cs="宋体"/>
                <w:szCs w:val="21"/>
              </w:rPr>
              <w:t>环境监测</w:t>
            </w:r>
          </w:p>
        </w:tc>
        <w:tc>
          <w:tcPr>
            <w:tcW w:w="1393" w:type="pct"/>
            <w:vAlign w:val="center"/>
          </w:tcPr>
          <w:p w14:paraId="4EB01979">
            <w:pPr>
              <w:adjustRightInd w:val="0"/>
              <w:snapToGrid w:val="0"/>
              <w:rPr>
                <w:rFonts w:hint="eastAsia" w:ascii="宋体" w:hAnsi="宋体" w:cs="宋体"/>
                <w:szCs w:val="21"/>
              </w:rPr>
            </w:pPr>
            <w:r>
              <w:rPr>
                <w:rFonts w:hint="eastAsia"/>
                <w:szCs w:val="21"/>
              </w:rPr>
              <w:t>施工期场界噪声监测</w:t>
            </w:r>
          </w:p>
        </w:tc>
        <w:tc>
          <w:tcPr>
            <w:tcW w:w="1028" w:type="pct"/>
            <w:vAlign w:val="center"/>
          </w:tcPr>
          <w:p w14:paraId="42444525">
            <w:pPr>
              <w:adjustRightInd w:val="0"/>
              <w:snapToGrid w:val="0"/>
              <w:rPr>
                <w:rFonts w:hint="eastAsia" w:ascii="宋体" w:hAnsi="宋体" w:cs="宋体"/>
                <w:szCs w:val="21"/>
              </w:rPr>
            </w:pPr>
            <w:r>
              <w:rPr>
                <w:bCs/>
                <w:spacing w:val="10"/>
                <w:szCs w:val="21"/>
              </w:rPr>
              <w:t>《建筑施工场界环境噪声排放标准》(GB12523-2011)</w:t>
            </w:r>
          </w:p>
        </w:tc>
        <w:tc>
          <w:tcPr>
            <w:tcW w:w="940" w:type="pct"/>
            <w:vAlign w:val="center"/>
          </w:tcPr>
          <w:p w14:paraId="3440C1AC">
            <w:pPr>
              <w:adjustRightInd w:val="0"/>
              <w:snapToGrid w:val="0"/>
              <w:rPr>
                <w:rFonts w:hint="eastAsia" w:ascii="宋体" w:hAnsi="宋体" w:cs="宋体"/>
                <w:szCs w:val="21"/>
              </w:rPr>
            </w:pPr>
            <w:r>
              <w:rPr>
                <w:rFonts w:hint="eastAsia"/>
                <w:szCs w:val="21"/>
              </w:rPr>
              <w:t>运营期敏感点噪声监测</w:t>
            </w:r>
          </w:p>
        </w:tc>
        <w:tc>
          <w:tcPr>
            <w:tcW w:w="924" w:type="pct"/>
            <w:vAlign w:val="center"/>
          </w:tcPr>
          <w:p w14:paraId="7F32D475">
            <w:pPr>
              <w:adjustRightInd w:val="0"/>
              <w:snapToGrid w:val="0"/>
              <w:rPr>
                <w:rFonts w:hint="eastAsia" w:ascii="宋体" w:hAnsi="宋体" w:cs="宋体"/>
                <w:szCs w:val="21"/>
              </w:rPr>
            </w:pPr>
            <w:r>
              <w:rPr>
                <w:szCs w:val="21"/>
              </w:rPr>
              <w:t>《声环境质量标准》（GB3096-2008）中的2类标准</w:t>
            </w:r>
          </w:p>
        </w:tc>
      </w:tr>
      <w:tr w14:paraId="1A35EA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4" w:type="pct"/>
            <w:vAlign w:val="center"/>
          </w:tcPr>
          <w:p w14:paraId="1D1DE63D">
            <w:pPr>
              <w:adjustRightInd w:val="0"/>
              <w:snapToGrid w:val="0"/>
              <w:jc w:val="center"/>
              <w:rPr>
                <w:rFonts w:hint="eastAsia" w:ascii="宋体" w:hAnsi="宋体" w:cs="宋体"/>
                <w:szCs w:val="21"/>
              </w:rPr>
            </w:pPr>
            <w:r>
              <w:rPr>
                <w:rFonts w:hint="eastAsia" w:ascii="宋体" w:hAnsi="宋体" w:cs="宋体"/>
                <w:szCs w:val="21"/>
              </w:rPr>
              <w:t>其他</w:t>
            </w:r>
          </w:p>
        </w:tc>
        <w:tc>
          <w:tcPr>
            <w:tcW w:w="1393" w:type="pct"/>
            <w:vAlign w:val="center"/>
          </w:tcPr>
          <w:p w14:paraId="295001C3">
            <w:pPr>
              <w:adjustRightInd w:val="0"/>
              <w:snapToGrid w:val="0"/>
              <w:rPr>
                <w:rFonts w:hint="eastAsia" w:ascii="宋体" w:hAnsi="宋体" w:cs="宋体"/>
                <w:szCs w:val="21"/>
              </w:rPr>
            </w:pPr>
            <w:r>
              <w:rPr>
                <w:szCs w:val="21"/>
              </w:rPr>
              <w:t>/</w:t>
            </w:r>
          </w:p>
        </w:tc>
        <w:tc>
          <w:tcPr>
            <w:tcW w:w="1028" w:type="pct"/>
            <w:vAlign w:val="center"/>
          </w:tcPr>
          <w:p w14:paraId="388DC6D7">
            <w:pPr>
              <w:adjustRightInd w:val="0"/>
              <w:snapToGrid w:val="0"/>
              <w:rPr>
                <w:rFonts w:hint="eastAsia" w:ascii="宋体" w:hAnsi="宋体" w:cs="宋体"/>
                <w:szCs w:val="21"/>
              </w:rPr>
            </w:pPr>
            <w:r>
              <w:rPr>
                <w:szCs w:val="21"/>
              </w:rPr>
              <w:t>/</w:t>
            </w:r>
          </w:p>
        </w:tc>
        <w:tc>
          <w:tcPr>
            <w:tcW w:w="940" w:type="pct"/>
            <w:vAlign w:val="center"/>
          </w:tcPr>
          <w:p w14:paraId="077A577E">
            <w:pPr>
              <w:adjustRightInd w:val="0"/>
              <w:snapToGrid w:val="0"/>
              <w:rPr>
                <w:rFonts w:hint="eastAsia" w:ascii="宋体" w:hAnsi="宋体" w:cs="宋体"/>
                <w:szCs w:val="21"/>
              </w:rPr>
            </w:pPr>
            <w:r>
              <w:rPr>
                <w:szCs w:val="21"/>
              </w:rPr>
              <w:t>/</w:t>
            </w:r>
          </w:p>
        </w:tc>
        <w:tc>
          <w:tcPr>
            <w:tcW w:w="924" w:type="pct"/>
            <w:vAlign w:val="center"/>
          </w:tcPr>
          <w:p w14:paraId="15348706">
            <w:pPr>
              <w:adjustRightInd w:val="0"/>
              <w:snapToGrid w:val="0"/>
              <w:rPr>
                <w:rFonts w:hint="eastAsia" w:ascii="宋体" w:hAnsi="宋体" w:cs="宋体"/>
                <w:szCs w:val="21"/>
              </w:rPr>
            </w:pPr>
            <w:r>
              <w:rPr>
                <w:szCs w:val="21"/>
              </w:rPr>
              <w:t>/</w:t>
            </w:r>
          </w:p>
        </w:tc>
      </w:tr>
    </w:tbl>
    <w:p w14:paraId="588F56B4">
      <w:pPr>
        <w:pStyle w:val="30"/>
        <w:spacing w:before="0" w:beforeAutospacing="0" w:line="14" w:lineRule="auto"/>
        <w:jc w:val="center"/>
        <w:outlineLvl w:val="0"/>
        <w:rPr>
          <w:rFonts w:hint="eastAsia" w:ascii="黑体" w:hAnsi="黑体" w:eastAsia="黑体"/>
          <w:snapToGrid w:val="0"/>
          <w:sz w:val="30"/>
          <w:szCs w:val="30"/>
        </w:rPr>
      </w:pPr>
      <w:r>
        <w:rPr>
          <w:rFonts w:ascii="黑体" w:hAnsi="黑体" w:eastAsia="黑体"/>
          <w:snapToGrid w:val="0"/>
          <w:sz w:val="30"/>
          <w:szCs w:val="30"/>
        </w:rPr>
        <w:br w:type="page"/>
      </w:r>
    </w:p>
    <w:p w14:paraId="6DD80301">
      <w:pPr>
        <w:pStyle w:val="30"/>
        <w:spacing w:before="192" w:beforeLines="80" w:beforeAutospacing="0"/>
        <w:jc w:val="center"/>
        <w:outlineLvl w:val="0"/>
        <w:rPr>
          <w:rFonts w:hint="eastAsia" w:ascii="黑体" w:hAnsi="黑体" w:eastAsia="黑体"/>
          <w:snapToGrid w:val="0"/>
          <w:sz w:val="30"/>
          <w:szCs w:val="30"/>
        </w:rPr>
      </w:pPr>
      <w:bookmarkStart w:id="111" w:name="_Toc23716"/>
      <w:bookmarkStart w:id="112" w:name="_Toc185523907"/>
      <w:bookmarkStart w:id="113" w:name="_Toc185524015"/>
      <w:bookmarkStart w:id="114" w:name="_Toc191907557"/>
      <w:bookmarkStart w:id="115" w:name="_Toc187243670"/>
      <w:r>
        <w:rPr>
          <w:rFonts w:hint="eastAsia" w:ascii="黑体" w:hAnsi="黑体" w:eastAsia="黑体"/>
          <w:snapToGrid w:val="0"/>
          <w:sz w:val="30"/>
          <w:szCs w:val="30"/>
        </w:rPr>
        <w:t>七、结论</w:t>
      </w:r>
      <w:bookmarkEnd w:id="111"/>
      <w:bookmarkEnd w:id="112"/>
      <w:bookmarkEnd w:id="113"/>
      <w:bookmarkEnd w:id="114"/>
      <w:bookmarkEnd w:id="115"/>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682"/>
      </w:tblGrid>
      <w:tr w14:paraId="0E98E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349" w:hRule="atLeast"/>
          <w:jc w:val="center"/>
        </w:trPr>
        <w:tc>
          <w:tcPr>
            <w:tcW w:w="5000" w:type="pct"/>
            <w:vAlign w:val="center"/>
          </w:tcPr>
          <w:p w14:paraId="2C4FC147">
            <w:pPr>
              <w:adjustRightInd w:val="0"/>
              <w:snapToGrid w:val="0"/>
              <w:spacing w:line="360" w:lineRule="auto"/>
              <w:ind w:firstLine="315"/>
              <w:rPr>
                <w:rFonts w:hint="eastAsia" w:ascii="宋体" w:hAnsi="宋体" w:cs="宋体"/>
                <w:szCs w:val="21"/>
              </w:rPr>
            </w:pPr>
            <w:r>
              <w:rPr>
                <w:szCs w:val="21"/>
              </w:rPr>
              <w:t>综上所述，本项目的建设符合国家产业政策，符合惠州市发展规划。项目建设有着良好的社会效益和经济效益。项目建设过程中和建成运营后会产生一定的废水、废气、噪声和固体废物，在全面落实报批后的《报告表》中各项环境保护措施的情况下，项目各污染物能达标排放，对周围环境不会产生明显影响，从环境保护的角度该建设项目可行。</w:t>
            </w:r>
          </w:p>
        </w:tc>
      </w:tr>
    </w:tbl>
    <w:p w14:paraId="0292F8BA">
      <w:pPr>
        <w:sectPr>
          <w:footerReference r:id="rId6" w:type="default"/>
          <w:pgSz w:w="11906" w:h="16838"/>
          <w:pgMar w:top="720" w:right="720" w:bottom="720" w:left="720" w:header="851" w:footer="567" w:gutter="0"/>
          <w:cols w:space="720" w:num="1"/>
          <w:docGrid w:linePitch="312" w:charSpace="0"/>
        </w:sectPr>
      </w:pPr>
    </w:p>
    <w:p w14:paraId="2C30320F">
      <w:pPr>
        <w:rPr>
          <w:b/>
          <w:bCs/>
          <w:sz w:val="44"/>
          <w:szCs w:val="44"/>
        </w:rPr>
      </w:pPr>
    </w:p>
    <w:p w14:paraId="72DEF5D9">
      <w:pPr>
        <w:autoSpaceDE w:val="0"/>
        <w:autoSpaceDN w:val="0"/>
        <w:adjustRightInd w:val="0"/>
        <w:jc w:val="left"/>
        <w:rPr>
          <w:b/>
          <w:bCs/>
          <w:sz w:val="44"/>
          <w:szCs w:val="44"/>
        </w:rPr>
      </w:pPr>
    </w:p>
    <w:p w14:paraId="1E10D493">
      <w:pPr>
        <w:autoSpaceDE w:val="0"/>
        <w:autoSpaceDN w:val="0"/>
        <w:adjustRightInd w:val="0"/>
        <w:jc w:val="left"/>
        <w:rPr>
          <w:b/>
          <w:bCs/>
          <w:sz w:val="44"/>
          <w:szCs w:val="44"/>
        </w:rPr>
      </w:pPr>
    </w:p>
    <w:p w14:paraId="0579BE4C">
      <w:pPr>
        <w:autoSpaceDE w:val="0"/>
        <w:autoSpaceDN w:val="0"/>
        <w:adjustRightInd w:val="0"/>
        <w:jc w:val="left"/>
        <w:rPr>
          <w:b/>
          <w:bCs/>
          <w:sz w:val="44"/>
          <w:szCs w:val="44"/>
        </w:rPr>
      </w:pPr>
    </w:p>
    <w:p w14:paraId="1E703FBD">
      <w:pPr>
        <w:autoSpaceDE w:val="0"/>
        <w:autoSpaceDN w:val="0"/>
        <w:adjustRightInd w:val="0"/>
        <w:jc w:val="left"/>
        <w:rPr>
          <w:b/>
          <w:bCs/>
          <w:sz w:val="44"/>
          <w:szCs w:val="44"/>
        </w:rPr>
      </w:pPr>
    </w:p>
    <w:p w14:paraId="7D57945D">
      <w:pPr>
        <w:autoSpaceDE w:val="0"/>
        <w:autoSpaceDN w:val="0"/>
        <w:adjustRightInd w:val="0"/>
        <w:jc w:val="left"/>
        <w:rPr>
          <w:b/>
          <w:bCs/>
          <w:sz w:val="44"/>
          <w:szCs w:val="44"/>
        </w:rPr>
      </w:pPr>
    </w:p>
    <w:p w14:paraId="7CD82929">
      <w:pPr>
        <w:autoSpaceDE w:val="0"/>
        <w:autoSpaceDN w:val="0"/>
        <w:adjustRightInd w:val="0"/>
        <w:jc w:val="left"/>
        <w:rPr>
          <w:b/>
          <w:bCs/>
          <w:sz w:val="44"/>
          <w:szCs w:val="44"/>
        </w:rPr>
      </w:pPr>
    </w:p>
    <w:p w14:paraId="77F1F375">
      <w:pPr>
        <w:keepNext/>
        <w:overflowPunct w:val="0"/>
        <w:snapToGrid w:val="0"/>
        <w:spacing w:before="120" w:after="160" w:line="259" w:lineRule="auto"/>
        <w:ind w:left="432" w:hanging="432"/>
        <w:jc w:val="center"/>
        <w:outlineLvl w:val="0"/>
        <w:rPr>
          <w:rFonts w:hint="eastAsia" w:ascii="宋体" w:hAnsi="宋体"/>
          <w:b/>
          <w:bCs/>
          <w:sz w:val="44"/>
          <w:szCs w:val="44"/>
        </w:rPr>
      </w:pPr>
      <w:bookmarkStart w:id="116" w:name="_Toc185523908"/>
      <w:bookmarkStart w:id="117" w:name="_Toc187243671"/>
      <w:bookmarkStart w:id="118" w:name="_Toc185524016"/>
      <w:bookmarkStart w:id="119" w:name="_Toc191907558"/>
      <w:bookmarkStart w:id="120" w:name="_Toc19115"/>
      <w:r>
        <w:rPr>
          <w:rFonts w:hint="eastAsia" w:ascii="宋体" w:hAnsi="宋体"/>
          <w:b/>
          <w:bCs/>
          <w:sz w:val="44"/>
          <w:szCs w:val="44"/>
        </w:rPr>
        <w:t>博罗县城体育大道东延段建设工程</w:t>
      </w:r>
      <w:bookmarkEnd w:id="116"/>
      <w:bookmarkEnd w:id="117"/>
      <w:bookmarkEnd w:id="118"/>
      <w:r>
        <w:rPr>
          <w:rFonts w:hint="eastAsia" w:ascii="宋体" w:hAnsi="宋体"/>
          <w:b/>
          <w:bCs/>
          <w:sz w:val="44"/>
          <w:szCs w:val="44"/>
        </w:rPr>
        <w:t>(K0+878.712～K1+210.007)</w:t>
      </w:r>
      <w:bookmarkEnd w:id="119"/>
      <w:bookmarkEnd w:id="120"/>
    </w:p>
    <w:p w14:paraId="78071981">
      <w:pPr>
        <w:keepNext/>
        <w:overflowPunct w:val="0"/>
        <w:snapToGrid w:val="0"/>
        <w:spacing w:before="120" w:after="160" w:line="259" w:lineRule="auto"/>
        <w:ind w:left="432" w:hanging="432"/>
        <w:jc w:val="center"/>
        <w:outlineLvl w:val="0"/>
        <w:rPr>
          <w:rFonts w:eastAsia="黑体"/>
          <w:kern w:val="44"/>
          <w:sz w:val="44"/>
          <w:szCs w:val="44"/>
        </w:rPr>
        <w:sectPr>
          <w:footerReference r:id="rId7" w:type="default"/>
          <w:pgSz w:w="11906" w:h="16838"/>
          <w:pgMar w:top="1701" w:right="1531" w:bottom="1701" w:left="1531" w:header="851" w:footer="851" w:gutter="0"/>
          <w:cols w:space="720" w:num="1"/>
          <w:docGrid w:linePitch="312" w:charSpace="0"/>
        </w:sectPr>
      </w:pPr>
      <w:bookmarkStart w:id="121" w:name="_Toc185523909"/>
      <w:bookmarkStart w:id="122" w:name="_Toc187243672"/>
      <w:bookmarkStart w:id="123" w:name="_Toc191907559"/>
      <w:bookmarkStart w:id="124" w:name="_Toc185524017"/>
      <w:bookmarkStart w:id="125" w:name="_Toc15206"/>
      <w:r>
        <w:rPr>
          <w:rFonts w:ascii="宋体" w:hAnsi="宋体"/>
          <w:b/>
          <w:bCs/>
          <w:kern w:val="44"/>
          <w:sz w:val="44"/>
          <w:szCs w:val="44"/>
        </w:rPr>
        <w:t>声环境影响专项评价</w:t>
      </w:r>
      <w:bookmarkEnd w:id="121"/>
      <w:bookmarkEnd w:id="122"/>
      <w:bookmarkEnd w:id="123"/>
      <w:bookmarkEnd w:id="124"/>
      <w:bookmarkEnd w:id="125"/>
    </w:p>
    <w:p w14:paraId="6052B9C3">
      <w:pPr>
        <w:pStyle w:val="2"/>
        <w:jc w:val="center"/>
        <w:rPr>
          <w:rFonts w:eastAsia="宋体"/>
          <w:color w:val="auto"/>
          <w:sz w:val="44"/>
          <w:szCs w:val="44"/>
        </w:rPr>
      </w:pPr>
      <w:bookmarkStart w:id="126" w:name="_Toc191907560"/>
      <w:bookmarkStart w:id="127" w:name="_Toc187243673"/>
      <w:bookmarkStart w:id="128" w:name="_Toc10867"/>
      <w:bookmarkStart w:id="129" w:name="_Toc185523910"/>
      <w:bookmarkStart w:id="130" w:name="_Toc185524018"/>
      <w:r>
        <w:rPr>
          <w:rFonts w:eastAsia="宋体"/>
          <w:color w:val="auto"/>
          <w:sz w:val="44"/>
          <w:szCs w:val="44"/>
        </w:rPr>
        <w:t>1.总论</w:t>
      </w:r>
      <w:bookmarkEnd w:id="126"/>
      <w:bookmarkEnd w:id="127"/>
      <w:bookmarkEnd w:id="128"/>
      <w:bookmarkEnd w:id="129"/>
      <w:bookmarkEnd w:id="130"/>
    </w:p>
    <w:p w14:paraId="11A86100">
      <w:pPr>
        <w:widowControl/>
        <w:spacing w:line="500" w:lineRule="exact"/>
        <w:ind w:firstLine="482" w:firstLineChars="200"/>
        <w:jc w:val="left"/>
        <w:rPr>
          <w:b/>
          <w:bCs/>
          <w:sz w:val="24"/>
        </w:rPr>
      </w:pPr>
      <w:r>
        <w:rPr>
          <w:rFonts w:hint="eastAsia"/>
          <w:b/>
          <w:bCs/>
          <w:sz w:val="24"/>
        </w:rPr>
        <w:t>1</w:t>
      </w:r>
      <w:r>
        <w:rPr>
          <w:b/>
          <w:bCs/>
          <w:sz w:val="24"/>
        </w:rPr>
        <w:t>.1</w:t>
      </w:r>
      <w:r>
        <w:rPr>
          <w:rFonts w:hint="eastAsia"/>
          <w:b/>
          <w:bCs/>
          <w:sz w:val="24"/>
        </w:rPr>
        <w:t>项目由来</w:t>
      </w:r>
    </w:p>
    <w:p w14:paraId="5392D7CB">
      <w:pPr>
        <w:widowControl/>
        <w:spacing w:line="500" w:lineRule="exact"/>
        <w:ind w:firstLine="480" w:firstLineChars="200"/>
        <w:jc w:val="left"/>
        <w:rPr>
          <w:sz w:val="24"/>
        </w:rPr>
      </w:pPr>
      <w:r>
        <w:rPr>
          <w:rFonts w:hint="eastAsia"/>
          <w:sz w:val="24"/>
        </w:rPr>
        <w:t>博罗县城体育大道东延段建设工程(K0+878.712~K1+210.007)是博罗县重要的基础设施工程之一，本工程设计终点顺接白石渠中桥(K1+210.007)，本工程的建设将直接沟通惠城区快速路网，将进一步完善博罗县对外交通通道，并与惠城区形成经济辐射，对带动区域经济发展起着巨大的推动作用，对加快博罗县城市基础设施的建设、改善区域居民生活环境，乃至推动城市经济发展具有重大意义，且有利于推动博罗县社会经济的发展，从而带动全镇经济的增长。另本工程与惠霞高速公路(原惠州湾高速公路)体育大道立交沟通，本工程建成能后对该区域博罗、惠城两个县区的经济辐射，经济发展起着巨大的推动作用。</w:t>
      </w:r>
    </w:p>
    <w:p w14:paraId="25D9BB7C">
      <w:pPr>
        <w:widowControl/>
        <w:spacing w:line="500" w:lineRule="exact"/>
        <w:ind w:firstLine="480" w:firstLineChars="200"/>
        <w:jc w:val="left"/>
        <w:rPr>
          <w:sz w:val="24"/>
        </w:rPr>
      </w:pPr>
      <w:r>
        <w:rPr>
          <w:rFonts w:hint="eastAsia"/>
          <w:sz w:val="24"/>
        </w:rPr>
        <w:t>因此，博罗县城体育大道东延段建设工程(K0+878.712~K1+210.007)是十分迫切需要的。</w:t>
      </w:r>
    </w:p>
    <w:p w14:paraId="36C1EF90">
      <w:pPr>
        <w:widowControl/>
        <w:spacing w:line="500" w:lineRule="exact"/>
        <w:ind w:firstLine="480" w:firstLineChars="200"/>
        <w:jc w:val="left"/>
        <w:rPr>
          <w:sz w:val="24"/>
        </w:rPr>
      </w:pPr>
      <w:r>
        <w:rPr>
          <w:rFonts w:hint="eastAsia"/>
          <w:sz w:val="24"/>
        </w:rPr>
        <w:t>本项目总占地面积为3.43hm</w:t>
      </w:r>
      <w:r>
        <w:rPr>
          <w:rFonts w:hint="eastAsia"/>
          <w:sz w:val="24"/>
          <w:vertAlign w:val="superscript"/>
        </w:rPr>
        <w:t>2</w:t>
      </w:r>
      <w:r>
        <w:rPr>
          <w:rFonts w:hint="eastAsia"/>
          <w:sz w:val="24"/>
        </w:rPr>
        <w:t>，均为永久征地，原始占地类型为林地、草地、水域及水利设施用地和其他土地。本项目土石方挖填总量为10.58万m</w:t>
      </w:r>
      <w:r>
        <w:rPr>
          <w:rFonts w:hint="eastAsia"/>
          <w:sz w:val="24"/>
          <w:vertAlign w:val="superscript"/>
        </w:rPr>
        <w:t>3</w:t>
      </w:r>
      <w:r>
        <w:rPr>
          <w:rFonts w:hint="eastAsia"/>
          <w:sz w:val="24"/>
        </w:rPr>
        <w:t>，其中挖方总量9.24万m</w:t>
      </w:r>
      <w:r>
        <w:rPr>
          <w:rFonts w:hint="eastAsia"/>
          <w:sz w:val="24"/>
          <w:vertAlign w:val="superscript"/>
        </w:rPr>
        <w:t>3</w:t>
      </w:r>
      <w:r>
        <w:rPr>
          <w:rFonts w:hint="eastAsia"/>
          <w:sz w:val="24"/>
        </w:rPr>
        <w:t>(包括土方8.88万m</w:t>
      </w:r>
      <w:r>
        <w:rPr>
          <w:rFonts w:hint="eastAsia"/>
          <w:sz w:val="24"/>
          <w:vertAlign w:val="superscript"/>
        </w:rPr>
        <w:t>3</w:t>
      </w:r>
      <w:r>
        <w:rPr>
          <w:rFonts w:hint="eastAsia"/>
          <w:sz w:val="24"/>
        </w:rPr>
        <w:t>、石方0.35万m</w:t>
      </w:r>
      <w:r>
        <w:rPr>
          <w:rFonts w:hint="eastAsia"/>
          <w:sz w:val="24"/>
          <w:vertAlign w:val="superscript"/>
        </w:rPr>
        <w:t>3</w:t>
      </w:r>
      <w:r>
        <w:rPr>
          <w:rFonts w:hint="eastAsia"/>
          <w:sz w:val="24"/>
        </w:rPr>
        <w:t>、建筑垃圾0.01万m</w:t>
      </w:r>
      <w:r>
        <w:rPr>
          <w:rFonts w:hint="eastAsia"/>
          <w:sz w:val="24"/>
          <w:vertAlign w:val="superscript"/>
        </w:rPr>
        <w:t>3</w:t>
      </w:r>
      <w:r>
        <w:rPr>
          <w:rFonts w:hint="eastAsia"/>
          <w:sz w:val="24"/>
        </w:rPr>
        <w:t>)；填方总量1.34万m</w:t>
      </w:r>
      <w:r>
        <w:rPr>
          <w:rFonts w:hint="eastAsia"/>
          <w:sz w:val="24"/>
          <w:vertAlign w:val="superscript"/>
        </w:rPr>
        <w:t>3</w:t>
      </w:r>
      <w:r>
        <w:rPr>
          <w:rFonts w:hint="eastAsia"/>
          <w:sz w:val="24"/>
        </w:rPr>
        <w:t>(均为土方)；无借方；弃方总量7.90万m</w:t>
      </w:r>
      <w:r>
        <w:rPr>
          <w:rFonts w:hint="eastAsia"/>
          <w:sz w:val="24"/>
          <w:vertAlign w:val="superscript"/>
        </w:rPr>
        <w:t>3</w:t>
      </w:r>
      <w:r>
        <w:rPr>
          <w:rFonts w:hint="eastAsia"/>
          <w:sz w:val="24"/>
        </w:rPr>
        <w:t>(包括土方7.54 m</w:t>
      </w:r>
      <w:r>
        <w:rPr>
          <w:rFonts w:hint="eastAsia"/>
          <w:sz w:val="24"/>
          <w:vertAlign w:val="superscript"/>
        </w:rPr>
        <w:t>3</w:t>
      </w:r>
      <w:r>
        <w:rPr>
          <w:rFonts w:hint="eastAsia"/>
          <w:sz w:val="24"/>
        </w:rPr>
        <w:t>、石方0.35万m</w:t>
      </w:r>
      <w:r>
        <w:rPr>
          <w:rFonts w:hint="eastAsia"/>
          <w:sz w:val="24"/>
          <w:vertAlign w:val="superscript"/>
        </w:rPr>
        <w:t>3</w:t>
      </w:r>
      <w:r>
        <w:rPr>
          <w:rFonts w:hint="eastAsia"/>
          <w:sz w:val="24"/>
        </w:rPr>
        <w:t>、建筑垃圾0.01万m</w:t>
      </w:r>
      <w:r>
        <w:rPr>
          <w:rFonts w:hint="eastAsia"/>
          <w:sz w:val="24"/>
          <w:vertAlign w:val="superscript"/>
        </w:rPr>
        <w:t>3</w:t>
      </w:r>
      <w:r>
        <w:rPr>
          <w:rFonts w:hint="eastAsia"/>
          <w:sz w:val="24"/>
        </w:rPr>
        <w:t>)，运至博罗县2013年度第72、73批次县储备用地。</w:t>
      </w:r>
    </w:p>
    <w:p w14:paraId="165E8A9B">
      <w:pPr>
        <w:widowControl/>
        <w:spacing w:line="500" w:lineRule="exact"/>
        <w:ind w:firstLine="480" w:firstLineChars="200"/>
        <w:jc w:val="left"/>
        <w:rPr>
          <w:sz w:val="24"/>
        </w:rPr>
      </w:pPr>
      <w:r>
        <w:rPr>
          <w:rFonts w:hint="eastAsia"/>
          <w:sz w:val="24"/>
        </w:rPr>
        <w:t>本项目总投资4883.04万元，其中土建投资为3823.02万元，所需的资金由县财政统筹安排。</w:t>
      </w:r>
    </w:p>
    <w:p w14:paraId="5BF5B223">
      <w:pPr>
        <w:widowControl/>
        <w:spacing w:line="500" w:lineRule="exact"/>
        <w:ind w:firstLine="480" w:firstLineChars="200"/>
        <w:jc w:val="left"/>
        <w:rPr>
          <w:sz w:val="24"/>
        </w:rPr>
      </w:pPr>
      <w:r>
        <w:rPr>
          <w:rFonts w:hint="eastAsia"/>
          <w:sz w:val="24"/>
        </w:rPr>
        <w:t>本项目沿线多为荒山和林地，不涉及拆迁(移民)安置与专项设施改(迁)建。道路沿线途径较多林地和草地，工程建设需征得相关部门许可。</w:t>
      </w:r>
    </w:p>
    <w:p w14:paraId="618ED565">
      <w:pPr>
        <w:widowControl/>
        <w:spacing w:line="500" w:lineRule="exact"/>
        <w:ind w:firstLine="480" w:firstLineChars="200"/>
        <w:jc w:val="left"/>
        <w:rPr>
          <w:sz w:val="24"/>
        </w:rPr>
      </w:pPr>
      <w:r>
        <w:rPr>
          <w:rFonts w:hint="eastAsia"/>
          <w:sz w:val="24"/>
        </w:rPr>
        <w:t>根据《建设项目环境影响评价分类管理名录（2021年版）》，项目属于“五十二、交通运输业、管道运输业-131 城市道路（不含维护；不含支路、人行天桥、人行地道）-新建快速路、主干路”，需要编制环境影响评价报告表报生态环境主管部门审批。为此，受博罗县市政园林事务中心的委托，广东绿然环境科技股份有限公司承担了该项目的环境影响评价工作。经现场调查和实地勘察后，编制了该项目的环境影响报告表。</w:t>
      </w:r>
    </w:p>
    <w:p w14:paraId="410547F3">
      <w:pPr>
        <w:widowControl/>
        <w:spacing w:line="500" w:lineRule="exact"/>
        <w:ind w:firstLine="482" w:firstLineChars="200"/>
        <w:jc w:val="left"/>
        <w:rPr>
          <w:b/>
          <w:bCs/>
          <w:sz w:val="24"/>
        </w:rPr>
      </w:pPr>
      <w:r>
        <w:rPr>
          <w:b/>
          <w:bCs/>
          <w:sz w:val="24"/>
        </w:rPr>
        <w:t>1.2 编制依据</w:t>
      </w:r>
    </w:p>
    <w:p w14:paraId="15D12914">
      <w:pPr>
        <w:widowControl/>
        <w:spacing w:line="500" w:lineRule="exact"/>
        <w:ind w:firstLine="480" w:firstLineChars="200"/>
        <w:jc w:val="left"/>
        <w:rPr>
          <w:sz w:val="24"/>
        </w:rPr>
      </w:pPr>
      <w:r>
        <w:rPr>
          <w:sz w:val="24"/>
        </w:rPr>
        <w:t>(1)《中华人民共和国环境保护法》，2014年4月24日修订；</w:t>
      </w:r>
    </w:p>
    <w:p w14:paraId="26A97818">
      <w:pPr>
        <w:widowControl/>
        <w:spacing w:line="500" w:lineRule="exact"/>
        <w:ind w:firstLine="480" w:firstLineChars="200"/>
        <w:jc w:val="left"/>
        <w:rPr>
          <w:sz w:val="24"/>
        </w:rPr>
      </w:pPr>
      <w:r>
        <w:rPr>
          <w:sz w:val="24"/>
        </w:rPr>
        <w:t>(2)《中华人民共和国环境影响评价法》，2018年12月29日修正；</w:t>
      </w:r>
    </w:p>
    <w:p w14:paraId="6CC59E62">
      <w:pPr>
        <w:widowControl/>
        <w:spacing w:line="500" w:lineRule="exact"/>
        <w:ind w:firstLine="480" w:firstLineChars="200"/>
        <w:jc w:val="left"/>
        <w:rPr>
          <w:sz w:val="24"/>
        </w:rPr>
      </w:pPr>
      <w:r>
        <w:rPr>
          <w:sz w:val="24"/>
        </w:rPr>
        <w:t>(3)《中华人民共和国环境大气污染防治法》，2018年10月26日修正；</w:t>
      </w:r>
    </w:p>
    <w:p w14:paraId="4A936824">
      <w:pPr>
        <w:widowControl/>
        <w:spacing w:line="500" w:lineRule="exact"/>
        <w:ind w:firstLine="480" w:firstLineChars="200"/>
        <w:jc w:val="left"/>
        <w:rPr>
          <w:sz w:val="24"/>
        </w:rPr>
      </w:pPr>
      <w:r>
        <w:rPr>
          <w:sz w:val="24"/>
        </w:rPr>
        <w:t>(4)《建设项目环境保护管理条例》，国务院第682号令，2017年6月21日修订；</w:t>
      </w:r>
    </w:p>
    <w:p w14:paraId="4ABDA0D5">
      <w:pPr>
        <w:widowControl/>
        <w:spacing w:line="500" w:lineRule="exact"/>
        <w:ind w:firstLine="480" w:firstLineChars="200"/>
        <w:jc w:val="left"/>
        <w:rPr>
          <w:sz w:val="24"/>
        </w:rPr>
      </w:pPr>
      <w:r>
        <w:rPr>
          <w:sz w:val="24"/>
        </w:rPr>
        <w:t>(5)《建设项目环境影响评价分类管理目录》，2021年版；</w:t>
      </w:r>
    </w:p>
    <w:p w14:paraId="687C8668">
      <w:pPr>
        <w:widowControl/>
        <w:spacing w:line="500" w:lineRule="exact"/>
        <w:ind w:firstLine="480" w:firstLineChars="200"/>
        <w:jc w:val="left"/>
        <w:rPr>
          <w:sz w:val="24"/>
        </w:rPr>
      </w:pPr>
      <w:r>
        <w:rPr>
          <w:sz w:val="24"/>
        </w:rPr>
        <w:t>(6)《产业结构调整指导目录（20</w:t>
      </w:r>
      <w:r>
        <w:rPr>
          <w:rFonts w:hint="eastAsia"/>
          <w:sz w:val="24"/>
        </w:rPr>
        <w:t>24</w:t>
      </w:r>
      <w:r>
        <w:rPr>
          <w:sz w:val="24"/>
        </w:rPr>
        <w:t>年本）》（中华人民共和国国家发展和改革委员会令第</w:t>
      </w:r>
      <w:r>
        <w:rPr>
          <w:rFonts w:hint="eastAsia"/>
          <w:sz w:val="24"/>
        </w:rPr>
        <w:t>7</w:t>
      </w:r>
      <w:r>
        <w:rPr>
          <w:sz w:val="24"/>
        </w:rPr>
        <w:t>号，202</w:t>
      </w:r>
      <w:r>
        <w:rPr>
          <w:rFonts w:hint="eastAsia"/>
          <w:sz w:val="24"/>
        </w:rPr>
        <w:t>4</w:t>
      </w:r>
      <w:r>
        <w:rPr>
          <w:sz w:val="24"/>
        </w:rPr>
        <w:t>年</w:t>
      </w:r>
      <w:r>
        <w:rPr>
          <w:rFonts w:hint="eastAsia"/>
          <w:sz w:val="24"/>
        </w:rPr>
        <w:t>2</w:t>
      </w:r>
      <w:r>
        <w:rPr>
          <w:sz w:val="24"/>
        </w:rPr>
        <w:t>月1日实施）</w:t>
      </w:r>
      <w:r>
        <w:rPr>
          <w:rFonts w:hint="eastAsia"/>
          <w:sz w:val="24"/>
        </w:rPr>
        <w:t>以及《国家发展改革委关于修改</w:t>
      </w:r>
      <w:r>
        <w:rPr>
          <w:sz w:val="24"/>
        </w:rPr>
        <w:t>&lt;产业结构调整指导目录（2019年本）&gt;有关条款的决定》；</w:t>
      </w:r>
    </w:p>
    <w:p w14:paraId="1DC1B5A4">
      <w:pPr>
        <w:widowControl/>
        <w:spacing w:line="500" w:lineRule="exact"/>
        <w:ind w:firstLine="480" w:firstLineChars="200"/>
        <w:jc w:val="left"/>
        <w:rPr>
          <w:sz w:val="24"/>
        </w:rPr>
      </w:pPr>
      <w:r>
        <w:rPr>
          <w:sz w:val="24"/>
        </w:rPr>
        <w:t>(7)《关于发布&lt;地面交通噪声污染防治技术政策&gt;的通知》，环发〔2010〕年7号；</w:t>
      </w:r>
    </w:p>
    <w:p w14:paraId="45DDCF90">
      <w:pPr>
        <w:widowControl/>
        <w:spacing w:line="500" w:lineRule="exact"/>
        <w:ind w:firstLine="480" w:firstLineChars="200"/>
        <w:jc w:val="left"/>
        <w:rPr>
          <w:sz w:val="24"/>
        </w:rPr>
      </w:pPr>
      <w:r>
        <w:rPr>
          <w:sz w:val="24"/>
        </w:rPr>
        <w:t>(8)《关于加强道路规划和建设环境影响评价工作的通知》环发〔2007〕184号文；</w:t>
      </w:r>
    </w:p>
    <w:p w14:paraId="58DBD17F">
      <w:pPr>
        <w:widowControl/>
        <w:spacing w:line="500" w:lineRule="exact"/>
        <w:ind w:firstLine="480" w:firstLineChars="200"/>
        <w:jc w:val="left"/>
        <w:rPr>
          <w:sz w:val="24"/>
        </w:rPr>
      </w:pPr>
      <w:r>
        <w:rPr>
          <w:sz w:val="24"/>
        </w:rPr>
        <w:t>(9)原国家环保局《关于公路、铁路(含轻轨)等建设项目环境影响评价中环境噪声有关问题的通知》，环发函[2003]94号；</w:t>
      </w:r>
    </w:p>
    <w:p w14:paraId="4DA6C8F2">
      <w:pPr>
        <w:widowControl/>
        <w:spacing w:line="500" w:lineRule="exact"/>
        <w:ind w:firstLine="480" w:firstLineChars="200"/>
        <w:jc w:val="left"/>
        <w:rPr>
          <w:sz w:val="24"/>
        </w:rPr>
      </w:pPr>
      <w:r>
        <w:rPr>
          <w:sz w:val="24"/>
        </w:rPr>
        <w:t>(10)</w:t>
      </w:r>
      <w:r>
        <w:rPr>
          <w:rFonts w:hint="eastAsia"/>
          <w:sz w:val="24"/>
        </w:rPr>
        <w:t>《环境影响评价技术导则声环境》</w:t>
      </w:r>
      <w:r>
        <w:rPr>
          <w:sz w:val="24"/>
        </w:rPr>
        <w:t>(HJ2.4-2021)，2022年7月1日；</w:t>
      </w:r>
    </w:p>
    <w:p w14:paraId="0900D7E1">
      <w:pPr>
        <w:widowControl/>
        <w:spacing w:line="500" w:lineRule="exact"/>
        <w:ind w:firstLine="480" w:firstLineChars="200"/>
        <w:jc w:val="left"/>
        <w:rPr>
          <w:sz w:val="24"/>
        </w:rPr>
      </w:pPr>
      <w:r>
        <w:rPr>
          <w:sz w:val="24"/>
        </w:rPr>
        <w:t>(11)《环境噪声与振动控制工程技术导则》（HJ2034-2013），2013年12月1日；</w:t>
      </w:r>
    </w:p>
    <w:p w14:paraId="4F033657">
      <w:pPr>
        <w:widowControl/>
        <w:spacing w:line="500" w:lineRule="exact"/>
        <w:ind w:firstLine="480" w:firstLineChars="200"/>
        <w:jc w:val="left"/>
        <w:rPr>
          <w:sz w:val="24"/>
        </w:rPr>
      </w:pPr>
      <w:r>
        <w:rPr>
          <w:sz w:val="24"/>
        </w:rPr>
        <w:t>(12)《建设项目竣工环境保护验收技术规范生态影响类》（HJ/T394-2007）；</w:t>
      </w:r>
    </w:p>
    <w:p w14:paraId="5E1A4861">
      <w:pPr>
        <w:widowControl/>
        <w:spacing w:line="500" w:lineRule="exact"/>
        <w:ind w:firstLine="480" w:firstLineChars="200"/>
        <w:jc w:val="left"/>
        <w:rPr>
          <w:sz w:val="24"/>
        </w:rPr>
      </w:pPr>
      <w:r>
        <w:rPr>
          <w:sz w:val="24"/>
        </w:rPr>
        <w:t>(13)《建设项目竣工环境保护验收技术规范公路》（HJ552-2010）；</w:t>
      </w:r>
    </w:p>
    <w:p w14:paraId="1EC5D3D6">
      <w:pPr>
        <w:widowControl/>
        <w:spacing w:line="500" w:lineRule="exact"/>
        <w:ind w:firstLine="480" w:firstLineChars="200"/>
        <w:jc w:val="left"/>
        <w:rPr>
          <w:sz w:val="24"/>
        </w:rPr>
      </w:pPr>
      <w:r>
        <w:rPr>
          <w:sz w:val="24"/>
        </w:rPr>
        <w:t>(14)《公路工程技术标准》（JTGB01-2014）；</w:t>
      </w:r>
    </w:p>
    <w:p w14:paraId="0FC526DB">
      <w:pPr>
        <w:widowControl/>
        <w:spacing w:line="500" w:lineRule="exact"/>
        <w:ind w:firstLine="480" w:firstLineChars="200"/>
        <w:jc w:val="left"/>
        <w:rPr>
          <w:sz w:val="24"/>
        </w:rPr>
      </w:pPr>
      <w:r>
        <w:rPr>
          <w:sz w:val="24"/>
        </w:rPr>
        <w:t>(15)《</w:t>
      </w:r>
      <w:r>
        <w:rPr>
          <w:rFonts w:hint="eastAsia"/>
          <w:sz w:val="24"/>
        </w:rPr>
        <w:t>惠州市声环境功能区划分方案(2022年)</w:t>
      </w:r>
      <w:r>
        <w:rPr>
          <w:sz w:val="24"/>
        </w:rPr>
        <w:t>》（</w:t>
      </w:r>
      <w:r>
        <w:rPr>
          <w:rFonts w:hint="eastAsia"/>
          <w:sz w:val="24"/>
        </w:rPr>
        <w:t>惠市环〔2022]33号</w:t>
      </w:r>
      <w:r>
        <w:rPr>
          <w:sz w:val="24"/>
        </w:rPr>
        <w:t>）。</w:t>
      </w:r>
    </w:p>
    <w:p w14:paraId="11DE8460">
      <w:pPr>
        <w:widowControl/>
        <w:spacing w:line="500" w:lineRule="exact"/>
        <w:ind w:firstLine="480" w:firstLineChars="200"/>
        <w:jc w:val="left"/>
        <w:rPr>
          <w:sz w:val="24"/>
        </w:rPr>
      </w:pPr>
      <w:r>
        <w:rPr>
          <w:sz w:val="24"/>
        </w:rPr>
        <w:t>(1</w:t>
      </w:r>
      <w:r>
        <w:rPr>
          <w:rFonts w:hint="eastAsia"/>
          <w:sz w:val="24"/>
        </w:rPr>
        <w:t>6</w:t>
      </w:r>
      <w:r>
        <w:rPr>
          <w:sz w:val="24"/>
        </w:rPr>
        <w:t>)</w:t>
      </w:r>
      <w:r>
        <w:rPr>
          <w:rFonts w:hint="eastAsia"/>
          <w:sz w:val="24"/>
        </w:rPr>
        <w:t>《环境影响评价技术导则  公路建设项目》</w:t>
      </w:r>
      <w:r>
        <w:rPr>
          <w:sz w:val="24"/>
        </w:rPr>
        <w:t>(HJ1358-2024)，202</w:t>
      </w:r>
      <w:r>
        <w:rPr>
          <w:rFonts w:hint="eastAsia"/>
          <w:sz w:val="24"/>
        </w:rPr>
        <w:t>4</w:t>
      </w:r>
      <w:r>
        <w:rPr>
          <w:sz w:val="24"/>
        </w:rPr>
        <w:t>年7月1日；</w:t>
      </w:r>
    </w:p>
    <w:p w14:paraId="37F2B798">
      <w:pPr>
        <w:widowControl/>
        <w:spacing w:line="500" w:lineRule="exact"/>
        <w:jc w:val="left"/>
        <w:rPr>
          <w:b/>
          <w:bCs/>
          <w:sz w:val="24"/>
        </w:rPr>
      </w:pPr>
      <w:r>
        <w:rPr>
          <w:b/>
          <w:bCs/>
          <w:sz w:val="24"/>
        </w:rPr>
        <w:t>1.3 评价等级</w:t>
      </w:r>
    </w:p>
    <w:p w14:paraId="298F22C2">
      <w:pPr>
        <w:widowControl/>
        <w:spacing w:line="500" w:lineRule="exact"/>
        <w:ind w:firstLine="480" w:firstLineChars="200"/>
        <w:jc w:val="left"/>
        <w:rPr>
          <w:sz w:val="24"/>
        </w:rPr>
      </w:pPr>
      <w:r>
        <w:rPr>
          <w:sz w:val="24"/>
        </w:rPr>
        <w:t>根据</w:t>
      </w:r>
      <w:r>
        <w:rPr>
          <w:rFonts w:hint="eastAsia"/>
          <w:sz w:val="24"/>
        </w:rPr>
        <w:t>《惠州市声环境功能区划分方案（2022年）》（惠市环〔2022〕33号）</w:t>
      </w:r>
      <w:r>
        <w:rPr>
          <w:sz w:val="24"/>
        </w:rPr>
        <w:t>，项目所在地声环境功能区划分为</w:t>
      </w:r>
      <w:r>
        <w:rPr>
          <w:rFonts w:hint="eastAsia"/>
          <w:sz w:val="24"/>
        </w:rPr>
        <w:t>2类、</w:t>
      </w:r>
      <w:r>
        <w:rPr>
          <w:sz w:val="24"/>
        </w:rPr>
        <w:t>4a类区，项目建设前后评价范围敏感目标噪声级增高量</w:t>
      </w:r>
      <w:r>
        <w:rPr>
          <w:rFonts w:hint="eastAsia"/>
          <w:sz w:val="24"/>
        </w:rPr>
        <w:t>达</w:t>
      </w:r>
      <w:r>
        <w:rPr>
          <w:sz w:val="24"/>
        </w:rPr>
        <w:t>5dB(A)以</w:t>
      </w:r>
      <w:r>
        <w:rPr>
          <w:rFonts w:hint="eastAsia"/>
          <w:sz w:val="24"/>
        </w:rPr>
        <w:t>上</w:t>
      </w:r>
      <w:r>
        <w:rPr>
          <w:sz w:val="24"/>
        </w:rPr>
        <w:t>，且受影响人口数量变化不大。按照《环境影响评价技术的导则 声环境》（HJ 2.4-2009）评价工作等级划分的依据，确定本项目声环境评价工作等级为</w:t>
      </w:r>
      <w:r>
        <w:rPr>
          <w:rFonts w:hint="eastAsia"/>
          <w:sz w:val="24"/>
        </w:rPr>
        <w:t>一</w:t>
      </w:r>
      <w:r>
        <w:rPr>
          <w:sz w:val="24"/>
        </w:rPr>
        <w:t>级。</w:t>
      </w:r>
    </w:p>
    <w:p w14:paraId="1D937C35">
      <w:pPr>
        <w:widowControl/>
        <w:spacing w:line="500" w:lineRule="exact"/>
        <w:jc w:val="left"/>
        <w:rPr>
          <w:b/>
          <w:bCs/>
          <w:sz w:val="24"/>
        </w:rPr>
      </w:pPr>
      <w:r>
        <w:rPr>
          <w:b/>
          <w:bCs/>
          <w:sz w:val="24"/>
        </w:rPr>
        <w:t>1.4 评价范围</w:t>
      </w:r>
    </w:p>
    <w:p w14:paraId="570C3B73">
      <w:pPr>
        <w:widowControl/>
        <w:spacing w:line="500" w:lineRule="exact"/>
        <w:ind w:firstLine="480" w:firstLineChars="200"/>
        <w:rPr>
          <w:sz w:val="24"/>
        </w:rPr>
      </w:pPr>
      <w:r>
        <w:rPr>
          <w:rFonts w:hint="eastAsia"/>
          <w:sz w:val="24"/>
        </w:rPr>
        <w:t>运营期：根据</w:t>
      </w:r>
      <w:bookmarkStart w:id="131" w:name="_Hlk117617823"/>
      <w:r>
        <w:rPr>
          <w:rFonts w:hint="eastAsia"/>
          <w:sz w:val="24"/>
        </w:rPr>
        <w:t>《环境影响评价技术导则声环境》</w:t>
      </w:r>
      <w:r>
        <w:rPr>
          <w:sz w:val="24"/>
        </w:rPr>
        <w:t>(HJ2.4-2021)</w:t>
      </w:r>
      <w:bookmarkEnd w:id="131"/>
      <w:r>
        <w:rPr>
          <w:sz w:val="24"/>
        </w:rPr>
        <w:t xml:space="preserve"> 中评价范围的确定，对于以移动</w:t>
      </w:r>
      <w:r>
        <w:rPr>
          <w:rFonts w:hint="eastAsia"/>
          <w:sz w:val="24"/>
        </w:rPr>
        <w:t>声源为主的建设项目</w:t>
      </w:r>
      <w:r>
        <w:rPr>
          <w:sz w:val="24"/>
        </w:rPr>
        <w:t>(如公路、城市道路、铁路、城市轨道交通等地面交通) : a)满足</w:t>
      </w:r>
      <w:r>
        <w:rPr>
          <w:rFonts w:hint="eastAsia"/>
          <w:sz w:val="24"/>
        </w:rPr>
        <w:t>一</w:t>
      </w:r>
      <w:r>
        <w:rPr>
          <w:sz w:val="24"/>
        </w:rPr>
        <w:t>级</w:t>
      </w:r>
      <w:r>
        <w:rPr>
          <w:rFonts w:hint="eastAsia"/>
          <w:sz w:val="24"/>
        </w:rPr>
        <w:t>评价的要求，一</w:t>
      </w:r>
      <w:r>
        <w:rPr>
          <w:sz w:val="24"/>
        </w:rPr>
        <w:t>般以线路中心线外两侧200m以内为评价范围; b)二级、三级评价范围可根</w:t>
      </w:r>
      <w:r>
        <w:rPr>
          <w:rFonts w:hint="eastAsia"/>
          <w:sz w:val="24"/>
        </w:rPr>
        <w:t>据建设项目所在区域和相邻区域的声环境功能区类别及声环境保护目标等实际情况适当缩小</w:t>
      </w:r>
      <w:r>
        <w:rPr>
          <w:sz w:val="24"/>
        </w:rPr>
        <w:t>; c) 如依据建设项目声源计算得到的贡献值到200m处</w:t>
      </w:r>
      <w:r>
        <w:rPr>
          <w:rFonts w:hint="eastAsia"/>
          <w:sz w:val="24"/>
        </w:rPr>
        <w:t>，</w:t>
      </w:r>
      <w:r>
        <w:rPr>
          <w:sz w:val="24"/>
        </w:rPr>
        <w:t>仍不能满足相应功能区标准值时</w:t>
      </w:r>
      <w:r>
        <w:rPr>
          <w:rFonts w:hint="eastAsia"/>
          <w:sz w:val="24"/>
        </w:rPr>
        <w:t>，应将评价范围扩大到满足标准值的距离。</w:t>
      </w:r>
    </w:p>
    <w:p w14:paraId="02221D2C">
      <w:pPr>
        <w:widowControl/>
        <w:spacing w:line="500" w:lineRule="exact"/>
        <w:ind w:firstLine="482" w:firstLineChars="200"/>
        <w:rPr>
          <w:b/>
          <w:bCs/>
          <w:sz w:val="24"/>
        </w:rPr>
      </w:pPr>
      <w:r>
        <w:rPr>
          <w:b/>
          <w:bCs/>
          <w:sz w:val="24"/>
        </w:rPr>
        <w:t>根据后文</w:t>
      </w:r>
      <w:r>
        <w:rPr>
          <w:rFonts w:hint="eastAsia"/>
          <w:b/>
          <w:bCs/>
          <w:sz w:val="24"/>
        </w:rPr>
        <w:t>预测结果可知，</w:t>
      </w:r>
      <w:r>
        <w:rPr>
          <w:rFonts w:hint="eastAsia"/>
          <w:b/>
          <w:bCs/>
          <w:sz w:val="24"/>
          <w:lang w:bidi="ar"/>
        </w:rPr>
        <w:t>预测2类区远期噪声最远达标距离为230m</w:t>
      </w:r>
      <w:r>
        <w:rPr>
          <w:rFonts w:hint="eastAsia"/>
          <w:b/>
          <w:bCs/>
          <w:sz w:val="24"/>
        </w:rPr>
        <w:t>（详见表4</w:t>
      </w:r>
      <w:r>
        <w:rPr>
          <w:b/>
          <w:bCs/>
          <w:sz w:val="24"/>
        </w:rPr>
        <w:t>.2-6</w:t>
      </w:r>
      <w:r>
        <w:rPr>
          <w:rFonts w:hint="eastAsia"/>
          <w:b/>
          <w:bCs/>
          <w:sz w:val="24"/>
        </w:rPr>
        <w:t>、</w:t>
      </w:r>
      <w:r>
        <w:rPr>
          <w:b/>
          <w:bCs/>
          <w:sz w:val="24"/>
        </w:rPr>
        <w:t>4.2-7</w:t>
      </w:r>
      <w:r>
        <w:rPr>
          <w:rFonts w:hint="eastAsia"/>
          <w:b/>
          <w:bCs/>
          <w:sz w:val="24"/>
        </w:rPr>
        <w:t>）</w:t>
      </w:r>
      <w:r>
        <w:rPr>
          <w:b/>
          <w:bCs/>
          <w:sz w:val="24"/>
        </w:rPr>
        <w:t>；</w:t>
      </w:r>
      <w:r>
        <w:rPr>
          <w:rFonts w:hint="eastAsia"/>
          <w:b/>
          <w:bCs/>
          <w:sz w:val="24"/>
        </w:rPr>
        <w:t>故确定本项目声环境影响评价范围为道路中心线两侧230</w:t>
      </w:r>
      <w:r>
        <w:rPr>
          <w:b/>
          <w:bCs/>
          <w:sz w:val="24"/>
        </w:rPr>
        <w:t>米包络线以内的范围</w:t>
      </w:r>
      <w:r>
        <w:rPr>
          <w:rFonts w:hint="eastAsia"/>
          <w:b/>
          <w:bCs/>
          <w:sz w:val="24"/>
        </w:rPr>
        <w:t>。</w:t>
      </w:r>
    </w:p>
    <w:p w14:paraId="0B63B4E3">
      <w:pPr>
        <w:widowControl/>
        <w:spacing w:line="500" w:lineRule="exact"/>
        <w:ind w:firstLine="480" w:firstLineChars="200"/>
        <w:jc w:val="left"/>
        <w:rPr>
          <w:sz w:val="24"/>
        </w:rPr>
      </w:pPr>
      <w:r>
        <w:rPr>
          <w:sz w:val="24"/>
        </w:rPr>
        <w:t>施工期：</w:t>
      </w:r>
      <w:r>
        <w:rPr>
          <w:rFonts w:hint="eastAsia"/>
          <w:sz w:val="24"/>
        </w:rPr>
        <w:t>参考《公路建设项目环境影响评价规范》</w:t>
      </w:r>
      <w:r>
        <w:rPr>
          <w:sz w:val="24"/>
        </w:rPr>
        <w:t>(JTGB 03-2006)规定“施工期声环境影响评</w:t>
      </w:r>
      <w:r>
        <w:rPr>
          <w:rFonts w:hint="eastAsia"/>
          <w:sz w:val="24"/>
        </w:rPr>
        <w:t>述应针对不用工程作业时的机械噪声及工程车辆交通噪声进行评述，提出综合防治措施，评述范围为施工场边界</w:t>
      </w:r>
      <w:r>
        <w:rPr>
          <w:sz w:val="24"/>
        </w:rPr>
        <w:t>100m范围”，根据后文</w:t>
      </w:r>
      <w:r>
        <w:rPr>
          <w:rFonts w:hint="eastAsia"/>
          <w:sz w:val="24"/>
        </w:rPr>
        <w:t>预测结果可知，</w:t>
      </w:r>
      <w:r>
        <w:rPr>
          <w:rFonts w:hint="eastAsia"/>
          <w:b/>
          <w:bCs/>
          <w:sz w:val="24"/>
        </w:rPr>
        <w:t>建设项目声源计算得到的贡献值到</w:t>
      </w:r>
      <w:r>
        <w:rPr>
          <w:b/>
          <w:bCs/>
          <w:sz w:val="24"/>
        </w:rPr>
        <w:t>150m处，</w:t>
      </w:r>
      <w:r>
        <w:rPr>
          <w:rFonts w:hint="eastAsia"/>
          <w:b/>
          <w:bCs/>
          <w:sz w:val="24"/>
        </w:rPr>
        <w:t>可</w:t>
      </w:r>
      <w:r>
        <w:rPr>
          <w:b/>
          <w:bCs/>
          <w:sz w:val="24"/>
        </w:rPr>
        <w:t>满足相应功能区标准值</w:t>
      </w:r>
      <w:r>
        <w:rPr>
          <w:rFonts w:hint="eastAsia"/>
          <w:b/>
          <w:bCs/>
          <w:sz w:val="24"/>
        </w:rPr>
        <w:t>（详见表4</w:t>
      </w:r>
      <w:r>
        <w:rPr>
          <w:b/>
          <w:bCs/>
          <w:sz w:val="24"/>
        </w:rPr>
        <w:t>.1-3</w:t>
      </w:r>
      <w:r>
        <w:rPr>
          <w:rFonts w:hint="eastAsia"/>
          <w:b/>
          <w:bCs/>
          <w:sz w:val="24"/>
        </w:rPr>
        <w:t>）</w:t>
      </w:r>
      <w:r>
        <w:rPr>
          <w:b/>
          <w:bCs/>
          <w:sz w:val="24"/>
        </w:rPr>
        <w:t>；</w:t>
      </w:r>
      <w:r>
        <w:rPr>
          <w:sz w:val="24"/>
        </w:rPr>
        <w:t>故确定本项目施工期的环境影响评价范围为施工场界外150m范围。</w:t>
      </w:r>
    </w:p>
    <w:p w14:paraId="2F1EF271">
      <w:pPr>
        <w:widowControl/>
        <w:spacing w:line="500" w:lineRule="exact"/>
        <w:jc w:val="left"/>
        <w:rPr>
          <w:b/>
          <w:bCs/>
          <w:sz w:val="24"/>
        </w:rPr>
      </w:pPr>
      <w:r>
        <w:rPr>
          <w:b/>
          <w:bCs/>
          <w:sz w:val="24"/>
        </w:rPr>
        <w:t>1.5 声功能区划与评价标准</w:t>
      </w:r>
    </w:p>
    <w:p w14:paraId="56F597D7">
      <w:pPr>
        <w:widowControl/>
        <w:spacing w:line="500" w:lineRule="exact"/>
        <w:ind w:firstLine="480" w:firstLineChars="200"/>
        <w:rPr>
          <w:sz w:val="24"/>
        </w:rPr>
      </w:pPr>
      <w:r>
        <w:rPr>
          <w:sz w:val="24"/>
        </w:rPr>
        <w:t>根据《</w:t>
      </w:r>
      <w:r>
        <w:rPr>
          <w:rFonts w:hint="eastAsia"/>
          <w:sz w:val="24"/>
        </w:rPr>
        <w:t>惠州市声环境功能区划分方案(2022年)</w:t>
      </w:r>
      <w:r>
        <w:rPr>
          <w:sz w:val="24"/>
        </w:rPr>
        <w:t>》（</w:t>
      </w:r>
      <w:r>
        <w:rPr>
          <w:rFonts w:hint="eastAsia"/>
          <w:sz w:val="24"/>
        </w:rPr>
        <w:t>惠市环〔2022]33 号</w:t>
      </w:r>
      <w:r>
        <w:rPr>
          <w:sz w:val="24"/>
        </w:rPr>
        <w:t>），4a类为高速公路、一级公路、二级公路、</w:t>
      </w:r>
      <w:r>
        <w:rPr>
          <w:rFonts w:hint="eastAsia"/>
          <w:sz w:val="24"/>
        </w:rPr>
        <w:t>城市快速路、城市主干路、城市次干路、城市轨道交通（地面段）、内河航道两侧区域</w:t>
      </w:r>
      <w:r>
        <w:rPr>
          <w:sz w:val="24"/>
        </w:rPr>
        <w:t>。</w:t>
      </w:r>
      <w:r>
        <w:rPr>
          <w:rFonts w:hint="eastAsia"/>
          <w:sz w:val="24"/>
        </w:rPr>
        <w:t>本项目</w:t>
      </w:r>
      <w:r>
        <w:rPr>
          <w:sz w:val="24"/>
        </w:rPr>
        <w:t>为</w:t>
      </w:r>
      <w:r>
        <w:rPr>
          <w:rFonts w:hint="eastAsia"/>
          <w:sz w:val="24"/>
        </w:rPr>
        <w:t>城市主干路，将交通干线边界外一</w:t>
      </w:r>
      <w:r>
        <w:rPr>
          <w:sz w:val="24"/>
        </w:rPr>
        <w:t>定距离内的区域划分为4a类声环境功能区(相邻区域为2类声环境功能区</w:t>
      </w:r>
      <w:r>
        <w:rPr>
          <w:rFonts w:hint="eastAsia"/>
          <w:sz w:val="24"/>
        </w:rPr>
        <w:t>，距离为</w:t>
      </w:r>
      <w:r>
        <w:rPr>
          <w:sz w:val="24"/>
        </w:rPr>
        <w:t>35m)</w:t>
      </w:r>
      <w:r>
        <w:rPr>
          <w:rFonts w:hint="eastAsia"/>
          <w:sz w:val="24"/>
        </w:rPr>
        <w:t>；</w:t>
      </w:r>
      <w:r>
        <w:rPr>
          <w:sz w:val="24"/>
        </w:rPr>
        <w:t>当临街建筑高于三层楼房以上(含三层)时，将临街建筑面向交通干线</w:t>
      </w:r>
      <w:r>
        <w:rPr>
          <w:rFonts w:hint="eastAsia"/>
          <w:sz w:val="24"/>
        </w:rPr>
        <w:t>一侧至交通干线边界</w:t>
      </w:r>
      <w:r>
        <w:rPr>
          <w:sz w:val="24"/>
        </w:rPr>
        <w:t>线的区域定为4a类声环境功能区</w:t>
      </w:r>
      <w:r>
        <w:rPr>
          <w:rFonts w:hint="eastAsia"/>
          <w:sz w:val="24"/>
        </w:rPr>
        <w:t>。</w:t>
      </w:r>
    </w:p>
    <w:p w14:paraId="50B8FF77">
      <w:pPr>
        <w:widowControl/>
        <w:spacing w:line="500" w:lineRule="exact"/>
        <w:ind w:firstLine="480" w:firstLineChars="200"/>
        <w:rPr>
          <w:sz w:val="24"/>
        </w:rPr>
      </w:pPr>
      <w:bookmarkStart w:id="132" w:name="_Hlk117671840"/>
      <w:r>
        <w:rPr>
          <w:rFonts w:hint="eastAsia"/>
          <w:sz w:val="24"/>
        </w:rPr>
        <w:t>本项目沿线相邻区域为</w:t>
      </w:r>
      <w:r>
        <w:rPr>
          <w:sz w:val="24"/>
        </w:rPr>
        <w:t>2类声环境功能</w:t>
      </w:r>
      <w:r>
        <w:rPr>
          <w:rFonts w:hint="eastAsia"/>
          <w:sz w:val="24"/>
        </w:rPr>
        <w:t>区的以交通干线边界外</w:t>
      </w:r>
      <w:r>
        <w:rPr>
          <w:sz w:val="24"/>
        </w:rPr>
        <w:t>35m内及临街建筑(楼层3层及以上)面向交通干线一侧</w:t>
      </w:r>
      <w:r>
        <w:rPr>
          <w:rFonts w:hint="eastAsia"/>
          <w:sz w:val="24"/>
        </w:rPr>
        <w:t>至交通干线边界线的区域定为</w:t>
      </w:r>
      <w:r>
        <w:rPr>
          <w:sz w:val="24"/>
        </w:rPr>
        <w:t>4a类声环境功能区，执行《声环境质量标准》（GB3096-2008）的4a类标准</w:t>
      </w:r>
      <w:r>
        <w:rPr>
          <w:rFonts w:hint="eastAsia"/>
          <w:sz w:val="24"/>
        </w:rPr>
        <w:t>，</w:t>
      </w:r>
      <w:r>
        <w:rPr>
          <w:sz w:val="24"/>
        </w:rPr>
        <w:t>其他区域为2类区</w:t>
      </w:r>
      <w:bookmarkEnd w:id="132"/>
      <w:r>
        <w:rPr>
          <w:rFonts w:hint="eastAsia"/>
          <w:sz w:val="24"/>
        </w:rPr>
        <w:t>。</w:t>
      </w:r>
      <w:r>
        <w:rPr>
          <w:sz w:val="24"/>
        </w:rPr>
        <w:t>敏感点室内声环境执行</w:t>
      </w:r>
      <w:r>
        <w:rPr>
          <w:rFonts w:hint="eastAsia"/>
          <w:sz w:val="24"/>
        </w:rPr>
        <w:t>《建筑环境通用规范》（</w:t>
      </w:r>
      <w:r>
        <w:rPr>
          <w:sz w:val="24"/>
        </w:rPr>
        <w:t>GB55016-2021）中的建筑物外部噪声源传播至主要功能房间室内的噪声限值。</w:t>
      </w:r>
    </w:p>
    <w:p w14:paraId="7C609F11">
      <w:pPr>
        <w:autoSpaceDE w:val="0"/>
        <w:autoSpaceDN w:val="0"/>
        <w:adjustRightInd w:val="0"/>
        <w:spacing w:line="500" w:lineRule="exact"/>
        <w:ind w:firstLine="480" w:firstLineChars="200"/>
        <w:rPr>
          <w:sz w:val="24"/>
        </w:rPr>
      </w:pPr>
      <w:r>
        <w:rPr>
          <w:sz w:val="24"/>
        </w:rPr>
        <w:t>项目施工期噪声执行《建筑施工场界环境噪声排放标准》(GB12523-2011)。</w:t>
      </w:r>
    </w:p>
    <w:p w14:paraId="08CE29FE">
      <w:pPr>
        <w:widowControl/>
        <w:spacing w:line="500" w:lineRule="exact"/>
        <w:ind w:firstLine="480" w:firstLineChars="200"/>
        <w:rPr>
          <w:sz w:val="24"/>
        </w:rPr>
      </w:pPr>
      <w:r>
        <w:rPr>
          <w:sz w:val="24"/>
          <w:lang w:bidi="ar"/>
        </w:rPr>
        <w:t>项目具体排放限值见下表。</w:t>
      </w:r>
      <w:r>
        <w:rPr>
          <w:sz w:val="24"/>
        </w:rPr>
        <w:t>项目的声环境功能区划详见</w:t>
      </w:r>
      <w:r>
        <w:rPr>
          <w:b/>
          <w:bCs/>
          <w:sz w:val="24"/>
        </w:rPr>
        <w:t>附图</w:t>
      </w:r>
      <w:r>
        <w:rPr>
          <w:rFonts w:hint="eastAsia"/>
          <w:b/>
          <w:bCs/>
          <w:sz w:val="24"/>
        </w:rPr>
        <w:t>16</w:t>
      </w:r>
      <w:r>
        <w:rPr>
          <w:sz w:val="24"/>
        </w:rPr>
        <w:t>。</w:t>
      </w:r>
    </w:p>
    <w:p w14:paraId="32B49642">
      <w:pPr>
        <w:autoSpaceDE w:val="0"/>
        <w:autoSpaceDN w:val="0"/>
        <w:adjustRightInd w:val="0"/>
        <w:snapToGrid w:val="0"/>
        <w:spacing w:before="120" w:beforeLines="50" w:line="360" w:lineRule="auto"/>
        <w:jc w:val="center"/>
        <w:rPr>
          <w:b/>
          <w:bCs/>
          <w:kern w:val="0"/>
          <w:szCs w:val="21"/>
        </w:rPr>
      </w:pPr>
      <w:r>
        <w:rPr>
          <w:b/>
          <w:bCs/>
          <w:kern w:val="0"/>
          <w:szCs w:val="21"/>
        </w:rPr>
        <w:t>表1.5-1  项目噪声排放限值 单位：dB（A）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3096"/>
        <w:gridCol w:w="3034"/>
        <w:gridCol w:w="1521"/>
        <w:gridCol w:w="1280"/>
      </w:tblGrid>
      <w:tr w14:paraId="381E7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tcBorders>
              <w:top w:val="single" w:color="auto" w:sz="18" w:space="0"/>
            </w:tcBorders>
            <w:shd w:val="clear" w:color="auto" w:fill="auto"/>
            <w:vAlign w:val="center"/>
          </w:tcPr>
          <w:p w14:paraId="41D30CFA">
            <w:pPr>
              <w:jc w:val="center"/>
              <w:rPr>
                <w:b/>
                <w:bCs/>
                <w:szCs w:val="21"/>
              </w:rPr>
            </w:pPr>
            <w:r>
              <w:rPr>
                <w:b/>
                <w:bCs/>
                <w:szCs w:val="21"/>
                <w:lang w:bidi="ar"/>
              </w:rPr>
              <w:t>时段</w:t>
            </w:r>
          </w:p>
        </w:tc>
        <w:tc>
          <w:tcPr>
            <w:tcW w:w="2869" w:type="pct"/>
            <w:gridSpan w:val="2"/>
            <w:tcBorders>
              <w:top w:val="single" w:color="auto" w:sz="18" w:space="0"/>
            </w:tcBorders>
            <w:shd w:val="clear" w:color="auto" w:fill="auto"/>
            <w:vAlign w:val="center"/>
          </w:tcPr>
          <w:p w14:paraId="0A9DC6C7">
            <w:pPr>
              <w:jc w:val="center"/>
              <w:rPr>
                <w:b/>
                <w:bCs/>
                <w:szCs w:val="21"/>
              </w:rPr>
            </w:pPr>
            <w:r>
              <w:rPr>
                <w:b/>
                <w:bCs/>
                <w:szCs w:val="21"/>
                <w:lang w:bidi="ar"/>
              </w:rPr>
              <w:t>执行标准</w:t>
            </w:r>
          </w:p>
        </w:tc>
        <w:tc>
          <w:tcPr>
            <w:tcW w:w="712" w:type="pct"/>
            <w:tcBorders>
              <w:top w:val="single" w:color="auto" w:sz="18" w:space="0"/>
            </w:tcBorders>
            <w:shd w:val="clear" w:color="auto" w:fill="auto"/>
            <w:vAlign w:val="center"/>
          </w:tcPr>
          <w:p w14:paraId="1EC55DD5">
            <w:pPr>
              <w:jc w:val="center"/>
              <w:rPr>
                <w:b/>
                <w:bCs/>
                <w:szCs w:val="21"/>
              </w:rPr>
            </w:pPr>
            <w:r>
              <w:rPr>
                <w:b/>
                <w:bCs/>
                <w:szCs w:val="21"/>
                <w:lang w:bidi="ar"/>
              </w:rPr>
              <w:t>昼间</w:t>
            </w:r>
          </w:p>
        </w:tc>
        <w:tc>
          <w:tcPr>
            <w:tcW w:w="599" w:type="pct"/>
            <w:tcBorders>
              <w:top w:val="single" w:color="auto" w:sz="18" w:space="0"/>
            </w:tcBorders>
            <w:shd w:val="clear" w:color="auto" w:fill="auto"/>
            <w:vAlign w:val="center"/>
          </w:tcPr>
          <w:p w14:paraId="131FA5B1">
            <w:pPr>
              <w:jc w:val="center"/>
              <w:rPr>
                <w:b/>
                <w:bCs/>
                <w:szCs w:val="21"/>
              </w:rPr>
            </w:pPr>
            <w:r>
              <w:rPr>
                <w:b/>
                <w:bCs/>
                <w:szCs w:val="21"/>
                <w:lang w:bidi="ar"/>
              </w:rPr>
              <w:t>夜间</w:t>
            </w:r>
          </w:p>
        </w:tc>
      </w:tr>
      <w:tr w14:paraId="343E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shd w:val="clear" w:color="auto" w:fill="auto"/>
            <w:vAlign w:val="center"/>
          </w:tcPr>
          <w:p w14:paraId="3E3E10B4">
            <w:pPr>
              <w:jc w:val="center"/>
              <w:rPr>
                <w:szCs w:val="21"/>
              </w:rPr>
            </w:pPr>
            <w:r>
              <w:rPr>
                <w:szCs w:val="21"/>
                <w:lang w:bidi="ar"/>
              </w:rPr>
              <w:t>施工期</w:t>
            </w:r>
          </w:p>
        </w:tc>
        <w:tc>
          <w:tcPr>
            <w:tcW w:w="2869" w:type="pct"/>
            <w:gridSpan w:val="2"/>
            <w:shd w:val="clear" w:color="auto" w:fill="auto"/>
            <w:vAlign w:val="center"/>
          </w:tcPr>
          <w:p w14:paraId="17C2C9F9">
            <w:pPr>
              <w:jc w:val="center"/>
              <w:rPr>
                <w:szCs w:val="21"/>
              </w:rPr>
            </w:pPr>
            <w:r>
              <w:rPr>
                <w:szCs w:val="21"/>
                <w:lang w:bidi="ar"/>
              </w:rPr>
              <w:t>《建筑施工场界环境噪声排放标准》（GB12523-2011）</w:t>
            </w:r>
          </w:p>
        </w:tc>
        <w:tc>
          <w:tcPr>
            <w:tcW w:w="712" w:type="pct"/>
            <w:shd w:val="clear" w:color="auto" w:fill="auto"/>
            <w:vAlign w:val="center"/>
          </w:tcPr>
          <w:p w14:paraId="6C4C94B8">
            <w:pPr>
              <w:jc w:val="center"/>
              <w:rPr>
                <w:szCs w:val="21"/>
              </w:rPr>
            </w:pPr>
            <w:r>
              <w:rPr>
                <w:szCs w:val="21"/>
                <w:lang w:bidi="ar"/>
              </w:rPr>
              <w:t>70</w:t>
            </w:r>
          </w:p>
        </w:tc>
        <w:tc>
          <w:tcPr>
            <w:tcW w:w="599" w:type="pct"/>
            <w:shd w:val="clear" w:color="auto" w:fill="auto"/>
            <w:vAlign w:val="center"/>
          </w:tcPr>
          <w:p w14:paraId="39BE7D39">
            <w:pPr>
              <w:jc w:val="center"/>
              <w:rPr>
                <w:szCs w:val="21"/>
              </w:rPr>
            </w:pPr>
            <w:r>
              <w:rPr>
                <w:szCs w:val="21"/>
                <w:lang w:bidi="ar"/>
              </w:rPr>
              <w:t>55</w:t>
            </w:r>
          </w:p>
        </w:tc>
      </w:tr>
      <w:tr w14:paraId="6A56B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vMerge w:val="restart"/>
            <w:shd w:val="clear" w:color="auto" w:fill="auto"/>
            <w:vAlign w:val="center"/>
          </w:tcPr>
          <w:p w14:paraId="78B972BF">
            <w:pPr>
              <w:jc w:val="center"/>
              <w:rPr>
                <w:szCs w:val="21"/>
              </w:rPr>
            </w:pPr>
            <w:r>
              <w:rPr>
                <w:szCs w:val="21"/>
                <w:lang w:bidi="ar"/>
              </w:rPr>
              <w:t>运营期</w:t>
            </w:r>
          </w:p>
        </w:tc>
        <w:tc>
          <w:tcPr>
            <w:tcW w:w="2869" w:type="pct"/>
            <w:gridSpan w:val="2"/>
            <w:shd w:val="clear" w:color="auto" w:fill="auto"/>
            <w:vAlign w:val="center"/>
          </w:tcPr>
          <w:p w14:paraId="26FC801E">
            <w:pPr>
              <w:jc w:val="center"/>
              <w:rPr>
                <w:szCs w:val="21"/>
              </w:rPr>
            </w:pPr>
            <w:r>
              <w:rPr>
                <w:szCs w:val="21"/>
                <w:lang w:bidi="ar"/>
              </w:rPr>
              <w:t>《声环境质量标准》（GB3096-2008）2类标准</w:t>
            </w:r>
          </w:p>
        </w:tc>
        <w:tc>
          <w:tcPr>
            <w:tcW w:w="712" w:type="pct"/>
            <w:shd w:val="clear" w:color="auto" w:fill="auto"/>
            <w:vAlign w:val="center"/>
          </w:tcPr>
          <w:p w14:paraId="587A0CE7">
            <w:pPr>
              <w:jc w:val="center"/>
              <w:rPr>
                <w:szCs w:val="21"/>
              </w:rPr>
            </w:pPr>
            <w:r>
              <w:rPr>
                <w:szCs w:val="21"/>
                <w:lang w:bidi="ar"/>
              </w:rPr>
              <w:t>60</w:t>
            </w:r>
          </w:p>
        </w:tc>
        <w:tc>
          <w:tcPr>
            <w:tcW w:w="599" w:type="pct"/>
            <w:shd w:val="clear" w:color="auto" w:fill="auto"/>
            <w:vAlign w:val="center"/>
          </w:tcPr>
          <w:p w14:paraId="1D1F85A2">
            <w:pPr>
              <w:jc w:val="center"/>
              <w:rPr>
                <w:szCs w:val="21"/>
              </w:rPr>
            </w:pPr>
            <w:r>
              <w:rPr>
                <w:szCs w:val="21"/>
                <w:lang w:bidi="ar"/>
              </w:rPr>
              <w:t>50</w:t>
            </w:r>
          </w:p>
        </w:tc>
      </w:tr>
      <w:tr w14:paraId="2637A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vMerge w:val="continue"/>
            <w:shd w:val="clear" w:color="auto" w:fill="auto"/>
            <w:vAlign w:val="center"/>
          </w:tcPr>
          <w:p w14:paraId="0EA016BE">
            <w:pPr>
              <w:jc w:val="center"/>
              <w:rPr>
                <w:szCs w:val="21"/>
              </w:rPr>
            </w:pPr>
          </w:p>
        </w:tc>
        <w:tc>
          <w:tcPr>
            <w:tcW w:w="2869" w:type="pct"/>
            <w:gridSpan w:val="2"/>
            <w:shd w:val="clear" w:color="auto" w:fill="auto"/>
            <w:vAlign w:val="center"/>
          </w:tcPr>
          <w:p w14:paraId="75AA35D1">
            <w:pPr>
              <w:jc w:val="center"/>
              <w:rPr>
                <w:szCs w:val="21"/>
              </w:rPr>
            </w:pPr>
            <w:r>
              <w:rPr>
                <w:szCs w:val="21"/>
                <w:lang w:bidi="ar"/>
              </w:rPr>
              <w:t>《声环境质量标准》（GB3096-2008）4a类标准</w:t>
            </w:r>
          </w:p>
        </w:tc>
        <w:tc>
          <w:tcPr>
            <w:tcW w:w="712" w:type="pct"/>
            <w:shd w:val="clear" w:color="auto" w:fill="auto"/>
            <w:vAlign w:val="center"/>
          </w:tcPr>
          <w:p w14:paraId="03A1B9BD">
            <w:pPr>
              <w:jc w:val="center"/>
              <w:rPr>
                <w:szCs w:val="21"/>
              </w:rPr>
            </w:pPr>
            <w:r>
              <w:rPr>
                <w:szCs w:val="21"/>
                <w:lang w:bidi="ar"/>
              </w:rPr>
              <w:t>70</w:t>
            </w:r>
          </w:p>
        </w:tc>
        <w:tc>
          <w:tcPr>
            <w:tcW w:w="599" w:type="pct"/>
            <w:shd w:val="clear" w:color="auto" w:fill="auto"/>
            <w:vAlign w:val="center"/>
          </w:tcPr>
          <w:p w14:paraId="67B9CC94">
            <w:pPr>
              <w:jc w:val="center"/>
              <w:rPr>
                <w:szCs w:val="21"/>
              </w:rPr>
            </w:pPr>
            <w:r>
              <w:rPr>
                <w:szCs w:val="21"/>
                <w:lang w:bidi="ar"/>
              </w:rPr>
              <w:t>55</w:t>
            </w:r>
          </w:p>
        </w:tc>
      </w:tr>
      <w:tr w14:paraId="07320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vMerge w:val="restart"/>
            <w:shd w:val="clear" w:color="auto" w:fill="auto"/>
            <w:vAlign w:val="center"/>
          </w:tcPr>
          <w:p w14:paraId="6BF35949">
            <w:pPr>
              <w:jc w:val="center"/>
              <w:rPr>
                <w:szCs w:val="21"/>
              </w:rPr>
            </w:pPr>
            <w:r>
              <w:rPr>
                <w:szCs w:val="21"/>
              </w:rPr>
              <w:t>/</w:t>
            </w:r>
          </w:p>
        </w:tc>
        <w:tc>
          <w:tcPr>
            <w:tcW w:w="1449" w:type="pct"/>
            <w:vMerge w:val="restart"/>
            <w:shd w:val="clear" w:color="auto" w:fill="auto"/>
            <w:vAlign w:val="center"/>
          </w:tcPr>
          <w:p w14:paraId="1C2A8205">
            <w:pPr>
              <w:jc w:val="center"/>
              <w:rPr>
                <w:szCs w:val="21"/>
                <w:lang w:bidi="ar"/>
              </w:rPr>
            </w:pPr>
            <w:r>
              <w:rPr>
                <w:szCs w:val="21"/>
                <w:lang w:bidi="ar"/>
              </w:rPr>
              <w:t>《建筑环境通用规范》（GB55016-2021）</w:t>
            </w:r>
          </w:p>
        </w:tc>
        <w:tc>
          <w:tcPr>
            <w:tcW w:w="1420" w:type="pct"/>
            <w:shd w:val="clear" w:color="auto" w:fill="auto"/>
            <w:vAlign w:val="center"/>
          </w:tcPr>
          <w:p w14:paraId="6FF7E382">
            <w:pPr>
              <w:jc w:val="center"/>
              <w:rPr>
                <w:szCs w:val="21"/>
                <w:lang w:bidi="ar"/>
              </w:rPr>
            </w:pPr>
            <w:r>
              <w:rPr>
                <w:szCs w:val="21"/>
                <w:lang w:bidi="ar"/>
              </w:rPr>
              <w:t>使用功能：睡眠</w:t>
            </w:r>
          </w:p>
        </w:tc>
        <w:tc>
          <w:tcPr>
            <w:tcW w:w="712" w:type="pct"/>
            <w:shd w:val="clear" w:color="auto" w:fill="auto"/>
            <w:vAlign w:val="center"/>
          </w:tcPr>
          <w:p w14:paraId="04E89163">
            <w:pPr>
              <w:jc w:val="center"/>
              <w:rPr>
                <w:szCs w:val="21"/>
                <w:lang w:bidi="ar"/>
              </w:rPr>
            </w:pPr>
            <w:r>
              <w:rPr>
                <w:szCs w:val="21"/>
                <w:lang w:bidi="ar"/>
              </w:rPr>
              <w:t>40</w:t>
            </w:r>
            <w:r>
              <w:rPr>
                <w:rFonts w:hint="eastAsia"/>
                <w:szCs w:val="21"/>
                <w:lang w:bidi="ar"/>
              </w:rPr>
              <w:t>（4</w:t>
            </w:r>
            <w:r>
              <w:rPr>
                <w:szCs w:val="21"/>
                <w:lang w:bidi="ar"/>
              </w:rPr>
              <w:t>5</w:t>
            </w:r>
            <w:r>
              <w:rPr>
                <w:rFonts w:hint="eastAsia"/>
                <w:szCs w:val="21"/>
                <w:lang w:bidi="ar"/>
              </w:rPr>
              <w:t>）</w:t>
            </w:r>
          </w:p>
        </w:tc>
        <w:tc>
          <w:tcPr>
            <w:tcW w:w="599" w:type="pct"/>
            <w:shd w:val="clear" w:color="auto" w:fill="auto"/>
            <w:vAlign w:val="center"/>
          </w:tcPr>
          <w:p w14:paraId="5CCADF35">
            <w:pPr>
              <w:jc w:val="center"/>
              <w:rPr>
                <w:szCs w:val="21"/>
                <w:lang w:bidi="ar"/>
              </w:rPr>
            </w:pPr>
            <w:r>
              <w:rPr>
                <w:szCs w:val="21"/>
                <w:lang w:bidi="ar"/>
              </w:rPr>
              <w:t>30</w:t>
            </w:r>
            <w:r>
              <w:rPr>
                <w:rFonts w:hint="eastAsia"/>
                <w:szCs w:val="21"/>
                <w:lang w:bidi="ar"/>
              </w:rPr>
              <w:t>（3</w:t>
            </w:r>
            <w:r>
              <w:rPr>
                <w:szCs w:val="21"/>
                <w:lang w:bidi="ar"/>
              </w:rPr>
              <w:t>5</w:t>
            </w:r>
            <w:r>
              <w:rPr>
                <w:rFonts w:hint="eastAsia"/>
                <w:szCs w:val="21"/>
                <w:lang w:bidi="ar"/>
              </w:rPr>
              <w:t>）</w:t>
            </w:r>
          </w:p>
        </w:tc>
      </w:tr>
      <w:tr w14:paraId="71A43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vMerge w:val="continue"/>
            <w:tcBorders>
              <w:bottom w:val="single" w:color="auto" w:sz="18" w:space="0"/>
            </w:tcBorders>
            <w:shd w:val="clear" w:color="auto" w:fill="auto"/>
            <w:vAlign w:val="center"/>
          </w:tcPr>
          <w:p w14:paraId="1918A21A">
            <w:pPr>
              <w:jc w:val="center"/>
              <w:rPr>
                <w:szCs w:val="21"/>
              </w:rPr>
            </w:pPr>
          </w:p>
        </w:tc>
        <w:tc>
          <w:tcPr>
            <w:tcW w:w="1449" w:type="pct"/>
            <w:vMerge w:val="continue"/>
            <w:tcBorders>
              <w:bottom w:val="single" w:color="auto" w:sz="18" w:space="0"/>
            </w:tcBorders>
            <w:shd w:val="clear" w:color="auto" w:fill="auto"/>
            <w:vAlign w:val="center"/>
          </w:tcPr>
          <w:p w14:paraId="58E0942E">
            <w:pPr>
              <w:jc w:val="center"/>
              <w:rPr>
                <w:szCs w:val="21"/>
                <w:lang w:bidi="ar"/>
              </w:rPr>
            </w:pPr>
          </w:p>
        </w:tc>
        <w:tc>
          <w:tcPr>
            <w:tcW w:w="1420" w:type="pct"/>
            <w:tcBorders>
              <w:bottom w:val="single" w:color="auto" w:sz="18" w:space="0"/>
            </w:tcBorders>
            <w:shd w:val="clear" w:color="auto" w:fill="auto"/>
            <w:vAlign w:val="center"/>
          </w:tcPr>
          <w:p w14:paraId="7633636D">
            <w:pPr>
              <w:jc w:val="center"/>
              <w:rPr>
                <w:szCs w:val="21"/>
                <w:lang w:bidi="ar"/>
              </w:rPr>
            </w:pPr>
            <w:r>
              <w:rPr>
                <w:szCs w:val="21"/>
                <w:lang w:bidi="ar"/>
              </w:rPr>
              <w:t>使用功能：日常生活</w:t>
            </w:r>
          </w:p>
        </w:tc>
        <w:tc>
          <w:tcPr>
            <w:tcW w:w="1311" w:type="pct"/>
            <w:gridSpan w:val="2"/>
            <w:tcBorders>
              <w:bottom w:val="single" w:color="auto" w:sz="18" w:space="0"/>
            </w:tcBorders>
            <w:shd w:val="clear" w:color="auto" w:fill="auto"/>
            <w:vAlign w:val="center"/>
          </w:tcPr>
          <w:p w14:paraId="0CE7FC01">
            <w:pPr>
              <w:jc w:val="center"/>
              <w:rPr>
                <w:szCs w:val="21"/>
                <w:lang w:bidi="ar"/>
              </w:rPr>
            </w:pPr>
            <w:r>
              <w:rPr>
                <w:szCs w:val="21"/>
                <w:lang w:bidi="ar"/>
              </w:rPr>
              <w:t>40</w:t>
            </w:r>
            <w:r>
              <w:rPr>
                <w:rFonts w:hint="eastAsia"/>
                <w:szCs w:val="21"/>
                <w:lang w:bidi="ar"/>
              </w:rPr>
              <w:t>（4</w:t>
            </w:r>
            <w:r>
              <w:rPr>
                <w:szCs w:val="21"/>
                <w:lang w:bidi="ar"/>
              </w:rPr>
              <w:t>5</w:t>
            </w:r>
            <w:r>
              <w:rPr>
                <w:rFonts w:hint="eastAsia"/>
                <w:szCs w:val="21"/>
                <w:lang w:bidi="ar"/>
              </w:rPr>
              <w:t>）</w:t>
            </w:r>
          </w:p>
        </w:tc>
      </w:tr>
    </w:tbl>
    <w:p w14:paraId="3F219E6F">
      <w:pPr>
        <w:autoSpaceDE w:val="0"/>
        <w:autoSpaceDN w:val="0"/>
        <w:adjustRightInd w:val="0"/>
        <w:jc w:val="left"/>
        <w:rPr>
          <w:kern w:val="0"/>
          <w:szCs w:val="21"/>
        </w:rPr>
      </w:pPr>
      <w:r>
        <w:rPr>
          <w:kern w:val="0"/>
          <w:szCs w:val="21"/>
        </w:rPr>
        <w:t>注：《建筑环境通用规范》（GB55016-2021）</w:t>
      </w:r>
      <w:r>
        <w:rPr>
          <w:rFonts w:hint="eastAsia"/>
          <w:kern w:val="0"/>
          <w:szCs w:val="21"/>
        </w:rPr>
        <w:t>中要求：“当建筑位于2类、3类、4类声环境功能区时，噪声限值可放宽5dB。”</w:t>
      </w:r>
    </w:p>
    <w:p w14:paraId="049AFBB1">
      <w:pPr>
        <w:widowControl/>
        <w:spacing w:line="360" w:lineRule="auto"/>
        <w:jc w:val="left"/>
        <w:rPr>
          <w:b/>
          <w:bCs/>
          <w:sz w:val="24"/>
        </w:rPr>
      </w:pPr>
    </w:p>
    <w:p w14:paraId="0CB23D76">
      <w:pPr>
        <w:widowControl/>
        <w:spacing w:line="360" w:lineRule="auto"/>
        <w:jc w:val="left"/>
        <w:rPr>
          <w:b/>
          <w:bCs/>
          <w:sz w:val="24"/>
        </w:rPr>
      </w:pPr>
      <w:r>
        <w:rPr>
          <w:b/>
          <w:bCs/>
          <w:sz w:val="24"/>
        </w:rPr>
        <w:t>1.6 声环境保护目标</w:t>
      </w:r>
    </w:p>
    <w:p w14:paraId="0B16BC7B">
      <w:pPr>
        <w:widowControl/>
        <w:spacing w:line="360" w:lineRule="auto"/>
        <w:ind w:firstLine="482" w:firstLineChars="200"/>
        <w:rPr>
          <w:b/>
          <w:bCs/>
          <w:sz w:val="24"/>
        </w:rPr>
        <w:sectPr>
          <w:footerReference r:id="rId8" w:type="default"/>
          <w:pgSz w:w="11906" w:h="16838"/>
          <w:pgMar w:top="720" w:right="720" w:bottom="720" w:left="720" w:header="851" w:footer="567" w:gutter="0"/>
          <w:cols w:space="720" w:num="1"/>
          <w:docGrid w:linePitch="312" w:charSpace="0"/>
        </w:sectPr>
      </w:pPr>
      <w:r>
        <w:rPr>
          <w:rFonts w:hint="eastAsia"/>
          <w:b/>
          <w:bCs/>
          <w:sz w:val="24"/>
        </w:rPr>
        <w:t>根据现场踏勘，项目评价范围不涉及声环境现状保护目标和声环境规划保护目标，环境保护目标分布图见附图3。</w:t>
      </w:r>
    </w:p>
    <w:p w14:paraId="0126732C">
      <w:pPr>
        <w:widowControl/>
        <w:spacing w:line="360" w:lineRule="auto"/>
        <w:jc w:val="center"/>
        <w:outlineLvl w:val="0"/>
        <w:rPr>
          <w:b/>
          <w:bCs/>
          <w:sz w:val="44"/>
          <w:szCs w:val="44"/>
        </w:rPr>
      </w:pPr>
      <w:bookmarkStart w:id="133" w:name="_Toc191907561"/>
      <w:bookmarkStart w:id="134" w:name="_Toc1153"/>
      <w:bookmarkStart w:id="135" w:name="_Toc187243674"/>
      <w:bookmarkStart w:id="136" w:name="_Toc185524019"/>
      <w:bookmarkStart w:id="137" w:name="_Toc185523911"/>
      <w:r>
        <w:rPr>
          <w:b/>
          <w:bCs/>
          <w:sz w:val="44"/>
          <w:szCs w:val="44"/>
        </w:rPr>
        <w:t>2. 工程分析</w:t>
      </w:r>
      <w:bookmarkEnd w:id="133"/>
      <w:bookmarkEnd w:id="134"/>
      <w:bookmarkEnd w:id="135"/>
      <w:bookmarkEnd w:id="136"/>
      <w:bookmarkEnd w:id="137"/>
    </w:p>
    <w:p w14:paraId="3681C5AD">
      <w:pPr>
        <w:widowControl/>
        <w:spacing w:line="360" w:lineRule="auto"/>
        <w:ind w:firstLine="482" w:firstLineChars="200"/>
        <w:rPr>
          <w:b/>
          <w:bCs/>
          <w:sz w:val="24"/>
        </w:rPr>
      </w:pPr>
      <w:r>
        <w:rPr>
          <w:b/>
          <w:bCs/>
          <w:sz w:val="24"/>
        </w:rPr>
        <w:t>2.1 工程概况</w:t>
      </w:r>
    </w:p>
    <w:p w14:paraId="7348590D">
      <w:pPr>
        <w:spacing w:line="360" w:lineRule="auto"/>
        <w:ind w:firstLine="480" w:firstLineChars="200"/>
        <w:rPr>
          <w:kern w:val="0"/>
          <w:sz w:val="24"/>
        </w:rPr>
      </w:pPr>
      <w:r>
        <w:rPr>
          <w:kern w:val="0"/>
          <w:sz w:val="24"/>
        </w:rPr>
        <w:t>1.项目名称：</w:t>
      </w:r>
      <w:r>
        <w:rPr>
          <w:rFonts w:hint="eastAsia"/>
          <w:kern w:val="0"/>
          <w:sz w:val="24"/>
        </w:rPr>
        <w:t>博罗县城体育大道东延段建设工程(K0+878.712~K1+210.007)</w:t>
      </w:r>
      <w:r>
        <w:rPr>
          <w:kern w:val="0"/>
          <w:sz w:val="24"/>
        </w:rPr>
        <w:t>。</w:t>
      </w:r>
    </w:p>
    <w:p w14:paraId="5B4956D1">
      <w:pPr>
        <w:spacing w:line="360" w:lineRule="auto"/>
        <w:ind w:firstLine="480" w:firstLineChars="200"/>
        <w:rPr>
          <w:kern w:val="0"/>
          <w:sz w:val="24"/>
        </w:rPr>
      </w:pPr>
      <w:r>
        <w:rPr>
          <w:kern w:val="0"/>
          <w:sz w:val="24"/>
        </w:rPr>
        <w:t>2.项目位置：</w:t>
      </w:r>
      <w:r>
        <w:rPr>
          <w:rFonts w:hint="eastAsia"/>
          <w:kern w:val="0"/>
          <w:sz w:val="24"/>
        </w:rPr>
        <w:t>惠州市博罗县罗阳街道，惠博大道以东</w:t>
      </w:r>
      <w:r>
        <w:rPr>
          <w:kern w:val="0"/>
          <w:sz w:val="24"/>
        </w:rPr>
        <w:t>。</w:t>
      </w:r>
    </w:p>
    <w:p w14:paraId="433D0651">
      <w:pPr>
        <w:spacing w:line="360" w:lineRule="auto"/>
        <w:ind w:firstLine="480" w:firstLineChars="200"/>
        <w:rPr>
          <w:kern w:val="0"/>
          <w:sz w:val="24"/>
        </w:rPr>
      </w:pPr>
      <w:r>
        <w:rPr>
          <w:rFonts w:hint="eastAsia"/>
          <w:kern w:val="0"/>
          <w:sz w:val="24"/>
        </w:rPr>
        <w:t>3</w:t>
      </w:r>
      <w:r>
        <w:rPr>
          <w:kern w:val="0"/>
          <w:sz w:val="24"/>
        </w:rPr>
        <w:t>.</w:t>
      </w:r>
      <w:r>
        <w:rPr>
          <w:rFonts w:hint="eastAsia"/>
          <w:kern w:val="0"/>
          <w:sz w:val="24"/>
        </w:rPr>
        <w:t>建设内容：体育大道东延段(K0+878.712~K1+210.007)，起点西起体育大道东延段(二期)终点(K0+878.712)，与惠霞高速立交匝道相接(该立交已纳入惠霞高速公路(原惠州湾高速公路)建设范围)后向东延伸，终点东顺接已设计白石渠中桥(K1+210.007)，总长约332m，道路红线宽34.5m，道路等级为城市主干路，双向6车道，设计速度为60km/h；建设内容包括道路工程、排水工程、电气工程、交通工程、绿化工程等。项目总投资约4883.04万元</w:t>
      </w:r>
      <w:r>
        <w:rPr>
          <w:rFonts w:hint="eastAsia"/>
          <w:sz w:val="24"/>
          <w:lang w:bidi="ar"/>
        </w:rPr>
        <w:t>。</w:t>
      </w:r>
    </w:p>
    <w:p w14:paraId="2DEE4399">
      <w:pPr>
        <w:widowControl/>
        <w:spacing w:line="360" w:lineRule="auto"/>
        <w:ind w:firstLine="480" w:firstLineChars="200"/>
        <w:rPr>
          <w:sz w:val="24"/>
        </w:rPr>
      </w:pPr>
      <w:r>
        <w:rPr>
          <w:rFonts w:hint="eastAsia"/>
          <w:sz w:val="24"/>
        </w:rPr>
        <w:t>4</w:t>
      </w:r>
      <w:r>
        <w:rPr>
          <w:b/>
          <w:bCs/>
          <w:sz w:val="24"/>
        </w:rPr>
        <w:t>.</w:t>
      </w:r>
      <w:r>
        <w:rPr>
          <w:rFonts w:hint="eastAsia"/>
          <w:sz w:val="24"/>
        </w:rPr>
        <w:t>建设工期：</w:t>
      </w:r>
      <w:r>
        <w:rPr>
          <w:sz w:val="24"/>
        </w:rPr>
        <w:t>工期</w:t>
      </w:r>
      <w:r>
        <w:rPr>
          <w:rFonts w:hint="eastAsia"/>
          <w:sz w:val="24"/>
        </w:rPr>
        <w:t>12</w:t>
      </w:r>
      <w:r>
        <w:rPr>
          <w:sz w:val="24"/>
        </w:rPr>
        <w:t>个月</w:t>
      </w:r>
      <w:r>
        <w:rPr>
          <w:rFonts w:hint="eastAsia"/>
          <w:sz w:val="24"/>
        </w:rPr>
        <w:t>。</w:t>
      </w:r>
    </w:p>
    <w:p w14:paraId="7A365CA5">
      <w:pPr>
        <w:widowControl/>
        <w:spacing w:line="360" w:lineRule="auto"/>
        <w:ind w:firstLine="482" w:firstLineChars="200"/>
        <w:rPr>
          <w:b/>
          <w:bCs/>
          <w:sz w:val="24"/>
        </w:rPr>
      </w:pPr>
      <w:r>
        <w:rPr>
          <w:b/>
          <w:bCs/>
          <w:sz w:val="24"/>
        </w:rPr>
        <w:t>2.2 噪声源及特性</w:t>
      </w:r>
    </w:p>
    <w:p w14:paraId="1C4F8D5F">
      <w:pPr>
        <w:widowControl/>
        <w:spacing w:line="360" w:lineRule="auto"/>
        <w:ind w:firstLine="480" w:firstLineChars="200"/>
        <w:rPr>
          <w:sz w:val="24"/>
        </w:rPr>
      </w:pPr>
      <w:r>
        <w:rPr>
          <w:sz w:val="24"/>
        </w:rPr>
        <w:t>道路建成通车后的噪声源主要是道路上行驶的机动车，一般为非稳态源。机动车辆的发动机、冷却系统、排气系统、传动机械等部件产生的噪声，轮胎和路面的摩擦产生的噪声以及路面平整度等原因而使高速行驶的汽车产生整车噪声。</w:t>
      </w:r>
    </w:p>
    <w:p w14:paraId="31D6B2D6">
      <w:pPr>
        <w:widowControl/>
        <w:spacing w:line="360" w:lineRule="auto"/>
        <w:ind w:firstLine="482" w:firstLineChars="200"/>
        <w:rPr>
          <w:b/>
          <w:bCs/>
          <w:sz w:val="24"/>
        </w:rPr>
      </w:pPr>
      <w:r>
        <w:rPr>
          <w:b/>
          <w:bCs/>
          <w:sz w:val="24"/>
        </w:rPr>
        <w:t>2.3 项目运营期车流量预测</w:t>
      </w:r>
    </w:p>
    <w:p w14:paraId="63A6EDBA">
      <w:pPr>
        <w:widowControl/>
        <w:spacing w:line="500" w:lineRule="exact"/>
        <w:ind w:firstLine="480" w:firstLineChars="200"/>
        <w:rPr>
          <w:sz w:val="24"/>
        </w:rPr>
      </w:pPr>
      <w:r>
        <w:rPr>
          <w:sz w:val="24"/>
        </w:rPr>
        <w:t>根据</w:t>
      </w:r>
      <w:r>
        <w:rPr>
          <w:rFonts w:hint="eastAsia"/>
          <w:sz w:val="24"/>
        </w:rPr>
        <w:t>《博罗县城体育大道东延段建设工程可行性研究报告》，本项目预计2026年建成通车，道路等级为城市主干路。根据</w:t>
      </w:r>
      <w:r>
        <w:rPr>
          <w:rFonts w:hint="eastAsia"/>
          <w:b/>
          <w:bCs/>
          <w:sz w:val="24"/>
        </w:rPr>
        <w:t>《环境影响评价技术导则</w:t>
      </w:r>
      <w:r>
        <w:rPr>
          <w:b/>
          <w:bCs/>
          <w:sz w:val="24"/>
        </w:rPr>
        <w:t xml:space="preserve"> </w:t>
      </w:r>
      <w:r>
        <w:rPr>
          <w:rFonts w:hint="eastAsia"/>
          <w:b/>
          <w:bCs/>
          <w:sz w:val="24"/>
        </w:rPr>
        <w:t>公路建设项目》（HJ1358—2024）5.2.9，</w:t>
      </w:r>
      <w:r>
        <w:rPr>
          <w:rFonts w:hint="eastAsia"/>
          <w:sz w:val="24"/>
        </w:rPr>
        <w:t>“运营期应取公路竣工投入运营后第</w:t>
      </w:r>
      <w:r>
        <w:rPr>
          <w:sz w:val="24"/>
        </w:rPr>
        <w:t>1</w:t>
      </w:r>
      <w:r>
        <w:rPr>
          <w:rFonts w:hint="eastAsia"/>
          <w:sz w:val="24"/>
        </w:rPr>
        <w:t>年、第</w:t>
      </w:r>
      <w:r>
        <w:rPr>
          <w:sz w:val="24"/>
        </w:rPr>
        <w:t>7</w:t>
      </w:r>
      <w:r>
        <w:rPr>
          <w:rFonts w:hint="eastAsia"/>
          <w:sz w:val="24"/>
        </w:rPr>
        <w:t>年和第</w:t>
      </w:r>
      <w:r>
        <w:rPr>
          <w:sz w:val="24"/>
        </w:rPr>
        <w:t>15</w:t>
      </w:r>
      <w:r>
        <w:rPr>
          <w:rFonts w:hint="eastAsia"/>
          <w:sz w:val="24"/>
        </w:rPr>
        <w:t>年分别代表运营近期、中期、远期进行评价”。因此，预测特征年为</w:t>
      </w:r>
      <w:r>
        <w:rPr>
          <w:sz w:val="24"/>
        </w:rPr>
        <w:t>202</w:t>
      </w:r>
      <w:r>
        <w:rPr>
          <w:rFonts w:hint="eastAsia"/>
          <w:sz w:val="24"/>
        </w:rPr>
        <w:t>6年、</w:t>
      </w:r>
      <w:r>
        <w:rPr>
          <w:sz w:val="24"/>
        </w:rPr>
        <w:t>203</w:t>
      </w:r>
      <w:r>
        <w:rPr>
          <w:rFonts w:hint="eastAsia"/>
          <w:sz w:val="24"/>
        </w:rPr>
        <w:t>2年、</w:t>
      </w:r>
      <w:r>
        <w:rPr>
          <w:sz w:val="24"/>
        </w:rPr>
        <w:t>20</w:t>
      </w:r>
      <w:r>
        <w:rPr>
          <w:rFonts w:hint="eastAsia"/>
          <w:sz w:val="24"/>
        </w:rPr>
        <w:t>40年。</w:t>
      </w:r>
    </w:p>
    <w:p w14:paraId="52319DC4">
      <w:pPr>
        <w:widowControl/>
        <w:spacing w:line="500" w:lineRule="exact"/>
        <w:ind w:firstLine="480" w:firstLineChars="200"/>
        <w:rPr>
          <w:sz w:val="24"/>
        </w:rPr>
      </w:pPr>
      <w:r>
        <w:rPr>
          <w:rFonts w:hint="eastAsia"/>
          <w:sz w:val="24"/>
        </w:rPr>
        <w:t>根据主体设计提供的项目申请核准报告和初步设计说明中交通量，利用插值法计算本项目特征年交通量。经计算，得出特征年研究道路的路段城市年平均日交通量如下表</w:t>
      </w:r>
      <w:r>
        <w:rPr>
          <w:sz w:val="24"/>
        </w:rPr>
        <w:t xml:space="preserve">。 </w:t>
      </w:r>
    </w:p>
    <w:p w14:paraId="0F7BC346">
      <w:pPr>
        <w:autoSpaceDE w:val="0"/>
        <w:autoSpaceDN w:val="0"/>
        <w:adjustRightInd w:val="0"/>
        <w:spacing w:line="500" w:lineRule="exact"/>
        <w:jc w:val="center"/>
        <w:rPr>
          <w:b/>
          <w:bCs/>
          <w:kern w:val="0"/>
          <w:szCs w:val="21"/>
        </w:rPr>
      </w:pPr>
      <w:r>
        <w:rPr>
          <w:b/>
          <w:bCs/>
          <w:kern w:val="0"/>
          <w:szCs w:val="21"/>
        </w:rPr>
        <w:t>表2.3-</w:t>
      </w:r>
      <w:r>
        <w:rPr>
          <w:rFonts w:hint="eastAsia"/>
          <w:b/>
          <w:bCs/>
          <w:kern w:val="0"/>
          <w:szCs w:val="21"/>
        </w:rPr>
        <w:t xml:space="preserve">1  </w:t>
      </w:r>
      <w:r>
        <w:rPr>
          <w:b/>
          <w:bCs/>
          <w:kern w:val="0"/>
          <w:szCs w:val="21"/>
        </w:rPr>
        <w:t>项目交通量预测结果（单位：pcu/d）</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31"/>
        <w:gridCol w:w="2459"/>
        <w:gridCol w:w="2615"/>
        <w:gridCol w:w="2277"/>
      </w:tblGrid>
      <w:tr w14:paraId="7787622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59" w:type="pct"/>
            <w:vAlign w:val="center"/>
          </w:tcPr>
          <w:p w14:paraId="3D362F5D">
            <w:pPr>
              <w:jc w:val="center"/>
              <w:rPr>
                <w:b/>
                <w:bCs/>
                <w:szCs w:val="21"/>
              </w:rPr>
            </w:pPr>
            <w:r>
              <w:rPr>
                <w:b/>
                <w:bCs/>
                <w:szCs w:val="21"/>
                <w:lang w:bidi="ar"/>
              </w:rPr>
              <w:t>道路名称</w:t>
            </w:r>
          </w:p>
        </w:tc>
        <w:tc>
          <w:tcPr>
            <w:tcW w:w="1151" w:type="pct"/>
            <w:vAlign w:val="center"/>
          </w:tcPr>
          <w:p w14:paraId="3A359471">
            <w:pPr>
              <w:jc w:val="center"/>
              <w:rPr>
                <w:b/>
                <w:bCs/>
                <w:szCs w:val="21"/>
              </w:rPr>
            </w:pPr>
            <w:r>
              <w:rPr>
                <w:b/>
                <w:bCs/>
                <w:szCs w:val="21"/>
                <w:lang w:bidi="ar"/>
              </w:rPr>
              <w:t>202</w:t>
            </w:r>
            <w:r>
              <w:rPr>
                <w:rFonts w:hint="eastAsia"/>
                <w:b/>
                <w:bCs/>
                <w:szCs w:val="21"/>
                <w:lang w:bidi="ar"/>
              </w:rPr>
              <w:t>6</w:t>
            </w:r>
            <w:r>
              <w:rPr>
                <w:b/>
                <w:bCs/>
                <w:szCs w:val="21"/>
                <w:lang w:bidi="ar"/>
              </w:rPr>
              <w:t>年</w:t>
            </w:r>
          </w:p>
        </w:tc>
        <w:tc>
          <w:tcPr>
            <w:tcW w:w="1224" w:type="pct"/>
            <w:vAlign w:val="center"/>
          </w:tcPr>
          <w:p w14:paraId="194DF0A9">
            <w:pPr>
              <w:jc w:val="center"/>
              <w:rPr>
                <w:b/>
                <w:bCs/>
                <w:szCs w:val="21"/>
              </w:rPr>
            </w:pPr>
            <w:r>
              <w:rPr>
                <w:b/>
                <w:bCs/>
                <w:szCs w:val="21"/>
                <w:lang w:bidi="ar"/>
              </w:rPr>
              <w:t>203</w:t>
            </w:r>
            <w:r>
              <w:rPr>
                <w:rFonts w:hint="eastAsia"/>
                <w:b/>
                <w:bCs/>
                <w:szCs w:val="21"/>
                <w:lang w:bidi="ar"/>
              </w:rPr>
              <w:t>2</w:t>
            </w:r>
            <w:r>
              <w:rPr>
                <w:b/>
                <w:bCs/>
                <w:szCs w:val="21"/>
                <w:lang w:bidi="ar"/>
              </w:rPr>
              <w:t>年</w:t>
            </w:r>
          </w:p>
        </w:tc>
        <w:tc>
          <w:tcPr>
            <w:tcW w:w="1066" w:type="pct"/>
            <w:vAlign w:val="center"/>
          </w:tcPr>
          <w:p w14:paraId="1A34D1E3">
            <w:pPr>
              <w:jc w:val="center"/>
              <w:rPr>
                <w:b/>
                <w:bCs/>
                <w:szCs w:val="21"/>
              </w:rPr>
            </w:pPr>
            <w:r>
              <w:rPr>
                <w:b/>
                <w:bCs/>
                <w:szCs w:val="21"/>
                <w:lang w:bidi="ar"/>
              </w:rPr>
              <w:t>20</w:t>
            </w:r>
            <w:r>
              <w:rPr>
                <w:rFonts w:hint="eastAsia"/>
                <w:b/>
                <w:bCs/>
                <w:szCs w:val="21"/>
                <w:lang w:bidi="ar"/>
              </w:rPr>
              <w:t>40</w:t>
            </w:r>
            <w:r>
              <w:rPr>
                <w:b/>
                <w:bCs/>
                <w:szCs w:val="21"/>
                <w:lang w:bidi="ar"/>
              </w:rPr>
              <w:t>年</w:t>
            </w:r>
          </w:p>
        </w:tc>
      </w:tr>
      <w:tr w14:paraId="589E2CD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59" w:type="pct"/>
            <w:vAlign w:val="center"/>
          </w:tcPr>
          <w:p w14:paraId="35E5566B">
            <w:pPr>
              <w:jc w:val="center"/>
              <w:rPr>
                <w:szCs w:val="21"/>
              </w:rPr>
            </w:pPr>
            <w:r>
              <w:rPr>
                <w:rFonts w:hint="eastAsia" w:ascii="宋体" w:hAnsi="宋体" w:cs="宋体"/>
                <w:szCs w:val="21"/>
              </w:rPr>
              <w:t>体育大道东延段</w:t>
            </w:r>
          </w:p>
        </w:tc>
        <w:tc>
          <w:tcPr>
            <w:tcW w:w="1151" w:type="pct"/>
            <w:vAlign w:val="center"/>
          </w:tcPr>
          <w:p w14:paraId="53EDCFF6">
            <w:pPr>
              <w:jc w:val="center"/>
              <w:rPr>
                <w:szCs w:val="21"/>
              </w:rPr>
            </w:pPr>
            <w:r>
              <w:rPr>
                <w:rFonts w:hint="eastAsia"/>
                <w:szCs w:val="21"/>
              </w:rPr>
              <w:t>28259</w:t>
            </w:r>
          </w:p>
        </w:tc>
        <w:tc>
          <w:tcPr>
            <w:tcW w:w="1224" w:type="pct"/>
            <w:vAlign w:val="center"/>
          </w:tcPr>
          <w:p w14:paraId="48368C97">
            <w:pPr>
              <w:jc w:val="center"/>
              <w:rPr>
                <w:szCs w:val="21"/>
              </w:rPr>
            </w:pPr>
            <w:r>
              <w:rPr>
                <w:rFonts w:hint="eastAsia"/>
                <w:szCs w:val="21"/>
              </w:rPr>
              <w:t>40230</w:t>
            </w:r>
          </w:p>
        </w:tc>
        <w:tc>
          <w:tcPr>
            <w:tcW w:w="1066" w:type="pct"/>
            <w:vAlign w:val="center"/>
          </w:tcPr>
          <w:p w14:paraId="273E5531">
            <w:pPr>
              <w:jc w:val="center"/>
              <w:rPr>
                <w:szCs w:val="21"/>
              </w:rPr>
            </w:pPr>
            <w:r>
              <w:rPr>
                <w:rFonts w:hint="eastAsia"/>
                <w:szCs w:val="21"/>
              </w:rPr>
              <w:t>60783</w:t>
            </w:r>
          </w:p>
        </w:tc>
      </w:tr>
    </w:tbl>
    <w:p w14:paraId="1874038F">
      <w:pPr>
        <w:spacing w:line="500" w:lineRule="exact"/>
        <w:ind w:firstLine="480" w:firstLineChars="200"/>
        <w:rPr>
          <w:sz w:val="24"/>
        </w:rPr>
      </w:pPr>
      <w:r>
        <w:rPr>
          <w:rFonts w:hint="eastAsia"/>
          <w:sz w:val="24"/>
        </w:rPr>
        <w:t>根据《环境影响评价技术导则声环境》</w:t>
      </w:r>
      <w:r>
        <w:rPr>
          <w:sz w:val="24"/>
        </w:rPr>
        <w:t>(HJ2.4-2021)</w:t>
      </w:r>
      <w:r>
        <w:rPr>
          <w:rFonts w:hint="eastAsia"/>
          <w:sz w:val="24"/>
        </w:rPr>
        <w:t>，车型分类方法按照《公路工程技术标准》（</w:t>
      </w:r>
      <w:r>
        <w:rPr>
          <w:sz w:val="24"/>
        </w:rPr>
        <w:t>JTG B01-2014）中的分类进</w:t>
      </w:r>
      <w:r>
        <w:rPr>
          <w:rFonts w:hint="eastAsia"/>
          <w:sz w:val="24"/>
        </w:rPr>
        <w:t>行，交通量换算采用小客车为标准车型，按照不同折算系数分别进行计算。参考《公路工程技术标准》（JTG B01-2014）车型分类标准。将汽车按照总质量、座位数分为小型、中型、大型三种，</w:t>
      </w:r>
      <w:r>
        <w:rPr>
          <w:sz w:val="24"/>
        </w:rPr>
        <w:t>各个车型分类标准及所占比例见</w:t>
      </w:r>
      <w:r>
        <w:rPr>
          <w:rFonts w:hint="eastAsia"/>
          <w:sz w:val="24"/>
        </w:rPr>
        <w:t>下表</w:t>
      </w:r>
      <w:r>
        <w:rPr>
          <w:sz w:val="24"/>
        </w:rPr>
        <w:t>。</w:t>
      </w:r>
    </w:p>
    <w:p w14:paraId="2398C7BD">
      <w:pPr>
        <w:autoSpaceDE w:val="0"/>
        <w:autoSpaceDN w:val="0"/>
        <w:adjustRightInd w:val="0"/>
        <w:spacing w:before="120" w:beforeLines="50" w:line="360" w:lineRule="auto"/>
        <w:jc w:val="center"/>
        <w:rPr>
          <w:b/>
          <w:bCs/>
          <w:kern w:val="0"/>
          <w:szCs w:val="21"/>
        </w:rPr>
      </w:pPr>
      <w:r>
        <w:rPr>
          <w:b/>
          <w:bCs/>
          <w:kern w:val="0"/>
          <w:szCs w:val="21"/>
        </w:rPr>
        <w:t>表2.3-2 各类车辆pcu折算系数</w:t>
      </w:r>
    </w:p>
    <w:tbl>
      <w:tblPr>
        <w:tblStyle w:val="33"/>
        <w:tblW w:w="5000" w:type="pct"/>
        <w:tblInd w:w="-113"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421"/>
        <w:gridCol w:w="5328"/>
        <w:gridCol w:w="2549"/>
      </w:tblGrid>
      <w:tr w14:paraId="2E3B059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auto"/>
            <w:vAlign w:val="center"/>
          </w:tcPr>
          <w:p w14:paraId="25F2EC7C">
            <w:pPr>
              <w:adjustRightInd w:val="0"/>
              <w:snapToGrid w:val="0"/>
              <w:jc w:val="center"/>
              <w:rPr>
                <w:b/>
                <w:bCs/>
                <w:szCs w:val="21"/>
              </w:rPr>
            </w:pPr>
            <w:r>
              <w:rPr>
                <w:b/>
                <w:bCs/>
                <w:szCs w:val="21"/>
              </w:rPr>
              <w:t>车辆类型</w:t>
            </w:r>
          </w:p>
        </w:tc>
        <w:tc>
          <w:tcPr>
            <w:tcW w:w="665" w:type="pct"/>
            <w:shd w:val="clear" w:color="auto" w:fill="auto"/>
            <w:vAlign w:val="center"/>
          </w:tcPr>
          <w:p w14:paraId="4E6F46F4">
            <w:pPr>
              <w:adjustRightInd w:val="0"/>
              <w:snapToGrid w:val="0"/>
              <w:jc w:val="center"/>
              <w:rPr>
                <w:b/>
                <w:bCs/>
                <w:szCs w:val="21"/>
              </w:rPr>
            </w:pPr>
            <w:r>
              <w:rPr>
                <w:b/>
                <w:bCs/>
                <w:szCs w:val="21"/>
              </w:rPr>
              <w:t>折算系数</w:t>
            </w:r>
          </w:p>
        </w:tc>
        <w:tc>
          <w:tcPr>
            <w:tcW w:w="2494" w:type="pct"/>
            <w:shd w:val="clear" w:color="auto" w:fill="auto"/>
            <w:vAlign w:val="center"/>
          </w:tcPr>
          <w:p w14:paraId="2350FEBD">
            <w:pPr>
              <w:adjustRightInd w:val="0"/>
              <w:snapToGrid w:val="0"/>
              <w:jc w:val="center"/>
              <w:rPr>
                <w:b/>
                <w:bCs/>
                <w:szCs w:val="21"/>
              </w:rPr>
            </w:pPr>
            <w:r>
              <w:rPr>
                <w:b/>
                <w:bCs/>
                <w:szCs w:val="21"/>
              </w:rPr>
              <w:t>额定荷载参数</w:t>
            </w:r>
          </w:p>
        </w:tc>
        <w:tc>
          <w:tcPr>
            <w:tcW w:w="1193" w:type="pct"/>
            <w:shd w:val="clear" w:color="auto" w:fill="auto"/>
            <w:vAlign w:val="center"/>
          </w:tcPr>
          <w:p w14:paraId="55A9B96B">
            <w:pPr>
              <w:adjustRightInd w:val="0"/>
              <w:snapToGrid w:val="0"/>
              <w:jc w:val="center"/>
              <w:rPr>
                <w:b/>
                <w:bCs/>
                <w:szCs w:val="21"/>
              </w:rPr>
            </w:pPr>
            <w:r>
              <w:rPr>
                <w:b/>
                <w:bCs/>
                <w:szCs w:val="21"/>
              </w:rPr>
              <w:t>备注</w:t>
            </w:r>
          </w:p>
        </w:tc>
      </w:tr>
      <w:tr w14:paraId="730DC36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auto"/>
            <w:vAlign w:val="center"/>
          </w:tcPr>
          <w:p w14:paraId="0717B303">
            <w:pPr>
              <w:adjustRightInd w:val="0"/>
              <w:snapToGrid w:val="0"/>
              <w:jc w:val="center"/>
              <w:rPr>
                <w:szCs w:val="21"/>
              </w:rPr>
            </w:pPr>
            <w:r>
              <w:rPr>
                <w:szCs w:val="21"/>
              </w:rPr>
              <w:t>小型车</w:t>
            </w:r>
          </w:p>
        </w:tc>
        <w:tc>
          <w:tcPr>
            <w:tcW w:w="665" w:type="pct"/>
            <w:shd w:val="clear" w:color="auto" w:fill="auto"/>
            <w:vAlign w:val="center"/>
          </w:tcPr>
          <w:p w14:paraId="7E19F7EA">
            <w:pPr>
              <w:adjustRightInd w:val="0"/>
              <w:snapToGrid w:val="0"/>
              <w:jc w:val="center"/>
              <w:rPr>
                <w:szCs w:val="21"/>
              </w:rPr>
            </w:pPr>
            <w:r>
              <w:rPr>
                <w:szCs w:val="21"/>
              </w:rPr>
              <w:t>1.0</w:t>
            </w:r>
          </w:p>
        </w:tc>
        <w:tc>
          <w:tcPr>
            <w:tcW w:w="2494" w:type="pct"/>
            <w:shd w:val="clear" w:color="auto" w:fill="auto"/>
            <w:vAlign w:val="center"/>
          </w:tcPr>
          <w:p w14:paraId="1F7416B2">
            <w:pPr>
              <w:adjustRightInd w:val="0"/>
              <w:snapToGrid w:val="0"/>
              <w:jc w:val="center"/>
              <w:rPr>
                <w:szCs w:val="21"/>
              </w:rPr>
            </w:pPr>
            <w:r>
              <w:rPr>
                <w:szCs w:val="21"/>
              </w:rPr>
              <w:t>座位≤19座的客车和载</w:t>
            </w:r>
            <w:r>
              <w:rPr>
                <w:rFonts w:hint="eastAsia"/>
                <w:szCs w:val="21"/>
              </w:rPr>
              <w:t>重</w:t>
            </w:r>
            <w:r>
              <w:rPr>
                <w:szCs w:val="21"/>
              </w:rPr>
              <w:t>量≤2t的货车</w:t>
            </w:r>
          </w:p>
        </w:tc>
        <w:tc>
          <w:tcPr>
            <w:tcW w:w="1193" w:type="pct"/>
            <w:shd w:val="clear" w:color="auto" w:fill="auto"/>
            <w:vAlign w:val="center"/>
          </w:tcPr>
          <w:p w14:paraId="6145CA51">
            <w:pPr>
              <w:adjustRightInd w:val="0"/>
              <w:snapToGrid w:val="0"/>
              <w:jc w:val="center"/>
              <w:rPr>
                <w:szCs w:val="21"/>
              </w:rPr>
            </w:pPr>
            <w:r>
              <w:rPr>
                <w:szCs w:val="21"/>
              </w:rPr>
              <w:t>小客车</w:t>
            </w:r>
          </w:p>
        </w:tc>
      </w:tr>
      <w:tr w14:paraId="44ACC24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auto"/>
            <w:vAlign w:val="center"/>
          </w:tcPr>
          <w:p w14:paraId="0E09DA57">
            <w:pPr>
              <w:adjustRightInd w:val="0"/>
              <w:snapToGrid w:val="0"/>
              <w:jc w:val="center"/>
              <w:rPr>
                <w:szCs w:val="21"/>
              </w:rPr>
            </w:pPr>
            <w:r>
              <w:rPr>
                <w:szCs w:val="21"/>
              </w:rPr>
              <w:t>中型车</w:t>
            </w:r>
          </w:p>
        </w:tc>
        <w:tc>
          <w:tcPr>
            <w:tcW w:w="665" w:type="pct"/>
            <w:shd w:val="clear" w:color="auto" w:fill="auto"/>
            <w:vAlign w:val="center"/>
          </w:tcPr>
          <w:p w14:paraId="6C2CFFB4">
            <w:pPr>
              <w:adjustRightInd w:val="0"/>
              <w:snapToGrid w:val="0"/>
              <w:jc w:val="center"/>
              <w:rPr>
                <w:szCs w:val="21"/>
              </w:rPr>
            </w:pPr>
            <w:r>
              <w:rPr>
                <w:szCs w:val="21"/>
              </w:rPr>
              <w:t>1.5</w:t>
            </w:r>
          </w:p>
        </w:tc>
        <w:tc>
          <w:tcPr>
            <w:tcW w:w="2494" w:type="pct"/>
            <w:shd w:val="clear" w:color="auto" w:fill="auto"/>
            <w:vAlign w:val="center"/>
          </w:tcPr>
          <w:p w14:paraId="54F3BBA5">
            <w:pPr>
              <w:adjustRightInd w:val="0"/>
              <w:snapToGrid w:val="0"/>
              <w:jc w:val="center"/>
              <w:rPr>
                <w:szCs w:val="21"/>
              </w:rPr>
            </w:pPr>
            <w:r>
              <w:rPr>
                <w:szCs w:val="21"/>
              </w:rPr>
              <w:t>座位＞19座的客车和2t＜</w:t>
            </w:r>
            <w:r>
              <w:rPr>
                <w:rFonts w:hint="eastAsia"/>
                <w:szCs w:val="21"/>
              </w:rPr>
              <w:t>载重量</w:t>
            </w:r>
            <w:r>
              <w:rPr>
                <w:szCs w:val="21"/>
              </w:rPr>
              <w:t>≤7t的货车</w:t>
            </w:r>
          </w:p>
        </w:tc>
        <w:tc>
          <w:tcPr>
            <w:tcW w:w="1193" w:type="pct"/>
            <w:shd w:val="clear" w:color="auto" w:fill="auto"/>
            <w:vAlign w:val="center"/>
          </w:tcPr>
          <w:p w14:paraId="2C107291">
            <w:pPr>
              <w:adjustRightInd w:val="0"/>
              <w:snapToGrid w:val="0"/>
              <w:jc w:val="center"/>
              <w:rPr>
                <w:szCs w:val="21"/>
              </w:rPr>
            </w:pPr>
            <w:r>
              <w:rPr>
                <w:szCs w:val="21"/>
              </w:rPr>
              <w:t>中型车</w:t>
            </w:r>
          </w:p>
        </w:tc>
      </w:tr>
      <w:tr w14:paraId="105C458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auto"/>
            <w:vAlign w:val="center"/>
          </w:tcPr>
          <w:p w14:paraId="7B0A55D7">
            <w:pPr>
              <w:adjustRightInd w:val="0"/>
              <w:snapToGrid w:val="0"/>
              <w:jc w:val="center"/>
              <w:rPr>
                <w:szCs w:val="21"/>
              </w:rPr>
            </w:pPr>
            <w:r>
              <w:rPr>
                <w:szCs w:val="21"/>
              </w:rPr>
              <w:t>大型车</w:t>
            </w:r>
          </w:p>
        </w:tc>
        <w:tc>
          <w:tcPr>
            <w:tcW w:w="665" w:type="pct"/>
            <w:shd w:val="clear" w:color="auto" w:fill="auto"/>
            <w:vAlign w:val="center"/>
          </w:tcPr>
          <w:p w14:paraId="11361112">
            <w:pPr>
              <w:adjustRightInd w:val="0"/>
              <w:snapToGrid w:val="0"/>
              <w:jc w:val="center"/>
              <w:rPr>
                <w:szCs w:val="21"/>
              </w:rPr>
            </w:pPr>
            <w:r>
              <w:rPr>
                <w:szCs w:val="21"/>
              </w:rPr>
              <w:t>2.5</w:t>
            </w:r>
          </w:p>
        </w:tc>
        <w:tc>
          <w:tcPr>
            <w:tcW w:w="2494" w:type="pct"/>
            <w:shd w:val="clear" w:color="auto" w:fill="auto"/>
            <w:vAlign w:val="center"/>
          </w:tcPr>
          <w:p w14:paraId="0C84B09F">
            <w:pPr>
              <w:adjustRightInd w:val="0"/>
              <w:snapToGrid w:val="0"/>
              <w:jc w:val="center"/>
              <w:rPr>
                <w:szCs w:val="21"/>
              </w:rPr>
            </w:pPr>
            <w:r>
              <w:rPr>
                <w:szCs w:val="21"/>
              </w:rPr>
              <w:t>7t＜</w:t>
            </w:r>
            <w:r>
              <w:rPr>
                <w:rFonts w:hint="eastAsia"/>
                <w:szCs w:val="21"/>
              </w:rPr>
              <w:t>载重量</w:t>
            </w:r>
            <w:r>
              <w:rPr>
                <w:szCs w:val="21"/>
              </w:rPr>
              <w:t>≤20t的货车</w:t>
            </w:r>
          </w:p>
        </w:tc>
        <w:tc>
          <w:tcPr>
            <w:tcW w:w="1193" w:type="pct"/>
            <w:shd w:val="clear" w:color="auto" w:fill="auto"/>
            <w:vAlign w:val="center"/>
          </w:tcPr>
          <w:p w14:paraId="7517BECC">
            <w:pPr>
              <w:adjustRightInd w:val="0"/>
              <w:snapToGrid w:val="0"/>
              <w:jc w:val="center"/>
              <w:rPr>
                <w:szCs w:val="21"/>
              </w:rPr>
            </w:pPr>
            <w:r>
              <w:rPr>
                <w:szCs w:val="21"/>
              </w:rPr>
              <w:t>大型车</w:t>
            </w:r>
          </w:p>
        </w:tc>
      </w:tr>
      <w:tr w14:paraId="7C8F029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auto"/>
            <w:vAlign w:val="center"/>
          </w:tcPr>
          <w:p w14:paraId="2EE53A89">
            <w:pPr>
              <w:adjustRightInd w:val="0"/>
              <w:snapToGrid w:val="0"/>
              <w:jc w:val="center"/>
              <w:rPr>
                <w:szCs w:val="21"/>
              </w:rPr>
            </w:pPr>
            <w:r>
              <w:rPr>
                <w:rFonts w:hint="eastAsia"/>
                <w:szCs w:val="21"/>
              </w:rPr>
              <w:t>汽车列车</w:t>
            </w:r>
          </w:p>
        </w:tc>
        <w:tc>
          <w:tcPr>
            <w:tcW w:w="665" w:type="pct"/>
            <w:shd w:val="clear" w:color="auto" w:fill="auto"/>
            <w:vAlign w:val="center"/>
          </w:tcPr>
          <w:p w14:paraId="1FD1FE01">
            <w:pPr>
              <w:adjustRightInd w:val="0"/>
              <w:snapToGrid w:val="0"/>
              <w:jc w:val="center"/>
              <w:rPr>
                <w:szCs w:val="21"/>
              </w:rPr>
            </w:pPr>
            <w:r>
              <w:rPr>
                <w:rFonts w:hint="eastAsia"/>
                <w:szCs w:val="21"/>
              </w:rPr>
              <w:t>4</w:t>
            </w:r>
            <w:r>
              <w:rPr>
                <w:szCs w:val="21"/>
              </w:rPr>
              <w:t>.0</w:t>
            </w:r>
          </w:p>
        </w:tc>
        <w:tc>
          <w:tcPr>
            <w:tcW w:w="2494" w:type="pct"/>
            <w:shd w:val="clear" w:color="auto" w:fill="auto"/>
            <w:vAlign w:val="center"/>
          </w:tcPr>
          <w:p w14:paraId="3A84B141">
            <w:pPr>
              <w:adjustRightInd w:val="0"/>
              <w:snapToGrid w:val="0"/>
              <w:jc w:val="center"/>
              <w:rPr>
                <w:szCs w:val="21"/>
              </w:rPr>
            </w:pPr>
            <w:r>
              <w:rPr>
                <w:rFonts w:hint="eastAsia"/>
                <w:szCs w:val="21"/>
              </w:rPr>
              <w:t>载重量＞2</w:t>
            </w:r>
            <w:r>
              <w:rPr>
                <w:szCs w:val="21"/>
              </w:rPr>
              <w:t>0t</w:t>
            </w:r>
            <w:r>
              <w:rPr>
                <w:rFonts w:hint="eastAsia"/>
                <w:szCs w:val="21"/>
              </w:rPr>
              <w:t>的货车</w:t>
            </w:r>
          </w:p>
        </w:tc>
        <w:tc>
          <w:tcPr>
            <w:tcW w:w="1193" w:type="pct"/>
            <w:shd w:val="clear" w:color="auto" w:fill="auto"/>
            <w:vAlign w:val="center"/>
          </w:tcPr>
          <w:p w14:paraId="743E70B5">
            <w:pPr>
              <w:adjustRightInd w:val="0"/>
              <w:snapToGrid w:val="0"/>
              <w:jc w:val="center"/>
              <w:rPr>
                <w:szCs w:val="21"/>
              </w:rPr>
            </w:pPr>
            <w:r>
              <w:rPr>
                <w:rFonts w:hint="eastAsia"/>
                <w:szCs w:val="21"/>
              </w:rPr>
              <w:t>/</w:t>
            </w:r>
          </w:p>
        </w:tc>
      </w:tr>
    </w:tbl>
    <w:p w14:paraId="558D7BA8">
      <w:pPr>
        <w:autoSpaceDE w:val="0"/>
        <w:autoSpaceDN w:val="0"/>
        <w:adjustRightInd w:val="0"/>
        <w:spacing w:before="120" w:beforeLines="50" w:line="360" w:lineRule="auto"/>
        <w:jc w:val="center"/>
        <w:rPr>
          <w:b/>
          <w:bCs/>
          <w:kern w:val="0"/>
          <w:szCs w:val="21"/>
        </w:rPr>
      </w:pPr>
      <w:r>
        <w:rPr>
          <w:b/>
          <w:bCs/>
          <w:kern w:val="0"/>
          <w:szCs w:val="21"/>
        </w:rPr>
        <w:t>表2.3-3 项目建成通车后各个车型分类标准及所占比例</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6"/>
        <w:gridCol w:w="2136"/>
        <w:gridCol w:w="2136"/>
        <w:gridCol w:w="2137"/>
        <w:gridCol w:w="2137"/>
      </w:tblGrid>
      <w:tr w14:paraId="5C62C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0" w:type="pct"/>
            <w:tcBorders>
              <w:top w:val="single" w:color="auto" w:sz="18" w:space="0"/>
            </w:tcBorders>
            <w:shd w:val="clear" w:color="auto" w:fill="auto"/>
            <w:vAlign w:val="center"/>
          </w:tcPr>
          <w:p w14:paraId="39E78404">
            <w:pPr>
              <w:jc w:val="center"/>
              <w:rPr>
                <w:b/>
                <w:bCs/>
                <w:szCs w:val="21"/>
              </w:rPr>
            </w:pPr>
            <w:r>
              <w:rPr>
                <w:b/>
                <w:bCs/>
                <w:szCs w:val="21"/>
                <w:lang w:bidi="ar"/>
              </w:rPr>
              <w:t>车型</w:t>
            </w:r>
          </w:p>
        </w:tc>
        <w:tc>
          <w:tcPr>
            <w:tcW w:w="1000" w:type="pct"/>
            <w:tcBorders>
              <w:top w:val="single" w:color="auto" w:sz="18" w:space="0"/>
            </w:tcBorders>
            <w:shd w:val="clear" w:color="auto" w:fill="auto"/>
            <w:vAlign w:val="center"/>
          </w:tcPr>
          <w:p w14:paraId="211E973E">
            <w:pPr>
              <w:jc w:val="center"/>
              <w:rPr>
                <w:b/>
                <w:bCs/>
                <w:szCs w:val="21"/>
              </w:rPr>
            </w:pPr>
            <w:r>
              <w:rPr>
                <w:b/>
                <w:bCs/>
                <w:szCs w:val="21"/>
                <w:lang w:bidi="ar"/>
              </w:rPr>
              <w:t>小型车</w:t>
            </w:r>
          </w:p>
        </w:tc>
        <w:tc>
          <w:tcPr>
            <w:tcW w:w="1000" w:type="pct"/>
            <w:tcBorders>
              <w:top w:val="single" w:color="auto" w:sz="18" w:space="0"/>
            </w:tcBorders>
            <w:shd w:val="clear" w:color="auto" w:fill="auto"/>
            <w:vAlign w:val="center"/>
          </w:tcPr>
          <w:p w14:paraId="08EF5EE7">
            <w:pPr>
              <w:jc w:val="center"/>
              <w:rPr>
                <w:b/>
                <w:bCs/>
                <w:szCs w:val="21"/>
              </w:rPr>
            </w:pPr>
            <w:r>
              <w:rPr>
                <w:b/>
                <w:bCs/>
                <w:szCs w:val="21"/>
                <w:lang w:bidi="ar"/>
              </w:rPr>
              <w:t>中型车</w:t>
            </w:r>
          </w:p>
        </w:tc>
        <w:tc>
          <w:tcPr>
            <w:tcW w:w="1000" w:type="pct"/>
            <w:tcBorders>
              <w:top w:val="single" w:color="auto" w:sz="18" w:space="0"/>
            </w:tcBorders>
            <w:shd w:val="clear" w:color="auto" w:fill="auto"/>
            <w:vAlign w:val="center"/>
          </w:tcPr>
          <w:p w14:paraId="12C14380">
            <w:pPr>
              <w:jc w:val="center"/>
              <w:rPr>
                <w:b/>
                <w:bCs/>
                <w:szCs w:val="21"/>
              </w:rPr>
            </w:pPr>
            <w:r>
              <w:rPr>
                <w:b/>
                <w:bCs/>
                <w:szCs w:val="21"/>
                <w:lang w:bidi="ar"/>
              </w:rPr>
              <w:t>大型车</w:t>
            </w:r>
          </w:p>
        </w:tc>
        <w:tc>
          <w:tcPr>
            <w:tcW w:w="1000" w:type="pct"/>
            <w:tcBorders>
              <w:top w:val="single" w:color="auto" w:sz="18" w:space="0"/>
            </w:tcBorders>
            <w:vAlign w:val="center"/>
          </w:tcPr>
          <w:p w14:paraId="1483DD99">
            <w:pPr>
              <w:jc w:val="center"/>
              <w:rPr>
                <w:b/>
                <w:bCs/>
                <w:szCs w:val="21"/>
                <w:lang w:bidi="ar"/>
              </w:rPr>
            </w:pPr>
            <w:r>
              <w:rPr>
                <w:rFonts w:hint="eastAsia"/>
                <w:b/>
                <w:bCs/>
                <w:szCs w:val="21"/>
              </w:rPr>
              <w:t>汽车列车</w:t>
            </w:r>
          </w:p>
        </w:tc>
      </w:tr>
      <w:tr w14:paraId="60EF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0" w:type="pct"/>
            <w:shd w:val="clear" w:color="auto" w:fill="auto"/>
            <w:vAlign w:val="center"/>
          </w:tcPr>
          <w:p w14:paraId="0FD1D4D0">
            <w:pPr>
              <w:jc w:val="center"/>
              <w:rPr>
                <w:szCs w:val="21"/>
              </w:rPr>
            </w:pPr>
            <w:r>
              <w:rPr>
                <w:szCs w:val="21"/>
                <w:lang w:bidi="ar"/>
              </w:rPr>
              <w:t>车型占比</w:t>
            </w:r>
          </w:p>
        </w:tc>
        <w:tc>
          <w:tcPr>
            <w:tcW w:w="1000" w:type="pct"/>
            <w:shd w:val="clear" w:color="auto" w:fill="auto"/>
            <w:vAlign w:val="center"/>
          </w:tcPr>
          <w:p w14:paraId="48BA5433">
            <w:pPr>
              <w:jc w:val="center"/>
              <w:rPr>
                <w:szCs w:val="21"/>
              </w:rPr>
            </w:pPr>
            <w:r>
              <w:rPr>
                <w:rFonts w:hint="eastAsia"/>
                <w:szCs w:val="21"/>
              </w:rPr>
              <w:t>72.5</w:t>
            </w:r>
            <w:r>
              <w:rPr>
                <w:szCs w:val="21"/>
              </w:rPr>
              <w:t>%</w:t>
            </w:r>
          </w:p>
        </w:tc>
        <w:tc>
          <w:tcPr>
            <w:tcW w:w="1000" w:type="pct"/>
            <w:shd w:val="clear" w:color="auto" w:fill="auto"/>
            <w:vAlign w:val="center"/>
          </w:tcPr>
          <w:p w14:paraId="58266E4E">
            <w:pPr>
              <w:jc w:val="center"/>
              <w:rPr>
                <w:szCs w:val="21"/>
              </w:rPr>
            </w:pPr>
            <w:r>
              <w:rPr>
                <w:rFonts w:hint="eastAsia"/>
                <w:szCs w:val="21"/>
              </w:rPr>
              <w:t>23.7</w:t>
            </w:r>
            <w:r>
              <w:rPr>
                <w:szCs w:val="21"/>
              </w:rPr>
              <w:t>%</w:t>
            </w:r>
          </w:p>
        </w:tc>
        <w:tc>
          <w:tcPr>
            <w:tcW w:w="1000" w:type="pct"/>
            <w:shd w:val="clear" w:color="auto" w:fill="auto"/>
            <w:vAlign w:val="center"/>
          </w:tcPr>
          <w:p w14:paraId="72A0A11A">
            <w:pPr>
              <w:jc w:val="center"/>
              <w:rPr>
                <w:szCs w:val="21"/>
              </w:rPr>
            </w:pPr>
            <w:r>
              <w:rPr>
                <w:rFonts w:hint="eastAsia"/>
                <w:szCs w:val="21"/>
              </w:rPr>
              <w:t>3.5</w:t>
            </w:r>
            <w:r>
              <w:rPr>
                <w:szCs w:val="21"/>
              </w:rPr>
              <w:t>%</w:t>
            </w:r>
          </w:p>
        </w:tc>
        <w:tc>
          <w:tcPr>
            <w:tcW w:w="1000" w:type="pct"/>
            <w:vAlign w:val="center"/>
          </w:tcPr>
          <w:p w14:paraId="6D3B2041">
            <w:pPr>
              <w:jc w:val="center"/>
              <w:rPr>
                <w:szCs w:val="21"/>
              </w:rPr>
            </w:pPr>
            <w:r>
              <w:rPr>
                <w:rFonts w:hint="eastAsia"/>
                <w:szCs w:val="21"/>
              </w:rPr>
              <w:t>0.3%</w:t>
            </w:r>
          </w:p>
        </w:tc>
      </w:tr>
    </w:tbl>
    <w:p w14:paraId="7EA7C9FE">
      <w:pPr>
        <w:framePr w:hSpace="180" w:wrap="around" w:vAnchor="text" w:hAnchor="text" w:xAlign="center" w:y="1"/>
        <w:suppressOverlap/>
        <w:spacing w:line="500" w:lineRule="exact"/>
        <w:ind w:firstLine="480" w:firstLineChars="200"/>
        <w:jc w:val="left"/>
        <w:rPr>
          <w:sz w:val="24"/>
        </w:rPr>
      </w:pPr>
      <w:r>
        <w:rPr>
          <w:rFonts w:hint="eastAsia"/>
          <w:sz w:val="24"/>
        </w:rPr>
        <w:t>根据设计提供的资料，昼间（16 小时）小时车流量占全日交通量的90%，夜间（8小时，指22：00～6：00时间段）的车流量占全日交通量的10%，高峰小时车流量占全日交通量的10%计算</w:t>
      </w:r>
      <w:r>
        <w:rPr>
          <w:sz w:val="24"/>
        </w:rPr>
        <w:t>。</w:t>
      </w:r>
    </w:p>
    <w:p w14:paraId="13625787">
      <w:pPr>
        <w:spacing w:line="360" w:lineRule="auto"/>
        <w:ind w:firstLine="480" w:firstLineChars="200"/>
        <w:rPr>
          <w:sz w:val="24"/>
        </w:rPr>
      </w:pPr>
      <w:r>
        <w:rPr>
          <w:sz w:val="24"/>
        </w:rPr>
        <w:t>由上述设计车流量、车型比例及车型换算系数，计算得到项目各预测年各类型车高峰小时、昼间平均及夜</w:t>
      </w:r>
      <w:r>
        <w:rPr>
          <w:rFonts w:hint="eastAsia"/>
          <w:sz w:val="24"/>
        </w:rPr>
        <w:t>间平均车流量见下表。</w:t>
      </w:r>
    </w:p>
    <w:p w14:paraId="64454B87">
      <w:pPr>
        <w:autoSpaceDE w:val="0"/>
        <w:autoSpaceDN w:val="0"/>
        <w:adjustRightInd w:val="0"/>
        <w:spacing w:before="120" w:beforeLines="50" w:line="360" w:lineRule="auto"/>
        <w:jc w:val="center"/>
        <w:rPr>
          <w:b/>
          <w:bCs/>
          <w:kern w:val="0"/>
          <w:szCs w:val="21"/>
        </w:rPr>
      </w:pPr>
      <w:r>
        <w:rPr>
          <w:b/>
          <w:bCs/>
          <w:kern w:val="0"/>
          <w:szCs w:val="21"/>
        </w:rPr>
        <w:t>表2.3-4  项目各车型的车流量预测结果一览表（辆/小时）</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884"/>
        <w:gridCol w:w="968"/>
        <w:gridCol w:w="936"/>
        <w:gridCol w:w="936"/>
        <w:gridCol w:w="977"/>
        <w:gridCol w:w="934"/>
        <w:gridCol w:w="936"/>
        <w:gridCol w:w="934"/>
        <w:gridCol w:w="934"/>
        <w:gridCol w:w="938"/>
      </w:tblGrid>
      <w:tr w14:paraId="463EF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pct"/>
            <w:vMerge w:val="restart"/>
            <w:tcBorders>
              <w:top w:val="single" w:color="auto" w:sz="18" w:space="0"/>
            </w:tcBorders>
            <w:shd w:val="clear" w:color="auto" w:fill="auto"/>
            <w:vAlign w:val="center"/>
          </w:tcPr>
          <w:p w14:paraId="196C7204">
            <w:pPr>
              <w:jc w:val="center"/>
              <w:rPr>
                <w:b/>
                <w:bCs/>
                <w:szCs w:val="21"/>
              </w:rPr>
            </w:pPr>
            <w:r>
              <w:rPr>
                <w:b/>
                <w:bCs/>
                <w:szCs w:val="21"/>
              </w:rPr>
              <w:t>路段</w:t>
            </w:r>
          </w:p>
        </w:tc>
        <w:tc>
          <w:tcPr>
            <w:tcW w:w="414" w:type="pct"/>
            <w:vMerge w:val="restart"/>
            <w:tcBorders>
              <w:top w:val="single" w:color="auto" w:sz="18" w:space="0"/>
            </w:tcBorders>
            <w:shd w:val="clear" w:color="auto" w:fill="auto"/>
            <w:vAlign w:val="center"/>
          </w:tcPr>
          <w:p w14:paraId="04FB44B6">
            <w:pPr>
              <w:jc w:val="center"/>
              <w:rPr>
                <w:b/>
                <w:bCs/>
                <w:szCs w:val="21"/>
              </w:rPr>
            </w:pPr>
            <w:r>
              <w:rPr>
                <w:b/>
                <w:bCs/>
                <w:szCs w:val="21"/>
              </w:rPr>
              <w:t>预测年</w:t>
            </w:r>
          </w:p>
        </w:tc>
        <w:tc>
          <w:tcPr>
            <w:tcW w:w="1329" w:type="pct"/>
            <w:gridSpan w:val="3"/>
            <w:tcBorders>
              <w:top w:val="single" w:color="auto" w:sz="18" w:space="0"/>
            </w:tcBorders>
            <w:shd w:val="clear" w:color="auto" w:fill="auto"/>
            <w:vAlign w:val="center"/>
          </w:tcPr>
          <w:p w14:paraId="08BC6696">
            <w:pPr>
              <w:jc w:val="center"/>
              <w:rPr>
                <w:b/>
                <w:bCs/>
                <w:szCs w:val="21"/>
              </w:rPr>
            </w:pPr>
            <w:r>
              <w:rPr>
                <w:b/>
                <w:bCs/>
                <w:szCs w:val="21"/>
              </w:rPr>
              <w:t>高峰时段</w:t>
            </w:r>
          </w:p>
        </w:tc>
        <w:tc>
          <w:tcPr>
            <w:tcW w:w="1332" w:type="pct"/>
            <w:gridSpan w:val="3"/>
            <w:tcBorders>
              <w:top w:val="single" w:color="auto" w:sz="18" w:space="0"/>
            </w:tcBorders>
            <w:shd w:val="clear" w:color="auto" w:fill="auto"/>
            <w:vAlign w:val="center"/>
          </w:tcPr>
          <w:p w14:paraId="06FD8D46">
            <w:pPr>
              <w:jc w:val="center"/>
              <w:rPr>
                <w:b/>
                <w:bCs/>
                <w:szCs w:val="21"/>
              </w:rPr>
            </w:pPr>
            <w:r>
              <w:rPr>
                <w:b/>
                <w:bCs/>
                <w:kern w:val="0"/>
                <w:szCs w:val="21"/>
              </w:rPr>
              <w:t>昼间平均</w:t>
            </w:r>
          </w:p>
        </w:tc>
        <w:tc>
          <w:tcPr>
            <w:tcW w:w="1313" w:type="pct"/>
            <w:gridSpan w:val="3"/>
            <w:tcBorders>
              <w:top w:val="single" w:color="auto" w:sz="18" w:space="0"/>
            </w:tcBorders>
            <w:shd w:val="clear" w:color="auto" w:fill="auto"/>
            <w:vAlign w:val="center"/>
          </w:tcPr>
          <w:p w14:paraId="18896845">
            <w:pPr>
              <w:jc w:val="center"/>
              <w:rPr>
                <w:b/>
                <w:bCs/>
                <w:szCs w:val="21"/>
              </w:rPr>
            </w:pPr>
            <w:r>
              <w:rPr>
                <w:b/>
                <w:bCs/>
                <w:kern w:val="0"/>
                <w:szCs w:val="21"/>
              </w:rPr>
              <w:t>夜间平均</w:t>
            </w:r>
          </w:p>
        </w:tc>
      </w:tr>
      <w:tr w14:paraId="218B8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pct"/>
            <w:vMerge w:val="continue"/>
            <w:shd w:val="clear" w:color="auto" w:fill="auto"/>
            <w:vAlign w:val="center"/>
          </w:tcPr>
          <w:p w14:paraId="2C525EE2">
            <w:pPr>
              <w:jc w:val="center"/>
              <w:rPr>
                <w:b/>
                <w:bCs/>
                <w:szCs w:val="21"/>
              </w:rPr>
            </w:pPr>
          </w:p>
        </w:tc>
        <w:tc>
          <w:tcPr>
            <w:tcW w:w="414" w:type="pct"/>
            <w:vMerge w:val="continue"/>
            <w:shd w:val="clear" w:color="auto" w:fill="auto"/>
            <w:vAlign w:val="center"/>
          </w:tcPr>
          <w:p w14:paraId="26870B81">
            <w:pPr>
              <w:jc w:val="center"/>
              <w:rPr>
                <w:b/>
                <w:bCs/>
                <w:szCs w:val="21"/>
              </w:rPr>
            </w:pPr>
          </w:p>
        </w:tc>
        <w:tc>
          <w:tcPr>
            <w:tcW w:w="453" w:type="pct"/>
            <w:shd w:val="clear" w:color="auto" w:fill="auto"/>
            <w:vAlign w:val="center"/>
          </w:tcPr>
          <w:p w14:paraId="5CEE1E08">
            <w:pPr>
              <w:jc w:val="center"/>
              <w:rPr>
                <w:b/>
                <w:bCs/>
                <w:kern w:val="0"/>
                <w:szCs w:val="21"/>
              </w:rPr>
            </w:pPr>
            <w:r>
              <w:rPr>
                <w:b/>
                <w:bCs/>
                <w:kern w:val="0"/>
                <w:szCs w:val="21"/>
              </w:rPr>
              <w:t>小型车</w:t>
            </w:r>
          </w:p>
        </w:tc>
        <w:tc>
          <w:tcPr>
            <w:tcW w:w="438" w:type="pct"/>
            <w:shd w:val="clear" w:color="auto" w:fill="auto"/>
            <w:vAlign w:val="center"/>
          </w:tcPr>
          <w:p w14:paraId="335F4933">
            <w:pPr>
              <w:jc w:val="center"/>
              <w:rPr>
                <w:b/>
                <w:bCs/>
                <w:kern w:val="0"/>
                <w:szCs w:val="21"/>
              </w:rPr>
            </w:pPr>
            <w:r>
              <w:rPr>
                <w:b/>
                <w:bCs/>
                <w:kern w:val="0"/>
                <w:szCs w:val="21"/>
              </w:rPr>
              <w:t>中型车</w:t>
            </w:r>
          </w:p>
        </w:tc>
        <w:tc>
          <w:tcPr>
            <w:tcW w:w="438" w:type="pct"/>
            <w:shd w:val="clear" w:color="auto" w:fill="auto"/>
            <w:vAlign w:val="center"/>
          </w:tcPr>
          <w:p w14:paraId="137E87B6">
            <w:pPr>
              <w:jc w:val="center"/>
              <w:rPr>
                <w:b/>
                <w:bCs/>
                <w:kern w:val="0"/>
                <w:szCs w:val="21"/>
              </w:rPr>
            </w:pPr>
            <w:r>
              <w:rPr>
                <w:b/>
                <w:bCs/>
                <w:kern w:val="0"/>
                <w:szCs w:val="21"/>
              </w:rPr>
              <w:t>大型车</w:t>
            </w:r>
          </w:p>
        </w:tc>
        <w:tc>
          <w:tcPr>
            <w:tcW w:w="457" w:type="pct"/>
            <w:shd w:val="clear" w:color="auto" w:fill="auto"/>
            <w:vAlign w:val="center"/>
          </w:tcPr>
          <w:p w14:paraId="3C501420">
            <w:pPr>
              <w:jc w:val="center"/>
              <w:rPr>
                <w:b/>
                <w:bCs/>
                <w:kern w:val="0"/>
                <w:szCs w:val="21"/>
              </w:rPr>
            </w:pPr>
            <w:r>
              <w:rPr>
                <w:b/>
                <w:bCs/>
                <w:kern w:val="0"/>
                <w:szCs w:val="21"/>
              </w:rPr>
              <w:t>小型车</w:t>
            </w:r>
          </w:p>
        </w:tc>
        <w:tc>
          <w:tcPr>
            <w:tcW w:w="437" w:type="pct"/>
            <w:shd w:val="clear" w:color="auto" w:fill="auto"/>
            <w:vAlign w:val="center"/>
          </w:tcPr>
          <w:p w14:paraId="61E456A9">
            <w:pPr>
              <w:jc w:val="center"/>
              <w:rPr>
                <w:b/>
                <w:bCs/>
                <w:kern w:val="0"/>
                <w:szCs w:val="21"/>
              </w:rPr>
            </w:pPr>
            <w:r>
              <w:rPr>
                <w:b/>
                <w:bCs/>
                <w:kern w:val="0"/>
                <w:szCs w:val="21"/>
              </w:rPr>
              <w:t>中型车</w:t>
            </w:r>
          </w:p>
        </w:tc>
        <w:tc>
          <w:tcPr>
            <w:tcW w:w="438" w:type="pct"/>
            <w:shd w:val="clear" w:color="auto" w:fill="auto"/>
            <w:vAlign w:val="center"/>
          </w:tcPr>
          <w:p w14:paraId="2EDA1226">
            <w:pPr>
              <w:jc w:val="center"/>
              <w:rPr>
                <w:b/>
                <w:bCs/>
                <w:kern w:val="0"/>
                <w:szCs w:val="21"/>
              </w:rPr>
            </w:pPr>
            <w:r>
              <w:rPr>
                <w:b/>
                <w:bCs/>
                <w:kern w:val="0"/>
                <w:szCs w:val="21"/>
              </w:rPr>
              <w:t>大型车</w:t>
            </w:r>
          </w:p>
        </w:tc>
        <w:tc>
          <w:tcPr>
            <w:tcW w:w="437" w:type="pct"/>
            <w:shd w:val="clear" w:color="auto" w:fill="auto"/>
            <w:vAlign w:val="center"/>
          </w:tcPr>
          <w:p w14:paraId="078393A2">
            <w:pPr>
              <w:jc w:val="center"/>
              <w:rPr>
                <w:b/>
                <w:bCs/>
                <w:kern w:val="0"/>
                <w:szCs w:val="21"/>
              </w:rPr>
            </w:pPr>
            <w:r>
              <w:rPr>
                <w:b/>
                <w:bCs/>
                <w:kern w:val="0"/>
                <w:szCs w:val="21"/>
              </w:rPr>
              <w:t>小型车</w:t>
            </w:r>
          </w:p>
        </w:tc>
        <w:tc>
          <w:tcPr>
            <w:tcW w:w="437" w:type="pct"/>
            <w:shd w:val="clear" w:color="auto" w:fill="auto"/>
            <w:vAlign w:val="center"/>
          </w:tcPr>
          <w:p w14:paraId="59A5CCD6">
            <w:pPr>
              <w:jc w:val="center"/>
              <w:rPr>
                <w:b/>
                <w:bCs/>
                <w:kern w:val="0"/>
                <w:szCs w:val="21"/>
              </w:rPr>
            </w:pPr>
            <w:r>
              <w:rPr>
                <w:b/>
                <w:bCs/>
                <w:kern w:val="0"/>
                <w:szCs w:val="21"/>
              </w:rPr>
              <w:t>中型车</w:t>
            </w:r>
          </w:p>
        </w:tc>
        <w:tc>
          <w:tcPr>
            <w:tcW w:w="439" w:type="pct"/>
            <w:shd w:val="clear" w:color="auto" w:fill="auto"/>
            <w:vAlign w:val="center"/>
          </w:tcPr>
          <w:p w14:paraId="07428D36">
            <w:pPr>
              <w:jc w:val="center"/>
              <w:rPr>
                <w:b/>
                <w:bCs/>
                <w:kern w:val="0"/>
                <w:szCs w:val="21"/>
              </w:rPr>
            </w:pPr>
            <w:r>
              <w:rPr>
                <w:b/>
                <w:bCs/>
                <w:kern w:val="0"/>
                <w:szCs w:val="21"/>
              </w:rPr>
              <w:t>大型车</w:t>
            </w:r>
          </w:p>
        </w:tc>
      </w:tr>
      <w:tr w14:paraId="32B94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pct"/>
            <w:vMerge w:val="restart"/>
            <w:shd w:val="clear" w:color="auto" w:fill="auto"/>
            <w:vAlign w:val="center"/>
          </w:tcPr>
          <w:p w14:paraId="32B01E4F">
            <w:pPr>
              <w:jc w:val="center"/>
              <w:rPr>
                <w:szCs w:val="21"/>
              </w:rPr>
            </w:pPr>
            <w:r>
              <w:rPr>
                <w:rFonts w:hint="eastAsia"/>
                <w:szCs w:val="21"/>
              </w:rPr>
              <w:t>体育大道东延段</w:t>
            </w:r>
          </w:p>
        </w:tc>
        <w:tc>
          <w:tcPr>
            <w:tcW w:w="414" w:type="pct"/>
            <w:shd w:val="clear" w:color="auto" w:fill="auto"/>
            <w:vAlign w:val="center"/>
          </w:tcPr>
          <w:p w14:paraId="57E45F2A">
            <w:pPr>
              <w:jc w:val="center"/>
              <w:rPr>
                <w:szCs w:val="21"/>
              </w:rPr>
            </w:pPr>
            <w:r>
              <w:rPr>
                <w:rFonts w:hint="eastAsia"/>
                <w:szCs w:val="21"/>
              </w:rPr>
              <w:t>2026</w:t>
            </w:r>
          </w:p>
        </w:tc>
        <w:tc>
          <w:tcPr>
            <w:tcW w:w="453" w:type="pct"/>
            <w:shd w:val="clear" w:color="auto" w:fill="auto"/>
            <w:vAlign w:val="center"/>
          </w:tcPr>
          <w:p w14:paraId="6F1868E2">
            <w:pPr>
              <w:jc w:val="center"/>
              <w:rPr>
                <w:szCs w:val="21"/>
              </w:rPr>
            </w:pPr>
            <w:r>
              <w:rPr>
                <w:rFonts w:eastAsia="等线"/>
                <w:szCs w:val="21"/>
              </w:rPr>
              <w:t>1736</w:t>
            </w:r>
          </w:p>
        </w:tc>
        <w:tc>
          <w:tcPr>
            <w:tcW w:w="438" w:type="pct"/>
            <w:shd w:val="clear" w:color="auto" w:fill="auto"/>
            <w:vAlign w:val="center"/>
          </w:tcPr>
          <w:p w14:paraId="1155BECF">
            <w:pPr>
              <w:jc w:val="center"/>
              <w:rPr>
                <w:szCs w:val="21"/>
              </w:rPr>
            </w:pPr>
            <w:r>
              <w:rPr>
                <w:rFonts w:eastAsia="等线"/>
                <w:szCs w:val="21"/>
              </w:rPr>
              <w:t>568</w:t>
            </w:r>
          </w:p>
        </w:tc>
        <w:tc>
          <w:tcPr>
            <w:tcW w:w="438" w:type="pct"/>
            <w:shd w:val="clear" w:color="auto" w:fill="auto"/>
            <w:vAlign w:val="center"/>
          </w:tcPr>
          <w:p w14:paraId="5783B359">
            <w:pPr>
              <w:jc w:val="center"/>
              <w:rPr>
                <w:szCs w:val="21"/>
              </w:rPr>
            </w:pPr>
            <w:r>
              <w:rPr>
                <w:rFonts w:eastAsia="等线"/>
                <w:szCs w:val="21"/>
              </w:rPr>
              <w:t>91</w:t>
            </w:r>
          </w:p>
        </w:tc>
        <w:tc>
          <w:tcPr>
            <w:tcW w:w="457" w:type="pct"/>
            <w:shd w:val="clear" w:color="auto" w:fill="auto"/>
            <w:vAlign w:val="center"/>
          </w:tcPr>
          <w:p w14:paraId="0BDC2192">
            <w:pPr>
              <w:jc w:val="center"/>
              <w:rPr>
                <w:szCs w:val="21"/>
              </w:rPr>
            </w:pPr>
            <w:r>
              <w:rPr>
                <w:rFonts w:eastAsia="等线"/>
                <w:szCs w:val="21"/>
              </w:rPr>
              <w:t>977</w:t>
            </w:r>
          </w:p>
        </w:tc>
        <w:tc>
          <w:tcPr>
            <w:tcW w:w="437" w:type="pct"/>
            <w:shd w:val="clear" w:color="auto" w:fill="auto"/>
            <w:vAlign w:val="center"/>
          </w:tcPr>
          <w:p w14:paraId="16259541">
            <w:pPr>
              <w:jc w:val="center"/>
              <w:rPr>
                <w:szCs w:val="21"/>
              </w:rPr>
            </w:pPr>
            <w:r>
              <w:rPr>
                <w:rFonts w:eastAsia="等线"/>
                <w:szCs w:val="21"/>
              </w:rPr>
              <w:t>319</w:t>
            </w:r>
          </w:p>
        </w:tc>
        <w:tc>
          <w:tcPr>
            <w:tcW w:w="438" w:type="pct"/>
            <w:shd w:val="clear" w:color="auto" w:fill="auto"/>
            <w:vAlign w:val="center"/>
          </w:tcPr>
          <w:p w14:paraId="2BFF5E3F">
            <w:pPr>
              <w:jc w:val="center"/>
              <w:rPr>
                <w:szCs w:val="21"/>
              </w:rPr>
            </w:pPr>
            <w:r>
              <w:rPr>
                <w:rFonts w:eastAsia="等线"/>
                <w:szCs w:val="21"/>
              </w:rPr>
              <w:t>51</w:t>
            </w:r>
          </w:p>
        </w:tc>
        <w:tc>
          <w:tcPr>
            <w:tcW w:w="437" w:type="pct"/>
            <w:shd w:val="clear" w:color="auto" w:fill="auto"/>
            <w:vAlign w:val="center"/>
          </w:tcPr>
          <w:p w14:paraId="7184F4AE">
            <w:pPr>
              <w:jc w:val="center"/>
              <w:rPr>
                <w:szCs w:val="21"/>
              </w:rPr>
            </w:pPr>
            <w:r>
              <w:rPr>
                <w:rFonts w:eastAsia="等线"/>
                <w:szCs w:val="21"/>
              </w:rPr>
              <w:t>217</w:t>
            </w:r>
          </w:p>
        </w:tc>
        <w:tc>
          <w:tcPr>
            <w:tcW w:w="437" w:type="pct"/>
            <w:shd w:val="clear" w:color="auto" w:fill="auto"/>
            <w:vAlign w:val="center"/>
          </w:tcPr>
          <w:p w14:paraId="73642A72">
            <w:pPr>
              <w:jc w:val="center"/>
              <w:rPr>
                <w:szCs w:val="21"/>
              </w:rPr>
            </w:pPr>
            <w:r>
              <w:rPr>
                <w:rFonts w:eastAsia="等线"/>
                <w:szCs w:val="21"/>
              </w:rPr>
              <w:t>71</w:t>
            </w:r>
          </w:p>
        </w:tc>
        <w:tc>
          <w:tcPr>
            <w:tcW w:w="439" w:type="pct"/>
            <w:shd w:val="clear" w:color="auto" w:fill="auto"/>
            <w:vAlign w:val="center"/>
          </w:tcPr>
          <w:p w14:paraId="71327B22">
            <w:pPr>
              <w:jc w:val="center"/>
              <w:rPr>
                <w:szCs w:val="21"/>
              </w:rPr>
            </w:pPr>
            <w:r>
              <w:rPr>
                <w:rFonts w:eastAsia="等线"/>
                <w:szCs w:val="21"/>
              </w:rPr>
              <w:t>11</w:t>
            </w:r>
          </w:p>
        </w:tc>
      </w:tr>
      <w:tr w14:paraId="4BE74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pct"/>
            <w:vMerge w:val="continue"/>
            <w:shd w:val="clear" w:color="auto" w:fill="auto"/>
            <w:vAlign w:val="center"/>
          </w:tcPr>
          <w:p w14:paraId="4005C594">
            <w:pPr>
              <w:jc w:val="center"/>
              <w:rPr>
                <w:szCs w:val="21"/>
              </w:rPr>
            </w:pPr>
          </w:p>
        </w:tc>
        <w:tc>
          <w:tcPr>
            <w:tcW w:w="414" w:type="pct"/>
            <w:shd w:val="clear" w:color="auto" w:fill="auto"/>
            <w:vAlign w:val="center"/>
          </w:tcPr>
          <w:p w14:paraId="20A0CC31">
            <w:pPr>
              <w:jc w:val="center"/>
              <w:rPr>
                <w:szCs w:val="21"/>
              </w:rPr>
            </w:pPr>
            <w:r>
              <w:rPr>
                <w:rFonts w:hint="eastAsia"/>
                <w:szCs w:val="21"/>
              </w:rPr>
              <w:t>2032</w:t>
            </w:r>
          </w:p>
        </w:tc>
        <w:tc>
          <w:tcPr>
            <w:tcW w:w="453" w:type="pct"/>
            <w:shd w:val="clear" w:color="auto" w:fill="auto"/>
            <w:vAlign w:val="center"/>
          </w:tcPr>
          <w:p w14:paraId="3949471A">
            <w:pPr>
              <w:jc w:val="center"/>
              <w:rPr>
                <w:szCs w:val="21"/>
              </w:rPr>
            </w:pPr>
            <w:r>
              <w:rPr>
                <w:rFonts w:eastAsia="等线"/>
                <w:szCs w:val="21"/>
              </w:rPr>
              <w:t>2472</w:t>
            </w:r>
          </w:p>
        </w:tc>
        <w:tc>
          <w:tcPr>
            <w:tcW w:w="438" w:type="pct"/>
            <w:shd w:val="clear" w:color="auto" w:fill="auto"/>
            <w:vAlign w:val="center"/>
          </w:tcPr>
          <w:p w14:paraId="7768FF59">
            <w:pPr>
              <w:jc w:val="center"/>
              <w:rPr>
                <w:szCs w:val="21"/>
              </w:rPr>
            </w:pPr>
            <w:r>
              <w:rPr>
                <w:rFonts w:eastAsia="等线"/>
                <w:szCs w:val="21"/>
              </w:rPr>
              <w:t>808</w:t>
            </w:r>
          </w:p>
        </w:tc>
        <w:tc>
          <w:tcPr>
            <w:tcW w:w="438" w:type="pct"/>
            <w:shd w:val="clear" w:color="auto" w:fill="auto"/>
            <w:vAlign w:val="center"/>
          </w:tcPr>
          <w:p w14:paraId="0DBAF56D">
            <w:pPr>
              <w:jc w:val="center"/>
              <w:rPr>
                <w:szCs w:val="21"/>
              </w:rPr>
            </w:pPr>
            <w:r>
              <w:rPr>
                <w:rFonts w:eastAsia="等线"/>
                <w:szCs w:val="21"/>
              </w:rPr>
              <w:t>130</w:t>
            </w:r>
          </w:p>
        </w:tc>
        <w:tc>
          <w:tcPr>
            <w:tcW w:w="457" w:type="pct"/>
            <w:shd w:val="clear" w:color="auto" w:fill="auto"/>
            <w:vAlign w:val="center"/>
          </w:tcPr>
          <w:p w14:paraId="05A7FDB2">
            <w:pPr>
              <w:jc w:val="center"/>
              <w:rPr>
                <w:szCs w:val="21"/>
              </w:rPr>
            </w:pPr>
            <w:r>
              <w:rPr>
                <w:rFonts w:eastAsia="等线"/>
                <w:szCs w:val="21"/>
              </w:rPr>
              <w:t>1390</w:t>
            </w:r>
          </w:p>
        </w:tc>
        <w:tc>
          <w:tcPr>
            <w:tcW w:w="437" w:type="pct"/>
            <w:shd w:val="clear" w:color="auto" w:fill="auto"/>
            <w:vAlign w:val="center"/>
          </w:tcPr>
          <w:p w14:paraId="302D8D2C">
            <w:pPr>
              <w:jc w:val="center"/>
              <w:rPr>
                <w:szCs w:val="21"/>
              </w:rPr>
            </w:pPr>
            <w:r>
              <w:rPr>
                <w:rFonts w:eastAsia="等线"/>
                <w:szCs w:val="21"/>
              </w:rPr>
              <w:t>455</w:t>
            </w:r>
          </w:p>
        </w:tc>
        <w:tc>
          <w:tcPr>
            <w:tcW w:w="438" w:type="pct"/>
            <w:shd w:val="clear" w:color="auto" w:fill="auto"/>
            <w:vAlign w:val="center"/>
          </w:tcPr>
          <w:p w14:paraId="66031E03">
            <w:pPr>
              <w:jc w:val="center"/>
              <w:rPr>
                <w:szCs w:val="21"/>
              </w:rPr>
            </w:pPr>
            <w:r>
              <w:rPr>
                <w:rFonts w:eastAsia="等线"/>
                <w:szCs w:val="21"/>
              </w:rPr>
              <w:t>73</w:t>
            </w:r>
          </w:p>
        </w:tc>
        <w:tc>
          <w:tcPr>
            <w:tcW w:w="437" w:type="pct"/>
            <w:shd w:val="clear" w:color="auto" w:fill="auto"/>
            <w:vAlign w:val="center"/>
          </w:tcPr>
          <w:p w14:paraId="2E184220">
            <w:pPr>
              <w:jc w:val="center"/>
              <w:rPr>
                <w:szCs w:val="21"/>
              </w:rPr>
            </w:pPr>
            <w:r>
              <w:rPr>
                <w:rFonts w:eastAsia="等线"/>
                <w:szCs w:val="21"/>
              </w:rPr>
              <w:t>309</w:t>
            </w:r>
          </w:p>
        </w:tc>
        <w:tc>
          <w:tcPr>
            <w:tcW w:w="437" w:type="pct"/>
            <w:shd w:val="clear" w:color="auto" w:fill="auto"/>
            <w:vAlign w:val="center"/>
          </w:tcPr>
          <w:p w14:paraId="5C3D67C6">
            <w:pPr>
              <w:jc w:val="center"/>
              <w:rPr>
                <w:szCs w:val="21"/>
              </w:rPr>
            </w:pPr>
            <w:r>
              <w:rPr>
                <w:rFonts w:eastAsia="等线"/>
                <w:szCs w:val="21"/>
              </w:rPr>
              <w:t>101</w:t>
            </w:r>
          </w:p>
        </w:tc>
        <w:tc>
          <w:tcPr>
            <w:tcW w:w="439" w:type="pct"/>
            <w:shd w:val="clear" w:color="auto" w:fill="auto"/>
            <w:vAlign w:val="center"/>
          </w:tcPr>
          <w:p w14:paraId="27E446F4">
            <w:pPr>
              <w:jc w:val="center"/>
              <w:rPr>
                <w:szCs w:val="21"/>
              </w:rPr>
            </w:pPr>
            <w:r>
              <w:rPr>
                <w:rFonts w:eastAsia="等线"/>
                <w:szCs w:val="21"/>
              </w:rPr>
              <w:t>16</w:t>
            </w:r>
          </w:p>
        </w:tc>
      </w:tr>
      <w:tr w14:paraId="0F32F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pct"/>
            <w:vMerge w:val="continue"/>
            <w:tcBorders>
              <w:bottom w:val="single" w:color="auto" w:sz="18" w:space="0"/>
            </w:tcBorders>
            <w:shd w:val="clear" w:color="auto" w:fill="auto"/>
            <w:vAlign w:val="center"/>
          </w:tcPr>
          <w:p w14:paraId="3C7A6B61">
            <w:pPr>
              <w:jc w:val="center"/>
              <w:rPr>
                <w:szCs w:val="21"/>
              </w:rPr>
            </w:pPr>
          </w:p>
        </w:tc>
        <w:tc>
          <w:tcPr>
            <w:tcW w:w="414" w:type="pct"/>
            <w:tcBorders>
              <w:bottom w:val="single" w:color="auto" w:sz="18" w:space="0"/>
            </w:tcBorders>
            <w:shd w:val="clear" w:color="auto" w:fill="auto"/>
            <w:vAlign w:val="center"/>
          </w:tcPr>
          <w:p w14:paraId="39A4CBBB">
            <w:pPr>
              <w:jc w:val="center"/>
              <w:rPr>
                <w:szCs w:val="21"/>
              </w:rPr>
            </w:pPr>
            <w:r>
              <w:rPr>
                <w:rFonts w:hint="eastAsia"/>
                <w:szCs w:val="21"/>
              </w:rPr>
              <w:t>2040</w:t>
            </w:r>
          </w:p>
        </w:tc>
        <w:tc>
          <w:tcPr>
            <w:tcW w:w="453" w:type="pct"/>
            <w:tcBorders>
              <w:bottom w:val="single" w:color="auto" w:sz="18" w:space="0"/>
            </w:tcBorders>
            <w:shd w:val="clear" w:color="auto" w:fill="auto"/>
            <w:vAlign w:val="center"/>
          </w:tcPr>
          <w:p w14:paraId="3AB2F8A8">
            <w:pPr>
              <w:jc w:val="center"/>
              <w:rPr>
                <w:szCs w:val="21"/>
              </w:rPr>
            </w:pPr>
            <w:r>
              <w:rPr>
                <w:rFonts w:eastAsia="等线"/>
                <w:szCs w:val="21"/>
              </w:rPr>
              <w:t xml:space="preserve">3735 </w:t>
            </w:r>
          </w:p>
        </w:tc>
        <w:tc>
          <w:tcPr>
            <w:tcW w:w="438" w:type="pct"/>
            <w:tcBorders>
              <w:bottom w:val="single" w:color="auto" w:sz="18" w:space="0"/>
            </w:tcBorders>
            <w:shd w:val="clear" w:color="auto" w:fill="auto"/>
            <w:vAlign w:val="center"/>
          </w:tcPr>
          <w:p w14:paraId="5D615C4C">
            <w:pPr>
              <w:jc w:val="center"/>
              <w:rPr>
                <w:szCs w:val="21"/>
              </w:rPr>
            </w:pPr>
            <w:r>
              <w:rPr>
                <w:rFonts w:eastAsia="等线"/>
                <w:szCs w:val="21"/>
              </w:rPr>
              <w:t xml:space="preserve">1221 </w:t>
            </w:r>
          </w:p>
        </w:tc>
        <w:tc>
          <w:tcPr>
            <w:tcW w:w="438" w:type="pct"/>
            <w:tcBorders>
              <w:bottom w:val="single" w:color="auto" w:sz="18" w:space="0"/>
            </w:tcBorders>
            <w:shd w:val="clear" w:color="auto" w:fill="auto"/>
            <w:vAlign w:val="center"/>
          </w:tcPr>
          <w:p w14:paraId="698BA409">
            <w:pPr>
              <w:jc w:val="center"/>
              <w:rPr>
                <w:szCs w:val="21"/>
              </w:rPr>
            </w:pPr>
            <w:r>
              <w:rPr>
                <w:rFonts w:eastAsia="等线"/>
                <w:szCs w:val="21"/>
              </w:rPr>
              <w:t xml:space="preserve">196 </w:t>
            </w:r>
          </w:p>
        </w:tc>
        <w:tc>
          <w:tcPr>
            <w:tcW w:w="457" w:type="pct"/>
            <w:tcBorders>
              <w:bottom w:val="single" w:color="auto" w:sz="18" w:space="0"/>
            </w:tcBorders>
            <w:shd w:val="clear" w:color="auto" w:fill="auto"/>
            <w:vAlign w:val="center"/>
          </w:tcPr>
          <w:p w14:paraId="6711CF95">
            <w:pPr>
              <w:jc w:val="center"/>
              <w:rPr>
                <w:szCs w:val="21"/>
              </w:rPr>
            </w:pPr>
            <w:r>
              <w:rPr>
                <w:rFonts w:eastAsia="等线"/>
                <w:szCs w:val="21"/>
              </w:rPr>
              <w:t xml:space="preserve">2101 </w:t>
            </w:r>
          </w:p>
        </w:tc>
        <w:tc>
          <w:tcPr>
            <w:tcW w:w="437" w:type="pct"/>
            <w:tcBorders>
              <w:bottom w:val="single" w:color="auto" w:sz="18" w:space="0"/>
            </w:tcBorders>
            <w:shd w:val="clear" w:color="auto" w:fill="auto"/>
            <w:vAlign w:val="center"/>
          </w:tcPr>
          <w:p w14:paraId="07DD2579">
            <w:pPr>
              <w:jc w:val="center"/>
              <w:rPr>
                <w:szCs w:val="21"/>
              </w:rPr>
            </w:pPr>
            <w:r>
              <w:rPr>
                <w:rFonts w:eastAsia="等线"/>
                <w:szCs w:val="21"/>
              </w:rPr>
              <w:t xml:space="preserve">687 </w:t>
            </w:r>
          </w:p>
        </w:tc>
        <w:tc>
          <w:tcPr>
            <w:tcW w:w="438" w:type="pct"/>
            <w:tcBorders>
              <w:bottom w:val="single" w:color="auto" w:sz="18" w:space="0"/>
            </w:tcBorders>
            <w:shd w:val="clear" w:color="auto" w:fill="auto"/>
            <w:vAlign w:val="center"/>
          </w:tcPr>
          <w:p w14:paraId="50FBCA60">
            <w:pPr>
              <w:jc w:val="center"/>
              <w:rPr>
                <w:szCs w:val="21"/>
              </w:rPr>
            </w:pPr>
            <w:r>
              <w:rPr>
                <w:rFonts w:eastAsia="等线"/>
                <w:szCs w:val="21"/>
              </w:rPr>
              <w:t xml:space="preserve">110 </w:t>
            </w:r>
          </w:p>
        </w:tc>
        <w:tc>
          <w:tcPr>
            <w:tcW w:w="437" w:type="pct"/>
            <w:tcBorders>
              <w:bottom w:val="single" w:color="auto" w:sz="18" w:space="0"/>
            </w:tcBorders>
            <w:shd w:val="clear" w:color="auto" w:fill="auto"/>
            <w:vAlign w:val="center"/>
          </w:tcPr>
          <w:p w14:paraId="71900539">
            <w:pPr>
              <w:jc w:val="center"/>
              <w:rPr>
                <w:szCs w:val="21"/>
              </w:rPr>
            </w:pPr>
            <w:r>
              <w:rPr>
                <w:rFonts w:eastAsia="等线"/>
                <w:szCs w:val="21"/>
              </w:rPr>
              <w:t xml:space="preserve">467 </w:t>
            </w:r>
          </w:p>
        </w:tc>
        <w:tc>
          <w:tcPr>
            <w:tcW w:w="437" w:type="pct"/>
            <w:tcBorders>
              <w:bottom w:val="single" w:color="auto" w:sz="18" w:space="0"/>
            </w:tcBorders>
            <w:shd w:val="clear" w:color="auto" w:fill="auto"/>
            <w:vAlign w:val="center"/>
          </w:tcPr>
          <w:p w14:paraId="2AFD171E">
            <w:pPr>
              <w:jc w:val="center"/>
              <w:rPr>
                <w:szCs w:val="21"/>
              </w:rPr>
            </w:pPr>
            <w:r>
              <w:rPr>
                <w:rFonts w:eastAsia="等线"/>
                <w:szCs w:val="21"/>
              </w:rPr>
              <w:t xml:space="preserve">153 </w:t>
            </w:r>
          </w:p>
        </w:tc>
        <w:tc>
          <w:tcPr>
            <w:tcW w:w="439" w:type="pct"/>
            <w:tcBorders>
              <w:bottom w:val="single" w:color="auto" w:sz="18" w:space="0"/>
            </w:tcBorders>
            <w:shd w:val="clear" w:color="auto" w:fill="auto"/>
            <w:vAlign w:val="center"/>
          </w:tcPr>
          <w:p w14:paraId="7AB766A8">
            <w:pPr>
              <w:jc w:val="center"/>
              <w:rPr>
                <w:szCs w:val="21"/>
              </w:rPr>
            </w:pPr>
            <w:r>
              <w:rPr>
                <w:rFonts w:eastAsia="等线"/>
                <w:szCs w:val="21"/>
              </w:rPr>
              <w:t xml:space="preserve">24 </w:t>
            </w:r>
          </w:p>
        </w:tc>
      </w:tr>
    </w:tbl>
    <w:p w14:paraId="0957D5A8">
      <w:pPr>
        <w:autoSpaceDE w:val="0"/>
        <w:autoSpaceDN w:val="0"/>
        <w:adjustRightInd w:val="0"/>
        <w:spacing w:before="120" w:beforeLines="50" w:line="360" w:lineRule="auto"/>
        <w:jc w:val="center"/>
        <w:rPr>
          <w:b/>
          <w:bCs/>
          <w:kern w:val="0"/>
          <w:szCs w:val="21"/>
        </w:rPr>
      </w:pPr>
    </w:p>
    <w:p w14:paraId="01B482D6">
      <w:pPr>
        <w:widowControl/>
        <w:spacing w:line="360" w:lineRule="auto"/>
        <w:ind w:firstLine="482" w:firstLineChars="200"/>
        <w:rPr>
          <w:b/>
          <w:bCs/>
          <w:sz w:val="24"/>
        </w:rPr>
      </w:pPr>
      <w:r>
        <w:rPr>
          <w:b/>
          <w:bCs/>
          <w:sz w:val="24"/>
        </w:rPr>
        <w:t>2.4施工期噪声污染源分析</w:t>
      </w:r>
    </w:p>
    <w:p w14:paraId="13B6455A">
      <w:pPr>
        <w:autoSpaceDE w:val="0"/>
        <w:autoSpaceDN w:val="0"/>
        <w:adjustRightInd w:val="0"/>
        <w:spacing w:line="500" w:lineRule="exact"/>
        <w:ind w:firstLine="480" w:firstLineChars="200"/>
        <w:rPr>
          <w:sz w:val="24"/>
          <w:lang w:bidi="ar"/>
        </w:rPr>
      </w:pPr>
      <w:r>
        <w:rPr>
          <w:rFonts w:hint="eastAsia"/>
          <w:sz w:val="24"/>
          <w:lang w:bidi="ar"/>
        </w:rPr>
        <w:t>道路建设施工阶段的主要噪声来自施工过程中施工机械和运输车辆辐射的噪声，具有高噪声、无规律的特点，它对外环境的影响是暂时的，随施工期结束而消失。</w:t>
      </w:r>
    </w:p>
    <w:p w14:paraId="60F4F194">
      <w:pPr>
        <w:autoSpaceDE w:val="0"/>
        <w:autoSpaceDN w:val="0"/>
        <w:adjustRightInd w:val="0"/>
        <w:spacing w:line="500" w:lineRule="exact"/>
        <w:ind w:firstLine="480" w:firstLineChars="200"/>
        <w:rPr>
          <w:sz w:val="24"/>
          <w:lang w:bidi="ar"/>
        </w:rPr>
      </w:pPr>
      <w:r>
        <w:rPr>
          <w:rFonts w:hint="eastAsia"/>
          <w:sz w:val="24"/>
          <w:lang w:bidi="ar"/>
        </w:rPr>
        <w:t>施工期噪声影响主要是施工现场施工机械噪声、运输车辆噪声对附近居民的影响。本项目道路施工期的噪声源大致可区分以下几类：</w:t>
      </w:r>
    </w:p>
    <w:p w14:paraId="71237A2C">
      <w:pPr>
        <w:autoSpaceDE w:val="0"/>
        <w:autoSpaceDN w:val="0"/>
        <w:adjustRightInd w:val="0"/>
        <w:spacing w:line="500" w:lineRule="exact"/>
        <w:ind w:firstLine="480" w:firstLineChars="200"/>
        <w:rPr>
          <w:sz w:val="24"/>
          <w:lang w:bidi="ar"/>
        </w:rPr>
      </w:pPr>
      <w:r>
        <w:rPr>
          <w:rFonts w:hint="eastAsia"/>
          <w:sz w:val="24"/>
          <w:lang w:bidi="ar"/>
        </w:rPr>
        <w:t>（1）路基施工阶段的噪声主要来自挖掘机、装载机、推土机以及压路机等这些机械产生的噪声都会对周围环境产生影响。</w:t>
      </w:r>
    </w:p>
    <w:p w14:paraId="50D119B2">
      <w:pPr>
        <w:autoSpaceDE w:val="0"/>
        <w:autoSpaceDN w:val="0"/>
        <w:adjustRightInd w:val="0"/>
        <w:spacing w:line="500" w:lineRule="exact"/>
        <w:ind w:firstLine="480" w:firstLineChars="200"/>
        <w:rPr>
          <w:sz w:val="24"/>
          <w:lang w:bidi="ar"/>
        </w:rPr>
      </w:pPr>
      <w:r>
        <w:rPr>
          <w:rFonts w:hint="eastAsia"/>
          <w:sz w:val="24"/>
          <w:lang w:bidi="ar"/>
        </w:rPr>
        <w:t>（2）路面施工阶段的噪声主要来自推土机、平地机、摊铺机等机械工作时产生的噪声。</w:t>
      </w:r>
    </w:p>
    <w:p w14:paraId="797BB890">
      <w:pPr>
        <w:autoSpaceDE w:val="0"/>
        <w:autoSpaceDN w:val="0"/>
        <w:adjustRightInd w:val="0"/>
        <w:spacing w:line="500" w:lineRule="exact"/>
        <w:ind w:firstLine="480" w:firstLineChars="200"/>
        <w:rPr>
          <w:sz w:val="24"/>
          <w:lang w:bidi="ar"/>
        </w:rPr>
      </w:pPr>
      <w:r>
        <w:rPr>
          <w:rFonts w:hint="eastAsia"/>
          <w:sz w:val="24"/>
          <w:lang w:bidi="ar"/>
        </w:rPr>
        <w:t>（3）施工生产生活区中的噪声主要来自材料切割及运输车辆产生的噪声。</w:t>
      </w:r>
    </w:p>
    <w:p w14:paraId="5356077E">
      <w:pPr>
        <w:autoSpaceDE w:val="0"/>
        <w:autoSpaceDN w:val="0"/>
        <w:adjustRightInd w:val="0"/>
        <w:spacing w:line="500" w:lineRule="exact"/>
        <w:ind w:firstLine="480" w:firstLineChars="200"/>
        <w:rPr>
          <w:sz w:val="24"/>
          <w:lang w:bidi="ar"/>
        </w:rPr>
      </w:pPr>
      <w:r>
        <w:rPr>
          <w:rFonts w:hint="eastAsia"/>
          <w:sz w:val="24"/>
          <w:lang w:bidi="ar"/>
        </w:rPr>
        <w:t>本项目施工机械噪声源强参考《环境噪声与振动控制工程技术导则》(HJ2034-2013)、《低噪声施工设备指导名录(第一批)》、《环境影响评价技术导则 公路建设项目》(HJ1358-2024)附录D以及其他同类项目设备声源调查确定噪声源强。本项目噪声污染源强分析见下表。</w:t>
      </w:r>
    </w:p>
    <w:p w14:paraId="615D2084">
      <w:pPr>
        <w:autoSpaceDE w:val="0"/>
        <w:autoSpaceDN w:val="0"/>
        <w:adjustRightInd w:val="0"/>
        <w:spacing w:line="500" w:lineRule="exact"/>
        <w:ind w:firstLine="480" w:firstLineChars="200"/>
        <w:rPr>
          <w:sz w:val="24"/>
          <w:lang w:bidi="ar"/>
        </w:rPr>
      </w:pPr>
    </w:p>
    <w:p w14:paraId="32E1AFAA">
      <w:pPr>
        <w:autoSpaceDE w:val="0"/>
        <w:autoSpaceDN w:val="0"/>
        <w:adjustRightInd w:val="0"/>
        <w:spacing w:line="500" w:lineRule="exact"/>
        <w:ind w:firstLine="480" w:firstLineChars="200"/>
        <w:rPr>
          <w:sz w:val="24"/>
          <w:lang w:bidi="ar"/>
        </w:rPr>
      </w:pPr>
    </w:p>
    <w:p w14:paraId="33CF4401">
      <w:pPr>
        <w:autoSpaceDE w:val="0"/>
        <w:autoSpaceDN w:val="0"/>
        <w:adjustRightInd w:val="0"/>
        <w:spacing w:before="120" w:beforeLines="50" w:line="360" w:lineRule="auto"/>
        <w:jc w:val="center"/>
        <w:rPr>
          <w:b/>
          <w:bCs/>
          <w:kern w:val="0"/>
          <w:szCs w:val="21"/>
        </w:rPr>
      </w:pPr>
      <w:r>
        <w:rPr>
          <w:rFonts w:hint="eastAsia"/>
          <w:b/>
          <w:bCs/>
          <w:kern w:val="0"/>
          <w:szCs w:val="21"/>
        </w:rPr>
        <w:t>表</w:t>
      </w:r>
      <w:r>
        <w:rPr>
          <w:b/>
          <w:bCs/>
          <w:kern w:val="0"/>
          <w:szCs w:val="21"/>
        </w:rPr>
        <w:t>2.4-1不同施工阶段采用的施工机械</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8"/>
        <w:gridCol w:w="1883"/>
        <w:gridCol w:w="1737"/>
        <w:gridCol w:w="5184"/>
      </w:tblGrid>
      <w:tr w14:paraId="1BE7D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pct"/>
            <w:gridSpan w:val="2"/>
            <w:tcBorders>
              <w:top w:val="single" w:color="auto" w:sz="18" w:space="0"/>
            </w:tcBorders>
            <w:shd w:val="clear" w:color="auto" w:fill="auto"/>
            <w:vAlign w:val="center"/>
          </w:tcPr>
          <w:p w14:paraId="0EE9E15E">
            <w:pPr>
              <w:jc w:val="center"/>
              <w:rPr>
                <w:b/>
                <w:bCs/>
                <w:kern w:val="0"/>
                <w:szCs w:val="21"/>
              </w:rPr>
            </w:pPr>
            <w:r>
              <w:rPr>
                <w:b/>
                <w:bCs/>
                <w:kern w:val="0"/>
                <w:szCs w:val="21"/>
              </w:rPr>
              <w:t>施工阶段</w:t>
            </w:r>
          </w:p>
        </w:tc>
        <w:tc>
          <w:tcPr>
            <w:tcW w:w="813" w:type="pct"/>
            <w:tcBorders>
              <w:top w:val="single" w:color="auto" w:sz="18" w:space="0"/>
            </w:tcBorders>
            <w:shd w:val="clear" w:color="auto" w:fill="auto"/>
            <w:vAlign w:val="center"/>
          </w:tcPr>
          <w:p w14:paraId="58802334">
            <w:pPr>
              <w:jc w:val="center"/>
              <w:rPr>
                <w:b/>
                <w:bCs/>
                <w:kern w:val="0"/>
                <w:szCs w:val="21"/>
              </w:rPr>
            </w:pPr>
            <w:r>
              <w:rPr>
                <w:b/>
                <w:bCs/>
                <w:kern w:val="0"/>
                <w:szCs w:val="21"/>
              </w:rPr>
              <w:t>主要路段</w:t>
            </w:r>
          </w:p>
        </w:tc>
        <w:tc>
          <w:tcPr>
            <w:tcW w:w="2426" w:type="pct"/>
            <w:tcBorders>
              <w:top w:val="single" w:color="auto" w:sz="18" w:space="0"/>
            </w:tcBorders>
            <w:shd w:val="clear" w:color="auto" w:fill="auto"/>
            <w:vAlign w:val="center"/>
          </w:tcPr>
          <w:p w14:paraId="5EBE09A3">
            <w:pPr>
              <w:jc w:val="center"/>
              <w:rPr>
                <w:b/>
                <w:bCs/>
                <w:kern w:val="0"/>
                <w:szCs w:val="21"/>
              </w:rPr>
            </w:pPr>
            <w:r>
              <w:rPr>
                <w:b/>
                <w:bCs/>
                <w:kern w:val="0"/>
                <w:szCs w:val="21"/>
              </w:rPr>
              <w:t>施工机械</w:t>
            </w:r>
          </w:p>
        </w:tc>
      </w:tr>
      <w:tr w14:paraId="1665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9" w:type="pct"/>
            <w:vMerge w:val="restart"/>
            <w:shd w:val="clear" w:color="auto" w:fill="auto"/>
            <w:vAlign w:val="center"/>
          </w:tcPr>
          <w:p w14:paraId="3425D7F8">
            <w:pPr>
              <w:jc w:val="center"/>
              <w:rPr>
                <w:kern w:val="0"/>
                <w:szCs w:val="21"/>
              </w:rPr>
            </w:pPr>
            <w:r>
              <w:rPr>
                <w:kern w:val="0"/>
                <w:szCs w:val="21"/>
              </w:rPr>
              <w:t>路基施工</w:t>
            </w:r>
          </w:p>
        </w:tc>
        <w:tc>
          <w:tcPr>
            <w:tcW w:w="881" w:type="pct"/>
            <w:shd w:val="clear" w:color="auto" w:fill="auto"/>
            <w:vAlign w:val="center"/>
          </w:tcPr>
          <w:p w14:paraId="3DE7FE67">
            <w:pPr>
              <w:jc w:val="center"/>
              <w:rPr>
                <w:kern w:val="0"/>
                <w:szCs w:val="21"/>
              </w:rPr>
            </w:pPr>
            <w:r>
              <w:rPr>
                <w:kern w:val="0"/>
                <w:szCs w:val="21"/>
              </w:rPr>
              <w:t>软土路基处理</w:t>
            </w:r>
          </w:p>
        </w:tc>
        <w:tc>
          <w:tcPr>
            <w:tcW w:w="813" w:type="pct"/>
            <w:shd w:val="clear" w:color="auto" w:fill="auto"/>
            <w:vAlign w:val="center"/>
          </w:tcPr>
          <w:p w14:paraId="5FD2A2E1">
            <w:pPr>
              <w:jc w:val="center"/>
              <w:rPr>
                <w:kern w:val="0"/>
                <w:szCs w:val="21"/>
              </w:rPr>
            </w:pPr>
            <w:r>
              <w:rPr>
                <w:kern w:val="0"/>
                <w:szCs w:val="21"/>
              </w:rPr>
              <w:t>软基路段</w:t>
            </w:r>
          </w:p>
        </w:tc>
        <w:tc>
          <w:tcPr>
            <w:tcW w:w="2426" w:type="pct"/>
            <w:shd w:val="clear" w:color="auto" w:fill="auto"/>
            <w:vAlign w:val="center"/>
          </w:tcPr>
          <w:p w14:paraId="26AADDA8">
            <w:pPr>
              <w:jc w:val="center"/>
              <w:rPr>
                <w:kern w:val="0"/>
                <w:szCs w:val="21"/>
              </w:rPr>
            </w:pPr>
            <w:r>
              <w:rPr>
                <w:kern w:val="0"/>
                <w:szCs w:val="21"/>
              </w:rPr>
              <w:t>振捣机、推土机、装载机等</w:t>
            </w:r>
          </w:p>
        </w:tc>
      </w:tr>
      <w:tr w14:paraId="03619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9" w:type="pct"/>
            <w:vMerge w:val="continue"/>
            <w:shd w:val="clear" w:color="auto" w:fill="auto"/>
            <w:vAlign w:val="center"/>
          </w:tcPr>
          <w:p w14:paraId="24E2F871">
            <w:pPr>
              <w:jc w:val="center"/>
              <w:rPr>
                <w:kern w:val="0"/>
                <w:szCs w:val="21"/>
              </w:rPr>
            </w:pPr>
          </w:p>
        </w:tc>
        <w:tc>
          <w:tcPr>
            <w:tcW w:w="881" w:type="pct"/>
            <w:shd w:val="clear" w:color="auto" w:fill="auto"/>
            <w:vAlign w:val="center"/>
          </w:tcPr>
          <w:p w14:paraId="6DB496E4">
            <w:pPr>
              <w:jc w:val="center"/>
              <w:rPr>
                <w:kern w:val="0"/>
                <w:szCs w:val="21"/>
              </w:rPr>
            </w:pPr>
            <w:r>
              <w:rPr>
                <w:kern w:val="0"/>
                <w:szCs w:val="21"/>
              </w:rPr>
              <w:t>路基填筑</w:t>
            </w:r>
          </w:p>
        </w:tc>
        <w:tc>
          <w:tcPr>
            <w:tcW w:w="813" w:type="pct"/>
            <w:shd w:val="clear" w:color="auto" w:fill="auto"/>
            <w:vAlign w:val="center"/>
          </w:tcPr>
          <w:p w14:paraId="6F7A9AAC">
            <w:pPr>
              <w:jc w:val="center"/>
              <w:rPr>
                <w:kern w:val="0"/>
                <w:szCs w:val="21"/>
              </w:rPr>
            </w:pPr>
            <w:r>
              <w:rPr>
                <w:kern w:val="0"/>
                <w:szCs w:val="21"/>
              </w:rPr>
              <w:t>全线路基路段</w:t>
            </w:r>
          </w:p>
        </w:tc>
        <w:tc>
          <w:tcPr>
            <w:tcW w:w="2426" w:type="pct"/>
            <w:shd w:val="clear" w:color="auto" w:fill="auto"/>
            <w:vAlign w:val="center"/>
          </w:tcPr>
          <w:p w14:paraId="6A2D614C">
            <w:pPr>
              <w:jc w:val="center"/>
              <w:rPr>
                <w:kern w:val="0"/>
                <w:szCs w:val="21"/>
              </w:rPr>
            </w:pPr>
            <w:r>
              <w:rPr>
                <w:kern w:val="0"/>
                <w:szCs w:val="21"/>
              </w:rPr>
              <w:t>推土机、挖掘机、装载机、压路机、运输车辆等</w:t>
            </w:r>
          </w:p>
        </w:tc>
      </w:tr>
      <w:tr w14:paraId="2E163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pct"/>
            <w:gridSpan w:val="2"/>
            <w:tcBorders>
              <w:bottom w:val="single" w:color="auto" w:sz="18" w:space="0"/>
            </w:tcBorders>
            <w:shd w:val="clear" w:color="auto" w:fill="auto"/>
            <w:vAlign w:val="center"/>
          </w:tcPr>
          <w:p w14:paraId="50C60B41">
            <w:pPr>
              <w:jc w:val="center"/>
              <w:rPr>
                <w:kern w:val="0"/>
                <w:szCs w:val="21"/>
              </w:rPr>
            </w:pPr>
            <w:r>
              <w:rPr>
                <w:kern w:val="0"/>
                <w:szCs w:val="21"/>
              </w:rPr>
              <w:t>路面施工</w:t>
            </w:r>
          </w:p>
        </w:tc>
        <w:tc>
          <w:tcPr>
            <w:tcW w:w="813" w:type="pct"/>
            <w:tcBorders>
              <w:bottom w:val="single" w:color="auto" w:sz="18" w:space="0"/>
            </w:tcBorders>
            <w:shd w:val="clear" w:color="auto" w:fill="auto"/>
            <w:vAlign w:val="center"/>
          </w:tcPr>
          <w:p w14:paraId="3B7D5306">
            <w:pPr>
              <w:jc w:val="center"/>
              <w:rPr>
                <w:kern w:val="0"/>
                <w:szCs w:val="21"/>
              </w:rPr>
            </w:pPr>
            <w:r>
              <w:rPr>
                <w:kern w:val="0"/>
                <w:szCs w:val="21"/>
              </w:rPr>
              <w:t>全线</w:t>
            </w:r>
          </w:p>
        </w:tc>
        <w:tc>
          <w:tcPr>
            <w:tcW w:w="2426" w:type="pct"/>
            <w:tcBorders>
              <w:bottom w:val="single" w:color="auto" w:sz="18" w:space="0"/>
            </w:tcBorders>
            <w:shd w:val="clear" w:color="auto" w:fill="auto"/>
            <w:vAlign w:val="center"/>
          </w:tcPr>
          <w:p w14:paraId="272DA272">
            <w:pPr>
              <w:jc w:val="center"/>
              <w:rPr>
                <w:kern w:val="0"/>
                <w:szCs w:val="21"/>
              </w:rPr>
            </w:pPr>
            <w:r>
              <w:rPr>
                <w:kern w:val="0"/>
                <w:szCs w:val="21"/>
              </w:rPr>
              <w:t>装载机、平地机、沥青摊铺机、压路机等</w:t>
            </w:r>
          </w:p>
        </w:tc>
      </w:tr>
    </w:tbl>
    <w:p w14:paraId="5B5F2713">
      <w:pPr>
        <w:autoSpaceDE w:val="0"/>
        <w:autoSpaceDN w:val="0"/>
        <w:adjustRightInd w:val="0"/>
        <w:spacing w:before="120" w:beforeLines="50" w:line="360" w:lineRule="auto"/>
        <w:jc w:val="center"/>
        <w:rPr>
          <w:b/>
          <w:bCs/>
          <w:kern w:val="0"/>
          <w:szCs w:val="21"/>
        </w:rPr>
      </w:pPr>
      <w:r>
        <w:rPr>
          <w:b/>
          <w:bCs/>
          <w:kern w:val="0"/>
          <w:szCs w:val="21"/>
        </w:rPr>
        <w:t>表2.4-2 施工期各机械设备噪声声级</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449"/>
        <w:gridCol w:w="1880"/>
        <w:gridCol w:w="1882"/>
        <w:gridCol w:w="2827"/>
        <w:gridCol w:w="1778"/>
      </w:tblGrid>
      <w:tr w14:paraId="2BB14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06" w:type="pct"/>
            <w:tcBorders>
              <w:top w:val="single" w:color="auto" w:sz="18" w:space="0"/>
            </w:tcBorders>
            <w:shd w:val="clear" w:color="auto" w:fill="auto"/>
            <w:noWrap/>
            <w:vAlign w:val="center"/>
          </w:tcPr>
          <w:p w14:paraId="05A618DE">
            <w:pPr>
              <w:jc w:val="center"/>
              <w:rPr>
                <w:b/>
                <w:bCs/>
                <w:szCs w:val="21"/>
              </w:rPr>
            </w:pPr>
            <w:r>
              <w:rPr>
                <w:b/>
                <w:bCs/>
                <w:szCs w:val="21"/>
                <w:lang w:bidi="ar"/>
              </w:rPr>
              <w:t>序号</w:t>
            </w:r>
          </w:p>
        </w:tc>
        <w:tc>
          <w:tcPr>
            <w:tcW w:w="678" w:type="pct"/>
            <w:tcBorders>
              <w:top w:val="single" w:color="auto" w:sz="18" w:space="0"/>
            </w:tcBorders>
            <w:shd w:val="clear" w:color="auto" w:fill="auto"/>
            <w:vAlign w:val="center"/>
          </w:tcPr>
          <w:p w14:paraId="751913AC">
            <w:pPr>
              <w:jc w:val="center"/>
              <w:rPr>
                <w:b/>
                <w:bCs/>
                <w:szCs w:val="21"/>
                <w:lang w:bidi="ar"/>
              </w:rPr>
            </w:pPr>
            <w:r>
              <w:rPr>
                <w:b/>
                <w:bCs/>
                <w:szCs w:val="21"/>
                <w:lang w:bidi="ar"/>
              </w:rPr>
              <w:t>施工阶段</w:t>
            </w:r>
          </w:p>
        </w:tc>
        <w:tc>
          <w:tcPr>
            <w:tcW w:w="880" w:type="pct"/>
            <w:tcBorders>
              <w:top w:val="single" w:color="auto" w:sz="18" w:space="0"/>
            </w:tcBorders>
            <w:shd w:val="clear" w:color="auto" w:fill="auto"/>
            <w:noWrap/>
            <w:vAlign w:val="center"/>
          </w:tcPr>
          <w:p w14:paraId="7C05AB03">
            <w:pPr>
              <w:jc w:val="center"/>
              <w:rPr>
                <w:b/>
                <w:bCs/>
                <w:szCs w:val="21"/>
              </w:rPr>
            </w:pPr>
            <w:r>
              <w:rPr>
                <w:b/>
                <w:bCs/>
                <w:szCs w:val="21"/>
                <w:lang w:bidi="ar"/>
              </w:rPr>
              <w:t>机械类型</w:t>
            </w:r>
          </w:p>
        </w:tc>
        <w:tc>
          <w:tcPr>
            <w:tcW w:w="881" w:type="pct"/>
            <w:tcBorders>
              <w:top w:val="single" w:color="auto" w:sz="18" w:space="0"/>
            </w:tcBorders>
            <w:shd w:val="clear" w:color="auto" w:fill="auto"/>
            <w:noWrap/>
            <w:vAlign w:val="center"/>
          </w:tcPr>
          <w:p w14:paraId="23C92F09">
            <w:pPr>
              <w:jc w:val="center"/>
              <w:rPr>
                <w:b/>
                <w:bCs/>
                <w:szCs w:val="21"/>
              </w:rPr>
            </w:pPr>
            <w:r>
              <w:rPr>
                <w:b/>
                <w:bCs/>
                <w:szCs w:val="21"/>
                <w:lang w:bidi="ar"/>
              </w:rPr>
              <w:t>声源特点</w:t>
            </w:r>
          </w:p>
        </w:tc>
        <w:tc>
          <w:tcPr>
            <w:tcW w:w="1323" w:type="pct"/>
            <w:tcBorders>
              <w:top w:val="single" w:color="auto" w:sz="18" w:space="0"/>
            </w:tcBorders>
            <w:shd w:val="clear" w:color="auto" w:fill="auto"/>
            <w:noWrap/>
            <w:vAlign w:val="center"/>
          </w:tcPr>
          <w:p w14:paraId="16917B4B">
            <w:pPr>
              <w:jc w:val="center"/>
              <w:rPr>
                <w:b/>
                <w:bCs/>
                <w:szCs w:val="21"/>
              </w:rPr>
            </w:pPr>
            <w:r>
              <w:rPr>
                <w:b/>
                <w:bCs/>
                <w:szCs w:val="21"/>
                <w:lang w:bidi="ar"/>
              </w:rPr>
              <w:t>单台设备5m最大声级L</w:t>
            </w:r>
            <w:r>
              <w:rPr>
                <w:b/>
                <w:bCs/>
                <w:szCs w:val="21"/>
                <w:vertAlign w:val="subscript"/>
                <w:lang w:bidi="ar"/>
              </w:rPr>
              <w:t>max</w:t>
            </w:r>
            <w:r>
              <w:rPr>
                <w:b/>
                <w:bCs/>
                <w:szCs w:val="21"/>
                <w:lang w:bidi="ar"/>
              </w:rPr>
              <w:t>（dB）</w:t>
            </w:r>
          </w:p>
        </w:tc>
        <w:tc>
          <w:tcPr>
            <w:tcW w:w="832" w:type="pct"/>
            <w:tcBorders>
              <w:top w:val="single" w:color="auto" w:sz="18" w:space="0"/>
            </w:tcBorders>
            <w:shd w:val="clear" w:color="auto" w:fill="auto"/>
            <w:vAlign w:val="center"/>
          </w:tcPr>
          <w:p w14:paraId="41EC5420">
            <w:pPr>
              <w:jc w:val="center"/>
              <w:rPr>
                <w:b/>
                <w:bCs/>
                <w:szCs w:val="21"/>
                <w:lang w:bidi="ar"/>
              </w:rPr>
            </w:pPr>
            <w:r>
              <w:rPr>
                <w:b/>
                <w:bCs/>
                <w:szCs w:val="21"/>
                <w:lang w:bidi="ar"/>
              </w:rPr>
              <w:t>同时使用的最大数量</w:t>
            </w:r>
          </w:p>
        </w:tc>
      </w:tr>
      <w:tr w14:paraId="0B0A8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restart"/>
            <w:shd w:val="clear" w:color="auto" w:fill="auto"/>
            <w:noWrap/>
            <w:vAlign w:val="center"/>
          </w:tcPr>
          <w:p w14:paraId="43D41EF8">
            <w:pPr>
              <w:jc w:val="center"/>
              <w:rPr>
                <w:szCs w:val="21"/>
                <w:lang w:bidi="ar"/>
              </w:rPr>
            </w:pPr>
            <w:r>
              <w:rPr>
                <w:rFonts w:hint="eastAsia"/>
                <w:szCs w:val="21"/>
                <w:lang w:bidi="ar"/>
              </w:rPr>
              <w:t>1</w:t>
            </w:r>
          </w:p>
        </w:tc>
        <w:tc>
          <w:tcPr>
            <w:tcW w:w="678" w:type="pct"/>
            <w:vMerge w:val="restart"/>
            <w:shd w:val="clear" w:color="auto" w:fill="auto"/>
            <w:vAlign w:val="center"/>
          </w:tcPr>
          <w:p w14:paraId="52CF1C2F">
            <w:pPr>
              <w:jc w:val="center"/>
              <w:rPr>
                <w:szCs w:val="21"/>
                <w:lang w:bidi="ar"/>
              </w:rPr>
            </w:pPr>
            <w:r>
              <w:rPr>
                <w:szCs w:val="21"/>
                <w:lang w:bidi="ar"/>
              </w:rPr>
              <w:t>路基施工</w:t>
            </w:r>
          </w:p>
        </w:tc>
        <w:tc>
          <w:tcPr>
            <w:tcW w:w="880" w:type="pct"/>
            <w:shd w:val="clear" w:color="auto" w:fill="auto"/>
            <w:noWrap/>
            <w:vAlign w:val="center"/>
          </w:tcPr>
          <w:p w14:paraId="3BB0D6CE">
            <w:pPr>
              <w:jc w:val="center"/>
              <w:rPr>
                <w:szCs w:val="21"/>
                <w:lang w:bidi="ar"/>
              </w:rPr>
            </w:pPr>
            <w:r>
              <w:rPr>
                <w:szCs w:val="21"/>
              </w:rPr>
              <w:t>装载机</w:t>
            </w:r>
          </w:p>
        </w:tc>
        <w:tc>
          <w:tcPr>
            <w:tcW w:w="881" w:type="pct"/>
            <w:shd w:val="clear" w:color="auto" w:fill="auto"/>
            <w:noWrap/>
            <w:vAlign w:val="center"/>
          </w:tcPr>
          <w:p w14:paraId="309F647B">
            <w:pPr>
              <w:jc w:val="center"/>
              <w:rPr>
                <w:szCs w:val="21"/>
                <w:lang w:bidi="ar"/>
              </w:rPr>
            </w:pPr>
            <w:r>
              <w:rPr>
                <w:szCs w:val="21"/>
                <w:lang w:bidi="ar"/>
              </w:rPr>
              <w:t>流动不稳定源</w:t>
            </w:r>
          </w:p>
        </w:tc>
        <w:tc>
          <w:tcPr>
            <w:tcW w:w="1323" w:type="pct"/>
            <w:shd w:val="clear" w:color="auto" w:fill="auto"/>
            <w:noWrap/>
            <w:vAlign w:val="center"/>
          </w:tcPr>
          <w:p w14:paraId="7FE19C6F">
            <w:pPr>
              <w:jc w:val="center"/>
              <w:rPr>
                <w:szCs w:val="21"/>
                <w:lang w:bidi="ar"/>
              </w:rPr>
            </w:pPr>
            <w:r>
              <w:rPr>
                <w:szCs w:val="21"/>
              </w:rPr>
              <w:t>90</w:t>
            </w:r>
          </w:p>
        </w:tc>
        <w:tc>
          <w:tcPr>
            <w:tcW w:w="832" w:type="pct"/>
            <w:shd w:val="clear" w:color="auto" w:fill="auto"/>
            <w:vAlign w:val="center"/>
          </w:tcPr>
          <w:p w14:paraId="29AF2F0A">
            <w:pPr>
              <w:jc w:val="center"/>
              <w:rPr>
                <w:szCs w:val="21"/>
              </w:rPr>
            </w:pPr>
            <w:r>
              <w:rPr>
                <w:rFonts w:hint="eastAsia"/>
                <w:szCs w:val="21"/>
              </w:rPr>
              <w:t>2</w:t>
            </w:r>
            <w:r>
              <w:rPr>
                <w:szCs w:val="21"/>
              </w:rPr>
              <w:t>台</w:t>
            </w:r>
          </w:p>
        </w:tc>
      </w:tr>
      <w:tr w14:paraId="1F77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78969C42">
            <w:pPr>
              <w:jc w:val="center"/>
              <w:rPr>
                <w:szCs w:val="21"/>
                <w:lang w:bidi="ar"/>
              </w:rPr>
            </w:pPr>
          </w:p>
        </w:tc>
        <w:tc>
          <w:tcPr>
            <w:tcW w:w="678" w:type="pct"/>
            <w:vMerge w:val="continue"/>
            <w:shd w:val="clear" w:color="auto" w:fill="auto"/>
            <w:vAlign w:val="center"/>
          </w:tcPr>
          <w:p w14:paraId="4EE981BA">
            <w:pPr>
              <w:jc w:val="center"/>
              <w:rPr>
                <w:szCs w:val="21"/>
                <w:lang w:bidi="ar"/>
              </w:rPr>
            </w:pPr>
          </w:p>
        </w:tc>
        <w:tc>
          <w:tcPr>
            <w:tcW w:w="880" w:type="pct"/>
            <w:shd w:val="clear" w:color="auto" w:fill="auto"/>
            <w:noWrap/>
            <w:vAlign w:val="center"/>
          </w:tcPr>
          <w:p w14:paraId="205AD103">
            <w:pPr>
              <w:jc w:val="center"/>
              <w:rPr>
                <w:szCs w:val="21"/>
                <w:lang w:bidi="ar"/>
              </w:rPr>
            </w:pPr>
            <w:r>
              <w:rPr>
                <w:szCs w:val="21"/>
              </w:rPr>
              <w:t>重型运输车</w:t>
            </w:r>
          </w:p>
        </w:tc>
        <w:tc>
          <w:tcPr>
            <w:tcW w:w="881" w:type="pct"/>
            <w:shd w:val="clear" w:color="auto" w:fill="auto"/>
            <w:noWrap/>
            <w:vAlign w:val="center"/>
          </w:tcPr>
          <w:p w14:paraId="29F600CC">
            <w:pPr>
              <w:jc w:val="center"/>
              <w:rPr>
                <w:szCs w:val="21"/>
                <w:lang w:bidi="ar"/>
              </w:rPr>
            </w:pPr>
            <w:r>
              <w:rPr>
                <w:szCs w:val="21"/>
                <w:lang w:bidi="ar"/>
              </w:rPr>
              <w:t>流动不稳定源</w:t>
            </w:r>
          </w:p>
        </w:tc>
        <w:tc>
          <w:tcPr>
            <w:tcW w:w="1323" w:type="pct"/>
            <w:shd w:val="clear" w:color="auto" w:fill="auto"/>
            <w:noWrap/>
            <w:vAlign w:val="center"/>
          </w:tcPr>
          <w:p w14:paraId="60C4B62C">
            <w:pPr>
              <w:jc w:val="center"/>
              <w:rPr>
                <w:szCs w:val="21"/>
                <w:lang w:bidi="ar"/>
              </w:rPr>
            </w:pPr>
            <w:r>
              <w:rPr>
                <w:szCs w:val="21"/>
              </w:rPr>
              <w:t>82</w:t>
            </w:r>
          </w:p>
        </w:tc>
        <w:tc>
          <w:tcPr>
            <w:tcW w:w="832" w:type="pct"/>
            <w:shd w:val="clear" w:color="auto" w:fill="auto"/>
            <w:vAlign w:val="center"/>
          </w:tcPr>
          <w:p w14:paraId="0BB197BF">
            <w:pPr>
              <w:jc w:val="center"/>
              <w:rPr>
                <w:szCs w:val="21"/>
              </w:rPr>
            </w:pPr>
            <w:r>
              <w:rPr>
                <w:rFonts w:hint="eastAsia"/>
                <w:szCs w:val="21"/>
              </w:rPr>
              <w:t>1</w:t>
            </w:r>
            <w:r>
              <w:rPr>
                <w:szCs w:val="21"/>
              </w:rPr>
              <w:t>台</w:t>
            </w:r>
          </w:p>
        </w:tc>
      </w:tr>
      <w:tr w14:paraId="7516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7371A729">
            <w:pPr>
              <w:jc w:val="center"/>
              <w:rPr>
                <w:szCs w:val="21"/>
                <w:lang w:bidi="ar"/>
              </w:rPr>
            </w:pPr>
          </w:p>
        </w:tc>
        <w:tc>
          <w:tcPr>
            <w:tcW w:w="678" w:type="pct"/>
            <w:vMerge w:val="continue"/>
            <w:shd w:val="clear" w:color="auto" w:fill="auto"/>
            <w:vAlign w:val="center"/>
          </w:tcPr>
          <w:p w14:paraId="269049E3">
            <w:pPr>
              <w:jc w:val="center"/>
              <w:rPr>
                <w:szCs w:val="21"/>
                <w:lang w:bidi="ar"/>
              </w:rPr>
            </w:pPr>
          </w:p>
        </w:tc>
        <w:tc>
          <w:tcPr>
            <w:tcW w:w="880" w:type="pct"/>
            <w:shd w:val="clear" w:color="auto" w:fill="auto"/>
            <w:noWrap/>
            <w:vAlign w:val="center"/>
          </w:tcPr>
          <w:p w14:paraId="62F9D103">
            <w:pPr>
              <w:jc w:val="center"/>
              <w:rPr>
                <w:szCs w:val="21"/>
                <w:lang w:bidi="ar"/>
              </w:rPr>
            </w:pPr>
            <w:r>
              <w:rPr>
                <w:szCs w:val="21"/>
              </w:rPr>
              <w:t>压路机</w:t>
            </w:r>
          </w:p>
        </w:tc>
        <w:tc>
          <w:tcPr>
            <w:tcW w:w="881" w:type="pct"/>
            <w:shd w:val="clear" w:color="auto" w:fill="auto"/>
            <w:noWrap/>
            <w:vAlign w:val="center"/>
          </w:tcPr>
          <w:p w14:paraId="3F5ED2C6">
            <w:pPr>
              <w:jc w:val="center"/>
              <w:rPr>
                <w:szCs w:val="21"/>
                <w:lang w:bidi="ar"/>
              </w:rPr>
            </w:pPr>
            <w:r>
              <w:rPr>
                <w:szCs w:val="21"/>
                <w:lang w:bidi="ar"/>
              </w:rPr>
              <w:t>流动不稳定源</w:t>
            </w:r>
          </w:p>
        </w:tc>
        <w:tc>
          <w:tcPr>
            <w:tcW w:w="1323" w:type="pct"/>
            <w:shd w:val="clear" w:color="auto" w:fill="auto"/>
            <w:noWrap/>
            <w:vAlign w:val="center"/>
          </w:tcPr>
          <w:p w14:paraId="3FD82EF5">
            <w:pPr>
              <w:jc w:val="center"/>
              <w:rPr>
                <w:szCs w:val="21"/>
                <w:lang w:bidi="ar"/>
              </w:rPr>
            </w:pPr>
            <w:r>
              <w:rPr>
                <w:szCs w:val="21"/>
              </w:rPr>
              <w:t>80</w:t>
            </w:r>
          </w:p>
        </w:tc>
        <w:tc>
          <w:tcPr>
            <w:tcW w:w="832" w:type="pct"/>
            <w:shd w:val="clear" w:color="auto" w:fill="auto"/>
            <w:vAlign w:val="center"/>
          </w:tcPr>
          <w:p w14:paraId="0BF6356F">
            <w:pPr>
              <w:jc w:val="center"/>
              <w:rPr>
                <w:szCs w:val="21"/>
              </w:rPr>
            </w:pPr>
            <w:r>
              <w:rPr>
                <w:rFonts w:hint="eastAsia"/>
                <w:szCs w:val="21"/>
              </w:rPr>
              <w:t>2</w:t>
            </w:r>
            <w:r>
              <w:rPr>
                <w:szCs w:val="21"/>
              </w:rPr>
              <w:t>台</w:t>
            </w:r>
          </w:p>
        </w:tc>
      </w:tr>
      <w:tr w14:paraId="55776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0DA70CCA">
            <w:pPr>
              <w:jc w:val="center"/>
              <w:rPr>
                <w:szCs w:val="21"/>
                <w:highlight w:val="yellow"/>
                <w:lang w:bidi="ar"/>
              </w:rPr>
            </w:pPr>
          </w:p>
        </w:tc>
        <w:tc>
          <w:tcPr>
            <w:tcW w:w="678" w:type="pct"/>
            <w:vMerge w:val="continue"/>
            <w:shd w:val="clear" w:color="auto" w:fill="auto"/>
            <w:vAlign w:val="center"/>
          </w:tcPr>
          <w:p w14:paraId="74D04224">
            <w:pPr>
              <w:jc w:val="center"/>
              <w:rPr>
                <w:szCs w:val="21"/>
                <w:highlight w:val="yellow"/>
                <w:lang w:bidi="ar"/>
              </w:rPr>
            </w:pPr>
          </w:p>
        </w:tc>
        <w:tc>
          <w:tcPr>
            <w:tcW w:w="880" w:type="pct"/>
            <w:shd w:val="clear" w:color="auto" w:fill="auto"/>
            <w:noWrap/>
            <w:vAlign w:val="center"/>
          </w:tcPr>
          <w:p w14:paraId="658E2DCE">
            <w:pPr>
              <w:jc w:val="center"/>
              <w:rPr>
                <w:szCs w:val="21"/>
                <w:highlight w:val="yellow"/>
                <w:lang w:bidi="ar"/>
              </w:rPr>
            </w:pPr>
            <w:r>
              <w:rPr>
                <w:szCs w:val="21"/>
              </w:rPr>
              <w:t>推土机</w:t>
            </w:r>
          </w:p>
        </w:tc>
        <w:tc>
          <w:tcPr>
            <w:tcW w:w="881" w:type="pct"/>
            <w:shd w:val="clear" w:color="auto" w:fill="auto"/>
            <w:noWrap/>
            <w:vAlign w:val="center"/>
          </w:tcPr>
          <w:p w14:paraId="6D5D61FB">
            <w:pPr>
              <w:jc w:val="center"/>
              <w:rPr>
                <w:szCs w:val="21"/>
                <w:highlight w:val="yellow"/>
                <w:lang w:bidi="ar"/>
              </w:rPr>
            </w:pPr>
            <w:r>
              <w:rPr>
                <w:szCs w:val="21"/>
                <w:lang w:bidi="ar"/>
              </w:rPr>
              <w:t>流动不稳定源</w:t>
            </w:r>
          </w:p>
        </w:tc>
        <w:tc>
          <w:tcPr>
            <w:tcW w:w="1323" w:type="pct"/>
            <w:shd w:val="clear" w:color="auto" w:fill="auto"/>
            <w:noWrap/>
            <w:vAlign w:val="center"/>
          </w:tcPr>
          <w:p w14:paraId="5586FAEC">
            <w:pPr>
              <w:jc w:val="center"/>
              <w:rPr>
                <w:szCs w:val="21"/>
                <w:highlight w:val="yellow"/>
                <w:lang w:bidi="ar"/>
              </w:rPr>
            </w:pPr>
            <w:r>
              <w:rPr>
                <w:szCs w:val="21"/>
              </w:rPr>
              <w:t>83</w:t>
            </w:r>
          </w:p>
        </w:tc>
        <w:tc>
          <w:tcPr>
            <w:tcW w:w="832" w:type="pct"/>
            <w:shd w:val="clear" w:color="auto" w:fill="auto"/>
            <w:vAlign w:val="center"/>
          </w:tcPr>
          <w:p w14:paraId="5DB6FC90">
            <w:pPr>
              <w:jc w:val="center"/>
              <w:rPr>
                <w:szCs w:val="21"/>
              </w:rPr>
            </w:pPr>
            <w:r>
              <w:rPr>
                <w:rFonts w:hint="eastAsia"/>
                <w:szCs w:val="21"/>
              </w:rPr>
              <w:t>2</w:t>
            </w:r>
            <w:r>
              <w:rPr>
                <w:szCs w:val="21"/>
              </w:rPr>
              <w:t>台</w:t>
            </w:r>
          </w:p>
        </w:tc>
      </w:tr>
      <w:tr w14:paraId="51AB6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779DDE31">
            <w:pPr>
              <w:jc w:val="center"/>
              <w:rPr>
                <w:szCs w:val="21"/>
                <w:highlight w:val="yellow"/>
                <w:lang w:bidi="ar"/>
              </w:rPr>
            </w:pPr>
          </w:p>
        </w:tc>
        <w:tc>
          <w:tcPr>
            <w:tcW w:w="678" w:type="pct"/>
            <w:vMerge w:val="continue"/>
            <w:shd w:val="clear" w:color="auto" w:fill="auto"/>
            <w:vAlign w:val="center"/>
          </w:tcPr>
          <w:p w14:paraId="1FE68C87">
            <w:pPr>
              <w:jc w:val="center"/>
              <w:rPr>
                <w:szCs w:val="21"/>
                <w:highlight w:val="yellow"/>
                <w:lang w:bidi="ar"/>
              </w:rPr>
            </w:pPr>
          </w:p>
        </w:tc>
        <w:tc>
          <w:tcPr>
            <w:tcW w:w="880" w:type="pct"/>
            <w:shd w:val="clear" w:color="auto" w:fill="auto"/>
            <w:noWrap/>
            <w:vAlign w:val="center"/>
          </w:tcPr>
          <w:p w14:paraId="3BAD58AF">
            <w:pPr>
              <w:jc w:val="center"/>
              <w:rPr>
                <w:szCs w:val="21"/>
                <w:highlight w:val="yellow"/>
                <w:lang w:bidi="ar"/>
              </w:rPr>
            </w:pPr>
            <w:r>
              <w:rPr>
                <w:szCs w:val="21"/>
              </w:rPr>
              <w:t>挖掘机</w:t>
            </w:r>
          </w:p>
        </w:tc>
        <w:tc>
          <w:tcPr>
            <w:tcW w:w="881" w:type="pct"/>
            <w:shd w:val="clear" w:color="auto" w:fill="auto"/>
            <w:noWrap/>
            <w:vAlign w:val="center"/>
          </w:tcPr>
          <w:p w14:paraId="35C920C3">
            <w:pPr>
              <w:jc w:val="center"/>
              <w:rPr>
                <w:szCs w:val="21"/>
                <w:highlight w:val="yellow"/>
                <w:lang w:bidi="ar"/>
              </w:rPr>
            </w:pPr>
            <w:r>
              <w:rPr>
                <w:szCs w:val="21"/>
                <w:lang w:bidi="ar"/>
              </w:rPr>
              <w:t>流动不稳定源</w:t>
            </w:r>
          </w:p>
        </w:tc>
        <w:tc>
          <w:tcPr>
            <w:tcW w:w="1323" w:type="pct"/>
            <w:shd w:val="clear" w:color="auto" w:fill="auto"/>
            <w:noWrap/>
            <w:vAlign w:val="center"/>
          </w:tcPr>
          <w:p w14:paraId="7761D050">
            <w:pPr>
              <w:jc w:val="center"/>
              <w:rPr>
                <w:szCs w:val="21"/>
                <w:highlight w:val="yellow"/>
                <w:lang w:bidi="ar"/>
              </w:rPr>
            </w:pPr>
            <w:r>
              <w:rPr>
                <w:szCs w:val="21"/>
              </w:rPr>
              <w:t>82</w:t>
            </w:r>
          </w:p>
        </w:tc>
        <w:tc>
          <w:tcPr>
            <w:tcW w:w="832" w:type="pct"/>
            <w:shd w:val="clear" w:color="auto" w:fill="auto"/>
            <w:vAlign w:val="center"/>
          </w:tcPr>
          <w:p w14:paraId="65412F35">
            <w:pPr>
              <w:jc w:val="center"/>
              <w:rPr>
                <w:szCs w:val="21"/>
              </w:rPr>
            </w:pPr>
            <w:r>
              <w:rPr>
                <w:rFonts w:hint="eastAsia"/>
                <w:szCs w:val="21"/>
              </w:rPr>
              <w:t>1</w:t>
            </w:r>
            <w:r>
              <w:rPr>
                <w:szCs w:val="21"/>
              </w:rPr>
              <w:t>台</w:t>
            </w:r>
          </w:p>
        </w:tc>
      </w:tr>
      <w:tr w14:paraId="00774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restart"/>
            <w:shd w:val="clear" w:color="auto" w:fill="auto"/>
            <w:noWrap/>
            <w:vAlign w:val="center"/>
          </w:tcPr>
          <w:p w14:paraId="346A20B6">
            <w:pPr>
              <w:jc w:val="center"/>
              <w:rPr>
                <w:szCs w:val="21"/>
                <w:lang w:bidi="ar"/>
              </w:rPr>
            </w:pPr>
            <w:r>
              <w:rPr>
                <w:rFonts w:hint="eastAsia"/>
                <w:szCs w:val="21"/>
                <w:lang w:bidi="ar"/>
              </w:rPr>
              <w:t>2</w:t>
            </w:r>
          </w:p>
        </w:tc>
        <w:tc>
          <w:tcPr>
            <w:tcW w:w="678" w:type="pct"/>
            <w:vMerge w:val="restart"/>
            <w:shd w:val="clear" w:color="auto" w:fill="auto"/>
            <w:vAlign w:val="center"/>
          </w:tcPr>
          <w:p w14:paraId="66C7DE30">
            <w:pPr>
              <w:jc w:val="center"/>
              <w:rPr>
                <w:szCs w:val="21"/>
                <w:highlight w:val="yellow"/>
                <w:lang w:bidi="ar"/>
              </w:rPr>
            </w:pPr>
            <w:r>
              <w:rPr>
                <w:szCs w:val="21"/>
                <w:lang w:bidi="ar"/>
              </w:rPr>
              <w:t>路面施工</w:t>
            </w:r>
          </w:p>
        </w:tc>
        <w:tc>
          <w:tcPr>
            <w:tcW w:w="880" w:type="pct"/>
            <w:shd w:val="clear" w:color="auto" w:fill="auto"/>
            <w:noWrap/>
            <w:vAlign w:val="center"/>
          </w:tcPr>
          <w:p w14:paraId="7E0C9820">
            <w:pPr>
              <w:jc w:val="center"/>
              <w:rPr>
                <w:szCs w:val="21"/>
              </w:rPr>
            </w:pPr>
            <w:r>
              <w:rPr>
                <w:szCs w:val="21"/>
              </w:rPr>
              <w:t>装载机</w:t>
            </w:r>
          </w:p>
        </w:tc>
        <w:tc>
          <w:tcPr>
            <w:tcW w:w="881" w:type="pct"/>
            <w:shd w:val="clear" w:color="auto" w:fill="auto"/>
            <w:noWrap/>
            <w:vAlign w:val="center"/>
          </w:tcPr>
          <w:p w14:paraId="55B790B8">
            <w:pPr>
              <w:jc w:val="center"/>
              <w:rPr>
                <w:szCs w:val="21"/>
                <w:lang w:bidi="ar"/>
              </w:rPr>
            </w:pPr>
            <w:r>
              <w:rPr>
                <w:szCs w:val="21"/>
                <w:lang w:bidi="ar"/>
              </w:rPr>
              <w:t>流动不稳定源</w:t>
            </w:r>
          </w:p>
        </w:tc>
        <w:tc>
          <w:tcPr>
            <w:tcW w:w="1323" w:type="pct"/>
            <w:shd w:val="clear" w:color="auto" w:fill="auto"/>
            <w:noWrap/>
            <w:vAlign w:val="center"/>
          </w:tcPr>
          <w:p w14:paraId="6D40AE07">
            <w:pPr>
              <w:jc w:val="center"/>
              <w:rPr>
                <w:szCs w:val="21"/>
              </w:rPr>
            </w:pPr>
            <w:r>
              <w:rPr>
                <w:szCs w:val="21"/>
              </w:rPr>
              <w:t>90</w:t>
            </w:r>
          </w:p>
        </w:tc>
        <w:tc>
          <w:tcPr>
            <w:tcW w:w="832" w:type="pct"/>
            <w:shd w:val="clear" w:color="auto" w:fill="auto"/>
            <w:vAlign w:val="center"/>
          </w:tcPr>
          <w:p w14:paraId="70F79603">
            <w:pPr>
              <w:jc w:val="center"/>
              <w:rPr>
                <w:szCs w:val="21"/>
              </w:rPr>
            </w:pPr>
            <w:r>
              <w:rPr>
                <w:rFonts w:hint="eastAsia"/>
                <w:szCs w:val="21"/>
              </w:rPr>
              <w:t>2</w:t>
            </w:r>
            <w:r>
              <w:rPr>
                <w:szCs w:val="21"/>
              </w:rPr>
              <w:t>台</w:t>
            </w:r>
          </w:p>
        </w:tc>
      </w:tr>
      <w:tr w14:paraId="73A0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2C0215C6">
            <w:pPr>
              <w:jc w:val="center"/>
              <w:rPr>
                <w:szCs w:val="21"/>
                <w:lang w:bidi="ar"/>
              </w:rPr>
            </w:pPr>
          </w:p>
        </w:tc>
        <w:tc>
          <w:tcPr>
            <w:tcW w:w="678" w:type="pct"/>
            <w:vMerge w:val="continue"/>
            <w:shd w:val="clear" w:color="auto" w:fill="auto"/>
            <w:vAlign w:val="center"/>
          </w:tcPr>
          <w:p w14:paraId="7DDF68B2">
            <w:pPr>
              <w:jc w:val="center"/>
              <w:rPr>
                <w:szCs w:val="21"/>
                <w:highlight w:val="yellow"/>
                <w:lang w:bidi="ar"/>
              </w:rPr>
            </w:pPr>
          </w:p>
        </w:tc>
        <w:tc>
          <w:tcPr>
            <w:tcW w:w="880" w:type="pct"/>
            <w:shd w:val="clear" w:color="auto" w:fill="auto"/>
            <w:noWrap/>
            <w:vAlign w:val="center"/>
          </w:tcPr>
          <w:p w14:paraId="0515708B">
            <w:pPr>
              <w:jc w:val="center"/>
              <w:rPr>
                <w:szCs w:val="21"/>
              </w:rPr>
            </w:pPr>
            <w:r>
              <w:rPr>
                <w:szCs w:val="21"/>
              </w:rPr>
              <w:t>平地机</w:t>
            </w:r>
          </w:p>
        </w:tc>
        <w:tc>
          <w:tcPr>
            <w:tcW w:w="881" w:type="pct"/>
            <w:shd w:val="clear" w:color="auto" w:fill="auto"/>
            <w:noWrap/>
            <w:vAlign w:val="center"/>
          </w:tcPr>
          <w:p w14:paraId="03034B88">
            <w:pPr>
              <w:jc w:val="center"/>
              <w:rPr>
                <w:szCs w:val="21"/>
                <w:lang w:bidi="ar"/>
              </w:rPr>
            </w:pPr>
            <w:r>
              <w:rPr>
                <w:szCs w:val="21"/>
                <w:lang w:bidi="ar"/>
              </w:rPr>
              <w:t>流动不稳定源</w:t>
            </w:r>
          </w:p>
        </w:tc>
        <w:tc>
          <w:tcPr>
            <w:tcW w:w="1323" w:type="pct"/>
            <w:shd w:val="clear" w:color="auto" w:fill="auto"/>
            <w:noWrap/>
            <w:vAlign w:val="center"/>
          </w:tcPr>
          <w:p w14:paraId="18AF2A22">
            <w:pPr>
              <w:jc w:val="center"/>
              <w:rPr>
                <w:szCs w:val="21"/>
              </w:rPr>
            </w:pPr>
            <w:r>
              <w:rPr>
                <w:szCs w:val="21"/>
              </w:rPr>
              <w:t>90</w:t>
            </w:r>
          </w:p>
        </w:tc>
        <w:tc>
          <w:tcPr>
            <w:tcW w:w="832" w:type="pct"/>
            <w:shd w:val="clear" w:color="auto" w:fill="auto"/>
            <w:vAlign w:val="center"/>
          </w:tcPr>
          <w:p w14:paraId="03E885FD">
            <w:pPr>
              <w:jc w:val="center"/>
              <w:rPr>
                <w:szCs w:val="21"/>
              </w:rPr>
            </w:pPr>
            <w:r>
              <w:rPr>
                <w:rFonts w:hint="eastAsia"/>
                <w:szCs w:val="21"/>
              </w:rPr>
              <w:t>2</w:t>
            </w:r>
            <w:r>
              <w:rPr>
                <w:szCs w:val="21"/>
              </w:rPr>
              <w:t>台</w:t>
            </w:r>
          </w:p>
        </w:tc>
      </w:tr>
      <w:tr w14:paraId="37E26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260488D0">
            <w:pPr>
              <w:jc w:val="center"/>
              <w:rPr>
                <w:szCs w:val="21"/>
                <w:lang w:bidi="ar"/>
              </w:rPr>
            </w:pPr>
          </w:p>
        </w:tc>
        <w:tc>
          <w:tcPr>
            <w:tcW w:w="678" w:type="pct"/>
            <w:vMerge w:val="continue"/>
            <w:shd w:val="clear" w:color="auto" w:fill="auto"/>
            <w:vAlign w:val="center"/>
          </w:tcPr>
          <w:p w14:paraId="029FB49A">
            <w:pPr>
              <w:jc w:val="center"/>
              <w:rPr>
                <w:szCs w:val="21"/>
                <w:highlight w:val="yellow"/>
                <w:lang w:bidi="ar"/>
              </w:rPr>
            </w:pPr>
          </w:p>
        </w:tc>
        <w:tc>
          <w:tcPr>
            <w:tcW w:w="880" w:type="pct"/>
            <w:shd w:val="clear" w:color="auto" w:fill="auto"/>
            <w:noWrap/>
            <w:vAlign w:val="center"/>
          </w:tcPr>
          <w:p w14:paraId="47967E26">
            <w:pPr>
              <w:jc w:val="center"/>
              <w:rPr>
                <w:szCs w:val="21"/>
              </w:rPr>
            </w:pPr>
            <w:r>
              <w:rPr>
                <w:szCs w:val="21"/>
                <w:lang w:bidi="ar"/>
              </w:rPr>
              <w:t>沥青摊铺机</w:t>
            </w:r>
          </w:p>
        </w:tc>
        <w:tc>
          <w:tcPr>
            <w:tcW w:w="881" w:type="pct"/>
            <w:shd w:val="clear" w:color="auto" w:fill="auto"/>
            <w:noWrap/>
            <w:vAlign w:val="center"/>
          </w:tcPr>
          <w:p w14:paraId="4CA85DC6">
            <w:pPr>
              <w:jc w:val="center"/>
              <w:rPr>
                <w:szCs w:val="21"/>
                <w:lang w:bidi="ar"/>
              </w:rPr>
            </w:pPr>
            <w:r>
              <w:rPr>
                <w:szCs w:val="21"/>
                <w:lang w:bidi="ar"/>
              </w:rPr>
              <w:t>流动不稳态源</w:t>
            </w:r>
          </w:p>
        </w:tc>
        <w:tc>
          <w:tcPr>
            <w:tcW w:w="1323" w:type="pct"/>
            <w:shd w:val="clear" w:color="auto" w:fill="auto"/>
            <w:noWrap/>
            <w:vAlign w:val="center"/>
          </w:tcPr>
          <w:p w14:paraId="76E1EB3D">
            <w:pPr>
              <w:jc w:val="center"/>
              <w:rPr>
                <w:szCs w:val="21"/>
              </w:rPr>
            </w:pPr>
            <w:r>
              <w:rPr>
                <w:szCs w:val="21"/>
                <w:lang w:bidi="ar"/>
              </w:rPr>
              <w:t>87</w:t>
            </w:r>
          </w:p>
        </w:tc>
        <w:tc>
          <w:tcPr>
            <w:tcW w:w="832" w:type="pct"/>
            <w:shd w:val="clear" w:color="auto" w:fill="auto"/>
            <w:vAlign w:val="center"/>
          </w:tcPr>
          <w:p w14:paraId="3B48856F">
            <w:pPr>
              <w:jc w:val="center"/>
              <w:rPr>
                <w:szCs w:val="21"/>
              </w:rPr>
            </w:pPr>
            <w:r>
              <w:rPr>
                <w:rFonts w:hint="eastAsia"/>
                <w:szCs w:val="21"/>
              </w:rPr>
              <w:t>1</w:t>
            </w:r>
            <w:r>
              <w:rPr>
                <w:szCs w:val="21"/>
              </w:rPr>
              <w:t>台</w:t>
            </w:r>
          </w:p>
        </w:tc>
      </w:tr>
      <w:tr w14:paraId="63AB6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73B9E23C">
            <w:pPr>
              <w:jc w:val="center"/>
              <w:rPr>
                <w:szCs w:val="21"/>
                <w:lang w:bidi="ar"/>
              </w:rPr>
            </w:pPr>
          </w:p>
        </w:tc>
        <w:tc>
          <w:tcPr>
            <w:tcW w:w="678" w:type="pct"/>
            <w:vMerge w:val="continue"/>
            <w:shd w:val="clear" w:color="auto" w:fill="auto"/>
            <w:vAlign w:val="center"/>
          </w:tcPr>
          <w:p w14:paraId="2C422AA8">
            <w:pPr>
              <w:jc w:val="center"/>
              <w:rPr>
                <w:szCs w:val="21"/>
                <w:highlight w:val="yellow"/>
                <w:lang w:bidi="ar"/>
              </w:rPr>
            </w:pPr>
          </w:p>
        </w:tc>
        <w:tc>
          <w:tcPr>
            <w:tcW w:w="880" w:type="pct"/>
            <w:shd w:val="clear" w:color="auto" w:fill="auto"/>
            <w:noWrap/>
            <w:vAlign w:val="center"/>
          </w:tcPr>
          <w:p w14:paraId="633B40A3">
            <w:pPr>
              <w:jc w:val="center"/>
              <w:rPr>
                <w:szCs w:val="21"/>
                <w:lang w:bidi="ar"/>
              </w:rPr>
            </w:pPr>
            <w:r>
              <w:rPr>
                <w:szCs w:val="21"/>
                <w:lang w:bidi="ar"/>
              </w:rPr>
              <w:t>压路机</w:t>
            </w:r>
          </w:p>
        </w:tc>
        <w:tc>
          <w:tcPr>
            <w:tcW w:w="881" w:type="pct"/>
            <w:shd w:val="clear" w:color="auto" w:fill="auto"/>
            <w:noWrap/>
            <w:vAlign w:val="center"/>
          </w:tcPr>
          <w:p w14:paraId="7D2BCD66">
            <w:pPr>
              <w:jc w:val="center"/>
              <w:rPr>
                <w:szCs w:val="21"/>
                <w:lang w:bidi="ar"/>
              </w:rPr>
            </w:pPr>
            <w:r>
              <w:rPr>
                <w:szCs w:val="21"/>
                <w:lang w:bidi="ar"/>
              </w:rPr>
              <w:t>流动不稳定源</w:t>
            </w:r>
          </w:p>
        </w:tc>
        <w:tc>
          <w:tcPr>
            <w:tcW w:w="1323" w:type="pct"/>
            <w:shd w:val="clear" w:color="auto" w:fill="auto"/>
            <w:noWrap/>
            <w:vAlign w:val="center"/>
          </w:tcPr>
          <w:p w14:paraId="7628C407">
            <w:pPr>
              <w:jc w:val="center"/>
              <w:rPr>
                <w:szCs w:val="21"/>
                <w:lang w:bidi="ar"/>
              </w:rPr>
            </w:pPr>
            <w:r>
              <w:rPr>
                <w:rFonts w:hint="eastAsia"/>
                <w:szCs w:val="21"/>
                <w:lang w:bidi="ar"/>
              </w:rPr>
              <w:t>80</w:t>
            </w:r>
          </w:p>
        </w:tc>
        <w:tc>
          <w:tcPr>
            <w:tcW w:w="832" w:type="pct"/>
            <w:shd w:val="clear" w:color="auto" w:fill="auto"/>
            <w:vAlign w:val="center"/>
          </w:tcPr>
          <w:p w14:paraId="2717E9AE">
            <w:pPr>
              <w:jc w:val="center"/>
              <w:rPr>
                <w:szCs w:val="21"/>
              </w:rPr>
            </w:pPr>
            <w:r>
              <w:rPr>
                <w:rFonts w:hint="eastAsia"/>
                <w:szCs w:val="21"/>
              </w:rPr>
              <w:t>1</w:t>
            </w:r>
            <w:r>
              <w:rPr>
                <w:szCs w:val="21"/>
              </w:rPr>
              <w:t>台</w:t>
            </w:r>
          </w:p>
        </w:tc>
      </w:tr>
      <w:tr w14:paraId="0C493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shd w:val="clear" w:color="auto" w:fill="auto"/>
            <w:noWrap/>
            <w:vAlign w:val="center"/>
          </w:tcPr>
          <w:p w14:paraId="32FD4E61">
            <w:pPr>
              <w:jc w:val="center"/>
              <w:rPr>
                <w:szCs w:val="21"/>
                <w:lang w:bidi="ar"/>
              </w:rPr>
            </w:pPr>
          </w:p>
        </w:tc>
        <w:tc>
          <w:tcPr>
            <w:tcW w:w="678" w:type="pct"/>
            <w:vMerge w:val="continue"/>
            <w:shd w:val="clear" w:color="auto" w:fill="auto"/>
            <w:vAlign w:val="center"/>
          </w:tcPr>
          <w:p w14:paraId="0D0469CA">
            <w:pPr>
              <w:jc w:val="center"/>
              <w:rPr>
                <w:szCs w:val="21"/>
                <w:highlight w:val="yellow"/>
                <w:lang w:bidi="ar"/>
              </w:rPr>
            </w:pPr>
          </w:p>
        </w:tc>
        <w:tc>
          <w:tcPr>
            <w:tcW w:w="880" w:type="pct"/>
            <w:shd w:val="clear" w:color="auto" w:fill="auto"/>
            <w:noWrap/>
            <w:vAlign w:val="center"/>
          </w:tcPr>
          <w:p w14:paraId="0D99D00A">
            <w:pPr>
              <w:jc w:val="center"/>
              <w:rPr>
                <w:szCs w:val="21"/>
                <w:lang w:bidi="ar"/>
              </w:rPr>
            </w:pPr>
            <w:r>
              <w:rPr>
                <w:rFonts w:hint="eastAsia"/>
                <w:szCs w:val="21"/>
                <w:lang w:bidi="ar"/>
              </w:rPr>
              <w:t>振动夯锤</w:t>
            </w:r>
          </w:p>
        </w:tc>
        <w:tc>
          <w:tcPr>
            <w:tcW w:w="881" w:type="pct"/>
            <w:shd w:val="clear" w:color="auto" w:fill="auto"/>
            <w:noWrap/>
            <w:vAlign w:val="center"/>
          </w:tcPr>
          <w:p w14:paraId="4E551F6B">
            <w:pPr>
              <w:jc w:val="center"/>
              <w:rPr>
                <w:szCs w:val="21"/>
                <w:lang w:bidi="ar"/>
              </w:rPr>
            </w:pPr>
            <w:r>
              <w:rPr>
                <w:szCs w:val="21"/>
                <w:lang w:bidi="ar"/>
              </w:rPr>
              <w:t>流动不稳态源</w:t>
            </w:r>
          </w:p>
        </w:tc>
        <w:tc>
          <w:tcPr>
            <w:tcW w:w="1323" w:type="pct"/>
            <w:shd w:val="clear" w:color="auto" w:fill="auto"/>
            <w:noWrap/>
            <w:vAlign w:val="center"/>
          </w:tcPr>
          <w:p w14:paraId="0EA8A0A2">
            <w:pPr>
              <w:jc w:val="center"/>
              <w:rPr>
                <w:szCs w:val="21"/>
                <w:lang w:bidi="ar"/>
              </w:rPr>
            </w:pPr>
            <w:r>
              <w:rPr>
                <w:rFonts w:hint="eastAsia"/>
                <w:szCs w:val="21"/>
                <w:lang w:bidi="ar"/>
              </w:rPr>
              <w:t>92</w:t>
            </w:r>
          </w:p>
        </w:tc>
        <w:tc>
          <w:tcPr>
            <w:tcW w:w="832" w:type="pct"/>
            <w:shd w:val="clear" w:color="auto" w:fill="auto"/>
            <w:vAlign w:val="center"/>
          </w:tcPr>
          <w:p w14:paraId="518F4C17">
            <w:pPr>
              <w:jc w:val="center"/>
              <w:rPr>
                <w:szCs w:val="21"/>
              </w:rPr>
            </w:pPr>
            <w:r>
              <w:rPr>
                <w:rFonts w:hint="eastAsia"/>
                <w:szCs w:val="21"/>
              </w:rPr>
              <w:t>2</w:t>
            </w:r>
            <w:r>
              <w:rPr>
                <w:szCs w:val="21"/>
              </w:rPr>
              <w:t>台</w:t>
            </w:r>
          </w:p>
        </w:tc>
      </w:tr>
      <w:tr w14:paraId="70922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tcBorders>
              <w:bottom w:val="single" w:color="auto" w:sz="18" w:space="0"/>
            </w:tcBorders>
            <w:shd w:val="clear" w:color="auto" w:fill="auto"/>
            <w:noWrap/>
            <w:vAlign w:val="center"/>
          </w:tcPr>
          <w:p w14:paraId="1F0BEE14">
            <w:pPr>
              <w:jc w:val="center"/>
              <w:rPr>
                <w:szCs w:val="21"/>
                <w:lang w:bidi="ar"/>
              </w:rPr>
            </w:pPr>
          </w:p>
        </w:tc>
        <w:tc>
          <w:tcPr>
            <w:tcW w:w="678" w:type="pct"/>
            <w:vMerge w:val="continue"/>
            <w:tcBorders>
              <w:bottom w:val="single" w:color="auto" w:sz="18" w:space="0"/>
            </w:tcBorders>
            <w:shd w:val="clear" w:color="auto" w:fill="auto"/>
            <w:vAlign w:val="center"/>
          </w:tcPr>
          <w:p w14:paraId="1C65CBD0">
            <w:pPr>
              <w:jc w:val="center"/>
              <w:rPr>
                <w:szCs w:val="21"/>
                <w:highlight w:val="yellow"/>
                <w:lang w:bidi="ar"/>
              </w:rPr>
            </w:pPr>
          </w:p>
        </w:tc>
        <w:tc>
          <w:tcPr>
            <w:tcW w:w="880" w:type="pct"/>
            <w:tcBorders>
              <w:bottom w:val="single" w:color="auto" w:sz="18" w:space="0"/>
            </w:tcBorders>
            <w:shd w:val="clear" w:color="auto" w:fill="auto"/>
            <w:noWrap/>
            <w:vAlign w:val="center"/>
          </w:tcPr>
          <w:p w14:paraId="145DEDD4">
            <w:pPr>
              <w:jc w:val="center"/>
              <w:rPr>
                <w:szCs w:val="21"/>
                <w:lang w:bidi="ar"/>
              </w:rPr>
            </w:pPr>
            <w:r>
              <w:rPr>
                <w:rFonts w:hint="eastAsia"/>
                <w:szCs w:val="21"/>
                <w:lang w:bidi="ar"/>
              </w:rPr>
              <w:t>混凝土输送泵</w:t>
            </w:r>
          </w:p>
        </w:tc>
        <w:tc>
          <w:tcPr>
            <w:tcW w:w="881" w:type="pct"/>
            <w:tcBorders>
              <w:bottom w:val="single" w:color="auto" w:sz="18" w:space="0"/>
            </w:tcBorders>
            <w:shd w:val="clear" w:color="auto" w:fill="auto"/>
            <w:noWrap/>
            <w:vAlign w:val="center"/>
          </w:tcPr>
          <w:p w14:paraId="222A1808">
            <w:pPr>
              <w:jc w:val="center"/>
              <w:rPr>
                <w:szCs w:val="21"/>
                <w:lang w:bidi="ar"/>
              </w:rPr>
            </w:pPr>
            <w:r>
              <w:rPr>
                <w:szCs w:val="21"/>
                <w:lang w:bidi="ar"/>
              </w:rPr>
              <w:t>流动不稳定源</w:t>
            </w:r>
          </w:p>
        </w:tc>
        <w:tc>
          <w:tcPr>
            <w:tcW w:w="1323" w:type="pct"/>
            <w:tcBorders>
              <w:bottom w:val="single" w:color="auto" w:sz="18" w:space="0"/>
            </w:tcBorders>
            <w:shd w:val="clear" w:color="auto" w:fill="auto"/>
            <w:noWrap/>
            <w:vAlign w:val="center"/>
          </w:tcPr>
          <w:p w14:paraId="5C68A5DF">
            <w:pPr>
              <w:jc w:val="center"/>
              <w:rPr>
                <w:szCs w:val="21"/>
                <w:lang w:bidi="ar"/>
              </w:rPr>
            </w:pPr>
            <w:r>
              <w:rPr>
                <w:rFonts w:hint="eastAsia"/>
                <w:szCs w:val="21"/>
                <w:lang w:bidi="ar"/>
              </w:rPr>
              <w:t>88</w:t>
            </w:r>
          </w:p>
        </w:tc>
        <w:tc>
          <w:tcPr>
            <w:tcW w:w="832" w:type="pct"/>
            <w:tcBorders>
              <w:bottom w:val="single" w:color="auto" w:sz="18" w:space="0"/>
            </w:tcBorders>
            <w:shd w:val="clear" w:color="auto" w:fill="auto"/>
            <w:vAlign w:val="center"/>
          </w:tcPr>
          <w:p w14:paraId="35985880">
            <w:pPr>
              <w:jc w:val="center"/>
              <w:rPr>
                <w:szCs w:val="21"/>
              </w:rPr>
            </w:pPr>
            <w:r>
              <w:rPr>
                <w:rFonts w:hint="eastAsia"/>
                <w:szCs w:val="21"/>
              </w:rPr>
              <w:t>1</w:t>
            </w:r>
            <w:r>
              <w:rPr>
                <w:szCs w:val="21"/>
              </w:rPr>
              <w:t>台</w:t>
            </w:r>
          </w:p>
        </w:tc>
      </w:tr>
    </w:tbl>
    <w:p w14:paraId="3696E4DE">
      <w:pPr>
        <w:spacing w:line="500" w:lineRule="exact"/>
        <w:ind w:firstLine="480" w:firstLineChars="200"/>
        <w:rPr>
          <w:sz w:val="24"/>
        </w:rPr>
      </w:pPr>
      <w:r>
        <w:rPr>
          <w:sz w:val="24"/>
          <w:lang w:bidi="ar"/>
        </w:rPr>
        <w:t>施工期机械设备噪声特点如下：</w:t>
      </w:r>
    </w:p>
    <w:p w14:paraId="4D198D56">
      <w:pPr>
        <w:spacing w:line="500" w:lineRule="exact"/>
        <w:ind w:firstLine="480" w:firstLineChars="200"/>
        <w:rPr>
          <w:rFonts w:hint="eastAsia" w:ascii="宋体" w:hAnsi="宋体" w:cs="宋体"/>
          <w:sz w:val="24"/>
          <w:lang w:bidi="ar"/>
        </w:rPr>
      </w:pPr>
      <w:r>
        <w:rPr>
          <w:rFonts w:hint="eastAsia" w:ascii="宋体" w:hAnsi="宋体" w:cs="宋体"/>
          <w:sz w:val="24"/>
          <w:lang w:bidi="ar"/>
        </w:rPr>
        <w:t>①施工机械种类繁多，不同的施工阶段有不同的施工机械，同一施工阶段投入的施工机械也有多有少，这就使得施工噪声具有偶然性的特点。</w:t>
      </w:r>
    </w:p>
    <w:p w14:paraId="01367973">
      <w:pPr>
        <w:spacing w:line="500" w:lineRule="exact"/>
        <w:ind w:firstLine="480" w:firstLineChars="200"/>
        <w:rPr>
          <w:rFonts w:hint="eastAsia" w:ascii="宋体" w:hAnsi="宋体" w:cs="宋体"/>
          <w:sz w:val="24"/>
          <w:lang w:bidi="ar"/>
        </w:rPr>
      </w:pPr>
      <w:r>
        <w:rPr>
          <w:rFonts w:hint="eastAsia" w:ascii="宋体" w:hAnsi="宋体" w:cs="宋体"/>
          <w:sz w:val="24"/>
          <w:lang w:bidi="ar"/>
        </w:rPr>
        <w:t>②不同设备的噪声源特性不同，其中有些设备噪声呈振动式的、突发的及脉冲特性的，对人的影响较大；有些设备（如搅拌机）频率低沉，不易衰减，而且使人感觉烦躁；施工机械的噪声均较大，但它们之间声级相差仍很大，有些设备的运行噪声可高达90dB以上。</w:t>
      </w:r>
    </w:p>
    <w:p w14:paraId="7CCB71FF">
      <w:pPr>
        <w:spacing w:line="500" w:lineRule="exact"/>
        <w:ind w:firstLine="480" w:firstLineChars="200"/>
        <w:rPr>
          <w:rFonts w:hint="eastAsia" w:ascii="宋体" w:hAnsi="宋体" w:cs="宋体"/>
          <w:sz w:val="24"/>
          <w:lang w:bidi="ar"/>
        </w:rPr>
      </w:pPr>
      <w:r>
        <w:rPr>
          <w:rFonts w:hint="eastAsia" w:ascii="宋体" w:hAnsi="宋体" w:cs="宋体"/>
          <w:sz w:val="24"/>
          <w:lang w:bidi="ar"/>
        </w:rPr>
        <w:t xml:space="preserve">③施工噪声源与一般的固定噪声源有所不同，既有固定噪声源，又有流动噪声源，施工机械往往都是暴露在室外的，而且它们会在某段时间内在一定的小范围内移动，这与固定噪声源相比增加了这段时间内的噪声污染范围，但与流动噪声源相比施工噪声污染还是在局部范围内的。 </w:t>
      </w:r>
    </w:p>
    <w:p w14:paraId="14DB1363">
      <w:pPr>
        <w:spacing w:line="500" w:lineRule="exact"/>
        <w:ind w:firstLine="480" w:firstLineChars="200"/>
        <w:rPr>
          <w:b/>
          <w:bCs/>
          <w:sz w:val="24"/>
        </w:rPr>
      </w:pPr>
      <w:r>
        <w:rPr>
          <w:rFonts w:hint="eastAsia" w:ascii="宋体" w:hAnsi="宋体" w:cs="宋体"/>
          <w:sz w:val="24"/>
          <w:lang w:bidi="ar"/>
        </w:rPr>
        <w:t>④施工设备与其影响到的范围比相对较小，因此，施工设备噪声基本上可以算作是点声源</w:t>
      </w:r>
      <w:r>
        <w:rPr>
          <w:sz w:val="24"/>
          <w:lang w:bidi="ar"/>
        </w:rPr>
        <w:t>。</w:t>
      </w:r>
    </w:p>
    <w:p w14:paraId="2FFB0E29">
      <w:pPr>
        <w:autoSpaceDE w:val="0"/>
        <w:autoSpaceDN w:val="0"/>
        <w:adjustRightInd w:val="0"/>
        <w:spacing w:line="360" w:lineRule="auto"/>
        <w:ind w:firstLine="482" w:firstLineChars="200"/>
        <w:rPr>
          <w:b/>
          <w:bCs/>
          <w:kern w:val="0"/>
          <w:sz w:val="24"/>
        </w:rPr>
      </w:pPr>
    </w:p>
    <w:p w14:paraId="1DCD309D">
      <w:pPr>
        <w:autoSpaceDE w:val="0"/>
        <w:autoSpaceDN w:val="0"/>
        <w:adjustRightInd w:val="0"/>
        <w:spacing w:line="360" w:lineRule="auto"/>
        <w:ind w:firstLine="482" w:firstLineChars="200"/>
        <w:rPr>
          <w:b/>
          <w:bCs/>
          <w:kern w:val="0"/>
          <w:sz w:val="24"/>
        </w:rPr>
      </w:pPr>
    </w:p>
    <w:p w14:paraId="5D2E928A">
      <w:pPr>
        <w:autoSpaceDE w:val="0"/>
        <w:autoSpaceDN w:val="0"/>
        <w:adjustRightInd w:val="0"/>
        <w:spacing w:line="360" w:lineRule="auto"/>
        <w:ind w:firstLine="482" w:firstLineChars="200"/>
        <w:rPr>
          <w:b/>
          <w:bCs/>
          <w:kern w:val="0"/>
          <w:sz w:val="24"/>
        </w:rPr>
      </w:pPr>
    </w:p>
    <w:p w14:paraId="4F27BB5A">
      <w:pPr>
        <w:autoSpaceDE w:val="0"/>
        <w:autoSpaceDN w:val="0"/>
        <w:adjustRightInd w:val="0"/>
        <w:spacing w:line="360" w:lineRule="auto"/>
        <w:ind w:firstLine="482" w:firstLineChars="200"/>
        <w:rPr>
          <w:b/>
          <w:bCs/>
          <w:kern w:val="0"/>
          <w:sz w:val="24"/>
        </w:rPr>
        <w:sectPr>
          <w:pgSz w:w="11906" w:h="16838"/>
          <w:pgMar w:top="720" w:right="720" w:bottom="720" w:left="720" w:header="851" w:footer="567" w:gutter="0"/>
          <w:cols w:space="720" w:num="1"/>
          <w:docGrid w:linePitch="312" w:charSpace="0"/>
        </w:sectPr>
      </w:pPr>
    </w:p>
    <w:p w14:paraId="276546F1">
      <w:pPr>
        <w:autoSpaceDE w:val="0"/>
        <w:autoSpaceDN w:val="0"/>
        <w:adjustRightInd w:val="0"/>
        <w:spacing w:line="360" w:lineRule="auto"/>
        <w:ind w:firstLine="482" w:firstLineChars="200"/>
        <w:rPr>
          <w:b/>
          <w:bCs/>
          <w:kern w:val="0"/>
          <w:sz w:val="24"/>
        </w:rPr>
      </w:pPr>
      <w:r>
        <w:rPr>
          <w:b/>
          <w:bCs/>
          <w:kern w:val="0"/>
          <w:sz w:val="24"/>
        </w:rPr>
        <w:t>2.5 营运期噪声污染源分析</w:t>
      </w:r>
    </w:p>
    <w:p w14:paraId="49A476E0">
      <w:pPr>
        <w:spacing w:line="360" w:lineRule="auto"/>
        <w:ind w:firstLine="480" w:firstLineChars="200"/>
        <w:rPr>
          <w:sz w:val="24"/>
        </w:rPr>
      </w:pPr>
      <w:r>
        <w:rPr>
          <w:sz w:val="24"/>
          <w:lang w:bidi="ar"/>
        </w:rPr>
        <w:t>公路在运营期噪声主要是路面行驶的机动车。路面行驶的机动车产生的噪声主要来源于发动机噪声、排气噪声、车体震动噪声、冷却制动系统噪声、传动机械噪声等，另外车辆行驶中引起的气流湍动、轮胎与路面摩擦等也会产生噪声；路面平整度等原因而使高速行驶的汽车产生整车噪声。</w:t>
      </w:r>
    </w:p>
    <w:p w14:paraId="0363DBB9">
      <w:pPr>
        <w:spacing w:line="360" w:lineRule="auto"/>
        <w:ind w:firstLine="480" w:firstLineChars="200"/>
        <w:rPr>
          <w:sz w:val="24"/>
        </w:rPr>
      </w:pPr>
      <w:r>
        <w:rPr>
          <w:rFonts w:hint="eastAsia" w:ascii="宋体" w:hAnsi="宋体" w:cs="宋体"/>
          <w:sz w:val="24"/>
          <w:lang w:bidi="ar"/>
        </w:rPr>
        <w:t>①平均行驶车速的计算</w:t>
      </w:r>
    </w:p>
    <w:p w14:paraId="1C6D9D25">
      <w:pPr>
        <w:spacing w:line="360" w:lineRule="auto"/>
        <w:ind w:firstLine="480" w:firstLineChars="200"/>
        <w:rPr>
          <w:sz w:val="24"/>
        </w:rPr>
      </w:pPr>
      <w:r>
        <w:rPr>
          <w:rFonts w:hint="eastAsia"/>
          <w:sz w:val="24"/>
          <w:lang w:bidi="ar"/>
        </w:rPr>
        <w:t>车辆平均辐射声级</w:t>
      </w:r>
      <w:r>
        <w:rPr>
          <w:sz w:val="24"/>
          <w:lang w:bidi="ar"/>
        </w:rPr>
        <w:t>(源强)与车速、车辆类型有关，</w:t>
      </w:r>
      <w:r>
        <w:rPr>
          <w:rFonts w:hint="eastAsia"/>
          <w:sz w:val="24"/>
          <w:lang w:bidi="ar"/>
        </w:rPr>
        <w:t>综合考虑车流量预测结果及车辆通行实际情况，本项目各车型单车车速选取如表所示，《环境影响评价技术导则声环境》(HJ2.4-2021)中未提供各型车辆平均车速的计算方法，在此参考《公路建设项目环境影响评价规范》(JTG BO3-2006)中平均车速的计算方法</w:t>
      </w:r>
      <w:r>
        <w:rPr>
          <w:sz w:val="24"/>
          <w:lang w:bidi="ar"/>
        </w:rPr>
        <w:t>，各类型车的平均行驶速度按下式</w:t>
      </w:r>
      <w:r>
        <w:rPr>
          <w:rFonts w:hint="eastAsia"/>
          <w:sz w:val="24"/>
          <w:lang w:bidi="ar"/>
        </w:rPr>
        <w:t>计算：</w:t>
      </w:r>
    </w:p>
    <w:p w14:paraId="705F8F8C">
      <w:pPr>
        <w:ind w:firstLine="420" w:firstLineChars="200"/>
        <w:jc w:val="center"/>
        <w:rPr>
          <w:kern w:val="0"/>
          <w:sz w:val="24"/>
          <w:szCs w:val="21"/>
        </w:rPr>
      </w:pPr>
      <w:r>
        <w:drawing>
          <wp:inline distT="0" distB="0" distL="0" distR="0">
            <wp:extent cx="2956560" cy="752475"/>
            <wp:effectExtent l="0" t="0" r="0" b="9525"/>
            <wp:docPr id="1695041716" name="图片 1" descr="电脑屏幕的照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041716" name="图片 1" descr="电脑屏幕的照片&#10;&#10;低可信度描述已自动生成"/>
                    <pic:cNvPicPr>
                      <a:picLocks noChangeAspect="1"/>
                    </pic:cNvPicPr>
                  </pic:nvPicPr>
                  <pic:blipFill>
                    <a:blip r:embed="rId22"/>
                    <a:stretch>
                      <a:fillRect/>
                    </a:stretch>
                  </pic:blipFill>
                  <pic:spPr>
                    <a:xfrm>
                      <a:off x="0" y="0"/>
                      <a:ext cx="2968521" cy="755765"/>
                    </a:xfrm>
                    <a:prstGeom prst="rect">
                      <a:avLst/>
                    </a:prstGeom>
                  </pic:spPr>
                </pic:pic>
              </a:graphicData>
            </a:graphic>
          </wp:inline>
        </w:drawing>
      </w:r>
    </w:p>
    <w:p w14:paraId="17695F4D">
      <w:pPr>
        <w:ind w:firstLine="420" w:firstLineChars="200"/>
        <w:jc w:val="center"/>
        <w:rPr>
          <w:kern w:val="0"/>
          <w:sz w:val="24"/>
          <w:szCs w:val="21"/>
        </w:rPr>
      </w:pPr>
      <w:r>
        <w:drawing>
          <wp:inline distT="0" distB="0" distL="0" distR="0">
            <wp:extent cx="2279650" cy="416560"/>
            <wp:effectExtent l="0" t="0" r="6350" b="2540"/>
            <wp:docPr id="844292000"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292000" name="图片 1" descr="图片包含 图表&#10;&#10;描述已自动生成"/>
                    <pic:cNvPicPr>
                      <a:picLocks noChangeAspect="1"/>
                    </pic:cNvPicPr>
                  </pic:nvPicPr>
                  <pic:blipFill>
                    <a:blip r:embed="rId23"/>
                    <a:stretch>
                      <a:fillRect/>
                    </a:stretch>
                  </pic:blipFill>
                  <pic:spPr>
                    <a:xfrm>
                      <a:off x="0" y="0"/>
                      <a:ext cx="2298327" cy="420039"/>
                    </a:xfrm>
                    <a:prstGeom prst="rect">
                      <a:avLst/>
                    </a:prstGeom>
                  </pic:spPr>
                </pic:pic>
              </a:graphicData>
            </a:graphic>
          </wp:inline>
        </w:drawing>
      </w:r>
    </w:p>
    <w:p w14:paraId="77C8BB5B">
      <w:pPr>
        <w:adjustRightInd w:val="0"/>
        <w:snapToGrid w:val="0"/>
        <w:spacing w:line="520" w:lineRule="exact"/>
        <w:ind w:firstLine="480" w:firstLineChars="200"/>
        <w:rPr>
          <w:sz w:val="24"/>
          <w:szCs w:val="21"/>
        </w:rPr>
      </w:pPr>
      <w:r>
        <w:rPr>
          <w:sz w:val="24"/>
          <w:szCs w:val="21"/>
        </w:rPr>
        <w:t>式中：v</w:t>
      </w:r>
      <w:r>
        <w:rPr>
          <w:sz w:val="24"/>
          <w:szCs w:val="21"/>
          <w:vertAlign w:val="subscript"/>
        </w:rPr>
        <w:t>i</w:t>
      </w:r>
      <w:r>
        <w:rPr>
          <w:sz w:val="24"/>
          <w:szCs w:val="21"/>
        </w:rPr>
        <w:t>—第i种车型车辆的预测</w:t>
      </w:r>
      <w:r>
        <w:rPr>
          <w:rFonts w:hint="eastAsia"/>
          <w:sz w:val="24"/>
          <w:szCs w:val="21"/>
        </w:rPr>
        <w:t>平均</w:t>
      </w:r>
      <w:r>
        <w:rPr>
          <w:sz w:val="24"/>
          <w:szCs w:val="21"/>
        </w:rPr>
        <w:t xml:space="preserve">车速，km/h； </w:t>
      </w:r>
    </w:p>
    <w:p w14:paraId="75A0E6C8">
      <w:pPr>
        <w:adjustRightInd w:val="0"/>
        <w:snapToGrid w:val="0"/>
        <w:spacing w:line="520" w:lineRule="exact"/>
        <w:ind w:firstLine="480" w:firstLineChars="200"/>
        <w:rPr>
          <w:sz w:val="24"/>
          <w:szCs w:val="21"/>
        </w:rPr>
      </w:pPr>
      <w:r>
        <w:rPr>
          <w:sz w:val="24"/>
          <w:szCs w:val="21"/>
        </w:rPr>
        <w:t>V</w:t>
      </w:r>
      <w:r>
        <w:rPr>
          <w:rFonts w:hint="eastAsia"/>
          <w:sz w:val="24"/>
          <w:szCs w:val="21"/>
          <w:vertAlign w:val="subscript"/>
        </w:rPr>
        <w:t>d</w:t>
      </w:r>
      <w:r>
        <w:rPr>
          <w:sz w:val="24"/>
          <w:szCs w:val="21"/>
        </w:rPr>
        <w:t>—</w:t>
      </w:r>
      <w:r>
        <w:rPr>
          <w:rFonts w:hint="eastAsia"/>
          <w:sz w:val="24"/>
          <w:szCs w:val="21"/>
        </w:rPr>
        <w:t>设计车速，</w:t>
      </w:r>
      <w:r>
        <w:rPr>
          <w:sz w:val="24"/>
          <w:szCs w:val="21"/>
        </w:rPr>
        <w:t>km/h；</w:t>
      </w:r>
    </w:p>
    <w:p w14:paraId="5CF60144">
      <w:pPr>
        <w:adjustRightInd w:val="0"/>
        <w:snapToGrid w:val="0"/>
        <w:spacing w:line="520" w:lineRule="exact"/>
        <w:ind w:firstLine="480" w:firstLineChars="200"/>
        <w:rPr>
          <w:sz w:val="24"/>
          <w:szCs w:val="21"/>
        </w:rPr>
      </w:pPr>
      <w:r>
        <w:rPr>
          <w:sz w:val="24"/>
          <w:szCs w:val="21"/>
        </w:rPr>
        <w:t>u</w:t>
      </w:r>
      <w:r>
        <w:rPr>
          <w:sz w:val="24"/>
          <w:szCs w:val="21"/>
          <w:vertAlign w:val="subscript"/>
        </w:rPr>
        <w:t>i</w:t>
      </w:r>
      <w:r>
        <w:rPr>
          <w:sz w:val="24"/>
          <w:szCs w:val="21"/>
        </w:rPr>
        <w:t>—该车型的当量车数；</w:t>
      </w:r>
    </w:p>
    <w:p w14:paraId="774106B3">
      <w:pPr>
        <w:adjustRightInd w:val="0"/>
        <w:snapToGrid w:val="0"/>
        <w:spacing w:line="520" w:lineRule="exact"/>
        <w:ind w:firstLine="480" w:firstLineChars="200"/>
        <w:rPr>
          <w:sz w:val="24"/>
          <w:szCs w:val="21"/>
        </w:rPr>
      </w:pPr>
      <w:r>
        <w:rPr>
          <w:sz w:val="24"/>
          <w:szCs w:val="21"/>
        </w:rPr>
        <w:t>η</w:t>
      </w:r>
      <w:r>
        <w:rPr>
          <w:sz w:val="24"/>
          <w:szCs w:val="21"/>
          <w:vertAlign w:val="subscript"/>
        </w:rPr>
        <w:t>i</w:t>
      </w:r>
      <w:r>
        <w:rPr>
          <w:sz w:val="24"/>
          <w:szCs w:val="21"/>
        </w:rPr>
        <w:t>—该车型的车型比；</w:t>
      </w:r>
    </w:p>
    <w:p w14:paraId="6798CB07">
      <w:pPr>
        <w:adjustRightInd w:val="0"/>
        <w:snapToGrid w:val="0"/>
        <w:spacing w:line="520" w:lineRule="exact"/>
        <w:ind w:firstLine="480" w:firstLineChars="200"/>
        <w:rPr>
          <w:sz w:val="24"/>
          <w:szCs w:val="21"/>
        </w:rPr>
      </w:pPr>
      <w:r>
        <w:rPr>
          <w:sz w:val="24"/>
          <w:szCs w:val="21"/>
        </w:rPr>
        <w:t>vol—单车道车流量，辆/h；</w:t>
      </w:r>
    </w:p>
    <w:p w14:paraId="17AD1C12">
      <w:pPr>
        <w:adjustRightInd w:val="0"/>
        <w:snapToGrid w:val="0"/>
        <w:spacing w:line="520" w:lineRule="exact"/>
        <w:ind w:firstLine="480" w:firstLineChars="200"/>
        <w:rPr>
          <w:sz w:val="24"/>
          <w:szCs w:val="21"/>
          <w:lang w:val="zh-CN"/>
        </w:rPr>
      </w:pPr>
      <w:r>
        <w:rPr>
          <w:sz w:val="24"/>
          <w:szCs w:val="21"/>
          <w:lang w:val="zh-CN"/>
        </w:rPr>
        <w:t>m</w:t>
      </w:r>
      <w:r>
        <w:rPr>
          <w:sz w:val="24"/>
          <w:szCs w:val="21"/>
          <w:vertAlign w:val="subscript"/>
          <w:lang w:val="zh-CN"/>
        </w:rPr>
        <w:t>i</w:t>
      </w:r>
      <w:r>
        <w:rPr>
          <w:sz w:val="24"/>
          <w:szCs w:val="21"/>
          <w:lang w:val="zh-CN"/>
        </w:rPr>
        <w:t>—</w:t>
      </w:r>
      <w:r>
        <w:rPr>
          <w:sz w:val="24"/>
          <w:szCs w:val="21"/>
        </w:rPr>
        <w:t>该车型的</w:t>
      </w:r>
      <w:r>
        <w:rPr>
          <w:sz w:val="24"/>
          <w:szCs w:val="21"/>
          <w:lang w:val="zh-CN"/>
        </w:rPr>
        <w:t>加权系数。</w:t>
      </w:r>
    </w:p>
    <w:p w14:paraId="4AD048E2">
      <w:pPr>
        <w:adjustRightInd w:val="0"/>
        <w:snapToGrid w:val="0"/>
        <w:spacing w:line="520" w:lineRule="exact"/>
        <w:ind w:firstLine="480" w:firstLineChars="200"/>
        <w:rPr>
          <w:sz w:val="24"/>
          <w:szCs w:val="21"/>
        </w:rPr>
      </w:pPr>
      <w:r>
        <w:rPr>
          <w:sz w:val="24"/>
          <w:szCs w:val="21"/>
        </w:rPr>
        <w:t>k1、k2、k3、k4</w:t>
      </w:r>
      <w:r>
        <w:rPr>
          <w:rFonts w:hint="eastAsia"/>
          <w:sz w:val="24"/>
          <w:szCs w:val="21"/>
        </w:rPr>
        <w:t>、mi</w:t>
      </w:r>
      <w:r>
        <w:rPr>
          <w:sz w:val="24"/>
          <w:szCs w:val="21"/>
        </w:rPr>
        <w:t>分别为系数，按</w:t>
      </w:r>
      <w:r>
        <w:rPr>
          <w:rFonts w:hint="eastAsia"/>
          <w:sz w:val="24"/>
          <w:szCs w:val="21"/>
        </w:rPr>
        <w:t>下表</w:t>
      </w:r>
      <w:r>
        <w:rPr>
          <w:sz w:val="24"/>
          <w:szCs w:val="21"/>
        </w:rPr>
        <w:t>取值。</w:t>
      </w:r>
    </w:p>
    <w:p w14:paraId="7F316630">
      <w:pPr>
        <w:spacing w:line="520" w:lineRule="exact"/>
        <w:ind w:firstLine="422" w:firstLineChars="200"/>
        <w:jc w:val="center"/>
        <w:rPr>
          <w:b/>
          <w:bCs/>
          <w:szCs w:val="21"/>
        </w:rPr>
      </w:pPr>
      <w:r>
        <w:rPr>
          <w:b/>
          <w:bCs/>
          <w:szCs w:val="21"/>
        </w:rPr>
        <w:t>表2.</w:t>
      </w:r>
      <w:r>
        <w:rPr>
          <w:rFonts w:hint="eastAsia"/>
          <w:b/>
          <w:bCs/>
          <w:szCs w:val="21"/>
        </w:rPr>
        <w:t>5</w:t>
      </w:r>
      <w:r>
        <w:rPr>
          <w:b/>
          <w:bCs/>
          <w:szCs w:val="21"/>
        </w:rPr>
        <w:t>-</w:t>
      </w:r>
      <w:r>
        <w:rPr>
          <w:rFonts w:hint="eastAsia"/>
          <w:b/>
          <w:bCs/>
          <w:szCs w:val="21"/>
        </w:rPr>
        <w:t>1</w:t>
      </w:r>
      <w:r>
        <w:rPr>
          <w:b/>
          <w:bCs/>
          <w:szCs w:val="21"/>
        </w:rPr>
        <w:t xml:space="preserve"> 车速计算公式系数</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1780"/>
        <w:gridCol w:w="1780"/>
        <w:gridCol w:w="1780"/>
        <w:gridCol w:w="1781"/>
        <w:gridCol w:w="1781"/>
      </w:tblGrid>
      <w:tr w14:paraId="15037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3" w:type="pct"/>
            <w:tcBorders>
              <w:top w:val="single" w:color="auto" w:sz="18" w:space="0"/>
            </w:tcBorders>
            <w:shd w:val="clear" w:color="auto" w:fill="auto"/>
            <w:vAlign w:val="center"/>
          </w:tcPr>
          <w:p w14:paraId="6CD01757">
            <w:pPr>
              <w:jc w:val="center"/>
              <w:rPr>
                <w:b/>
                <w:bCs/>
                <w:szCs w:val="21"/>
              </w:rPr>
            </w:pPr>
            <w:r>
              <w:rPr>
                <w:b/>
                <w:bCs/>
                <w:szCs w:val="21"/>
              </w:rPr>
              <w:t>车型</w:t>
            </w:r>
          </w:p>
        </w:tc>
        <w:tc>
          <w:tcPr>
            <w:tcW w:w="833" w:type="pct"/>
            <w:tcBorders>
              <w:top w:val="single" w:color="auto" w:sz="18" w:space="0"/>
            </w:tcBorders>
            <w:shd w:val="clear" w:color="auto" w:fill="auto"/>
            <w:vAlign w:val="center"/>
          </w:tcPr>
          <w:p w14:paraId="207BB7B5">
            <w:pPr>
              <w:jc w:val="center"/>
              <w:rPr>
                <w:b/>
                <w:bCs/>
                <w:szCs w:val="21"/>
              </w:rPr>
            </w:pPr>
            <w:r>
              <w:rPr>
                <w:b/>
                <w:bCs/>
                <w:szCs w:val="21"/>
              </w:rPr>
              <w:t>k</w:t>
            </w:r>
            <w:r>
              <w:rPr>
                <w:b/>
                <w:bCs/>
                <w:szCs w:val="21"/>
                <w:vertAlign w:val="subscript"/>
              </w:rPr>
              <w:t>1</w:t>
            </w:r>
          </w:p>
        </w:tc>
        <w:tc>
          <w:tcPr>
            <w:tcW w:w="833" w:type="pct"/>
            <w:tcBorders>
              <w:top w:val="single" w:color="auto" w:sz="18" w:space="0"/>
            </w:tcBorders>
            <w:shd w:val="clear" w:color="auto" w:fill="auto"/>
            <w:vAlign w:val="center"/>
          </w:tcPr>
          <w:p w14:paraId="5BCB0704">
            <w:pPr>
              <w:jc w:val="center"/>
              <w:rPr>
                <w:b/>
                <w:bCs/>
                <w:szCs w:val="21"/>
              </w:rPr>
            </w:pPr>
            <w:r>
              <w:rPr>
                <w:b/>
                <w:bCs/>
                <w:szCs w:val="21"/>
              </w:rPr>
              <w:t>k</w:t>
            </w:r>
            <w:r>
              <w:rPr>
                <w:b/>
                <w:bCs/>
                <w:szCs w:val="21"/>
                <w:vertAlign w:val="subscript"/>
              </w:rPr>
              <w:t>2</w:t>
            </w:r>
          </w:p>
        </w:tc>
        <w:tc>
          <w:tcPr>
            <w:tcW w:w="833" w:type="pct"/>
            <w:tcBorders>
              <w:top w:val="single" w:color="auto" w:sz="18" w:space="0"/>
            </w:tcBorders>
            <w:shd w:val="clear" w:color="auto" w:fill="auto"/>
            <w:vAlign w:val="center"/>
          </w:tcPr>
          <w:p w14:paraId="5C25DE48">
            <w:pPr>
              <w:jc w:val="center"/>
              <w:rPr>
                <w:b/>
                <w:bCs/>
                <w:szCs w:val="21"/>
              </w:rPr>
            </w:pPr>
            <w:r>
              <w:rPr>
                <w:b/>
                <w:bCs/>
                <w:szCs w:val="21"/>
              </w:rPr>
              <w:t>k</w:t>
            </w:r>
            <w:r>
              <w:rPr>
                <w:b/>
                <w:bCs/>
                <w:szCs w:val="21"/>
                <w:vertAlign w:val="subscript"/>
              </w:rPr>
              <w:t>3</w:t>
            </w:r>
          </w:p>
        </w:tc>
        <w:tc>
          <w:tcPr>
            <w:tcW w:w="833" w:type="pct"/>
            <w:tcBorders>
              <w:top w:val="single" w:color="auto" w:sz="18" w:space="0"/>
            </w:tcBorders>
            <w:shd w:val="clear" w:color="auto" w:fill="auto"/>
            <w:vAlign w:val="center"/>
          </w:tcPr>
          <w:p w14:paraId="39CAD506">
            <w:pPr>
              <w:jc w:val="center"/>
              <w:rPr>
                <w:b/>
                <w:bCs/>
                <w:szCs w:val="21"/>
              </w:rPr>
            </w:pPr>
            <w:r>
              <w:rPr>
                <w:b/>
                <w:bCs/>
                <w:szCs w:val="21"/>
              </w:rPr>
              <w:t>k</w:t>
            </w:r>
            <w:r>
              <w:rPr>
                <w:b/>
                <w:bCs/>
                <w:szCs w:val="21"/>
                <w:vertAlign w:val="subscript"/>
              </w:rPr>
              <w:t>4</w:t>
            </w:r>
          </w:p>
        </w:tc>
        <w:tc>
          <w:tcPr>
            <w:tcW w:w="833" w:type="pct"/>
            <w:tcBorders>
              <w:top w:val="single" w:color="auto" w:sz="18" w:space="0"/>
            </w:tcBorders>
            <w:shd w:val="clear" w:color="auto" w:fill="auto"/>
            <w:vAlign w:val="center"/>
          </w:tcPr>
          <w:p w14:paraId="52B91FAF">
            <w:pPr>
              <w:jc w:val="center"/>
              <w:rPr>
                <w:b/>
                <w:bCs/>
                <w:szCs w:val="21"/>
              </w:rPr>
            </w:pPr>
            <w:r>
              <w:rPr>
                <w:b/>
                <w:bCs/>
                <w:szCs w:val="21"/>
              </w:rPr>
              <w:t>m</w:t>
            </w:r>
            <w:r>
              <w:rPr>
                <w:b/>
                <w:bCs/>
                <w:szCs w:val="21"/>
                <w:vertAlign w:val="subscript"/>
              </w:rPr>
              <w:t>i</w:t>
            </w:r>
          </w:p>
        </w:tc>
      </w:tr>
      <w:tr w14:paraId="56AA7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3" w:type="pct"/>
            <w:shd w:val="clear" w:color="auto" w:fill="auto"/>
            <w:vAlign w:val="center"/>
          </w:tcPr>
          <w:p w14:paraId="1A1260B5">
            <w:pPr>
              <w:jc w:val="center"/>
              <w:rPr>
                <w:bCs/>
                <w:szCs w:val="21"/>
              </w:rPr>
            </w:pPr>
            <w:r>
              <w:rPr>
                <w:szCs w:val="21"/>
              </w:rPr>
              <w:t>小型车</w:t>
            </w:r>
          </w:p>
        </w:tc>
        <w:tc>
          <w:tcPr>
            <w:tcW w:w="833" w:type="pct"/>
            <w:shd w:val="clear" w:color="auto" w:fill="auto"/>
            <w:vAlign w:val="center"/>
          </w:tcPr>
          <w:p w14:paraId="46E0D3E9">
            <w:pPr>
              <w:jc w:val="center"/>
              <w:rPr>
                <w:szCs w:val="21"/>
              </w:rPr>
            </w:pPr>
            <w:r>
              <w:rPr>
                <w:szCs w:val="21"/>
              </w:rPr>
              <w:t>-0.061748</w:t>
            </w:r>
          </w:p>
        </w:tc>
        <w:tc>
          <w:tcPr>
            <w:tcW w:w="833" w:type="pct"/>
            <w:shd w:val="clear" w:color="auto" w:fill="auto"/>
            <w:vAlign w:val="center"/>
          </w:tcPr>
          <w:p w14:paraId="1587CD1E">
            <w:pPr>
              <w:jc w:val="center"/>
              <w:rPr>
                <w:szCs w:val="21"/>
              </w:rPr>
            </w:pPr>
            <w:r>
              <w:rPr>
                <w:szCs w:val="21"/>
              </w:rPr>
              <w:t>149.65</w:t>
            </w:r>
          </w:p>
        </w:tc>
        <w:tc>
          <w:tcPr>
            <w:tcW w:w="833" w:type="pct"/>
            <w:shd w:val="clear" w:color="auto" w:fill="auto"/>
            <w:vAlign w:val="center"/>
          </w:tcPr>
          <w:p w14:paraId="0F5945A7">
            <w:pPr>
              <w:jc w:val="center"/>
              <w:rPr>
                <w:szCs w:val="21"/>
              </w:rPr>
            </w:pPr>
            <w:r>
              <w:rPr>
                <w:szCs w:val="21"/>
              </w:rPr>
              <w:t>-0.000023696</w:t>
            </w:r>
          </w:p>
        </w:tc>
        <w:tc>
          <w:tcPr>
            <w:tcW w:w="833" w:type="pct"/>
            <w:shd w:val="clear" w:color="auto" w:fill="auto"/>
            <w:vAlign w:val="center"/>
          </w:tcPr>
          <w:p w14:paraId="3C819C5E">
            <w:pPr>
              <w:jc w:val="center"/>
              <w:rPr>
                <w:szCs w:val="21"/>
              </w:rPr>
            </w:pPr>
            <w:r>
              <w:rPr>
                <w:szCs w:val="21"/>
              </w:rPr>
              <w:t>-0.02099</w:t>
            </w:r>
          </w:p>
        </w:tc>
        <w:tc>
          <w:tcPr>
            <w:tcW w:w="833" w:type="pct"/>
            <w:shd w:val="clear" w:color="auto" w:fill="auto"/>
            <w:vAlign w:val="center"/>
          </w:tcPr>
          <w:p w14:paraId="5DDFB63A">
            <w:pPr>
              <w:jc w:val="center"/>
              <w:rPr>
                <w:szCs w:val="21"/>
              </w:rPr>
            </w:pPr>
            <w:r>
              <w:rPr>
                <w:szCs w:val="21"/>
              </w:rPr>
              <w:t>1.2102</w:t>
            </w:r>
          </w:p>
        </w:tc>
      </w:tr>
      <w:tr w14:paraId="0723F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3" w:type="pct"/>
            <w:shd w:val="clear" w:color="auto" w:fill="auto"/>
            <w:vAlign w:val="center"/>
          </w:tcPr>
          <w:p w14:paraId="4D64FCC8">
            <w:pPr>
              <w:jc w:val="center"/>
              <w:rPr>
                <w:bCs/>
                <w:szCs w:val="21"/>
              </w:rPr>
            </w:pPr>
            <w:r>
              <w:rPr>
                <w:szCs w:val="21"/>
              </w:rPr>
              <w:t>中型车</w:t>
            </w:r>
          </w:p>
        </w:tc>
        <w:tc>
          <w:tcPr>
            <w:tcW w:w="833" w:type="pct"/>
            <w:shd w:val="clear" w:color="auto" w:fill="auto"/>
            <w:vAlign w:val="center"/>
          </w:tcPr>
          <w:p w14:paraId="733C0891">
            <w:pPr>
              <w:jc w:val="center"/>
              <w:rPr>
                <w:szCs w:val="21"/>
              </w:rPr>
            </w:pPr>
            <w:r>
              <w:rPr>
                <w:szCs w:val="21"/>
              </w:rPr>
              <w:t>-0.0519</w:t>
            </w:r>
          </w:p>
        </w:tc>
        <w:tc>
          <w:tcPr>
            <w:tcW w:w="833" w:type="pct"/>
            <w:shd w:val="clear" w:color="auto" w:fill="auto"/>
            <w:vAlign w:val="center"/>
          </w:tcPr>
          <w:p w14:paraId="36BEFEA5">
            <w:pPr>
              <w:jc w:val="center"/>
              <w:rPr>
                <w:szCs w:val="21"/>
              </w:rPr>
            </w:pPr>
            <w:r>
              <w:rPr>
                <w:szCs w:val="21"/>
              </w:rPr>
              <w:t>149.39</w:t>
            </w:r>
          </w:p>
        </w:tc>
        <w:tc>
          <w:tcPr>
            <w:tcW w:w="833" w:type="pct"/>
            <w:shd w:val="clear" w:color="auto" w:fill="auto"/>
            <w:vAlign w:val="center"/>
          </w:tcPr>
          <w:p w14:paraId="198B1C0E">
            <w:pPr>
              <w:jc w:val="center"/>
              <w:rPr>
                <w:szCs w:val="21"/>
              </w:rPr>
            </w:pPr>
            <w:r>
              <w:rPr>
                <w:szCs w:val="21"/>
              </w:rPr>
              <w:t>-0.000014202</w:t>
            </w:r>
          </w:p>
        </w:tc>
        <w:tc>
          <w:tcPr>
            <w:tcW w:w="833" w:type="pct"/>
            <w:shd w:val="clear" w:color="auto" w:fill="auto"/>
            <w:vAlign w:val="center"/>
          </w:tcPr>
          <w:p w14:paraId="256ECDDA">
            <w:pPr>
              <w:jc w:val="center"/>
              <w:rPr>
                <w:szCs w:val="21"/>
              </w:rPr>
            </w:pPr>
            <w:r>
              <w:rPr>
                <w:szCs w:val="21"/>
              </w:rPr>
              <w:t>-0.01254</w:t>
            </w:r>
          </w:p>
        </w:tc>
        <w:tc>
          <w:tcPr>
            <w:tcW w:w="833" w:type="pct"/>
            <w:shd w:val="clear" w:color="auto" w:fill="auto"/>
            <w:vAlign w:val="center"/>
          </w:tcPr>
          <w:p w14:paraId="5EB009C3">
            <w:pPr>
              <w:jc w:val="center"/>
              <w:rPr>
                <w:szCs w:val="21"/>
              </w:rPr>
            </w:pPr>
            <w:r>
              <w:rPr>
                <w:szCs w:val="21"/>
              </w:rPr>
              <w:t>0.70957</w:t>
            </w:r>
          </w:p>
        </w:tc>
      </w:tr>
      <w:tr w14:paraId="3477C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3" w:type="pct"/>
            <w:tcBorders>
              <w:bottom w:val="single" w:color="auto" w:sz="18" w:space="0"/>
            </w:tcBorders>
            <w:shd w:val="clear" w:color="auto" w:fill="auto"/>
            <w:vAlign w:val="center"/>
          </w:tcPr>
          <w:p w14:paraId="10680A09">
            <w:pPr>
              <w:jc w:val="center"/>
              <w:rPr>
                <w:bCs/>
                <w:szCs w:val="21"/>
              </w:rPr>
            </w:pPr>
            <w:r>
              <w:rPr>
                <w:szCs w:val="21"/>
              </w:rPr>
              <w:t>大型车</w:t>
            </w:r>
          </w:p>
        </w:tc>
        <w:tc>
          <w:tcPr>
            <w:tcW w:w="833" w:type="pct"/>
            <w:tcBorders>
              <w:bottom w:val="single" w:color="auto" w:sz="18" w:space="0"/>
            </w:tcBorders>
            <w:shd w:val="clear" w:color="auto" w:fill="auto"/>
            <w:vAlign w:val="center"/>
          </w:tcPr>
          <w:p w14:paraId="3FBA8CC9">
            <w:pPr>
              <w:jc w:val="center"/>
              <w:rPr>
                <w:szCs w:val="21"/>
              </w:rPr>
            </w:pPr>
            <w:r>
              <w:rPr>
                <w:szCs w:val="21"/>
              </w:rPr>
              <w:t>-0.0519</w:t>
            </w:r>
          </w:p>
        </w:tc>
        <w:tc>
          <w:tcPr>
            <w:tcW w:w="833" w:type="pct"/>
            <w:tcBorders>
              <w:bottom w:val="single" w:color="auto" w:sz="18" w:space="0"/>
            </w:tcBorders>
            <w:shd w:val="clear" w:color="auto" w:fill="auto"/>
            <w:vAlign w:val="center"/>
          </w:tcPr>
          <w:p w14:paraId="523FC969">
            <w:pPr>
              <w:jc w:val="center"/>
              <w:rPr>
                <w:szCs w:val="21"/>
              </w:rPr>
            </w:pPr>
            <w:r>
              <w:rPr>
                <w:szCs w:val="21"/>
              </w:rPr>
              <w:t>149.39</w:t>
            </w:r>
          </w:p>
        </w:tc>
        <w:tc>
          <w:tcPr>
            <w:tcW w:w="833" w:type="pct"/>
            <w:tcBorders>
              <w:bottom w:val="single" w:color="auto" w:sz="18" w:space="0"/>
            </w:tcBorders>
            <w:shd w:val="clear" w:color="auto" w:fill="auto"/>
            <w:vAlign w:val="center"/>
          </w:tcPr>
          <w:p w14:paraId="28C16901">
            <w:pPr>
              <w:jc w:val="center"/>
              <w:rPr>
                <w:szCs w:val="21"/>
              </w:rPr>
            </w:pPr>
            <w:r>
              <w:rPr>
                <w:szCs w:val="21"/>
              </w:rPr>
              <w:t>-0.000014202</w:t>
            </w:r>
          </w:p>
        </w:tc>
        <w:tc>
          <w:tcPr>
            <w:tcW w:w="833" w:type="pct"/>
            <w:tcBorders>
              <w:bottom w:val="single" w:color="auto" w:sz="18" w:space="0"/>
            </w:tcBorders>
            <w:shd w:val="clear" w:color="auto" w:fill="auto"/>
            <w:vAlign w:val="center"/>
          </w:tcPr>
          <w:p w14:paraId="41864E29">
            <w:pPr>
              <w:jc w:val="center"/>
              <w:rPr>
                <w:szCs w:val="21"/>
              </w:rPr>
            </w:pPr>
            <w:r>
              <w:rPr>
                <w:szCs w:val="21"/>
              </w:rPr>
              <w:t>-0.01254</w:t>
            </w:r>
          </w:p>
        </w:tc>
        <w:tc>
          <w:tcPr>
            <w:tcW w:w="833" w:type="pct"/>
            <w:tcBorders>
              <w:bottom w:val="single" w:color="auto" w:sz="18" w:space="0"/>
            </w:tcBorders>
            <w:shd w:val="clear" w:color="auto" w:fill="auto"/>
            <w:vAlign w:val="center"/>
          </w:tcPr>
          <w:p w14:paraId="3702F2BC">
            <w:pPr>
              <w:jc w:val="center"/>
              <w:rPr>
                <w:szCs w:val="21"/>
              </w:rPr>
            </w:pPr>
            <w:r>
              <w:rPr>
                <w:szCs w:val="21"/>
              </w:rPr>
              <w:t>0.70957</w:t>
            </w:r>
          </w:p>
        </w:tc>
      </w:tr>
    </w:tbl>
    <w:p w14:paraId="1777CF1A">
      <w:pPr>
        <w:spacing w:line="500" w:lineRule="exact"/>
        <w:ind w:firstLine="480" w:firstLineChars="200"/>
        <w:rPr>
          <w:sz w:val="24"/>
          <w:lang w:bidi="ar"/>
        </w:rPr>
      </w:pPr>
      <w:r>
        <w:rPr>
          <w:sz w:val="24"/>
          <w:lang w:bidi="ar"/>
        </w:rPr>
        <w:t>本项目为城市主干路，设计车速为60km/h，结合本项目各道路交通量预测结果，计算得本项目不同时段各类型车辆的平均行驶速度计算结果，详见下表</w:t>
      </w:r>
    </w:p>
    <w:p w14:paraId="1EF9CE40">
      <w:pPr>
        <w:spacing w:line="520" w:lineRule="exact"/>
        <w:ind w:firstLine="422" w:firstLineChars="200"/>
        <w:jc w:val="center"/>
      </w:pPr>
      <w:r>
        <w:rPr>
          <w:b/>
          <w:bCs/>
          <w:szCs w:val="21"/>
        </w:rPr>
        <w:t>表2.</w:t>
      </w:r>
      <w:r>
        <w:rPr>
          <w:rFonts w:hint="eastAsia"/>
          <w:b/>
          <w:bCs/>
          <w:szCs w:val="21"/>
        </w:rPr>
        <w:t>5</w:t>
      </w:r>
      <w:r>
        <w:rPr>
          <w:b/>
          <w:bCs/>
          <w:szCs w:val="21"/>
        </w:rPr>
        <w:t>-</w:t>
      </w:r>
      <w:r>
        <w:rPr>
          <w:rFonts w:hint="eastAsia"/>
          <w:b/>
          <w:bCs/>
          <w:szCs w:val="21"/>
        </w:rPr>
        <w:t>2</w:t>
      </w:r>
      <w:r>
        <w:rPr>
          <w:b/>
          <w:bCs/>
          <w:szCs w:val="21"/>
        </w:rPr>
        <w:t>本项目各特征预测年昼间、夜间</w:t>
      </w:r>
      <w:r>
        <w:rPr>
          <w:rFonts w:hint="eastAsia"/>
          <w:b/>
          <w:bCs/>
          <w:szCs w:val="21"/>
        </w:rPr>
        <w:t>、高峰</w:t>
      </w:r>
      <w:r>
        <w:rPr>
          <w:b/>
          <w:bCs/>
          <w:szCs w:val="21"/>
        </w:rPr>
        <w:t xml:space="preserve">各车型的平均车速一览表  </w:t>
      </w:r>
      <w:r>
        <w:rPr>
          <w:rFonts w:hint="eastAsia"/>
          <w:b/>
          <w:bCs/>
          <w:szCs w:val="21"/>
        </w:rPr>
        <w:t>单位:</w:t>
      </w:r>
      <w:r>
        <w:rPr>
          <w:b/>
          <w:bCs/>
          <w:szCs w:val="21"/>
        </w:rPr>
        <w:t>km/h</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891"/>
        <w:gridCol w:w="923"/>
        <w:gridCol w:w="1194"/>
        <w:gridCol w:w="981"/>
        <w:gridCol w:w="981"/>
        <w:gridCol w:w="981"/>
        <w:gridCol w:w="989"/>
        <w:gridCol w:w="981"/>
        <w:gridCol w:w="981"/>
        <w:gridCol w:w="974"/>
      </w:tblGrid>
      <w:tr w14:paraId="6B4E0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7" w:type="pct"/>
            <w:vMerge w:val="restart"/>
            <w:tcBorders>
              <w:top w:val="single" w:color="auto" w:sz="18" w:space="0"/>
            </w:tcBorders>
            <w:shd w:val="clear" w:color="auto" w:fill="auto"/>
            <w:vAlign w:val="center"/>
          </w:tcPr>
          <w:p w14:paraId="6CC8D552">
            <w:pPr>
              <w:jc w:val="center"/>
              <w:rPr>
                <w:b/>
                <w:bCs/>
                <w:kern w:val="0"/>
                <w:szCs w:val="21"/>
              </w:rPr>
            </w:pPr>
            <w:r>
              <w:rPr>
                <w:rFonts w:hint="eastAsia"/>
                <w:b/>
                <w:bCs/>
                <w:kern w:val="0"/>
                <w:szCs w:val="21"/>
              </w:rPr>
              <w:t>路段</w:t>
            </w:r>
          </w:p>
        </w:tc>
        <w:tc>
          <w:tcPr>
            <w:tcW w:w="417" w:type="pct"/>
            <w:vMerge w:val="restart"/>
            <w:tcBorders>
              <w:top w:val="single" w:color="auto" w:sz="18" w:space="0"/>
            </w:tcBorders>
            <w:shd w:val="clear" w:color="auto" w:fill="auto"/>
            <w:vAlign w:val="center"/>
          </w:tcPr>
          <w:p w14:paraId="7AA2754B">
            <w:pPr>
              <w:jc w:val="center"/>
              <w:rPr>
                <w:b/>
                <w:bCs/>
                <w:kern w:val="0"/>
                <w:szCs w:val="21"/>
              </w:rPr>
            </w:pPr>
            <w:r>
              <w:rPr>
                <w:rFonts w:hint="eastAsia"/>
                <w:b/>
                <w:bCs/>
                <w:kern w:val="0"/>
                <w:szCs w:val="21"/>
              </w:rPr>
              <w:t>预测年</w:t>
            </w:r>
          </w:p>
        </w:tc>
        <w:tc>
          <w:tcPr>
            <w:tcW w:w="1450" w:type="pct"/>
            <w:gridSpan w:val="3"/>
            <w:tcBorders>
              <w:top w:val="single" w:color="auto" w:sz="18" w:space="0"/>
            </w:tcBorders>
            <w:shd w:val="clear" w:color="auto" w:fill="auto"/>
            <w:vAlign w:val="center"/>
          </w:tcPr>
          <w:p w14:paraId="26707085">
            <w:pPr>
              <w:jc w:val="center"/>
              <w:rPr>
                <w:b/>
                <w:bCs/>
                <w:kern w:val="0"/>
                <w:szCs w:val="21"/>
              </w:rPr>
            </w:pPr>
            <w:r>
              <w:rPr>
                <w:rFonts w:hint="eastAsia"/>
                <w:b/>
                <w:bCs/>
                <w:kern w:val="0"/>
                <w:szCs w:val="21"/>
              </w:rPr>
              <w:t>高峰时段</w:t>
            </w:r>
          </w:p>
        </w:tc>
        <w:tc>
          <w:tcPr>
            <w:tcW w:w="1381" w:type="pct"/>
            <w:gridSpan w:val="3"/>
            <w:tcBorders>
              <w:top w:val="single" w:color="auto" w:sz="18" w:space="0"/>
            </w:tcBorders>
            <w:shd w:val="clear" w:color="auto" w:fill="auto"/>
            <w:vAlign w:val="center"/>
          </w:tcPr>
          <w:p w14:paraId="7A6148A7">
            <w:pPr>
              <w:jc w:val="center"/>
              <w:rPr>
                <w:b/>
                <w:bCs/>
                <w:kern w:val="0"/>
                <w:szCs w:val="21"/>
              </w:rPr>
            </w:pPr>
            <w:r>
              <w:rPr>
                <w:rFonts w:hint="eastAsia"/>
                <w:b/>
                <w:bCs/>
                <w:kern w:val="0"/>
                <w:szCs w:val="21"/>
              </w:rPr>
              <w:t>昼间时段</w:t>
            </w:r>
          </w:p>
        </w:tc>
        <w:tc>
          <w:tcPr>
            <w:tcW w:w="1374" w:type="pct"/>
            <w:gridSpan w:val="3"/>
            <w:tcBorders>
              <w:top w:val="single" w:color="auto" w:sz="18" w:space="0"/>
            </w:tcBorders>
            <w:shd w:val="clear" w:color="auto" w:fill="auto"/>
            <w:vAlign w:val="center"/>
          </w:tcPr>
          <w:p w14:paraId="542F0C5F">
            <w:pPr>
              <w:jc w:val="center"/>
              <w:rPr>
                <w:b/>
                <w:bCs/>
                <w:kern w:val="0"/>
                <w:szCs w:val="21"/>
              </w:rPr>
            </w:pPr>
            <w:r>
              <w:rPr>
                <w:rFonts w:hint="eastAsia"/>
                <w:b/>
                <w:bCs/>
                <w:kern w:val="0"/>
                <w:szCs w:val="21"/>
              </w:rPr>
              <w:t>夜间时段</w:t>
            </w:r>
          </w:p>
        </w:tc>
      </w:tr>
      <w:tr w14:paraId="1CF76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7" w:type="pct"/>
            <w:vMerge w:val="continue"/>
            <w:shd w:val="clear" w:color="auto" w:fill="auto"/>
            <w:vAlign w:val="center"/>
          </w:tcPr>
          <w:p w14:paraId="7290AB7B">
            <w:pPr>
              <w:jc w:val="center"/>
              <w:rPr>
                <w:b/>
                <w:bCs/>
                <w:kern w:val="0"/>
                <w:szCs w:val="21"/>
              </w:rPr>
            </w:pPr>
          </w:p>
        </w:tc>
        <w:tc>
          <w:tcPr>
            <w:tcW w:w="417" w:type="pct"/>
            <w:vMerge w:val="continue"/>
            <w:shd w:val="clear" w:color="auto" w:fill="auto"/>
            <w:vAlign w:val="center"/>
          </w:tcPr>
          <w:p w14:paraId="3DFA0415">
            <w:pPr>
              <w:jc w:val="center"/>
              <w:rPr>
                <w:b/>
                <w:bCs/>
                <w:kern w:val="0"/>
                <w:szCs w:val="21"/>
              </w:rPr>
            </w:pPr>
          </w:p>
        </w:tc>
        <w:tc>
          <w:tcPr>
            <w:tcW w:w="432" w:type="pct"/>
            <w:shd w:val="clear" w:color="auto" w:fill="auto"/>
            <w:vAlign w:val="center"/>
          </w:tcPr>
          <w:p w14:paraId="4A32D095">
            <w:pPr>
              <w:jc w:val="center"/>
              <w:rPr>
                <w:b/>
                <w:bCs/>
                <w:kern w:val="0"/>
                <w:szCs w:val="21"/>
              </w:rPr>
            </w:pPr>
            <w:r>
              <w:rPr>
                <w:rFonts w:hint="eastAsia"/>
                <w:b/>
                <w:bCs/>
                <w:kern w:val="0"/>
                <w:szCs w:val="21"/>
              </w:rPr>
              <w:t>小型车</w:t>
            </w:r>
          </w:p>
        </w:tc>
        <w:tc>
          <w:tcPr>
            <w:tcW w:w="559" w:type="pct"/>
            <w:shd w:val="clear" w:color="auto" w:fill="auto"/>
            <w:vAlign w:val="center"/>
          </w:tcPr>
          <w:p w14:paraId="4E28E281">
            <w:pPr>
              <w:jc w:val="center"/>
              <w:rPr>
                <w:b/>
                <w:bCs/>
                <w:kern w:val="0"/>
                <w:szCs w:val="21"/>
              </w:rPr>
            </w:pPr>
            <w:r>
              <w:rPr>
                <w:rFonts w:hint="eastAsia"/>
                <w:b/>
                <w:bCs/>
                <w:kern w:val="0"/>
                <w:szCs w:val="21"/>
              </w:rPr>
              <w:t>中型车</w:t>
            </w:r>
          </w:p>
        </w:tc>
        <w:tc>
          <w:tcPr>
            <w:tcW w:w="459" w:type="pct"/>
            <w:shd w:val="clear" w:color="auto" w:fill="auto"/>
            <w:vAlign w:val="center"/>
          </w:tcPr>
          <w:p w14:paraId="41B61F31">
            <w:pPr>
              <w:jc w:val="center"/>
              <w:rPr>
                <w:b/>
                <w:bCs/>
                <w:kern w:val="0"/>
                <w:szCs w:val="21"/>
              </w:rPr>
            </w:pPr>
            <w:r>
              <w:rPr>
                <w:rFonts w:hint="eastAsia"/>
                <w:b/>
                <w:bCs/>
                <w:kern w:val="0"/>
                <w:szCs w:val="21"/>
              </w:rPr>
              <w:t>大型车</w:t>
            </w:r>
          </w:p>
        </w:tc>
        <w:tc>
          <w:tcPr>
            <w:tcW w:w="459" w:type="pct"/>
            <w:shd w:val="clear" w:color="auto" w:fill="auto"/>
            <w:vAlign w:val="center"/>
          </w:tcPr>
          <w:p w14:paraId="72E46C25">
            <w:pPr>
              <w:jc w:val="center"/>
              <w:rPr>
                <w:b/>
                <w:bCs/>
                <w:kern w:val="0"/>
                <w:szCs w:val="21"/>
              </w:rPr>
            </w:pPr>
            <w:r>
              <w:rPr>
                <w:rFonts w:hint="eastAsia"/>
                <w:b/>
                <w:bCs/>
                <w:kern w:val="0"/>
                <w:szCs w:val="21"/>
              </w:rPr>
              <w:t>小型车</w:t>
            </w:r>
          </w:p>
        </w:tc>
        <w:tc>
          <w:tcPr>
            <w:tcW w:w="459" w:type="pct"/>
            <w:shd w:val="clear" w:color="auto" w:fill="auto"/>
            <w:vAlign w:val="center"/>
          </w:tcPr>
          <w:p w14:paraId="27F5B1F8">
            <w:pPr>
              <w:jc w:val="center"/>
              <w:rPr>
                <w:b/>
                <w:bCs/>
                <w:kern w:val="0"/>
                <w:szCs w:val="21"/>
              </w:rPr>
            </w:pPr>
            <w:r>
              <w:rPr>
                <w:rFonts w:hint="eastAsia"/>
                <w:b/>
                <w:bCs/>
                <w:kern w:val="0"/>
                <w:szCs w:val="21"/>
              </w:rPr>
              <w:t>中型车</w:t>
            </w:r>
          </w:p>
        </w:tc>
        <w:tc>
          <w:tcPr>
            <w:tcW w:w="463" w:type="pct"/>
            <w:shd w:val="clear" w:color="auto" w:fill="auto"/>
            <w:vAlign w:val="center"/>
          </w:tcPr>
          <w:p w14:paraId="42C0C318">
            <w:pPr>
              <w:jc w:val="center"/>
              <w:rPr>
                <w:b/>
                <w:bCs/>
                <w:kern w:val="0"/>
                <w:szCs w:val="21"/>
              </w:rPr>
            </w:pPr>
            <w:r>
              <w:rPr>
                <w:rFonts w:hint="eastAsia"/>
                <w:b/>
                <w:bCs/>
                <w:kern w:val="0"/>
                <w:szCs w:val="21"/>
              </w:rPr>
              <w:t>大型车</w:t>
            </w:r>
          </w:p>
        </w:tc>
        <w:tc>
          <w:tcPr>
            <w:tcW w:w="459" w:type="pct"/>
            <w:shd w:val="clear" w:color="auto" w:fill="auto"/>
            <w:vAlign w:val="center"/>
          </w:tcPr>
          <w:p w14:paraId="182D5FC0">
            <w:pPr>
              <w:jc w:val="center"/>
              <w:rPr>
                <w:b/>
                <w:bCs/>
                <w:kern w:val="0"/>
                <w:szCs w:val="21"/>
              </w:rPr>
            </w:pPr>
            <w:r>
              <w:rPr>
                <w:rFonts w:hint="eastAsia"/>
                <w:b/>
                <w:bCs/>
                <w:kern w:val="0"/>
                <w:szCs w:val="21"/>
              </w:rPr>
              <w:t>小型车</w:t>
            </w:r>
          </w:p>
        </w:tc>
        <w:tc>
          <w:tcPr>
            <w:tcW w:w="459" w:type="pct"/>
            <w:shd w:val="clear" w:color="auto" w:fill="auto"/>
            <w:vAlign w:val="center"/>
          </w:tcPr>
          <w:p w14:paraId="0B00616A">
            <w:pPr>
              <w:jc w:val="center"/>
              <w:rPr>
                <w:b/>
                <w:bCs/>
                <w:kern w:val="0"/>
                <w:szCs w:val="21"/>
              </w:rPr>
            </w:pPr>
            <w:r>
              <w:rPr>
                <w:rFonts w:hint="eastAsia"/>
                <w:b/>
                <w:bCs/>
                <w:kern w:val="0"/>
                <w:szCs w:val="21"/>
              </w:rPr>
              <w:t>中型车</w:t>
            </w:r>
          </w:p>
        </w:tc>
        <w:tc>
          <w:tcPr>
            <w:tcW w:w="456" w:type="pct"/>
            <w:shd w:val="clear" w:color="auto" w:fill="auto"/>
            <w:vAlign w:val="center"/>
          </w:tcPr>
          <w:p w14:paraId="143266D9">
            <w:pPr>
              <w:jc w:val="center"/>
              <w:rPr>
                <w:b/>
                <w:bCs/>
                <w:kern w:val="0"/>
                <w:szCs w:val="21"/>
              </w:rPr>
            </w:pPr>
            <w:r>
              <w:rPr>
                <w:rFonts w:hint="eastAsia"/>
                <w:b/>
                <w:bCs/>
                <w:kern w:val="0"/>
                <w:szCs w:val="21"/>
              </w:rPr>
              <w:t>大型车</w:t>
            </w:r>
          </w:p>
        </w:tc>
      </w:tr>
      <w:tr w14:paraId="00723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7" w:type="pct"/>
            <w:vMerge w:val="restart"/>
            <w:shd w:val="clear" w:color="auto" w:fill="auto"/>
            <w:vAlign w:val="center"/>
          </w:tcPr>
          <w:p w14:paraId="780E8FE2">
            <w:pPr>
              <w:jc w:val="center"/>
              <w:rPr>
                <w:kern w:val="0"/>
                <w:szCs w:val="21"/>
              </w:rPr>
            </w:pPr>
            <w:r>
              <w:rPr>
                <w:rFonts w:hint="eastAsia"/>
                <w:szCs w:val="21"/>
              </w:rPr>
              <w:t>体育大道东延段</w:t>
            </w:r>
          </w:p>
        </w:tc>
        <w:tc>
          <w:tcPr>
            <w:tcW w:w="417" w:type="pct"/>
            <w:shd w:val="clear" w:color="auto" w:fill="auto"/>
            <w:vAlign w:val="center"/>
          </w:tcPr>
          <w:p w14:paraId="5B04A211">
            <w:pPr>
              <w:jc w:val="center"/>
              <w:rPr>
                <w:kern w:val="0"/>
                <w:szCs w:val="21"/>
              </w:rPr>
            </w:pPr>
            <w:r>
              <w:rPr>
                <w:rFonts w:hint="eastAsia"/>
                <w:szCs w:val="21"/>
              </w:rPr>
              <w:t>2026</w:t>
            </w:r>
          </w:p>
        </w:tc>
        <w:tc>
          <w:tcPr>
            <w:tcW w:w="432" w:type="pct"/>
            <w:shd w:val="clear" w:color="auto" w:fill="auto"/>
            <w:vAlign w:val="center"/>
          </w:tcPr>
          <w:p w14:paraId="27603BE9">
            <w:pPr>
              <w:jc w:val="center"/>
              <w:rPr>
                <w:kern w:val="0"/>
                <w:szCs w:val="21"/>
              </w:rPr>
            </w:pPr>
            <w:r>
              <w:rPr>
                <w:rFonts w:eastAsia="等线"/>
                <w:szCs w:val="21"/>
              </w:rPr>
              <w:t>47.61</w:t>
            </w:r>
          </w:p>
        </w:tc>
        <w:tc>
          <w:tcPr>
            <w:tcW w:w="559" w:type="pct"/>
            <w:shd w:val="clear" w:color="auto" w:fill="auto"/>
            <w:vAlign w:val="center"/>
          </w:tcPr>
          <w:p w14:paraId="05F5FA25">
            <w:pPr>
              <w:jc w:val="center"/>
              <w:rPr>
                <w:kern w:val="0"/>
                <w:szCs w:val="21"/>
              </w:rPr>
            </w:pPr>
            <w:r>
              <w:rPr>
                <w:rFonts w:eastAsia="等线"/>
                <w:szCs w:val="21"/>
              </w:rPr>
              <w:t>35.98</w:t>
            </w:r>
          </w:p>
        </w:tc>
        <w:tc>
          <w:tcPr>
            <w:tcW w:w="459" w:type="pct"/>
            <w:shd w:val="clear" w:color="auto" w:fill="auto"/>
            <w:vAlign w:val="center"/>
          </w:tcPr>
          <w:p w14:paraId="5B9B8E66">
            <w:pPr>
              <w:jc w:val="center"/>
              <w:rPr>
                <w:kern w:val="0"/>
                <w:szCs w:val="21"/>
              </w:rPr>
            </w:pPr>
            <w:r>
              <w:rPr>
                <w:rFonts w:eastAsia="等线"/>
                <w:szCs w:val="21"/>
              </w:rPr>
              <w:t>35.03</w:t>
            </w:r>
          </w:p>
        </w:tc>
        <w:tc>
          <w:tcPr>
            <w:tcW w:w="459" w:type="pct"/>
            <w:shd w:val="clear" w:color="auto" w:fill="auto"/>
            <w:vAlign w:val="center"/>
          </w:tcPr>
          <w:p w14:paraId="47DE4174">
            <w:pPr>
              <w:jc w:val="center"/>
              <w:rPr>
                <w:kern w:val="0"/>
                <w:szCs w:val="21"/>
              </w:rPr>
            </w:pPr>
            <w:r>
              <w:rPr>
                <w:rFonts w:eastAsia="等线"/>
                <w:szCs w:val="21"/>
              </w:rPr>
              <w:t>49.52</w:t>
            </w:r>
          </w:p>
        </w:tc>
        <w:tc>
          <w:tcPr>
            <w:tcW w:w="459" w:type="pct"/>
            <w:shd w:val="clear" w:color="auto" w:fill="auto"/>
            <w:vAlign w:val="center"/>
          </w:tcPr>
          <w:p w14:paraId="531DBB26">
            <w:pPr>
              <w:jc w:val="center"/>
              <w:rPr>
                <w:kern w:val="0"/>
                <w:szCs w:val="21"/>
              </w:rPr>
            </w:pPr>
            <w:r>
              <w:rPr>
                <w:rFonts w:eastAsia="等线"/>
                <w:szCs w:val="21"/>
              </w:rPr>
              <w:t>35.53</w:t>
            </w:r>
          </w:p>
        </w:tc>
        <w:tc>
          <w:tcPr>
            <w:tcW w:w="463" w:type="pct"/>
            <w:shd w:val="clear" w:color="auto" w:fill="auto"/>
            <w:vAlign w:val="center"/>
          </w:tcPr>
          <w:p w14:paraId="5F86B5D7">
            <w:pPr>
              <w:jc w:val="center"/>
              <w:rPr>
                <w:kern w:val="0"/>
                <w:szCs w:val="21"/>
              </w:rPr>
            </w:pPr>
            <w:r>
              <w:rPr>
                <w:rFonts w:eastAsia="等线"/>
                <w:szCs w:val="21"/>
              </w:rPr>
              <w:t>34.94</w:t>
            </w:r>
          </w:p>
        </w:tc>
        <w:tc>
          <w:tcPr>
            <w:tcW w:w="459" w:type="pct"/>
            <w:shd w:val="clear" w:color="auto" w:fill="auto"/>
            <w:vAlign w:val="center"/>
          </w:tcPr>
          <w:p w14:paraId="5F7448EC">
            <w:pPr>
              <w:jc w:val="center"/>
              <w:rPr>
                <w:kern w:val="0"/>
                <w:szCs w:val="21"/>
              </w:rPr>
            </w:pPr>
            <w:r>
              <w:rPr>
                <w:rFonts w:eastAsia="等线"/>
                <w:szCs w:val="21"/>
              </w:rPr>
              <w:t>50.80</w:t>
            </w:r>
          </w:p>
        </w:tc>
        <w:tc>
          <w:tcPr>
            <w:tcW w:w="459" w:type="pct"/>
            <w:shd w:val="clear" w:color="auto" w:fill="auto"/>
            <w:vAlign w:val="center"/>
          </w:tcPr>
          <w:p w14:paraId="0B898A31">
            <w:pPr>
              <w:jc w:val="center"/>
              <w:rPr>
                <w:kern w:val="0"/>
                <w:szCs w:val="21"/>
              </w:rPr>
            </w:pPr>
            <w:r>
              <w:rPr>
                <w:rFonts w:eastAsia="等线"/>
                <w:szCs w:val="21"/>
              </w:rPr>
              <w:t>35.00</w:t>
            </w:r>
          </w:p>
        </w:tc>
        <w:tc>
          <w:tcPr>
            <w:tcW w:w="456" w:type="pct"/>
            <w:shd w:val="clear" w:color="auto" w:fill="auto"/>
            <w:vAlign w:val="center"/>
          </w:tcPr>
          <w:p w14:paraId="7B176C2D">
            <w:pPr>
              <w:jc w:val="center"/>
              <w:rPr>
                <w:kern w:val="0"/>
                <w:szCs w:val="21"/>
              </w:rPr>
            </w:pPr>
            <w:r>
              <w:rPr>
                <w:rFonts w:eastAsia="等线"/>
                <w:szCs w:val="21"/>
              </w:rPr>
              <w:t>34.85</w:t>
            </w:r>
          </w:p>
        </w:tc>
      </w:tr>
      <w:tr w14:paraId="3A9CB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7" w:type="pct"/>
            <w:vMerge w:val="continue"/>
            <w:shd w:val="clear" w:color="auto" w:fill="auto"/>
            <w:vAlign w:val="center"/>
          </w:tcPr>
          <w:p w14:paraId="0DE7B9A6">
            <w:pPr>
              <w:jc w:val="center"/>
              <w:rPr>
                <w:kern w:val="0"/>
                <w:szCs w:val="21"/>
              </w:rPr>
            </w:pPr>
          </w:p>
        </w:tc>
        <w:tc>
          <w:tcPr>
            <w:tcW w:w="417" w:type="pct"/>
            <w:shd w:val="clear" w:color="auto" w:fill="auto"/>
            <w:vAlign w:val="center"/>
          </w:tcPr>
          <w:p w14:paraId="1499B157">
            <w:pPr>
              <w:jc w:val="center"/>
              <w:rPr>
                <w:kern w:val="0"/>
                <w:szCs w:val="21"/>
              </w:rPr>
            </w:pPr>
            <w:r>
              <w:rPr>
                <w:rFonts w:hint="eastAsia"/>
                <w:szCs w:val="21"/>
              </w:rPr>
              <w:t>2032</w:t>
            </w:r>
          </w:p>
        </w:tc>
        <w:tc>
          <w:tcPr>
            <w:tcW w:w="432" w:type="pct"/>
            <w:shd w:val="clear" w:color="auto" w:fill="auto"/>
            <w:vAlign w:val="center"/>
          </w:tcPr>
          <w:p w14:paraId="52F68102">
            <w:pPr>
              <w:jc w:val="center"/>
              <w:rPr>
                <w:kern w:val="0"/>
                <w:szCs w:val="21"/>
              </w:rPr>
            </w:pPr>
            <w:r>
              <w:rPr>
                <w:rFonts w:eastAsia="等线"/>
                <w:szCs w:val="21"/>
              </w:rPr>
              <w:t>45.34</w:t>
            </w:r>
          </w:p>
        </w:tc>
        <w:tc>
          <w:tcPr>
            <w:tcW w:w="559" w:type="pct"/>
            <w:shd w:val="clear" w:color="auto" w:fill="auto"/>
            <w:vAlign w:val="center"/>
          </w:tcPr>
          <w:p w14:paraId="51523963">
            <w:pPr>
              <w:jc w:val="center"/>
              <w:rPr>
                <w:kern w:val="0"/>
                <w:szCs w:val="21"/>
              </w:rPr>
            </w:pPr>
            <w:r>
              <w:rPr>
                <w:rFonts w:eastAsia="等线"/>
                <w:szCs w:val="21"/>
              </w:rPr>
              <w:t>36.33</w:t>
            </w:r>
          </w:p>
        </w:tc>
        <w:tc>
          <w:tcPr>
            <w:tcW w:w="459" w:type="pct"/>
            <w:shd w:val="clear" w:color="auto" w:fill="auto"/>
            <w:vAlign w:val="center"/>
          </w:tcPr>
          <w:p w14:paraId="510F5CBD">
            <w:pPr>
              <w:jc w:val="center"/>
              <w:rPr>
                <w:kern w:val="0"/>
                <w:szCs w:val="21"/>
              </w:rPr>
            </w:pPr>
            <w:r>
              <w:rPr>
                <w:rFonts w:eastAsia="等线"/>
                <w:szCs w:val="21"/>
              </w:rPr>
              <w:t>35.11</w:t>
            </w:r>
          </w:p>
        </w:tc>
        <w:tc>
          <w:tcPr>
            <w:tcW w:w="459" w:type="pct"/>
            <w:shd w:val="clear" w:color="auto" w:fill="auto"/>
            <w:vAlign w:val="center"/>
          </w:tcPr>
          <w:p w14:paraId="567373F3">
            <w:pPr>
              <w:jc w:val="center"/>
              <w:rPr>
                <w:kern w:val="0"/>
                <w:szCs w:val="21"/>
              </w:rPr>
            </w:pPr>
            <w:r>
              <w:rPr>
                <w:rFonts w:eastAsia="等线"/>
                <w:szCs w:val="21"/>
              </w:rPr>
              <w:t>48.55</w:t>
            </w:r>
          </w:p>
        </w:tc>
        <w:tc>
          <w:tcPr>
            <w:tcW w:w="459" w:type="pct"/>
            <w:shd w:val="clear" w:color="auto" w:fill="auto"/>
            <w:vAlign w:val="center"/>
          </w:tcPr>
          <w:p w14:paraId="2D1C8406">
            <w:pPr>
              <w:jc w:val="center"/>
              <w:rPr>
                <w:kern w:val="0"/>
                <w:szCs w:val="21"/>
              </w:rPr>
            </w:pPr>
            <w:r>
              <w:rPr>
                <w:rFonts w:eastAsia="等线"/>
                <w:szCs w:val="21"/>
              </w:rPr>
              <w:t>35.79</w:t>
            </w:r>
          </w:p>
        </w:tc>
        <w:tc>
          <w:tcPr>
            <w:tcW w:w="463" w:type="pct"/>
            <w:shd w:val="clear" w:color="auto" w:fill="auto"/>
            <w:vAlign w:val="center"/>
          </w:tcPr>
          <w:p w14:paraId="407744DD">
            <w:pPr>
              <w:jc w:val="center"/>
              <w:rPr>
                <w:kern w:val="0"/>
                <w:szCs w:val="21"/>
              </w:rPr>
            </w:pPr>
            <w:r>
              <w:rPr>
                <w:rFonts w:eastAsia="等线"/>
                <w:szCs w:val="21"/>
              </w:rPr>
              <w:t>34.99</w:t>
            </w:r>
          </w:p>
        </w:tc>
        <w:tc>
          <w:tcPr>
            <w:tcW w:w="459" w:type="pct"/>
            <w:shd w:val="clear" w:color="auto" w:fill="auto"/>
            <w:vAlign w:val="center"/>
          </w:tcPr>
          <w:p w14:paraId="2177443B">
            <w:pPr>
              <w:jc w:val="center"/>
              <w:rPr>
                <w:kern w:val="0"/>
                <w:szCs w:val="21"/>
              </w:rPr>
            </w:pPr>
            <w:r>
              <w:rPr>
                <w:rFonts w:eastAsia="等线"/>
                <w:szCs w:val="21"/>
              </w:rPr>
              <w:t>50.69</w:t>
            </w:r>
          </w:p>
        </w:tc>
        <w:tc>
          <w:tcPr>
            <w:tcW w:w="459" w:type="pct"/>
            <w:shd w:val="clear" w:color="auto" w:fill="auto"/>
            <w:vAlign w:val="center"/>
          </w:tcPr>
          <w:p w14:paraId="4E58F037">
            <w:pPr>
              <w:jc w:val="center"/>
              <w:rPr>
                <w:kern w:val="0"/>
                <w:szCs w:val="21"/>
              </w:rPr>
            </w:pPr>
            <w:r>
              <w:rPr>
                <w:rFonts w:eastAsia="等线"/>
                <w:szCs w:val="21"/>
              </w:rPr>
              <w:t>35.07</w:t>
            </w:r>
          </w:p>
        </w:tc>
        <w:tc>
          <w:tcPr>
            <w:tcW w:w="456" w:type="pct"/>
            <w:shd w:val="clear" w:color="auto" w:fill="auto"/>
            <w:vAlign w:val="center"/>
          </w:tcPr>
          <w:p w14:paraId="12A9FF01">
            <w:pPr>
              <w:jc w:val="center"/>
              <w:rPr>
                <w:kern w:val="0"/>
                <w:szCs w:val="21"/>
              </w:rPr>
            </w:pPr>
            <w:r>
              <w:rPr>
                <w:rFonts w:eastAsia="等线"/>
                <w:szCs w:val="21"/>
              </w:rPr>
              <w:t>34.86</w:t>
            </w:r>
          </w:p>
        </w:tc>
      </w:tr>
      <w:tr w14:paraId="42D2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7" w:type="pct"/>
            <w:vMerge w:val="continue"/>
            <w:tcBorders>
              <w:bottom w:val="single" w:color="auto" w:sz="18" w:space="0"/>
            </w:tcBorders>
            <w:shd w:val="clear" w:color="auto" w:fill="auto"/>
            <w:vAlign w:val="center"/>
          </w:tcPr>
          <w:p w14:paraId="4FB447E5">
            <w:pPr>
              <w:jc w:val="center"/>
              <w:rPr>
                <w:kern w:val="0"/>
                <w:szCs w:val="21"/>
              </w:rPr>
            </w:pPr>
          </w:p>
        </w:tc>
        <w:tc>
          <w:tcPr>
            <w:tcW w:w="417" w:type="pct"/>
            <w:tcBorders>
              <w:bottom w:val="single" w:color="auto" w:sz="18" w:space="0"/>
            </w:tcBorders>
            <w:shd w:val="clear" w:color="auto" w:fill="auto"/>
            <w:vAlign w:val="center"/>
          </w:tcPr>
          <w:p w14:paraId="34F6D945">
            <w:pPr>
              <w:jc w:val="center"/>
              <w:rPr>
                <w:kern w:val="0"/>
                <w:szCs w:val="21"/>
              </w:rPr>
            </w:pPr>
            <w:r>
              <w:rPr>
                <w:rFonts w:hint="eastAsia"/>
                <w:szCs w:val="21"/>
              </w:rPr>
              <w:t>2040</w:t>
            </w:r>
          </w:p>
        </w:tc>
        <w:tc>
          <w:tcPr>
            <w:tcW w:w="432" w:type="pct"/>
            <w:tcBorders>
              <w:bottom w:val="single" w:color="auto" w:sz="18" w:space="0"/>
            </w:tcBorders>
            <w:shd w:val="clear" w:color="auto" w:fill="auto"/>
            <w:vAlign w:val="center"/>
          </w:tcPr>
          <w:p w14:paraId="5BBBB304">
            <w:pPr>
              <w:jc w:val="center"/>
              <w:rPr>
                <w:kern w:val="0"/>
                <w:szCs w:val="21"/>
              </w:rPr>
            </w:pPr>
            <w:r>
              <w:rPr>
                <w:rFonts w:eastAsia="等线"/>
                <w:szCs w:val="21"/>
              </w:rPr>
              <w:t>40.76</w:t>
            </w:r>
          </w:p>
        </w:tc>
        <w:tc>
          <w:tcPr>
            <w:tcW w:w="559" w:type="pct"/>
            <w:tcBorders>
              <w:bottom w:val="single" w:color="auto" w:sz="18" w:space="0"/>
            </w:tcBorders>
            <w:shd w:val="clear" w:color="auto" w:fill="auto"/>
            <w:vAlign w:val="center"/>
          </w:tcPr>
          <w:p w14:paraId="1879FE5D">
            <w:pPr>
              <w:jc w:val="center"/>
              <w:rPr>
                <w:kern w:val="0"/>
                <w:szCs w:val="21"/>
              </w:rPr>
            </w:pPr>
            <w:r>
              <w:rPr>
                <w:rFonts w:eastAsia="等线"/>
                <w:szCs w:val="21"/>
              </w:rPr>
              <w:t>36.78</w:t>
            </w:r>
          </w:p>
        </w:tc>
        <w:tc>
          <w:tcPr>
            <w:tcW w:w="459" w:type="pct"/>
            <w:tcBorders>
              <w:bottom w:val="single" w:color="auto" w:sz="18" w:space="0"/>
            </w:tcBorders>
            <w:shd w:val="clear" w:color="auto" w:fill="auto"/>
            <w:vAlign w:val="center"/>
          </w:tcPr>
          <w:p w14:paraId="4199BAE0">
            <w:pPr>
              <w:jc w:val="center"/>
              <w:rPr>
                <w:kern w:val="0"/>
                <w:szCs w:val="21"/>
              </w:rPr>
            </w:pPr>
            <w:r>
              <w:rPr>
                <w:rFonts w:eastAsia="等线"/>
                <w:szCs w:val="21"/>
              </w:rPr>
              <w:t>35.25</w:t>
            </w:r>
          </w:p>
        </w:tc>
        <w:tc>
          <w:tcPr>
            <w:tcW w:w="459" w:type="pct"/>
            <w:tcBorders>
              <w:bottom w:val="single" w:color="auto" w:sz="18" w:space="0"/>
            </w:tcBorders>
            <w:shd w:val="clear" w:color="auto" w:fill="auto"/>
            <w:vAlign w:val="center"/>
          </w:tcPr>
          <w:p w14:paraId="631326D2">
            <w:pPr>
              <w:jc w:val="center"/>
              <w:rPr>
                <w:kern w:val="0"/>
                <w:szCs w:val="21"/>
              </w:rPr>
            </w:pPr>
            <w:r>
              <w:rPr>
                <w:rFonts w:eastAsia="等线"/>
                <w:szCs w:val="21"/>
              </w:rPr>
              <w:t>46.53</w:t>
            </w:r>
          </w:p>
        </w:tc>
        <w:tc>
          <w:tcPr>
            <w:tcW w:w="459" w:type="pct"/>
            <w:tcBorders>
              <w:bottom w:val="single" w:color="auto" w:sz="18" w:space="0"/>
            </w:tcBorders>
            <w:shd w:val="clear" w:color="auto" w:fill="auto"/>
            <w:vAlign w:val="center"/>
          </w:tcPr>
          <w:p w14:paraId="36C7E18A">
            <w:pPr>
              <w:jc w:val="center"/>
              <w:rPr>
                <w:kern w:val="0"/>
                <w:szCs w:val="21"/>
              </w:rPr>
            </w:pPr>
            <w:r>
              <w:rPr>
                <w:rFonts w:eastAsia="等线"/>
                <w:szCs w:val="21"/>
              </w:rPr>
              <w:t>36.17</w:t>
            </w:r>
          </w:p>
        </w:tc>
        <w:tc>
          <w:tcPr>
            <w:tcW w:w="463" w:type="pct"/>
            <w:tcBorders>
              <w:bottom w:val="single" w:color="auto" w:sz="18" w:space="0"/>
            </w:tcBorders>
            <w:shd w:val="clear" w:color="auto" w:fill="auto"/>
            <w:vAlign w:val="center"/>
          </w:tcPr>
          <w:p w14:paraId="79D7D4DE">
            <w:pPr>
              <w:jc w:val="center"/>
              <w:rPr>
                <w:kern w:val="0"/>
                <w:szCs w:val="21"/>
              </w:rPr>
            </w:pPr>
            <w:r>
              <w:rPr>
                <w:rFonts w:eastAsia="等线"/>
                <w:szCs w:val="21"/>
              </w:rPr>
              <w:t>35.07</w:t>
            </w:r>
          </w:p>
        </w:tc>
        <w:tc>
          <w:tcPr>
            <w:tcW w:w="459" w:type="pct"/>
            <w:tcBorders>
              <w:bottom w:val="single" w:color="auto" w:sz="18" w:space="0"/>
            </w:tcBorders>
            <w:shd w:val="clear" w:color="auto" w:fill="auto"/>
            <w:vAlign w:val="center"/>
          </w:tcPr>
          <w:p w14:paraId="44885D44">
            <w:pPr>
              <w:jc w:val="center"/>
              <w:rPr>
                <w:kern w:val="0"/>
                <w:szCs w:val="21"/>
              </w:rPr>
            </w:pPr>
            <w:r>
              <w:rPr>
                <w:rFonts w:eastAsia="等线"/>
                <w:szCs w:val="21"/>
              </w:rPr>
              <w:t>50.46</w:t>
            </w:r>
          </w:p>
        </w:tc>
        <w:tc>
          <w:tcPr>
            <w:tcW w:w="459" w:type="pct"/>
            <w:tcBorders>
              <w:bottom w:val="single" w:color="auto" w:sz="18" w:space="0"/>
            </w:tcBorders>
            <w:shd w:val="clear" w:color="auto" w:fill="auto"/>
            <w:vAlign w:val="center"/>
          </w:tcPr>
          <w:p w14:paraId="6606D32C">
            <w:pPr>
              <w:jc w:val="center"/>
              <w:rPr>
                <w:kern w:val="0"/>
                <w:szCs w:val="21"/>
              </w:rPr>
            </w:pPr>
            <w:r>
              <w:rPr>
                <w:rFonts w:eastAsia="等线"/>
                <w:szCs w:val="21"/>
              </w:rPr>
              <w:t>35.18</w:t>
            </w:r>
          </w:p>
        </w:tc>
        <w:tc>
          <w:tcPr>
            <w:tcW w:w="456" w:type="pct"/>
            <w:tcBorders>
              <w:bottom w:val="single" w:color="auto" w:sz="18" w:space="0"/>
            </w:tcBorders>
            <w:shd w:val="clear" w:color="auto" w:fill="auto"/>
            <w:vAlign w:val="center"/>
          </w:tcPr>
          <w:p w14:paraId="29732A33">
            <w:pPr>
              <w:jc w:val="center"/>
              <w:rPr>
                <w:kern w:val="0"/>
                <w:szCs w:val="21"/>
              </w:rPr>
            </w:pPr>
            <w:r>
              <w:rPr>
                <w:rFonts w:eastAsia="等线"/>
                <w:szCs w:val="21"/>
              </w:rPr>
              <w:t>34.88</w:t>
            </w:r>
          </w:p>
        </w:tc>
      </w:tr>
    </w:tbl>
    <w:p w14:paraId="1F53BB57">
      <w:pPr>
        <w:spacing w:line="500" w:lineRule="exact"/>
        <w:ind w:firstLine="480" w:firstLineChars="200"/>
        <w:rPr>
          <w:sz w:val="24"/>
        </w:rPr>
      </w:pPr>
      <w:r>
        <w:rPr>
          <w:rFonts w:hint="eastAsia" w:ascii="宋体" w:hAnsi="宋体" w:cs="宋体"/>
          <w:sz w:val="24"/>
          <w:lang w:bidi="ar"/>
        </w:rPr>
        <w:t>②</w:t>
      </w:r>
      <w:r>
        <w:rPr>
          <w:sz w:val="24"/>
          <w:lang w:bidi="ar"/>
        </w:rPr>
        <w:t xml:space="preserve"> 辐射声级</w:t>
      </w:r>
    </w:p>
    <w:p w14:paraId="64437456">
      <w:pPr>
        <w:widowControl/>
        <w:spacing w:line="500" w:lineRule="exact"/>
        <w:ind w:firstLine="480" w:firstLineChars="200"/>
        <w:rPr>
          <w:kern w:val="0"/>
          <w:sz w:val="24"/>
        </w:rPr>
      </w:pPr>
      <w:r>
        <w:rPr>
          <w:rFonts w:hint="eastAsia"/>
          <w:kern w:val="0"/>
          <w:sz w:val="24"/>
        </w:rPr>
        <w:t>根据上表可知，本项目小型车平均车速为40～50</w:t>
      </w:r>
      <w:r>
        <w:rPr>
          <w:kern w:val="0"/>
          <w:sz w:val="24"/>
        </w:rPr>
        <w:t>km/h</w:t>
      </w:r>
      <w:r>
        <w:rPr>
          <w:rFonts w:hint="eastAsia"/>
          <w:kern w:val="0"/>
          <w:sz w:val="24"/>
        </w:rPr>
        <w:t>，中型车平均车速为35</w:t>
      </w:r>
      <w:r>
        <w:rPr>
          <w:kern w:val="0"/>
          <w:sz w:val="24"/>
        </w:rPr>
        <w:t>km/h</w:t>
      </w:r>
      <w:r>
        <w:rPr>
          <w:rFonts w:hint="eastAsia"/>
          <w:kern w:val="0"/>
          <w:sz w:val="24"/>
        </w:rPr>
        <w:t>，大型车平均车速为35</w:t>
      </w:r>
      <w:r>
        <w:rPr>
          <w:kern w:val="0"/>
          <w:sz w:val="24"/>
        </w:rPr>
        <w:t>km/h</w:t>
      </w:r>
      <w:r>
        <w:rPr>
          <w:rFonts w:hint="eastAsia"/>
          <w:kern w:val="0"/>
          <w:sz w:val="24"/>
        </w:rPr>
        <w:t>，不满足《环境影响评价技术导则 公路建设项目(HJ1358-2024)B.1.1.1声源强计算适用车速范围，在此参考《环境影响评价技术原则与方法》（国家环境保护局开发监督司编著，北京大学出版社）教材中的源强计算公式进行计算</w:t>
      </w:r>
      <w:r>
        <w:rPr>
          <w:kern w:val="0"/>
          <w:sz w:val="24"/>
          <w:szCs w:val="20"/>
        </w:rPr>
        <w:t>，</w:t>
      </w:r>
      <w:r>
        <w:rPr>
          <w:rFonts w:hint="eastAsia"/>
          <w:kern w:val="0"/>
          <w:sz w:val="24"/>
          <w:szCs w:val="20"/>
        </w:rPr>
        <w:t>第i种车型在参照点（7.5m处）的平均辐射噪声级（dB）LoEi按下式计算</w:t>
      </w:r>
      <w:r>
        <w:rPr>
          <w:kern w:val="0"/>
          <w:sz w:val="24"/>
          <w:szCs w:val="20"/>
        </w:rPr>
        <w:t>各类型车的平均辐射声级</w:t>
      </w:r>
      <w:r>
        <w:rPr>
          <w:i/>
          <w:kern w:val="0"/>
          <w:sz w:val="24"/>
          <w:szCs w:val="20"/>
        </w:rPr>
        <w:t>L</w:t>
      </w:r>
      <w:r>
        <w:rPr>
          <w:i/>
          <w:kern w:val="0"/>
          <w:sz w:val="24"/>
          <w:szCs w:val="20"/>
          <w:vertAlign w:val="subscript"/>
        </w:rPr>
        <w:t>oi</w:t>
      </w:r>
      <w:r>
        <w:rPr>
          <w:kern w:val="0"/>
          <w:sz w:val="24"/>
          <w:szCs w:val="20"/>
        </w:rPr>
        <w:t>见下表。</w:t>
      </w:r>
    </w:p>
    <w:p w14:paraId="5260F692">
      <w:pPr>
        <w:autoSpaceDE w:val="0"/>
        <w:autoSpaceDN w:val="0"/>
        <w:adjustRightInd w:val="0"/>
        <w:spacing w:line="500" w:lineRule="exact"/>
        <w:ind w:firstLine="198"/>
        <w:jc w:val="center"/>
        <w:rPr>
          <w:b/>
          <w:bCs/>
          <w:kern w:val="0"/>
          <w:szCs w:val="21"/>
        </w:rPr>
      </w:pPr>
      <w:r>
        <w:rPr>
          <w:b/>
          <w:bCs/>
          <w:kern w:val="0"/>
          <w:szCs w:val="21"/>
        </w:rPr>
        <w:t>表2.</w:t>
      </w:r>
      <w:r>
        <w:rPr>
          <w:rFonts w:hint="eastAsia"/>
          <w:b/>
          <w:bCs/>
          <w:kern w:val="0"/>
          <w:szCs w:val="21"/>
        </w:rPr>
        <w:t>5</w:t>
      </w:r>
      <w:r>
        <w:rPr>
          <w:b/>
          <w:bCs/>
          <w:kern w:val="0"/>
          <w:szCs w:val="21"/>
        </w:rPr>
        <w:t>-</w:t>
      </w:r>
      <w:r>
        <w:rPr>
          <w:rFonts w:hint="eastAsia"/>
          <w:b/>
          <w:bCs/>
          <w:kern w:val="0"/>
          <w:szCs w:val="21"/>
        </w:rPr>
        <w:t>3</w:t>
      </w:r>
      <w:r>
        <w:rPr>
          <w:b/>
          <w:bCs/>
          <w:kern w:val="0"/>
          <w:szCs w:val="21"/>
        </w:rPr>
        <w:t xml:space="preserve">  各类型车的平均辐射声级</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61"/>
        <w:gridCol w:w="3561"/>
        <w:gridCol w:w="3560"/>
      </w:tblGrid>
      <w:tr w14:paraId="05AC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7" w:type="pct"/>
            <w:tcBorders>
              <w:top w:val="single" w:color="auto" w:sz="18" w:space="0"/>
            </w:tcBorders>
            <w:shd w:val="clear" w:color="auto" w:fill="auto"/>
            <w:vAlign w:val="center"/>
          </w:tcPr>
          <w:p w14:paraId="08A3C8A9">
            <w:pPr>
              <w:jc w:val="center"/>
              <w:rPr>
                <w:b/>
                <w:szCs w:val="21"/>
              </w:rPr>
            </w:pPr>
            <w:r>
              <w:rPr>
                <w:b/>
                <w:szCs w:val="21"/>
                <w:lang w:bidi="ar"/>
              </w:rPr>
              <w:t>车型</w:t>
            </w:r>
          </w:p>
        </w:tc>
        <w:tc>
          <w:tcPr>
            <w:tcW w:w="1667" w:type="pct"/>
            <w:tcBorders>
              <w:top w:val="single" w:color="auto" w:sz="18" w:space="0"/>
            </w:tcBorders>
            <w:shd w:val="clear" w:color="auto" w:fill="auto"/>
            <w:vAlign w:val="center"/>
          </w:tcPr>
          <w:p w14:paraId="6CFA987A">
            <w:pPr>
              <w:jc w:val="center"/>
              <w:rPr>
                <w:b/>
                <w:kern w:val="0"/>
                <w:szCs w:val="21"/>
              </w:rPr>
            </w:pPr>
            <w:r>
              <w:rPr>
                <w:b/>
                <w:spacing w:val="4"/>
                <w:szCs w:val="21"/>
                <w:lang w:bidi="ar"/>
              </w:rPr>
              <w:t>平均辐射噪声级L</w:t>
            </w:r>
            <w:r>
              <w:rPr>
                <w:b/>
                <w:spacing w:val="4"/>
                <w:szCs w:val="21"/>
                <w:vertAlign w:val="subscript"/>
                <w:lang w:bidi="ar"/>
              </w:rPr>
              <w:t>oEi</w:t>
            </w:r>
          </w:p>
        </w:tc>
        <w:tc>
          <w:tcPr>
            <w:tcW w:w="1667" w:type="pct"/>
            <w:tcBorders>
              <w:top w:val="single" w:color="auto" w:sz="18" w:space="0"/>
            </w:tcBorders>
            <w:shd w:val="clear" w:color="auto" w:fill="auto"/>
            <w:vAlign w:val="center"/>
          </w:tcPr>
          <w:p w14:paraId="41FFF706">
            <w:pPr>
              <w:jc w:val="center"/>
              <w:rPr>
                <w:b/>
                <w:kern w:val="0"/>
                <w:szCs w:val="21"/>
              </w:rPr>
            </w:pPr>
            <w:r>
              <w:rPr>
                <w:b/>
                <w:szCs w:val="21"/>
                <w:lang w:bidi="ar"/>
              </w:rPr>
              <w:t>备  注</w:t>
            </w:r>
          </w:p>
        </w:tc>
      </w:tr>
      <w:tr w14:paraId="7932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7" w:type="pct"/>
            <w:shd w:val="clear" w:color="auto" w:fill="auto"/>
            <w:vAlign w:val="center"/>
          </w:tcPr>
          <w:p w14:paraId="51D8A7AB">
            <w:pPr>
              <w:jc w:val="center"/>
              <w:rPr>
                <w:szCs w:val="21"/>
              </w:rPr>
            </w:pPr>
            <w:r>
              <w:rPr>
                <w:szCs w:val="21"/>
                <w:lang w:bidi="ar"/>
              </w:rPr>
              <w:t>小型车(S)</w:t>
            </w:r>
          </w:p>
        </w:tc>
        <w:tc>
          <w:tcPr>
            <w:tcW w:w="1667" w:type="pct"/>
            <w:shd w:val="clear" w:color="auto" w:fill="auto"/>
            <w:vAlign w:val="center"/>
          </w:tcPr>
          <w:p w14:paraId="3A8EB6C9">
            <w:pPr>
              <w:jc w:val="center"/>
              <w:rPr>
                <w:kern w:val="0"/>
                <w:szCs w:val="21"/>
              </w:rPr>
            </w:pPr>
            <w:r>
              <w:rPr>
                <w:spacing w:val="4"/>
                <w:szCs w:val="21"/>
                <w:lang w:bidi="ar"/>
              </w:rPr>
              <w:t>L</w:t>
            </w:r>
            <w:r>
              <w:rPr>
                <w:spacing w:val="4"/>
                <w:szCs w:val="21"/>
                <w:vertAlign w:val="subscript"/>
                <w:lang w:bidi="ar"/>
              </w:rPr>
              <w:t>OES</w:t>
            </w:r>
            <w:r>
              <w:rPr>
                <w:spacing w:val="4"/>
                <w:szCs w:val="21"/>
                <w:lang w:bidi="ar"/>
              </w:rPr>
              <w:t>＝25+27lgV</w:t>
            </w:r>
            <w:r>
              <w:rPr>
                <w:spacing w:val="4"/>
                <w:szCs w:val="21"/>
                <w:vertAlign w:val="subscript"/>
                <w:lang w:bidi="ar"/>
              </w:rPr>
              <w:t>S</w:t>
            </w:r>
          </w:p>
        </w:tc>
        <w:tc>
          <w:tcPr>
            <w:tcW w:w="1667" w:type="pct"/>
            <w:shd w:val="clear" w:color="auto" w:fill="auto"/>
            <w:vAlign w:val="center"/>
          </w:tcPr>
          <w:p w14:paraId="55E35B22">
            <w:pPr>
              <w:jc w:val="center"/>
              <w:rPr>
                <w:kern w:val="0"/>
                <w:szCs w:val="21"/>
              </w:rPr>
            </w:pPr>
            <w:r>
              <w:rPr>
                <w:iCs/>
                <w:szCs w:val="21"/>
                <w:lang w:bidi="ar"/>
              </w:rPr>
              <w:t>V</w:t>
            </w:r>
            <w:r>
              <w:rPr>
                <w:szCs w:val="21"/>
                <w:vertAlign w:val="subscript"/>
                <w:lang w:bidi="ar"/>
              </w:rPr>
              <w:t>S</w:t>
            </w:r>
            <w:r>
              <w:rPr>
                <w:szCs w:val="21"/>
                <w:lang w:bidi="ar"/>
              </w:rPr>
              <w:t>表示小型车的平均行驶速度</w:t>
            </w:r>
          </w:p>
        </w:tc>
      </w:tr>
      <w:tr w14:paraId="6733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7" w:type="pct"/>
            <w:shd w:val="clear" w:color="auto" w:fill="auto"/>
            <w:vAlign w:val="center"/>
          </w:tcPr>
          <w:p w14:paraId="6E392AFD">
            <w:pPr>
              <w:jc w:val="center"/>
              <w:rPr>
                <w:kern w:val="0"/>
                <w:szCs w:val="21"/>
              </w:rPr>
            </w:pPr>
            <w:r>
              <w:rPr>
                <w:szCs w:val="21"/>
                <w:lang w:bidi="ar"/>
              </w:rPr>
              <w:t>中型车(M）</w:t>
            </w:r>
          </w:p>
        </w:tc>
        <w:tc>
          <w:tcPr>
            <w:tcW w:w="1667" w:type="pct"/>
            <w:shd w:val="clear" w:color="auto" w:fill="auto"/>
            <w:vAlign w:val="center"/>
          </w:tcPr>
          <w:p w14:paraId="18293F1B">
            <w:pPr>
              <w:jc w:val="center"/>
              <w:rPr>
                <w:kern w:val="0"/>
                <w:szCs w:val="21"/>
              </w:rPr>
            </w:pPr>
            <w:r>
              <w:rPr>
                <w:spacing w:val="4"/>
                <w:szCs w:val="21"/>
                <w:lang w:bidi="ar"/>
              </w:rPr>
              <w:t>L</w:t>
            </w:r>
            <w:r>
              <w:rPr>
                <w:spacing w:val="4"/>
                <w:szCs w:val="21"/>
                <w:vertAlign w:val="subscript"/>
                <w:lang w:bidi="ar"/>
              </w:rPr>
              <w:t>OEM</w:t>
            </w:r>
            <w:r>
              <w:rPr>
                <w:spacing w:val="4"/>
                <w:szCs w:val="21"/>
                <w:lang w:bidi="ar"/>
              </w:rPr>
              <w:t>＝38+25lgV</w:t>
            </w:r>
            <w:r>
              <w:rPr>
                <w:spacing w:val="4"/>
                <w:szCs w:val="21"/>
                <w:vertAlign w:val="subscript"/>
                <w:lang w:bidi="ar"/>
              </w:rPr>
              <w:t>M</w:t>
            </w:r>
          </w:p>
        </w:tc>
        <w:tc>
          <w:tcPr>
            <w:tcW w:w="1667" w:type="pct"/>
            <w:shd w:val="clear" w:color="auto" w:fill="auto"/>
            <w:vAlign w:val="center"/>
          </w:tcPr>
          <w:p w14:paraId="3305D62A">
            <w:pPr>
              <w:jc w:val="center"/>
              <w:rPr>
                <w:kern w:val="0"/>
                <w:szCs w:val="21"/>
              </w:rPr>
            </w:pPr>
            <w:r>
              <w:rPr>
                <w:iCs/>
                <w:szCs w:val="21"/>
                <w:lang w:bidi="ar"/>
              </w:rPr>
              <w:t>V</w:t>
            </w:r>
            <w:r>
              <w:rPr>
                <w:szCs w:val="21"/>
                <w:vertAlign w:val="subscript"/>
                <w:lang w:bidi="ar"/>
              </w:rPr>
              <w:t>M</w:t>
            </w:r>
            <w:r>
              <w:rPr>
                <w:szCs w:val="21"/>
                <w:lang w:bidi="ar"/>
              </w:rPr>
              <w:t>表示中型车的平均行驶速度</w:t>
            </w:r>
          </w:p>
        </w:tc>
      </w:tr>
      <w:tr w14:paraId="2C6EB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7" w:type="pct"/>
            <w:tcBorders>
              <w:bottom w:val="single" w:color="auto" w:sz="18" w:space="0"/>
            </w:tcBorders>
            <w:shd w:val="clear" w:color="auto" w:fill="auto"/>
            <w:vAlign w:val="center"/>
          </w:tcPr>
          <w:p w14:paraId="11258A99">
            <w:pPr>
              <w:jc w:val="center"/>
              <w:rPr>
                <w:kern w:val="0"/>
                <w:szCs w:val="21"/>
              </w:rPr>
            </w:pPr>
            <w:r>
              <w:rPr>
                <w:szCs w:val="21"/>
                <w:lang w:bidi="ar"/>
              </w:rPr>
              <w:t>大型车(H)</w:t>
            </w:r>
          </w:p>
        </w:tc>
        <w:tc>
          <w:tcPr>
            <w:tcW w:w="1667" w:type="pct"/>
            <w:tcBorders>
              <w:bottom w:val="single" w:color="auto" w:sz="18" w:space="0"/>
            </w:tcBorders>
            <w:shd w:val="clear" w:color="auto" w:fill="auto"/>
            <w:vAlign w:val="center"/>
          </w:tcPr>
          <w:p w14:paraId="111193BB">
            <w:pPr>
              <w:jc w:val="center"/>
              <w:rPr>
                <w:kern w:val="0"/>
                <w:szCs w:val="21"/>
              </w:rPr>
            </w:pPr>
            <w:r>
              <w:rPr>
                <w:spacing w:val="4"/>
                <w:szCs w:val="21"/>
                <w:lang w:bidi="ar"/>
              </w:rPr>
              <w:t>L</w:t>
            </w:r>
            <w:r>
              <w:rPr>
                <w:spacing w:val="4"/>
                <w:szCs w:val="21"/>
                <w:vertAlign w:val="subscript"/>
                <w:lang w:bidi="ar"/>
              </w:rPr>
              <w:t>OEL</w:t>
            </w:r>
            <w:r>
              <w:rPr>
                <w:spacing w:val="4"/>
                <w:szCs w:val="21"/>
                <w:lang w:bidi="ar"/>
              </w:rPr>
              <w:t>＝45+24lgV</w:t>
            </w:r>
            <w:r>
              <w:rPr>
                <w:spacing w:val="4"/>
                <w:szCs w:val="21"/>
                <w:vertAlign w:val="subscript"/>
                <w:lang w:bidi="ar"/>
              </w:rPr>
              <w:t>H</w:t>
            </w:r>
          </w:p>
        </w:tc>
        <w:tc>
          <w:tcPr>
            <w:tcW w:w="1667" w:type="pct"/>
            <w:tcBorders>
              <w:bottom w:val="single" w:color="auto" w:sz="18" w:space="0"/>
            </w:tcBorders>
            <w:shd w:val="clear" w:color="auto" w:fill="auto"/>
            <w:vAlign w:val="center"/>
          </w:tcPr>
          <w:p w14:paraId="19E10AC5">
            <w:pPr>
              <w:jc w:val="center"/>
              <w:rPr>
                <w:kern w:val="0"/>
                <w:szCs w:val="21"/>
              </w:rPr>
            </w:pPr>
            <w:r>
              <w:rPr>
                <w:iCs/>
                <w:szCs w:val="21"/>
                <w:lang w:bidi="ar"/>
              </w:rPr>
              <w:t>V</w:t>
            </w:r>
            <w:r>
              <w:rPr>
                <w:szCs w:val="21"/>
                <w:vertAlign w:val="subscript"/>
                <w:lang w:bidi="ar"/>
              </w:rPr>
              <w:t>H</w:t>
            </w:r>
            <w:r>
              <w:rPr>
                <w:szCs w:val="21"/>
                <w:lang w:bidi="ar"/>
              </w:rPr>
              <w:t>表示大型车的平均行驶速度</w:t>
            </w:r>
          </w:p>
        </w:tc>
      </w:tr>
    </w:tbl>
    <w:p w14:paraId="026EB6DC">
      <w:pPr>
        <w:spacing w:line="500" w:lineRule="exact"/>
        <w:ind w:firstLine="480" w:firstLineChars="200"/>
        <w:rPr>
          <w:sz w:val="24"/>
        </w:rPr>
      </w:pPr>
      <w:r>
        <w:rPr>
          <w:sz w:val="24"/>
          <w:lang w:bidi="ar"/>
        </w:rPr>
        <w:t>本工程设计道路等级为</w:t>
      </w:r>
      <w:r>
        <w:rPr>
          <w:rFonts w:hint="eastAsia"/>
          <w:sz w:val="24"/>
          <w:lang w:bidi="ar"/>
        </w:rPr>
        <w:t>城市主干路</w:t>
      </w:r>
      <w:r>
        <w:rPr>
          <w:sz w:val="24"/>
          <w:lang w:bidi="ar"/>
        </w:rPr>
        <w:t>，</w:t>
      </w:r>
      <w:r>
        <w:rPr>
          <w:sz w:val="24"/>
          <w:szCs w:val="21"/>
          <w:lang w:bidi="ar"/>
        </w:rPr>
        <w:t>双向六车道</w:t>
      </w:r>
      <w:r>
        <w:rPr>
          <w:rFonts w:hint="eastAsia"/>
          <w:sz w:val="24"/>
          <w:szCs w:val="21"/>
          <w:lang w:bidi="ar"/>
        </w:rPr>
        <w:t>，</w:t>
      </w:r>
      <w:r>
        <w:rPr>
          <w:sz w:val="24"/>
          <w:lang w:bidi="ar"/>
        </w:rPr>
        <w:t>在不考虑路面与纵坡等因素引起的交通噪声修正量，根据源强估算模式，计算可得本项目路面上行驶各类机动车车型的平均辐射声级，计算结果详见</w:t>
      </w:r>
      <w:r>
        <w:rPr>
          <w:rFonts w:hint="eastAsia"/>
          <w:sz w:val="24"/>
          <w:lang w:bidi="ar"/>
        </w:rPr>
        <w:t>下表</w:t>
      </w:r>
      <w:r>
        <w:rPr>
          <w:sz w:val="24"/>
          <w:lang w:bidi="ar"/>
        </w:rPr>
        <w:t>。</w:t>
      </w:r>
    </w:p>
    <w:p w14:paraId="0F0DBA97">
      <w:pPr>
        <w:autoSpaceDE w:val="0"/>
        <w:autoSpaceDN w:val="0"/>
        <w:adjustRightInd w:val="0"/>
        <w:spacing w:before="120" w:beforeLines="50" w:line="360" w:lineRule="auto"/>
        <w:jc w:val="center"/>
        <w:rPr>
          <w:b/>
          <w:bCs/>
          <w:kern w:val="0"/>
          <w:szCs w:val="21"/>
        </w:rPr>
      </w:pPr>
      <w:r>
        <w:rPr>
          <w:b/>
          <w:bCs/>
          <w:kern w:val="0"/>
          <w:szCs w:val="21"/>
        </w:rPr>
        <w:t>表2.</w:t>
      </w:r>
      <w:r>
        <w:rPr>
          <w:rFonts w:hint="eastAsia"/>
          <w:b/>
          <w:bCs/>
          <w:kern w:val="0"/>
          <w:szCs w:val="21"/>
        </w:rPr>
        <w:t>5</w:t>
      </w:r>
      <w:r>
        <w:rPr>
          <w:b/>
          <w:bCs/>
          <w:kern w:val="0"/>
          <w:szCs w:val="21"/>
        </w:rPr>
        <w:t>-</w:t>
      </w:r>
      <w:r>
        <w:rPr>
          <w:rFonts w:hint="eastAsia"/>
          <w:b/>
          <w:bCs/>
          <w:kern w:val="0"/>
          <w:szCs w:val="21"/>
        </w:rPr>
        <w:t>4</w:t>
      </w:r>
      <w:r>
        <w:rPr>
          <w:b/>
          <w:bCs/>
          <w:kern w:val="0"/>
          <w:szCs w:val="21"/>
        </w:rPr>
        <w:t xml:space="preserve"> 车辆行驶时的各车型平均辐射声级</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014"/>
        <w:gridCol w:w="1471"/>
        <w:gridCol w:w="1246"/>
        <w:gridCol w:w="1248"/>
        <w:gridCol w:w="1246"/>
        <w:gridCol w:w="1248"/>
        <w:gridCol w:w="1246"/>
        <w:gridCol w:w="1246"/>
      </w:tblGrid>
      <w:tr w14:paraId="5C4AC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restart"/>
            <w:tcBorders>
              <w:top w:val="single" w:color="auto" w:sz="18" w:space="0"/>
            </w:tcBorders>
            <w:shd w:val="clear" w:color="auto" w:fill="auto"/>
            <w:vAlign w:val="center"/>
          </w:tcPr>
          <w:p w14:paraId="53E64F26">
            <w:pPr>
              <w:jc w:val="center"/>
              <w:rPr>
                <w:b/>
                <w:bCs/>
                <w:kern w:val="0"/>
                <w:szCs w:val="21"/>
              </w:rPr>
            </w:pPr>
            <w:r>
              <w:rPr>
                <w:rFonts w:hint="eastAsia"/>
                <w:b/>
                <w:bCs/>
                <w:kern w:val="0"/>
                <w:szCs w:val="21"/>
              </w:rPr>
              <w:t>路段</w:t>
            </w:r>
          </w:p>
        </w:tc>
        <w:tc>
          <w:tcPr>
            <w:tcW w:w="475" w:type="pct"/>
            <w:vMerge w:val="restart"/>
            <w:tcBorders>
              <w:top w:val="single" w:color="auto" w:sz="18" w:space="0"/>
            </w:tcBorders>
            <w:shd w:val="clear" w:color="auto" w:fill="auto"/>
            <w:vAlign w:val="center"/>
          </w:tcPr>
          <w:p w14:paraId="2A5C1937">
            <w:pPr>
              <w:jc w:val="center"/>
              <w:rPr>
                <w:b/>
                <w:bCs/>
                <w:kern w:val="0"/>
                <w:szCs w:val="21"/>
              </w:rPr>
            </w:pPr>
            <w:r>
              <w:rPr>
                <w:rFonts w:hint="eastAsia"/>
                <w:b/>
                <w:bCs/>
                <w:kern w:val="0"/>
                <w:szCs w:val="21"/>
              </w:rPr>
              <w:t>预测年</w:t>
            </w:r>
          </w:p>
        </w:tc>
        <w:tc>
          <w:tcPr>
            <w:tcW w:w="689" w:type="pct"/>
            <w:vMerge w:val="restart"/>
            <w:tcBorders>
              <w:top w:val="single" w:color="auto" w:sz="18" w:space="0"/>
            </w:tcBorders>
            <w:shd w:val="clear" w:color="auto" w:fill="auto"/>
            <w:noWrap/>
            <w:vAlign w:val="center"/>
          </w:tcPr>
          <w:p w14:paraId="7D54A029">
            <w:pPr>
              <w:jc w:val="center"/>
              <w:rPr>
                <w:b/>
                <w:bCs/>
                <w:kern w:val="0"/>
                <w:szCs w:val="21"/>
              </w:rPr>
            </w:pPr>
            <w:r>
              <w:rPr>
                <w:rFonts w:hint="eastAsia"/>
                <w:b/>
                <w:bCs/>
                <w:kern w:val="0"/>
                <w:szCs w:val="21"/>
              </w:rPr>
              <w:t>时段</w:t>
            </w:r>
          </w:p>
        </w:tc>
        <w:tc>
          <w:tcPr>
            <w:tcW w:w="1167" w:type="pct"/>
            <w:gridSpan w:val="2"/>
            <w:tcBorders>
              <w:top w:val="single" w:color="auto" w:sz="18" w:space="0"/>
            </w:tcBorders>
            <w:shd w:val="clear" w:color="auto" w:fill="auto"/>
            <w:vAlign w:val="center"/>
          </w:tcPr>
          <w:p w14:paraId="5C50F1CD">
            <w:pPr>
              <w:jc w:val="center"/>
              <w:rPr>
                <w:b/>
                <w:bCs/>
                <w:kern w:val="0"/>
                <w:szCs w:val="21"/>
              </w:rPr>
            </w:pPr>
            <w:r>
              <w:rPr>
                <w:rFonts w:hint="eastAsia"/>
                <w:b/>
                <w:bCs/>
                <w:kern w:val="0"/>
                <w:szCs w:val="21"/>
              </w:rPr>
              <w:t>小型车</w:t>
            </w:r>
          </w:p>
        </w:tc>
        <w:tc>
          <w:tcPr>
            <w:tcW w:w="1167" w:type="pct"/>
            <w:gridSpan w:val="2"/>
            <w:tcBorders>
              <w:top w:val="single" w:color="auto" w:sz="18" w:space="0"/>
            </w:tcBorders>
            <w:shd w:val="clear" w:color="auto" w:fill="auto"/>
            <w:vAlign w:val="center"/>
          </w:tcPr>
          <w:p w14:paraId="3F2473F3">
            <w:pPr>
              <w:jc w:val="center"/>
              <w:rPr>
                <w:b/>
                <w:bCs/>
                <w:kern w:val="0"/>
                <w:szCs w:val="21"/>
              </w:rPr>
            </w:pPr>
            <w:r>
              <w:rPr>
                <w:rFonts w:hint="eastAsia"/>
                <w:b/>
                <w:bCs/>
                <w:kern w:val="0"/>
                <w:szCs w:val="21"/>
              </w:rPr>
              <w:t>中型车</w:t>
            </w:r>
          </w:p>
        </w:tc>
        <w:tc>
          <w:tcPr>
            <w:tcW w:w="1166" w:type="pct"/>
            <w:gridSpan w:val="2"/>
            <w:tcBorders>
              <w:top w:val="single" w:color="auto" w:sz="18" w:space="0"/>
            </w:tcBorders>
            <w:shd w:val="clear" w:color="auto" w:fill="auto"/>
            <w:vAlign w:val="center"/>
          </w:tcPr>
          <w:p w14:paraId="6452C5A0">
            <w:pPr>
              <w:jc w:val="center"/>
              <w:rPr>
                <w:b/>
                <w:bCs/>
                <w:kern w:val="0"/>
                <w:szCs w:val="21"/>
              </w:rPr>
            </w:pPr>
            <w:r>
              <w:rPr>
                <w:rFonts w:hint="eastAsia"/>
                <w:b/>
                <w:bCs/>
                <w:kern w:val="0"/>
                <w:szCs w:val="21"/>
              </w:rPr>
              <w:t>大型车</w:t>
            </w:r>
          </w:p>
        </w:tc>
      </w:tr>
      <w:tr w14:paraId="1F1B3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00BF299B">
            <w:pPr>
              <w:jc w:val="center"/>
              <w:rPr>
                <w:b/>
                <w:bCs/>
                <w:kern w:val="0"/>
                <w:szCs w:val="21"/>
              </w:rPr>
            </w:pPr>
          </w:p>
        </w:tc>
        <w:tc>
          <w:tcPr>
            <w:tcW w:w="475" w:type="pct"/>
            <w:vMerge w:val="continue"/>
            <w:shd w:val="clear" w:color="auto" w:fill="auto"/>
            <w:vAlign w:val="center"/>
          </w:tcPr>
          <w:p w14:paraId="725A0D05">
            <w:pPr>
              <w:jc w:val="center"/>
              <w:rPr>
                <w:b/>
                <w:bCs/>
                <w:kern w:val="0"/>
                <w:szCs w:val="21"/>
              </w:rPr>
            </w:pPr>
          </w:p>
        </w:tc>
        <w:tc>
          <w:tcPr>
            <w:tcW w:w="689" w:type="pct"/>
            <w:vMerge w:val="continue"/>
            <w:shd w:val="clear" w:color="auto" w:fill="auto"/>
            <w:vAlign w:val="center"/>
          </w:tcPr>
          <w:p w14:paraId="0A509F92">
            <w:pPr>
              <w:jc w:val="center"/>
              <w:rPr>
                <w:b/>
                <w:bCs/>
                <w:kern w:val="0"/>
                <w:szCs w:val="21"/>
              </w:rPr>
            </w:pPr>
          </w:p>
        </w:tc>
        <w:tc>
          <w:tcPr>
            <w:tcW w:w="583" w:type="pct"/>
            <w:shd w:val="clear" w:color="auto" w:fill="auto"/>
            <w:vAlign w:val="center"/>
          </w:tcPr>
          <w:p w14:paraId="3E11AA15">
            <w:pPr>
              <w:jc w:val="center"/>
              <w:rPr>
                <w:b/>
                <w:bCs/>
                <w:kern w:val="0"/>
                <w:szCs w:val="21"/>
              </w:rPr>
            </w:pPr>
            <w:r>
              <w:rPr>
                <w:rFonts w:hint="eastAsia"/>
                <w:b/>
                <w:bCs/>
                <w:kern w:val="0"/>
                <w:szCs w:val="21"/>
              </w:rPr>
              <w:t>平均车速</w:t>
            </w:r>
            <w:r>
              <w:rPr>
                <w:b/>
                <w:bCs/>
                <w:kern w:val="0"/>
                <w:szCs w:val="21"/>
              </w:rPr>
              <w:t>km/h</w:t>
            </w:r>
          </w:p>
        </w:tc>
        <w:tc>
          <w:tcPr>
            <w:tcW w:w="584" w:type="pct"/>
            <w:shd w:val="clear" w:color="auto" w:fill="auto"/>
            <w:vAlign w:val="center"/>
          </w:tcPr>
          <w:p w14:paraId="25DD3C3B">
            <w:pPr>
              <w:jc w:val="center"/>
              <w:rPr>
                <w:b/>
                <w:bCs/>
                <w:kern w:val="0"/>
                <w:szCs w:val="21"/>
              </w:rPr>
            </w:pPr>
            <w:r>
              <w:rPr>
                <w:rFonts w:hint="eastAsia"/>
                <w:b/>
                <w:bCs/>
                <w:kern w:val="0"/>
                <w:szCs w:val="21"/>
              </w:rPr>
              <w:t>辐射声级</w:t>
            </w:r>
            <w:r>
              <w:rPr>
                <w:b/>
                <w:bCs/>
                <w:kern w:val="0"/>
                <w:szCs w:val="21"/>
              </w:rPr>
              <w:t>/dB</w:t>
            </w:r>
          </w:p>
        </w:tc>
        <w:tc>
          <w:tcPr>
            <w:tcW w:w="583" w:type="pct"/>
            <w:shd w:val="clear" w:color="auto" w:fill="auto"/>
            <w:vAlign w:val="center"/>
          </w:tcPr>
          <w:p w14:paraId="62EBAB12">
            <w:pPr>
              <w:jc w:val="center"/>
              <w:rPr>
                <w:b/>
                <w:bCs/>
                <w:kern w:val="0"/>
                <w:szCs w:val="21"/>
              </w:rPr>
            </w:pPr>
            <w:r>
              <w:rPr>
                <w:rFonts w:hint="eastAsia"/>
                <w:b/>
                <w:bCs/>
                <w:kern w:val="0"/>
                <w:szCs w:val="21"/>
              </w:rPr>
              <w:t>平均车速</w:t>
            </w:r>
            <w:r>
              <w:rPr>
                <w:b/>
                <w:bCs/>
                <w:kern w:val="0"/>
                <w:szCs w:val="21"/>
              </w:rPr>
              <w:t>km/h</w:t>
            </w:r>
          </w:p>
        </w:tc>
        <w:tc>
          <w:tcPr>
            <w:tcW w:w="584" w:type="pct"/>
            <w:shd w:val="clear" w:color="auto" w:fill="auto"/>
            <w:vAlign w:val="center"/>
          </w:tcPr>
          <w:p w14:paraId="5ACEB8F4">
            <w:pPr>
              <w:jc w:val="center"/>
              <w:rPr>
                <w:b/>
                <w:bCs/>
                <w:kern w:val="0"/>
                <w:szCs w:val="21"/>
              </w:rPr>
            </w:pPr>
            <w:r>
              <w:rPr>
                <w:rFonts w:hint="eastAsia"/>
                <w:b/>
                <w:bCs/>
                <w:kern w:val="0"/>
                <w:szCs w:val="21"/>
              </w:rPr>
              <w:t>辐射声级</w:t>
            </w:r>
            <w:r>
              <w:rPr>
                <w:b/>
                <w:bCs/>
                <w:kern w:val="0"/>
                <w:szCs w:val="21"/>
              </w:rPr>
              <w:t>/dB</w:t>
            </w:r>
          </w:p>
        </w:tc>
        <w:tc>
          <w:tcPr>
            <w:tcW w:w="583" w:type="pct"/>
            <w:shd w:val="clear" w:color="auto" w:fill="auto"/>
            <w:vAlign w:val="center"/>
          </w:tcPr>
          <w:p w14:paraId="4AB159A0">
            <w:pPr>
              <w:jc w:val="center"/>
              <w:rPr>
                <w:b/>
                <w:bCs/>
                <w:kern w:val="0"/>
                <w:szCs w:val="21"/>
              </w:rPr>
            </w:pPr>
            <w:r>
              <w:rPr>
                <w:rFonts w:hint="eastAsia"/>
                <w:b/>
                <w:bCs/>
                <w:kern w:val="0"/>
                <w:szCs w:val="21"/>
              </w:rPr>
              <w:t>平均车速</w:t>
            </w:r>
            <w:r>
              <w:rPr>
                <w:b/>
                <w:bCs/>
                <w:kern w:val="0"/>
                <w:szCs w:val="21"/>
              </w:rPr>
              <w:t>km/h</w:t>
            </w:r>
          </w:p>
        </w:tc>
        <w:tc>
          <w:tcPr>
            <w:tcW w:w="583" w:type="pct"/>
            <w:shd w:val="clear" w:color="auto" w:fill="auto"/>
            <w:vAlign w:val="center"/>
          </w:tcPr>
          <w:p w14:paraId="5714DCB2">
            <w:pPr>
              <w:jc w:val="center"/>
              <w:rPr>
                <w:b/>
                <w:bCs/>
                <w:kern w:val="0"/>
                <w:szCs w:val="21"/>
              </w:rPr>
            </w:pPr>
            <w:r>
              <w:rPr>
                <w:rFonts w:hint="eastAsia"/>
                <w:b/>
                <w:bCs/>
                <w:kern w:val="0"/>
                <w:szCs w:val="21"/>
              </w:rPr>
              <w:t>辐射声级</w:t>
            </w:r>
            <w:r>
              <w:rPr>
                <w:b/>
                <w:bCs/>
                <w:kern w:val="0"/>
                <w:szCs w:val="21"/>
              </w:rPr>
              <w:t>/dB</w:t>
            </w:r>
          </w:p>
        </w:tc>
      </w:tr>
      <w:tr w14:paraId="059BC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restart"/>
            <w:shd w:val="clear" w:color="auto" w:fill="auto"/>
            <w:vAlign w:val="center"/>
          </w:tcPr>
          <w:p w14:paraId="1665352B">
            <w:pPr>
              <w:jc w:val="center"/>
              <w:rPr>
                <w:kern w:val="0"/>
                <w:szCs w:val="21"/>
              </w:rPr>
            </w:pPr>
            <w:r>
              <w:rPr>
                <w:rFonts w:hint="eastAsia"/>
                <w:szCs w:val="21"/>
              </w:rPr>
              <w:t>体育大道东延段</w:t>
            </w:r>
          </w:p>
        </w:tc>
        <w:tc>
          <w:tcPr>
            <w:tcW w:w="475" w:type="pct"/>
            <w:vMerge w:val="restart"/>
            <w:shd w:val="clear" w:color="auto" w:fill="auto"/>
            <w:vAlign w:val="center"/>
          </w:tcPr>
          <w:p w14:paraId="150232DC">
            <w:pPr>
              <w:jc w:val="center"/>
              <w:rPr>
                <w:kern w:val="0"/>
                <w:szCs w:val="21"/>
              </w:rPr>
            </w:pPr>
            <w:r>
              <w:rPr>
                <w:rFonts w:hint="eastAsia"/>
                <w:kern w:val="0"/>
                <w:szCs w:val="21"/>
              </w:rPr>
              <w:t>2026</w:t>
            </w:r>
          </w:p>
        </w:tc>
        <w:tc>
          <w:tcPr>
            <w:tcW w:w="689" w:type="pct"/>
            <w:shd w:val="clear" w:color="auto" w:fill="auto"/>
            <w:noWrap/>
            <w:vAlign w:val="center"/>
          </w:tcPr>
          <w:p w14:paraId="0BF88F97">
            <w:pPr>
              <w:jc w:val="center"/>
              <w:rPr>
                <w:kern w:val="0"/>
                <w:szCs w:val="21"/>
              </w:rPr>
            </w:pPr>
            <w:r>
              <w:rPr>
                <w:rFonts w:hint="eastAsia"/>
                <w:kern w:val="0"/>
                <w:szCs w:val="21"/>
              </w:rPr>
              <w:t>高峰小时</w:t>
            </w:r>
          </w:p>
        </w:tc>
        <w:tc>
          <w:tcPr>
            <w:tcW w:w="583" w:type="pct"/>
            <w:shd w:val="clear" w:color="auto" w:fill="auto"/>
            <w:vAlign w:val="center"/>
          </w:tcPr>
          <w:p w14:paraId="5AC2D11C">
            <w:pPr>
              <w:jc w:val="center"/>
              <w:rPr>
                <w:kern w:val="0"/>
                <w:szCs w:val="21"/>
              </w:rPr>
            </w:pPr>
            <w:r>
              <w:rPr>
                <w:rFonts w:eastAsia="等线"/>
                <w:szCs w:val="21"/>
              </w:rPr>
              <w:t>47.61</w:t>
            </w:r>
          </w:p>
        </w:tc>
        <w:tc>
          <w:tcPr>
            <w:tcW w:w="584" w:type="pct"/>
            <w:shd w:val="clear" w:color="auto" w:fill="auto"/>
            <w:vAlign w:val="center"/>
          </w:tcPr>
          <w:p w14:paraId="0F07C8D6">
            <w:pPr>
              <w:jc w:val="center"/>
              <w:rPr>
                <w:kern w:val="0"/>
                <w:szCs w:val="21"/>
              </w:rPr>
            </w:pPr>
            <w:r>
              <w:rPr>
                <w:rFonts w:eastAsia="等线"/>
                <w:szCs w:val="21"/>
              </w:rPr>
              <w:t>70.30</w:t>
            </w:r>
          </w:p>
        </w:tc>
        <w:tc>
          <w:tcPr>
            <w:tcW w:w="583" w:type="pct"/>
            <w:shd w:val="clear" w:color="auto" w:fill="auto"/>
            <w:vAlign w:val="center"/>
          </w:tcPr>
          <w:p w14:paraId="3CF7E4AA">
            <w:pPr>
              <w:jc w:val="center"/>
              <w:rPr>
                <w:kern w:val="0"/>
                <w:szCs w:val="21"/>
              </w:rPr>
            </w:pPr>
            <w:r>
              <w:rPr>
                <w:rFonts w:eastAsia="等线"/>
                <w:szCs w:val="21"/>
              </w:rPr>
              <w:t>35.98</w:t>
            </w:r>
          </w:p>
        </w:tc>
        <w:tc>
          <w:tcPr>
            <w:tcW w:w="584" w:type="pct"/>
            <w:shd w:val="clear" w:color="auto" w:fill="auto"/>
            <w:vAlign w:val="center"/>
          </w:tcPr>
          <w:p w14:paraId="34009D73">
            <w:pPr>
              <w:jc w:val="center"/>
              <w:rPr>
                <w:kern w:val="0"/>
                <w:szCs w:val="21"/>
              </w:rPr>
            </w:pPr>
            <w:r>
              <w:rPr>
                <w:rFonts w:eastAsia="等线"/>
                <w:szCs w:val="21"/>
              </w:rPr>
              <w:t>76.90</w:t>
            </w:r>
          </w:p>
        </w:tc>
        <w:tc>
          <w:tcPr>
            <w:tcW w:w="583" w:type="pct"/>
            <w:shd w:val="clear" w:color="auto" w:fill="auto"/>
            <w:vAlign w:val="center"/>
          </w:tcPr>
          <w:p w14:paraId="4F8B7E0E">
            <w:pPr>
              <w:jc w:val="center"/>
              <w:rPr>
                <w:kern w:val="0"/>
                <w:szCs w:val="21"/>
              </w:rPr>
            </w:pPr>
            <w:r>
              <w:rPr>
                <w:rFonts w:eastAsia="等线"/>
                <w:szCs w:val="21"/>
              </w:rPr>
              <w:t>35.03</w:t>
            </w:r>
          </w:p>
        </w:tc>
        <w:tc>
          <w:tcPr>
            <w:tcW w:w="583" w:type="pct"/>
            <w:shd w:val="clear" w:color="auto" w:fill="auto"/>
            <w:vAlign w:val="center"/>
          </w:tcPr>
          <w:p w14:paraId="4322B7CC">
            <w:pPr>
              <w:jc w:val="center"/>
              <w:rPr>
                <w:kern w:val="0"/>
                <w:szCs w:val="21"/>
              </w:rPr>
            </w:pPr>
            <w:r>
              <w:rPr>
                <w:rFonts w:eastAsia="等线"/>
                <w:szCs w:val="21"/>
              </w:rPr>
              <w:t>82.07</w:t>
            </w:r>
          </w:p>
        </w:tc>
      </w:tr>
      <w:tr w14:paraId="61FDD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62B22305">
            <w:pPr>
              <w:jc w:val="center"/>
              <w:rPr>
                <w:kern w:val="0"/>
                <w:szCs w:val="21"/>
              </w:rPr>
            </w:pPr>
          </w:p>
        </w:tc>
        <w:tc>
          <w:tcPr>
            <w:tcW w:w="475" w:type="pct"/>
            <w:vMerge w:val="continue"/>
            <w:shd w:val="clear" w:color="auto" w:fill="auto"/>
            <w:vAlign w:val="center"/>
          </w:tcPr>
          <w:p w14:paraId="17AE5389">
            <w:pPr>
              <w:jc w:val="center"/>
              <w:rPr>
                <w:kern w:val="0"/>
                <w:szCs w:val="21"/>
              </w:rPr>
            </w:pPr>
          </w:p>
        </w:tc>
        <w:tc>
          <w:tcPr>
            <w:tcW w:w="689" w:type="pct"/>
            <w:shd w:val="clear" w:color="auto" w:fill="auto"/>
            <w:noWrap/>
            <w:vAlign w:val="center"/>
          </w:tcPr>
          <w:p w14:paraId="595155F3">
            <w:pPr>
              <w:jc w:val="center"/>
              <w:rPr>
                <w:kern w:val="0"/>
                <w:szCs w:val="21"/>
              </w:rPr>
            </w:pPr>
            <w:r>
              <w:rPr>
                <w:rFonts w:hint="eastAsia"/>
                <w:kern w:val="0"/>
                <w:szCs w:val="21"/>
              </w:rPr>
              <w:t>昼间小时</w:t>
            </w:r>
          </w:p>
        </w:tc>
        <w:tc>
          <w:tcPr>
            <w:tcW w:w="583" w:type="pct"/>
            <w:shd w:val="clear" w:color="auto" w:fill="auto"/>
            <w:vAlign w:val="center"/>
          </w:tcPr>
          <w:p w14:paraId="220E4410">
            <w:pPr>
              <w:jc w:val="center"/>
              <w:rPr>
                <w:kern w:val="0"/>
                <w:szCs w:val="21"/>
              </w:rPr>
            </w:pPr>
            <w:r>
              <w:rPr>
                <w:rFonts w:eastAsia="等线"/>
                <w:szCs w:val="21"/>
              </w:rPr>
              <w:t>49.52</w:t>
            </w:r>
          </w:p>
        </w:tc>
        <w:tc>
          <w:tcPr>
            <w:tcW w:w="584" w:type="pct"/>
            <w:shd w:val="clear" w:color="auto" w:fill="auto"/>
            <w:vAlign w:val="center"/>
          </w:tcPr>
          <w:p w14:paraId="7A3620F6">
            <w:pPr>
              <w:jc w:val="center"/>
              <w:rPr>
                <w:kern w:val="0"/>
                <w:szCs w:val="21"/>
              </w:rPr>
            </w:pPr>
            <w:r>
              <w:rPr>
                <w:rFonts w:eastAsia="等线"/>
                <w:szCs w:val="21"/>
              </w:rPr>
              <w:t>70.76</w:t>
            </w:r>
          </w:p>
        </w:tc>
        <w:tc>
          <w:tcPr>
            <w:tcW w:w="583" w:type="pct"/>
            <w:shd w:val="clear" w:color="auto" w:fill="auto"/>
            <w:vAlign w:val="center"/>
          </w:tcPr>
          <w:p w14:paraId="66C4F9E3">
            <w:pPr>
              <w:jc w:val="center"/>
              <w:rPr>
                <w:kern w:val="0"/>
                <w:szCs w:val="21"/>
              </w:rPr>
            </w:pPr>
            <w:r>
              <w:rPr>
                <w:rFonts w:eastAsia="等线"/>
                <w:szCs w:val="21"/>
              </w:rPr>
              <w:t>35.53</w:t>
            </w:r>
          </w:p>
        </w:tc>
        <w:tc>
          <w:tcPr>
            <w:tcW w:w="584" w:type="pct"/>
            <w:shd w:val="clear" w:color="auto" w:fill="auto"/>
            <w:vAlign w:val="center"/>
          </w:tcPr>
          <w:p w14:paraId="02571E40">
            <w:pPr>
              <w:jc w:val="center"/>
              <w:rPr>
                <w:kern w:val="0"/>
                <w:szCs w:val="21"/>
              </w:rPr>
            </w:pPr>
            <w:r>
              <w:rPr>
                <w:rFonts w:eastAsia="等线"/>
                <w:szCs w:val="21"/>
              </w:rPr>
              <w:t>76.77</w:t>
            </w:r>
          </w:p>
        </w:tc>
        <w:tc>
          <w:tcPr>
            <w:tcW w:w="583" w:type="pct"/>
            <w:shd w:val="clear" w:color="auto" w:fill="auto"/>
            <w:vAlign w:val="center"/>
          </w:tcPr>
          <w:p w14:paraId="77B80912">
            <w:pPr>
              <w:jc w:val="center"/>
              <w:rPr>
                <w:kern w:val="0"/>
                <w:szCs w:val="21"/>
              </w:rPr>
            </w:pPr>
            <w:r>
              <w:rPr>
                <w:rFonts w:eastAsia="等线"/>
                <w:szCs w:val="21"/>
              </w:rPr>
              <w:t>34.94</w:t>
            </w:r>
          </w:p>
        </w:tc>
        <w:tc>
          <w:tcPr>
            <w:tcW w:w="583" w:type="pct"/>
            <w:shd w:val="clear" w:color="auto" w:fill="auto"/>
            <w:vAlign w:val="center"/>
          </w:tcPr>
          <w:p w14:paraId="758170D8">
            <w:pPr>
              <w:jc w:val="center"/>
              <w:rPr>
                <w:kern w:val="0"/>
                <w:szCs w:val="21"/>
              </w:rPr>
            </w:pPr>
            <w:r>
              <w:rPr>
                <w:rFonts w:eastAsia="等线"/>
                <w:szCs w:val="21"/>
              </w:rPr>
              <w:t>82.04</w:t>
            </w:r>
          </w:p>
        </w:tc>
      </w:tr>
      <w:tr w14:paraId="1D38D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5C9D945C">
            <w:pPr>
              <w:jc w:val="center"/>
              <w:rPr>
                <w:kern w:val="0"/>
                <w:szCs w:val="21"/>
              </w:rPr>
            </w:pPr>
          </w:p>
        </w:tc>
        <w:tc>
          <w:tcPr>
            <w:tcW w:w="475" w:type="pct"/>
            <w:vMerge w:val="continue"/>
            <w:shd w:val="clear" w:color="auto" w:fill="auto"/>
            <w:vAlign w:val="center"/>
          </w:tcPr>
          <w:p w14:paraId="01563AFC">
            <w:pPr>
              <w:jc w:val="center"/>
              <w:rPr>
                <w:kern w:val="0"/>
                <w:szCs w:val="21"/>
              </w:rPr>
            </w:pPr>
          </w:p>
        </w:tc>
        <w:tc>
          <w:tcPr>
            <w:tcW w:w="689" w:type="pct"/>
            <w:shd w:val="clear" w:color="auto" w:fill="auto"/>
            <w:noWrap/>
            <w:vAlign w:val="center"/>
          </w:tcPr>
          <w:p w14:paraId="2822F1D8">
            <w:pPr>
              <w:jc w:val="center"/>
              <w:rPr>
                <w:kern w:val="0"/>
                <w:szCs w:val="21"/>
              </w:rPr>
            </w:pPr>
            <w:r>
              <w:rPr>
                <w:rFonts w:hint="eastAsia"/>
                <w:kern w:val="0"/>
                <w:szCs w:val="21"/>
              </w:rPr>
              <w:t>夜间小时</w:t>
            </w:r>
          </w:p>
        </w:tc>
        <w:tc>
          <w:tcPr>
            <w:tcW w:w="583" w:type="pct"/>
            <w:shd w:val="clear" w:color="auto" w:fill="auto"/>
            <w:vAlign w:val="center"/>
          </w:tcPr>
          <w:p w14:paraId="3936D495">
            <w:pPr>
              <w:jc w:val="center"/>
              <w:rPr>
                <w:kern w:val="0"/>
                <w:szCs w:val="21"/>
              </w:rPr>
            </w:pPr>
            <w:r>
              <w:rPr>
                <w:rFonts w:eastAsia="等线"/>
                <w:szCs w:val="21"/>
              </w:rPr>
              <w:t>50.80</w:t>
            </w:r>
          </w:p>
        </w:tc>
        <w:tc>
          <w:tcPr>
            <w:tcW w:w="584" w:type="pct"/>
            <w:shd w:val="clear" w:color="auto" w:fill="auto"/>
            <w:vAlign w:val="center"/>
          </w:tcPr>
          <w:p w14:paraId="48A8FED7">
            <w:pPr>
              <w:jc w:val="center"/>
              <w:rPr>
                <w:kern w:val="0"/>
                <w:szCs w:val="21"/>
              </w:rPr>
            </w:pPr>
            <w:r>
              <w:rPr>
                <w:rFonts w:eastAsia="等线"/>
                <w:szCs w:val="21"/>
              </w:rPr>
              <w:t>71.06</w:t>
            </w:r>
          </w:p>
        </w:tc>
        <w:tc>
          <w:tcPr>
            <w:tcW w:w="583" w:type="pct"/>
            <w:shd w:val="clear" w:color="auto" w:fill="auto"/>
            <w:vAlign w:val="center"/>
          </w:tcPr>
          <w:p w14:paraId="03BD6548">
            <w:pPr>
              <w:jc w:val="center"/>
              <w:rPr>
                <w:kern w:val="0"/>
                <w:szCs w:val="21"/>
              </w:rPr>
            </w:pPr>
            <w:r>
              <w:rPr>
                <w:rFonts w:eastAsia="等线"/>
                <w:szCs w:val="21"/>
              </w:rPr>
              <w:t>35.00</w:t>
            </w:r>
          </w:p>
        </w:tc>
        <w:tc>
          <w:tcPr>
            <w:tcW w:w="584" w:type="pct"/>
            <w:shd w:val="clear" w:color="auto" w:fill="auto"/>
            <w:vAlign w:val="center"/>
          </w:tcPr>
          <w:p w14:paraId="388AD746">
            <w:pPr>
              <w:jc w:val="center"/>
              <w:rPr>
                <w:kern w:val="0"/>
                <w:szCs w:val="21"/>
              </w:rPr>
            </w:pPr>
            <w:r>
              <w:rPr>
                <w:rFonts w:eastAsia="等线"/>
                <w:szCs w:val="21"/>
              </w:rPr>
              <w:t>76.60</w:t>
            </w:r>
          </w:p>
        </w:tc>
        <w:tc>
          <w:tcPr>
            <w:tcW w:w="583" w:type="pct"/>
            <w:shd w:val="clear" w:color="auto" w:fill="auto"/>
            <w:vAlign w:val="center"/>
          </w:tcPr>
          <w:p w14:paraId="766AEF44">
            <w:pPr>
              <w:jc w:val="center"/>
              <w:rPr>
                <w:kern w:val="0"/>
                <w:szCs w:val="21"/>
              </w:rPr>
            </w:pPr>
            <w:r>
              <w:rPr>
                <w:rFonts w:eastAsia="等线"/>
                <w:szCs w:val="21"/>
              </w:rPr>
              <w:t>34.85</w:t>
            </w:r>
          </w:p>
        </w:tc>
        <w:tc>
          <w:tcPr>
            <w:tcW w:w="583" w:type="pct"/>
            <w:shd w:val="clear" w:color="auto" w:fill="auto"/>
            <w:vAlign w:val="center"/>
          </w:tcPr>
          <w:p w14:paraId="3CE7C773">
            <w:pPr>
              <w:jc w:val="center"/>
              <w:rPr>
                <w:kern w:val="0"/>
                <w:szCs w:val="21"/>
              </w:rPr>
            </w:pPr>
            <w:r>
              <w:rPr>
                <w:rFonts w:eastAsia="等线"/>
                <w:szCs w:val="21"/>
              </w:rPr>
              <w:t>82.01</w:t>
            </w:r>
          </w:p>
        </w:tc>
      </w:tr>
      <w:tr w14:paraId="66CAF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2AFFD41E">
            <w:pPr>
              <w:jc w:val="center"/>
              <w:rPr>
                <w:kern w:val="0"/>
                <w:szCs w:val="21"/>
              </w:rPr>
            </w:pPr>
          </w:p>
        </w:tc>
        <w:tc>
          <w:tcPr>
            <w:tcW w:w="475" w:type="pct"/>
            <w:vMerge w:val="restart"/>
            <w:shd w:val="clear" w:color="auto" w:fill="auto"/>
            <w:vAlign w:val="center"/>
          </w:tcPr>
          <w:p w14:paraId="4DDBC983">
            <w:pPr>
              <w:jc w:val="center"/>
              <w:rPr>
                <w:kern w:val="0"/>
                <w:szCs w:val="21"/>
              </w:rPr>
            </w:pPr>
            <w:r>
              <w:rPr>
                <w:rFonts w:hint="eastAsia"/>
                <w:kern w:val="0"/>
                <w:szCs w:val="21"/>
              </w:rPr>
              <w:t>2032</w:t>
            </w:r>
          </w:p>
        </w:tc>
        <w:tc>
          <w:tcPr>
            <w:tcW w:w="689" w:type="pct"/>
            <w:shd w:val="clear" w:color="auto" w:fill="auto"/>
            <w:noWrap/>
            <w:vAlign w:val="center"/>
          </w:tcPr>
          <w:p w14:paraId="2DA68962">
            <w:pPr>
              <w:jc w:val="center"/>
              <w:rPr>
                <w:kern w:val="0"/>
                <w:szCs w:val="21"/>
              </w:rPr>
            </w:pPr>
            <w:r>
              <w:rPr>
                <w:rFonts w:hint="eastAsia"/>
                <w:kern w:val="0"/>
                <w:szCs w:val="21"/>
              </w:rPr>
              <w:t>高峰小时</w:t>
            </w:r>
          </w:p>
        </w:tc>
        <w:tc>
          <w:tcPr>
            <w:tcW w:w="583" w:type="pct"/>
            <w:shd w:val="clear" w:color="auto" w:fill="auto"/>
            <w:vAlign w:val="center"/>
          </w:tcPr>
          <w:p w14:paraId="3CAE3A5B">
            <w:pPr>
              <w:jc w:val="center"/>
              <w:rPr>
                <w:kern w:val="0"/>
                <w:szCs w:val="21"/>
              </w:rPr>
            </w:pPr>
            <w:r>
              <w:rPr>
                <w:rFonts w:eastAsia="等线"/>
                <w:szCs w:val="21"/>
              </w:rPr>
              <w:t>45.34</w:t>
            </w:r>
          </w:p>
        </w:tc>
        <w:tc>
          <w:tcPr>
            <w:tcW w:w="584" w:type="pct"/>
            <w:shd w:val="clear" w:color="auto" w:fill="auto"/>
            <w:vAlign w:val="center"/>
          </w:tcPr>
          <w:p w14:paraId="5DE80DE6">
            <w:pPr>
              <w:jc w:val="center"/>
              <w:rPr>
                <w:kern w:val="0"/>
                <w:szCs w:val="21"/>
              </w:rPr>
            </w:pPr>
            <w:r>
              <w:rPr>
                <w:rFonts w:eastAsia="等线"/>
                <w:szCs w:val="21"/>
              </w:rPr>
              <w:t>69.72</w:t>
            </w:r>
          </w:p>
        </w:tc>
        <w:tc>
          <w:tcPr>
            <w:tcW w:w="583" w:type="pct"/>
            <w:shd w:val="clear" w:color="auto" w:fill="auto"/>
            <w:vAlign w:val="center"/>
          </w:tcPr>
          <w:p w14:paraId="64235C74">
            <w:pPr>
              <w:jc w:val="center"/>
              <w:rPr>
                <w:kern w:val="0"/>
                <w:szCs w:val="21"/>
              </w:rPr>
            </w:pPr>
            <w:r>
              <w:rPr>
                <w:rFonts w:eastAsia="等线"/>
                <w:szCs w:val="21"/>
              </w:rPr>
              <w:t>36.33</w:t>
            </w:r>
          </w:p>
        </w:tc>
        <w:tc>
          <w:tcPr>
            <w:tcW w:w="584" w:type="pct"/>
            <w:shd w:val="clear" w:color="auto" w:fill="auto"/>
            <w:vAlign w:val="center"/>
          </w:tcPr>
          <w:p w14:paraId="4C483A33">
            <w:pPr>
              <w:jc w:val="center"/>
              <w:rPr>
                <w:kern w:val="0"/>
                <w:szCs w:val="21"/>
              </w:rPr>
            </w:pPr>
            <w:r>
              <w:rPr>
                <w:rFonts w:eastAsia="等线"/>
                <w:szCs w:val="21"/>
              </w:rPr>
              <w:t>77.01</w:t>
            </w:r>
          </w:p>
        </w:tc>
        <w:tc>
          <w:tcPr>
            <w:tcW w:w="583" w:type="pct"/>
            <w:shd w:val="clear" w:color="auto" w:fill="auto"/>
            <w:vAlign w:val="center"/>
          </w:tcPr>
          <w:p w14:paraId="630F2FDC">
            <w:pPr>
              <w:jc w:val="center"/>
              <w:rPr>
                <w:kern w:val="0"/>
                <w:szCs w:val="21"/>
              </w:rPr>
            </w:pPr>
            <w:r>
              <w:rPr>
                <w:rFonts w:eastAsia="等线"/>
                <w:szCs w:val="21"/>
              </w:rPr>
              <w:t>35.11</w:t>
            </w:r>
          </w:p>
        </w:tc>
        <w:tc>
          <w:tcPr>
            <w:tcW w:w="583" w:type="pct"/>
            <w:shd w:val="clear" w:color="auto" w:fill="auto"/>
            <w:vAlign w:val="center"/>
          </w:tcPr>
          <w:p w14:paraId="528B263E">
            <w:pPr>
              <w:jc w:val="center"/>
              <w:rPr>
                <w:kern w:val="0"/>
                <w:szCs w:val="21"/>
              </w:rPr>
            </w:pPr>
            <w:r>
              <w:rPr>
                <w:rFonts w:eastAsia="等线"/>
                <w:szCs w:val="21"/>
              </w:rPr>
              <w:t>82.09</w:t>
            </w:r>
          </w:p>
        </w:tc>
      </w:tr>
      <w:tr w14:paraId="40534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7D9F9059">
            <w:pPr>
              <w:jc w:val="center"/>
              <w:rPr>
                <w:kern w:val="0"/>
                <w:szCs w:val="21"/>
              </w:rPr>
            </w:pPr>
          </w:p>
        </w:tc>
        <w:tc>
          <w:tcPr>
            <w:tcW w:w="475" w:type="pct"/>
            <w:vMerge w:val="continue"/>
            <w:shd w:val="clear" w:color="auto" w:fill="auto"/>
            <w:vAlign w:val="center"/>
          </w:tcPr>
          <w:p w14:paraId="796A2EDE">
            <w:pPr>
              <w:jc w:val="center"/>
              <w:rPr>
                <w:kern w:val="0"/>
                <w:szCs w:val="21"/>
              </w:rPr>
            </w:pPr>
          </w:p>
        </w:tc>
        <w:tc>
          <w:tcPr>
            <w:tcW w:w="689" w:type="pct"/>
            <w:shd w:val="clear" w:color="auto" w:fill="auto"/>
            <w:noWrap/>
            <w:vAlign w:val="center"/>
          </w:tcPr>
          <w:p w14:paraId="38865FA9">
            <w:pPr>
              <w:jc w:val="center"/>
              <w:rPr>
                <w:kern w:val="0"/>
                <w:szCs w:val="21"/>
              </w:rPr>
            </w:pPr>
            <w:r>
              <w:rPr>
                <w:rFonts w:hint="eastAsia"/>
                <w:kern w:val="0"/>
                <w:szCs w:val="21"/>
              </w:rPr>
              <w:t>昼间小时</w:t>
            </w:r>
          </w:p>
        </w:tc>
        <w:tc>
          <w:tcPr>
            <w:tcW w:w="583" w:type="pct"/>
            <w:shd w:val="clear" w:color="auto" w:fill="auto"/>
            <w:noWrap/>
            <w:vAlign w:val="center"/>
          </w:tcPr>
          <w:p w14:paraId="747E5F73">
            <w:pPr>
              <w:jc w:val="center"/>
              <w:rPr>
                <w:kern w:val="0"/>
                <w:szCs w:val="21"/>
              </w:rPr>
            </w:pPr>
            <w:r>
              <w:rPr>
                <w:rFonts w:eastAsia="等线"/>
                <w:szCs w:val="21"/>
              </w:rPr>
              <w:t>48.55</w:t>
            </w:r>
          </w:p>
        </w:tc>
        <w:tc>
          <w:tcPr>
            <w:tcW w:w="584" w:type="pct"/>
            <w:shd w:val="clear" w:color="auto" w:fill="auto"/>
            <w:vAlign w:val="center"/>
          </w:tcPr>
          <w:p w14:paraId="65CF1DCA">
            <w:pPr>
              <w:jc w:val="center"/>
              <w:rPr>
                <w:kern w:val="0"/>
                <w:szCs w:val="21"/>
              </w:rPr>
            </w:pPr>
            <w:r>
              <w:rPr>
                <w:rFonts w:eastAsia="等线"/>
                <w:szCs w:val="21"/>
              </w:rPr>
              <w:t>70.53</w:t>
            </w:r>
          </w:p>
        </w:tc>
        <w:tc>
          <w:tcPr>
            <w:tcW w:w="583" w:type="pct"/>
            <w:shd w:val="clear" w:color="auto" w:fill="auto"/>
            <w:noWrap/>
            <w:vAlign w:val="center"/>
          </w:tcPr>
          <w:p w14:paraId="6C332979">
            <w:pPr>
              <w:jc w:val="center"/>
              <w:rPr>
                <w:kern w:val="0"/>
                <w:szCs w:val="21"/>
              </w:rPr>
            </w:pPr>
            <w:r>
              <w:rPr>
                <w:rFonts w:eastAsia="等线"/>
                <w:szCs w:val="21"/>
              </w:rPr>
              <w:t>35.79</w:t>
            </w:r>
          </w:p>
        </w:tc>
        <w:tc>
          <w:tcPr>
            <w:tcW w:w="584" w:type="pct"/>
            <w:shd w:val="clear" w:color="auto" w:fill="auto"/>
            <w:vAlign w:val="center"/>
          </w:tcPr>
          <w:p w14:paraId="5EC457E6">
            <w:pPr>
              <w:jc w:val="center"/>
              <w:rPr>
                <w:kern w:val="0"/>
                <w:szCs w:val="21"/>
              </w:rPr>
            </w:pPr>
            <w:r>
              <w:rPr>
                <w:rFonts w:eastAsia="等线"/>
                <w:szCs w:val="21"/>
              </w:rPr>
              <w:t>76.84</w:t>
            </w:r>
          </w:p>
        </w:tc>
        <w:tc>
          <w:tcPr>
            <w:tcW w:w="583" w:type="pct"/>
            <w:shd w:val="clear" w:color="auto" w:fill="auto"/>
            <w:noWrap/>
            <w:vAlign w:val="center"/>
          </w:tcPr>
          <w:p w14:paraId="20973469">
            <w:pPr>
              <w:jc w:val="center"/>
              <w:rPr>
                <w:kern w:val="0"/>
                <w:szCs w:val="21"/>
              </w:rPr>
            </w:pPr>
            <w:r>
              <w:rPr>
                <w:rFonts w:eastAsia="等线"/>
                <w:szCs w:val="21"/>
              </w:rPr>
              <w:t>34.99</w:t>
            </w:r>
          </w:p>
        </w:tc>
        <w:tc>
          <w:tcPr>
            <w:tcW w:w="583" w:type="pct"/>
            <w:shd w:val="clear" w:color="auto" w:fill="auto"/>
            <w:vAlign w:val="center"/>
          </w:tcPr>
          <w:p w14:paraId="21B0F02A">
            <w:pPr>
              <w:jc w:val="center"/>
              <w:rPr>
                <w:kern w:val="0"/>
                <w:szCs w:val="21"/>
              </w:rPr>
            </w:pPr>
            <w:r>
              <w:rPr>
                <w:rFonts w:eastAsia="等线"/>
                <w:szCs w:val="21"/>
              </w:rPr>
              <w:t>82.05</w:t>
            </w:r>
          </w:p>
        </w:tc>
      </w:tr>
      <w:tr w14:paraId="4F946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535AD979">
            <w:pPr>
              <w:jc w:val="center"/>
              <w:rPr>
                <w:kern w:val="0"/>
                <w:szCs w:val="21"/>
              </w:rPr>
            </w:pPr>
          </w:p>
        </w:tc>
        <w:tc>
          <w:tcPr>
            <w:tcW w:w="475" w:type="pct"/>
            <w:vMerge w:val="continue"/>
            <w:shd w:val="clear" w:color="auto" w:fill="auto"/>
            <w:vAlign w:val="center"/>
          </w:tcPr>
          <w:p w14:paraId="18222D11">
            <w:pPr>
              <w:jc w:val="center"/>
              <w:rPr>
                <w:kern w:val="0"/>
                <w:szCs w:val="21"/>
              </w:rPr>
            </w:pPr>
          </w:p>
        </w:tc>
        <w:tc>
          <w:tcPr>
            <w:tcW w:w="689" w:type="pct"/>
            <w:shd w:val="clear" w:color="auto" w:fill="auto"/>
            <w:noWrap/>
            <w:vAlign w:val="center"/>
          </w:tcPr>
          <w:p w14:paraId="69971B04">
            <w:pPr>
              <w:jc w:val="center"/>
              <w:rPr>
                <w:kern w:val="0"/>
                <w:szCs w:val="21"/>
              </w:rPr>
            </w:pPr>
            <w:r>
              <w:rPr>
                <w:rFonts w:hint="eastAsia"/>
                <w:kern w:val="0"/>
                <w:szCs w:val="21"/>
              </w:rPr>
              <w:t>夜间小时</w:t>
            </w:r>
          </w:p>
        </w:tc>
        <w:tc>
          <w:tcPr>
            <w:tcW w:w="583" w:type="pct"/>
            <w:shd w:val="clear" w:color="auto" w:fill="auto"/>
            <w:noWrap/>
            <w:vAlign w:val="center"/>
          </w:tcPr>
          <w:p w14:paraId="10757BD8">
            <w:pPr>
              <w:jc w:val="center"/>
              <w:rPr>
                <w:kern w:val="0"/>
                <w:szCs w:val="21"/>
              </w:rPr>
            </w:pPr>
            <w:r>
              <w:rPr>
                <w:rFonts w:eastAsia="等线"/>
                <w:szCs w:val="21"/>
              </w:rPr>
              <w:t>50.69</w:t>
            </w:r>
          </w:p>
        </w:tc>
        <w:tc>
          <w:tcPr>
            <w:tcW w:w="584" w:type="pct"/>
            <w:shd w:val="clear" w:color="auto" w:fill="auto"/>
            <w:vAlign w:val="center"/>
          </w:tcPr>
          <w:p w14:paraId="2C1CD5C1">
            <w:pPr>
              <w:jc w:val="center"/>
              <w:rPr>
                <w:kern w:val="0"/>
                <w:szCs w:val="21"/>
              </w:rPr>
            </w:pPr>
            <w:r>
              <w:rPr>
                <w:rFonts w:eastAsia="等线"/>
                <w:szCs w:val="21"/>
              </w:rPr>
              <w:t>71.03</w:t>
            </w:r>
          </w:p>
        </w:tc>
        <w:tc>
          <w:tcPr>
            <w:tcW w:w="583" w:type="pct"/>
            <w:shd w:val="clear" w:color="auto" w:fill="auto"/>
            <w:noWrap/>
            <w:vAlign w:val="center"/>
          </w:tcPr>
          <w:p w14:paraId="55B51BE3">
            <w:pPr>
              <w:jc w:val="center"/>
              <w:rPr>
                <w:kern w:val="0"/>
                <w:szCs w:val="21"/>
              </w:rPr>
            </w:pPr>
            <w:r>
              <w:rPr>
                <w:rFonts w:eastAsia="等线"/>
                <w:szCs w:val="21"/>
              </w:rPr>
              <w:t>35.07</w:t>
            </w:r>
          </w:p>
        </w:tc>
        <w:tc>
          <w:tcPr>
            <w:tcW w:w="584" w:type="pct"/>
            <w:shd w:val="clear" w:color="auto" w:fill="auto"/>
            <w:vAlign w:val="center"/>
          </w:tcPr>
          <w:p w14:paraId="5ADBE749">
            <w:pPr>
              <w:jc w:val="center"/>
              <w:rPr>
                <w:kern w:val="0"/>
                <w:szCs w:val="21"/>
              </w:rPr>
            </w:pPr>
            <w:r>
              <w:rPr>
                <w:rFonts w:eastAsia="等线"/>
                <w:szCs w:val="21"/>
              </w:rPr>
              <w:t>76.62</w:t>
            </w:r>
          </w:p>
        </w:tc>
        <w:tc>
          <w:tcPr>
            <w:tcW w:w="583" w:type="pct"/>
            <w:shd w:val="clear" w:color="auto" w:fill="auto"/>
            <w:noWrap/>
            <w:vAlign w:val="center"/>
          </w:tcPr>
          <w:p w14:paraId="4638FFA2">
            <w:pPr>
              <w:jc w:val="center"/>
              <w:rPr>
                <w:kern w:val="0"/>
                <w:szCs w:val="21"/>
              </w:rPr>
            </w:pPr>
            <w:r>
              <w:rPr>
                <w:rFonts w:eastAsia="等线"/>
                <w:szCs w:val="21"/>
              </w:rPr>
              <w:t>34.86</w:t>
            </w:r>
          </w:p>
        </w:tc>
        <w:tc>
          <w:tcPr>
            <w:tcW w:w="583" w:type="pct"/>
            <w:shd w:val="clear" w:color="auto" w:fill="auto"/>
            <w:vAlign w:val="center"/>
          </w:tcPr>
          <w:p w14:paraId="3482D5D4">
            <w:pPr>
              <w:jc w:val="center"/>
              <w:rPr>
                <w:kern w:val="0"/>
                <w:szCs w:val="21"/>
              </w:rPr>
            </w:pPr>
            <w:r>
              <w:rPr>
                <w:rFonts w:eastAsia="等线"/>
                <w:szCs w:val="21"/>
              </w:rPr>
              <w:t>82.02</w:t>
            </w:r>
          </w:p>
        </w:tc>
      </w:tr>
      <w:tr w14:paraId="4B6FD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4E7883C8">
            <w:pPr>
              <w:jc w:val="center"/>
              <w:rPr>
                <w:kern w:val="0"/>
                <w:szCs w:val="21"/>
              </w:rPr>
            </w:pPr>
          </w:p>
        </w:tc>
        <w:tc>
          <w:tcPr>
            <w:tcW w:w="475" w:type="pct"/>
            <w:vMerge w:val="restart"/>
            <w:shd w:val="clear" w:color="auto" w:fill="auto"/>
            <w:vAlign w:val="center"/>
          </w:tcPr>
          <w:p w14:paraId="687BBE17">
            <w:pPr>
              <w:jc w:val="center"/>
              <w:rPr>
                <w:kern w:val="0"/>
                <w:szCs w:val="21"/>
              </w:rPr>
            </w:pPr>
            <w:r>
              <w:rPr>
                <w:rFonts w:hint="eastAsia"/>
                <w:kern w:val="0"/>
                <w:szCs w:val="21"/>
              </w:rPr>
              <w:t>2040</w:t>
            </w:r>
          </w:p>
        </w:tc>
        <w:tc>
          <w:tcPr>
            <w:tcW w:w="689" w:type="pct"/>
            <w:shd w:val="clear" w:color="auto" w:fill="auto"/>
            <w:noWrap/>
            <w:vAlign w:val="center"/>
          </w:tcPr>
          <w:p w14:paraId="2301785F">
            <w:pPr>
              <w:jc w:val="center"/>
              <w:rPr>
                <w:kern w:val="0"/>
                <w:szCs w:val="21"/>
              </w:rPr>
            </w:pPr>
            <w:r>
              <w:rPr>
                <w:rFonts w:hint="eastAsia"/>
                <w:kern w:val="0"/>
                <w:szCs w:val="21"/>
              </w:rPr>
              <w:t>高峰小时</w:t>
            </w:r>
          </w:p>
        </w:tc>
        <w:tc>
          <w:tcPr>
            <w:tcW w:w="583" w:type="pct"/>
            <w:shd w:val="clear" w:color="auto" w:fill="auto"/>
            <w:noWrap/>
            <w:vAlign w:val="center"/>
          </w:tcPr>
          <w:p w14:paraId="35EFFA32">
            <w:pPr>
              <w:jc w:val="center"/>
              <w:rPr>
                <w:kern w:val="0"/>
                <w:szCs w:val="21"/>
              </w:rPr>
            </w:pPr>
            <w:r>
              <w:rPr>
                <w:rFonts w:eastAsia="等线"/>
                <w:szCs w:val="21"/>
              </w:rPr>
              <w:t>40.76</w:t>
            </w:r>
          </w:p>
        </w:tc>
        <w:tc>
          <w:tcPr>
            <w:tcW w:w="584" w:type="pct"/>
            <w:shd w:val="clear" w:color="auto" w:fill="auto"/>
            <w:vAlign w:val="center"/>
          </w:tcPr>
          <w:p w14:paraId="007A6AEF">
            <w:pPr>
              <w:jc w:val="center"/>
              <w:rPr>
                <w:kern w:val="0"/>
                <w:szCs w:val="21"/>
              </w:rPr>
            </w:pPr>
            <w:r>
              <w:rPr>
                <w:rFonts w:eastAsia="等线"/>
                <w:szCs w:val="21"/>
              </w:rPr>
              <w:t>68.48</w:t>
            </w:r>
          </w:p>
        </w:tc>
        <w:tc>
          <w:tcPr>
            <w:tcW w:w="583" w:type="pct"/>
            <w:shd w:val="clear" w:color="auto" w:fill="auto"/>
            <w:noWrap/>
            <w:vAlign w:val="center"/>
          </w:tcPr>
          <w:p w14:paraId="54820774">
            <w:pPr>
              <w:jc w:val="center"/>
              <w:rPr>
                <w:kern w:val="0"/>
                <w:szCs w:val="21"/>
              </w:rPr>
            </w:pPr>
            <w:r>
              <w:rPr>
                <w:rFonts w:eastAsia="等线"/>
                <w:szCs w:val="21"/>
              </w:rPr>
              <w:t>36.78</w:t>
            </w:r>
          </w:p>
        </w:tc>
        <w:tc>
          <w:tcPr>
            <w:tcW w:w="584" w:type="pct"/>
            <w:shd w:val="clear" w:color="auto" w:fill="auto"/>
            <w:vAlign w:val="center"/>
          </w:tcPr>
          <w:p w14:paraId="4C8107D9">
            <w:pPr>
              <w:jc w:val="center"/>
              <w:rPr>
                <w:kern w:val="0"/>
                <w:szCs w:val="21"/>
              </w:rPr>
            </w:pPr>
            <w:r>
              <w:rPr>
                <w:rFonts w:eastAsia="等线"/>
                <w:szCs w:val="21"/>
              </w:rPr>
              <w:t>77.14</w:t>
            </w:r>
          </w:p>
        </w:tc>
        <w:tc>
          <w:tcPr>
            <w:tcW w:w="583" w:type="pct"/>
            <w:shd w:val="clear" w:color="auto" w:fill="auto"/>
            <w:noWrap/>
            <w:vAlign w:val="center"/>
          </w:tcPr>
          <w:p w14:paraId="3E66DF6A">
            <w:pPr>
              <w:jc w:val="center"/>
              <w:rPr>
                <w:kern w:val="0"/>
                <w:szCs w:val="21"/>
              </w:rPr>
            </w:pPr>
            <w:r>
              <w:rPr>
                <w:rFonts w:eastAsia="等线"/>
                <w:szCs w:val="21"/>
              </w:rPr>
              <w:t>35.25</w:t>
            </w:r>
          </w:p>
        </w:tc>
        <w:tc>
          <w:tcPr>
            <w:tcW w:w="583" w:type="pct"/>
            <w:shd w:val="clear" w:color="auto" w:fill="auto"/>
            <w:vAlign w:val="center"/>
          </w:tcPr>
          <w:p w14:paraId="3992D362">
            <w:pPr>
              <w:jc w:val="center"/>
              <w:rPr>
                <w:kern w:val="0"/>
                <w:szCs w:val="21"/>
              </w:rPr>
            </w:pPr>
            <w:r>
              <w:rPr>
                <w:rFonts w:eastAsia="等线"/>
                <w:szCs w:val="21"/>
              </w:rPr>
              <w:t>82.13</w:t>
            </w:r>
          </w:p>
        </w:tc>
      </w:tr>
      <w:tr w14:paraId="1FA4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shd w:val="clear" w:color="auto" w:fill="auto"/>
            <w:vAlign w:val="center"/>
          </w:tcPr>
          <w:p w14:paraId="2F0F1394">
            <w:pPr>
              <w:jc w:val="center"/>
              <w:rPr>
                <w:kern w:val="0"/>
                <w:szCs w:val="21"/>
              </w:rPr>
            </w:pPr>
          </w:p>
        </w:tc>
        <w:tc>
          <w:tcPr>
            <w:tcW w:w="475" w:type="pct"/>
            <w:vMerge w:val="continue"/>
            <w:shd w:val="clear" w:color="auto" w:fill="auto"/>
            <w:vAlign w:val="center"/>
          </w:tcPr>
          <w:p w14:paraId="6D30289D">
            <w:pPr>
              <w:jc w:val="center"/>
              <w:rPr>
                <w:kern w:val="0"/>
                <w:szCs w:val="21"/>
              </w:rPr>
            </w:pPr>
          </w:p>
        </w:tc>
        <w:tc>
          <w:tcPr>
            <w:tcW w:w="689" w:type="pct"/>
            <w:shd w:val="clear" w:color="auto" w:fill="auto"/>
            <w:noWrap/>
            <w:vAlign w:val="center"/>
          </w:tcPr>
          <w:p w14:paraId="6F2C8EB0">
            <w:pPr>
              <w:jc w:val="center"/>
              <w:rPr>
                <w:kern w:val="0"/>
                <w:szCs w:val="21"/>
              </w:rPr>
            </w:pPr>
            <w:r>
              <w:rPr>
                <w:rFonts w:hint="eastAsia"/>
                <w:kern w:val="0"/>
                <w:szCs w:val="21"/>
              </w:rPr>
              <w:t>昼间小时</w:t>
            </w:r>
          </w:p>
        </w:tc>
        <w:tc>
          <w:tcPr>
            <w:tcW w:w="583" w:type="pct"/>
            <w:shd w:val="clear" w:color="auto" w:fill="auto"/>
            <w:noWrap/>
            <w:vAlign w:val="center"/>
          </w:tcPr>
          <w:p w14:paraId="266CFEB6">
            <w:pPr>
              <w:jc w:val="center"/>
              <w:rPr>
                <w:kern w:val="0"/>
                <w:szCs w:val="21"/>
              </w:rPr>
            </w:pPr>
            <w:r>
              <w:rPr>
                <w:rFonts w:eastAsia="等线"/>
                <w:szCs w:val="21"/>
              </w:rPr>
              <w:t>46.53</w:t>
            </w:r>
          </w:p>
        </w:tc>
        <w:tc>
          <w:tcPr>
            <w:tcW w:w="584" w:type="pct"/>
            <w:shd w:val="clear" w:color="auto" w:fill="auto"/>
            <w:vAlign w:val="center"/>
          </w:tcPr>
          <w:p w14:paraId="68B20315">
            <w:pPr>
              <w:jc w:val="center"/>
              <w:rPr>
                <w:kern w:val="0"/>
                <w:szCs w:val="21"/>
              </w:rPr>
            </w:pPr>
            <w:r>
              <w:rPr>
                <w:rFonts w:eastAsia="等线"/>
                <w:szCs w:val="21"/>
              </w:rPr>
              <w:t>70.03</w:t>
            </w:r>
          </w:p>
        </w:tc>
        <w:tc>
          <w:tcPr>
            <w:tcW w:w="583" w:type="pct"/>
            <w:shd w:val="clear" w:color="auto" w:fill="auto"/>
            <w:noWrap/>
            <w:vAlign w:val="center"/>
          </w:tcPr>
          <w:p w14:paraId="2FCC878E">
            <w:pPr>
              <w:jc w:val="center"/>
              <w:rPr>
                <w:kern w:val="0"/>
                <w:szCs w:val="21"/>
              </w:rPr>
            </w:pPr>
            <w:r>
              <w:rPr>
                <w:rFonts w:eastAsia="等线"/>
                <w:szCs w:val="21"/>
              </w:rPr>
              <w:t>36.17</w:t>
            </w:r>
          </w:p>
        </w:tc>
        <w:tc>
          <w:tcPr>
            <w:tcW w:w="584" w:type="pct"/>
            <w:shd w:val="clear" w:color="auto" w:fill="auto"/>
            <w:vAlign w:val="center"/>
          </w:tcPr>
          <w:p w14:paraId="6777FF6C">
            <w:pPr>
              <w:jc w:val="center"/>
              <w:rPr>
                <w:kern w:val="0"/>
                <w:szCs w:val="21"/>
              </w:rPr>
            </w:pPr>
            <w:r>
              <w:rPr>
                <w:rFonts w:eastAsia="等线"/>
                <w:szCs w:val="21"/>
              </w:rPr>
              <w:t>76.96</w:t>
            </w:r>
          </w:p>
        </w:tc>
        <w:tc>
          <w:tcPr>
            <w:tcW w:w="583" w:type="pct"/>
            <w:shd w:val="clear" w:color="auto" w:fill="auto"/>
            <w:noWrap/>
            <w:vAlign w:val="center"/>
          </w:tcPr>
          <w:p w14:paraId="5B64761C">
            <w:pPr>
              <w:jc w:val="center"/>
              <w:rPr>
                <w:kern w:val="0"/>
                <w:szCs w:val="21"/>
              </w:rPr>
            </w:pPr>
            <w:r>
              <w:rPr>
                <w:rFonts w:eastAsia="等线"/>
                <w:szCs w:val="21"/>
              </w:rPr>
              <w:t>35.07</w:t>
            </w:r>
          </w:p>
        </w:tc>
        <w:tc>
          <w:tcPr>
            <w:tcW w:w="583" w:type="pct"/>
            <w:shd w:val="clear" w:color="auto" w:fill="auto"/>
            <w:vAlign w:val="center"/>
          </w:tcPr>
          <w:p w14:paraId="0B3899ED">
            <w:pPr>
              <w:jc w:val="center"/>
              <w:rPr>
                <w:kern w:val="0"/>
                <w:szCs w:val="21"/>
              </w:rPr>
            </w:pPr>
            <w:r>
              <w:rPr>
                <w:rFonts w:eastAsia="等线"/>
                <w:szCs w:val="21"/>
              </w:rPr>
              <w:t>82.08</w:t>
            </w:r>
          </w:p>
        </w:tc>
      </w:tr>
      <w:tr w14:paraId="3A84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 w:type="pct"/>
            <w:vMerge w:val="continue"/>
            <w:tcBorders>
              <w:bottom w:val="single" w:color="auto" w:sz="18" w:space="0"/>
            </w:tcBorders>
            <w:shd w:val="clear" w:color="auto" w:fill="auto"/>
            <w:vAlign w:val="center"/>
          </w:tcPr>
          <w:p w14:paraId="32489092">
            <w:pPr>
              <w:jc w:val="center"/>
              <w:rPr>
                <w:kern w:val="0"/>
                <w:szCs w:val="21"/>
              </w:rPr>
            </w:pPr>
          </w:p>
        </w:tc>
        <w:tc>
          <w:tcPr>
            <w:tcW w:w="475" w:type="pct"/>
            <w:vMerge w:val="continue"/>
            <w:tcBorders>
              <w:bottom w:val="single" w:color="auto" w:sz="18" w:space="0"/>
            </w:tcBorders>
            <w:shd w:val="clear" w:color="auto" w:fill="auto"/>
            <w:vAlign w:val="center"/>
          </w:tcPr>
          <w:p w14:paraId="19C515F2">
            <w:pPr>
              <w:jc w:val="center"/>
              <w:rPr>
                <w:kern w:val="0"/>
                <w:szCs w:val="21"/>
              </w:rPr>
            </w:pPr>
          </w:p>
        </w:tc>
        <w:tc>
          <w:tcPr>
            <w:tcW w:w="689" w:type="pct"/>
            <w:tcBorders>
              <w:bottom w:val="single" w:color="auto" w:sz="18" w:space="0"/>
            </w:tcBorders>
            <w:shd w:val="clear" w:color="auto" w:fill="auto"/>
            <w:noWrap/>
            <w:vAlign w:val="center"/>
          </w:tcPr>
          <w:p w14:paraId="3451CFAE">
            <w:pPr>
              <w:jc w:val="center"/>
              <w:rPr>
                <w:kern w:val="0"/>
                <w:szCs w:val="21"/>
              </w:rPr>
            </w:pPr>
            <w:r>
              <w:rPr>
                <w:rFonts w:hint="eastAsia"/>
                <w:kern w:val="0"/>
                <w:szCs w:val="21"/>
              </w:rPr>
              <w:t>夜间小时</w:t>
            </w:r>
          </w:p>
        </w:tc>
        <w:tc>
          <w:tcPr>
            <w:tcW w:w="583" w:type="pct"/>
            <w:tcBorders>
              <w:bottom w:val="single" w:color="auto" w:sz="18" w:space="0"/>
            </w:tcBorders>
            <w:shd w:val="clear" w:color="auto" w:fill="auto"/>
            <w:noWrap/>
            <w:vAlign w:val="center"/>
          </w:tcPr>
          <w:p w14:paraId="5CC49F3C">
            <w:pPr>
              <w:jc w:val="center"/>
              <w:rPr>
                <w:kern w:val="0"/>
                <w:szCs w:val="21"/>
              </w:rPr>
            </w:pPr>
            <w:r>
              <w:rPr>
                <w:rFonts w:eastAsia="等线"/>
                <w:szCs w:val="21"/>
              </w:rPr>
              <w:t>50.46</w:t>
            </w:r>
          </w:p>
        </w:tc>
        <w:tc>
          <w:tcPr>
            <w:tcW w:w="584" w:type="pct"/>
            <w:tcBorders>
              <w:bottom w:val="single" w:color="auto" w:sz="18" w:space="0"/>
            </w:tcBorders>
            <w:shd w:val="clear" w:color="auto" w:fill="auto"/>
            <w:vAlign w:val="center"/>
          </w:tcPr>
          <w:p w14:paraId="4F024D7D">
            <w:pPr>
              <w:jc w:val="center"/>
              <w:rPr>
                <w:kern w:val="0"/>
                <w:szCs w:val="21"/>
              </w:rPr>
            </w:pPr>
            <w:r>
              <w:rPr>
                <w:rFonts w:eastAsia="等线"/>
                <w:szCs w:val="21"/>
              </w:rPr>
              <w:t>70.98</w:t>
            </w:r>
          </w:p>
        </w:tc>
        <w:tc>
          <w:tcPr>
            <w:tcW w:w="583" w:type="pct"/>
            <w:tcBorders>
              <w:bottom w:val="single" w:color="auto" w:sz="18" w:space="0"/>
            </w:tcBorders>
            <w:shd w:val="clear" w:color="auto" w:fill="auto"/>
            <w:noWrap/>
            <w:vAlign w:val="center"/>
          </w:tcPr>
          <w:p w14:paraId="502674E6">
            <w:pPr>
              <w:jc w:val="center"/>
              <w:rPr>
                <w:kern w:val="0"/>
                <w:szCs w:val="21"/>
              </w:rPr>
            </w:pPr>
            <w:r>
              <w:rPr>
                <w:rFonts w:eastAsia="等线"/>
                <w:szCs w:val="21"/>
              </w:rPr>
              <w:t>35.18</w:t>
            </w:r>
          </w:p>
        </w:tc>
        <w:tc>
          <w:tcPr>
            <w:tcW w:w="584" w:type="pct"/>
            <w:tcBorders>
              <w:bottom w:val="single" w:color="auto" w:sz="18" w:space="0"/>
            </w:tcBorders>
            <w:shd w:val="clear" w:color="auto" w:fill="auto"/>
            <w:vAlign w:val="center"/>
          </w:tcPr>
          <w:p w14:paraId="13BC83A1">
            <w:pPr>
              <w:jc w:val="center"/>
              <w:rPr>
                <w:kern w:val="0"/>
                <w:szCs w:val="21"/>
              </w:rPr>
            </w:pPr>
            <w:r>
              <w:rPr>
                <w:rFonts w:eastAsia="等线"/>
                <w:szCs w:val="21"/>
              </w:rPr>
              <w:t>76.66</w:t>
            </w:r>
          </w:p>
        </w:tc>
        <w:tc>
          <w:tcPr>
            <w:tcW w:w="583" w:type="pct"/>
            <w:tcBorders>
              <w:bottom w:val="single" w:color="auto" w:sz="18" w:space="0"/>
            </w:tcBorders>
            <w:shd w:val="clear" w:color="auto" w:fill="auto"/>
            <w:noWrap/>
            <w:vAlign w:val="center"/>
          </w:tcPr>
          <w:p w14:paraId="28612E97">
            <w:pPr>
              <w:jc w:val="center"/>
              <w:rPr>
                <w:kern w:val="0"/>
                <w:szCs w:val="21"/>
              </w:rPr>
            </w:pPr>
            <w:r>
              <w:rPr>
                <w:rFonts w:eastAsia="等线"/>
                <w:szCs w:val="21"/>
              </w:rPr>
              <w:t>34.88</w:t>
            </w:r>
          </w:p>
        </w:tc>
        <w:tc>
          <w:tcPr>
            <w:tcW w:w="583" w:type="pct"/>
            <w:tcBorders>
              <w:bottom w:val="single" w:color="auto" w:sz="18" w:space="0"/>
            </w:tcBorders>
            <w:shd w:val="clear" w:color="auto" w:fill="auto"/>
            <w:vAlign w:val="center"/>
          </w:tcPr>
          <w:p w14:paraId="49C81352">
            <w:pPr>
              <w:jc w:val="center"/>
              <w:rPr>
                <w:kern w:val="0"/>
                <w:szCs w:val="21"/>
              </w:rPr>
            </w:pPr>
            <w:r>
              <w:rPr>
                <w:rFonts w:eastAsia="等线"/>
                <w:szCs w:val="21"/>
              </w:rPr>
              <w:t>82.02</w:t>
            </w:r>
          </w:p>
        </w:tc>
      </w:tr>
    </w:tbl>
    <w:p w14:paraId="3AE1C652">
      <w:pPr>
        <w:widowControl/>
        <w:spacing w:line="360" w:lineRule="auto"/>
        <w:rPr>
          <w:b/>
          <w:bCs/>
          <w:sz w:val="44"/>
          <w:szCs w:val="44"/>
        </w:rPr>
        <w:sectPr>
          <w:pgSz w:w="11906" w:h="16838"/>
          <w:pgMar w:top="720" w:right="720" w:bottom="720" w:left="720" w:header="851" w:footer="567" w:gutter="0"/>
          <w:cols w:space="720" w:num="1"/>
          <w:docGrid w:linePitch="312" w:charSpace="0"/>
        </w:sectPr>
      </w:pPr>
    </w:p>
    <w:p w14:paraId="60E33ACB">
      <w:pPr>
        <w:widowControl/>
        <w:spacing w:line="360" w:lineRule="auto"/>
        <w:jc w:val="center"/>
        <w:outlineLvl w:val="0"/>
        <w:rPr>
          <w:b/>
          <w:bCs/>
          <w:sz w:val="44"/>
          <w:szCs w:val="44"/>
        </w:rPr>
      </w:pPr>
      <w:bookmarkStart w:id="138" w:name="_Toc185523912"/>
      <w:bookmarkStart w:id="139" w:name="_Toc185524020"/>
      <w:bookmarkStart w:id="140" w:name="_Toc187243675"/>
      <w:bookmarkStart w:id="141" w:name="_Toc191907562"/>
      <w:bookmarkStart w:id="142" w:name="_Toc32741"/>
      <w:r>
        <w:rPr>
          <w:b/>
          <w:bCs/>
          <w:sz w:val="44"/>
          <w:szCs w:val="44"/>
        </w:rPr>
        <w:t>3. 声环境现状调查与评价</w:t>
      </w:r>
      <w:bookmarkEnd w:id="138"/>
      <w:bookmarkEnd w:id="139"/>
      <w:bookmarkEnd w:id="140"/>
      <w:bookmarkEnd w:id="141"/>
      <w:bookmarkEnd w:id="142"/>
    </w:p>
    <w:p w14:paraId="12A65E4E">
      <w:pPr>
        <w:autoSpaceDE w:val="0"/>
        <w:autoSpaceDN w:val="0"/>
        <w:adjustRightInd w:val="0"/>
        <w:spacing w:line="360" w:lineRule="auto"/>
        <w:ind w:firstLine="482" w:firstLineChars="200"/>
        <w:rPr>
          <w:b/>
          <w:bCs/>
          <w:kern w:val="0"/>
          <w:sz w:val="24"/>
        </w:rPr>
      </w:pPr>
      <w:r>
        <w:rPr>
          <w:b/>
          <w:bCs/>
          <w:kern w:val="0"/>
          <w:sz w:val="24"/>
        </w:rPr>
        <w:t>3.1 声环境质量现状调查</w:t>
      </w:r>
    </w:p>
    <w:p w14:paraId="33ABBB67">
      <w:pPr>
        <w:autoSpaceDE w:val="0"/>
        <w:autoSpaceDN w:val="0"/>
        <w:adjustRightInd w:val="0"/>
        <w:spacing w:line="360" w:lineRule="auto"/>
        <w:ind w:firstLine="480" w:firstLineChars="200"/>
        <w:rPr>
          <w:sz w:val="24"/>
          <w:lang w:bidi="ar"/>
        </w:rPr>
      </w:pPr>
      <w:r>
        <w:rPr>
          <w:sz w:val="24"/>
          <w:lang w:bidi="ar"/>
        </w:rPr>
        <w:t>根据</w:t>
      </w:r>
      <w:r>
        <w:rPr>
          <w:sz w:val="24"/>
        </w:rPr>
        <w:t>《</w:t>
      </w:r>
      <w:r>
        <w:rPr>
          <w:rFonts w:hint="eastAsia"/>
          <w:sz w:val="24"/>
        </w:rPr>
        <w:t>惠州市声环境功能区划分方案(2022年)</w:t>
      </w:r>
      <w:r>
        <w:rPr>
          <w:sz w:val="24"/>
        </w:rPr>
        <w:t>》（</w:t>
      </w:r>
      <w:r>
        <w:rPr>
          <w:rFonts w:hint="eastAsia"/>
          <w:sz w:val="24"/>
        </w:rPr>
        <w:t>惠市环〔2022]33号</w:t>
      </w:r>
      <w:r>
        <w:rPr>
          <w:sz w:val="24"/>
        </w:rPr>
        <w:t>）</w:t>
      </w:r>
      <w:r>
        <w:rPr>
          <w:sz w:val="24"/>
          <w:lang w:bidi="ar"/>
        </w:rPr>
        <w:t>以及《声环境功能区划技术规范》（GB/T15190-2014），本项目</w:t>
      </w:r>
      <w:r>
        <w:rPr>
          <w:rFonts w:hint="eastAsia"/>
          <w:sz w:val="24"/>
          <w:lang w:bidi="ar"/>
        </w:rPr>
        <w:t>位于</w:t>
      </w:r>
      <w:r>
        <w:rPr>
          <w:rFonts w:hint="eastAsia"/>
          <w:kern w:val="0"/>
          <w:sz w:val="24"/>
        </w:rPr>
        <w:t>惠州市博罗县罗阳街道，惠博大道以东</w:t>
      </w:r>
      <w:r>
        <w:rPr>
          <w:sz w:val="24"/>
          <w:lang w:bidi="ar"/>
        </w:rPr>
        <w:t>，为</w:t>
      </w:r>
      <w:r>
        <w:rPr>
          <w:rFonts w:hint="eastAsia"/>
          <w:sz w:val="24"/>
          <w:lang w:bidi="ar"/>
        </w:rPr>
        <w:t>城市主干路</w:t>
      </w:r>
      <w:r>
        <w:rPr>
          <w:sz w:val="24"/>
          <w:lang w:bidi="ar"/>
        </w:rPr>
        <w:t>。</w:t>
      </w:r>
      <w:r>
        <w:rPr>
          <w:rFonts w:hint="eastAsia"/>
          <w:sz w:val="24"/>
          <w:lang w:bidi="ar"/>
        </w:rPr>
        <w:t>本项目沿线相邻区域为</w:t>
      </w:r>
      <w:r>
        <w:rPr>
          <w:sz w:val="24"/>
          <w:lang w:bidi="ar"/>
        </w:rPr>
        <w:t>2类声环境功能区的以交通干线边界外35m内及临街建筑(楼层3层及以上)面向交通干线一侧至交通干线边界线的区域定为4a类声环境功能区，执行《声环境质量标准》（GB3096-2008）的4a类标准</w:t>
      </w:r>
      <w:r>
        <w:rPr>
          <w:rFonts w:hint="eastAsia"/>
          <w:sz w:val="24"/>
          <w:lang w:bidi="ar"/>
        </w:rPr>
        <w:t>，</w:t>
      </w:r>
      <w:r>
        <w:rPr>
          <w:sz w:val="24"/>
          <w:lang w:bidi="ar"/>
        </w:rPr>
        <w:t>其他区域为2类区。</w:t>
      </w:r>
    </w:p>
    <w:p w14:paraId="755DD5AF">
      <w:pPr>
        <w:autoSpaceDE w:val="0"/>
        <w:autoSpaceDN w:val="0"/>
        <w:adjustRightInd w:val="0"/>
        <w:spacing w:line="360" w:lineRule="auto"/>
        <w:ind w:firstLine="488"/>
        <w:rPr>
          <w:sz w:val="24"/>
          <w:lang w:bidi="ar"/>
        </w:rPr>
      </w:pPr>
      <w:r>
        <w:rPr>
          <w:rFonts w:hint="eastAsia"/>
          <w:sz w:val="24"/>
        </w:rPr>
        <w:t>根据现场踏勘，项目评价范围不涉及声环境保护目标，</w:t>
      </w:r>
      <w:r>
        <w:rPr>
          <w:sz w:val="24"/>
          <w:lang w:bidi="ar"/>
        </w:rPr>
        <w:t>为了解本项目所处区域声环境质量现状，</w:t>
      </w:r>
      <w:r>
        <w:rPr>
          <w:rFonts w:hint="eastAsia"/>
          <w:sz w:val="24"/>
          <w:lang w:bidi="ar"/>
        </w:rPr>
        <w:t>建设单位委托广东惠利通环境科技有限公司于</w:t>
      </w:r>
      <w:r>
        <w:rPr>
          <w:sz w:val="24"/>
          <w:lang w:bidi="ar"/>
        </w:rPr>
        <w:t>202</w:t>
      </w:r>
      <w:r>
        <w:rPr>
          <w:rFonts w:hint="eastAsia"/>
          <w:sz w:val="24"/>
          <w:lang w:bidi="ar"/>
        </w:rPr>
        <w:t>4</w:t>
      </w:r>
      <w:r>
        <w:rPr>
          <w:sz w:val="24"/>
          <w:lang w:bidi="ar"/>
        </w:rPr>
        <w:t>年</w:t>
      </w:r>
      <w:r>
        <w:rPr>
          <w:rFonts w:hint="eastAsia"/>
          <w:sz w:val="24"/>
          <w:lang w:bidi="ar"/>
        </w:rPr>
        <w:t>12</w:t>
      </w:r>
      <w:r>
        <w:rPr>
          <w:sz w:val="24"/>
          <w:lang w:bidi="ar"/>
        </w:rPr>
        <w:t>月</w:t>
      </w:r>
      <w:r>
        <w:rPr>
          <w:rFonts w:hint="eastAsia"/>
          <w:sz w:val="24"/>
          <w:lang w:bidi="ar"/>
        </w:rPr>
        <w:t>19</w:t>
      </w:r>
      <w:r>
        <w:rPr>
          <w:sz w:val="24"/>
          <w:lang w:bidi="ar"/>
        </w:rPr>
        <w:t>日~</w:t>
      </w:r>
      <w:r>
        <w:rPr>
          <w:rFonts w:hint="eastAsia"/>
          <w:sz w:val="24"/>
          <w:lang w:bidi="ar"/>
        </w:rPr>
        <w:t>20</w:t>
      </w:r>
      <w:r>
        <w:rPr>
          <w:sz w:val="24"/>
          <w:lang w:bidi="ar"/>
        </w:rPr>
        <w:t>日</w:t>
      </w:r>
      <w:r>
        <w:rPr>
          <w:rFonts w:hint="eastAsia"/>
          <w:sz w:val="24"/>
          <w:lang w:bidi="ar"/>
        </w:rPr>
        <w:t>对本项目拟建道路位置进行了声环境质量现状监测，具体</w:t>
      </w:r>
      <w:r>
        <w:rPr>
          <w:sz w:val="24"/>
          <w:lang w:bidi="ar"/>
        </w:rPr>
        <w:t>布点图见</w:t>
      </w:r>
      <w:r>
        <w:rPr>
          <w:rFonts w:hint="eastAsia"/>
          <w:sz w:val="24"/>
          <w:lang w:bidi="ar"/>
        </w:rPr>
        <w:t>下图，</w:t>
      </w:r>
      <w:r>
        <w:rPr>
          <w:rFonts w:hint="eastAsia"/>
          <w:b/>
          <w:bCs/>
          <w:sz w:val="24"/>
          <w:lang w:bidi="ar"/>
        </w:rPr>
        <w:t>监测报告详见附件10</w:t>
      </w:r>
      <w:r>
        <w:rPr>
          <w:rFonts w:hint="eastAsia"/>
          <w:sz w:val="24"/>
          <w:lang w:bidi="ar"/>
        </w:rPr>
        <w:t>。</w:t>
      </w:r>
    </w:p>
    <w:p w14:paraId="7F95A891">
      <w:pPr>
        <w:autoSpaceDE w:val="0"/>
        <w:autoSpaceDN w:val="0"/>
        <w:adjustRightInd w:val="0"/>
        <w:spacing w:line="360" w:lineRule="auto"/>
        <w:ind w:firstLine="482" w:firstLineChars="200"/>
        <w:rPr>
          <w:b/>
          <w:sz w:val="24"/>
          <w:lang w:bidi="ar"/>
        </w:rPr>
      </w:pPr>
      <w:r>
        <w:rPr>
          <w:rFonts w:hint="eastAsia"/>
          <w:b/>
          <w:sz w:val="24"/>
          <w:lang w:bidi="ar"/>
        </w:rPr>
        <w:t>3.1.1监测布点</w:t>
      </w:r>
    </w:p>
    <w:p w14:paraId="25591C6A">
      <w:pPr>
        <w:autoSpaceDE w:val="0"/>
        <w:autoSpaceDN w:val="0"/>
        <w:adjustRightInd w:val="0"/>
        <w:spacing w:line="360" w:lineRule="auto"/>
        <w:ind w:firstLine="480" w:firstLineChars="200"/>
        <w:rPr>
          <w:sz w:val="24"/>
          <w:lang w:bidi="ar"/>
        </w:rPr>
      </w:pPr>
      <w:r>
        <w:rPr>
          <w:sz w:val="24"/>
          <w:lang w:bidi="ar"/>
        </w:rPr>
        <w:t>监测点位如下表所示。</w:t>
      </w:r>
    </w:p>
    <w:p w14:paraId="0945A7DC">
      <w:pPr>
        <w:adjustRightInd w:val="0"/>
        <w:snapToGrid w:val="0"/>
        <w:jc w:val="center"/>
        <w:rPr>
          <w:b/>
          <w:bCs/>
          <w:kern w:val="0"/>
          <w:sz w:val="28"/>
          <w:szCs w:val="21"/>
        </w:rPr>
      </w:pPr>
      <w:r>
        <w:rPr>
          <w:b/>
          <w:bCs/>
          <w:kern w:val="0"/>
          <w:szCs w:val="16"/>
        </w:rPr>
        <w:t>表3.1-</w:t>
      </w:r>
      <w:r>
        <w:rPr>
          <w:rFonts w:hint="eastAsia"/>
          <w:b/>
          <w:bCs/>
          <w:kern w:val="0"/>
          <w:szCs w:val="16"/>
        </w:rPr>
        <w:t>1</w:t>
      </w:r>
      <w:r>
        <w:rPr>
          <w:b/>
          <w:bCs/>
          <w:kern w:val="0"/>
          <w:szCs w:val="16"/>
        </w:rPr>
        <w:t xml:space="preserve"> 声环境现状监测布点说明</w:t>
      </w:r>
    </w:p>
    <w:tbl>
      <w:tblPr>
        <w:tblStyle w:val="33"/>
        <w:tblpPr w:leftFromText="180" w:rightFromText="180" w:vertAnchor="text" w:horzAnchor="page" w:tblpX="1347" w:tblpY="164"/>
        <w:tblOverlap w:val="never"/>
        <w:tblW w:w="461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1"/>
        <w:gridCol w:w="5233"/>
        <w:gridCol w:w="1784"/>
        <w:gridCol w:w="1858"/>
      </w:tblGrid>
      <w:tr w14:paraId="73EB7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2" w:type="pct"/>
            <w:tcBorders>
              <w:top w:val="single" w:color="auto" w:sz="18" w:space="0"/>
            </w:tcBorders>
            <w:shd w:val="clear" w:color="auto" w:fill="auto"/>
            <w:vAlign w:val="center"/>
          </w:tcPr>
          <w:p w14:paraId="19F5BE10">
            <w:pPr>
              <w:jc w:val="center"/>
              <w:rPr>
                <w:b/>
                <w:szCs w:val="21"/>
                <w:lang w:bidi="ar"/>
              </w:rPr>
            </w:pPr>
            <w:r>
              <w:rPr>
                <w:b/>
                <w:szCs w:val="21"/>
                <w:lang w:bidi="ar"/>
              </w:rPr>
              <w:t>序号</w:t>
            </w:r>
          </w:p>
        </w:tc>
        <w:tc>
          <w:tcPr>
            <w:tcW w:w="2651" w:type="pct"/>
            <w:tcBorders>
              <w:top w:val="single" w:color="auto" w:sz="18" w:space="0"/>
            </w:tcBorders>
            <w:shd w:val="clear" w:color="auto" w:fill="auto"/>
            <w:vAlign w:val="center"/>
          </w:tcPr>
          <w:p w14:paraId="0003233D">
            <w:pPr>
              <w:jc w:val="center"/>
              <w:rPr>
                <w:b/>
                <w:szCs w:val="21"/>
                <w:lang w:bidi="ar"/>
              </w:rPr>
            </w:pPr>
            <w:r>
              <w:rPr>
                <w:b/>
                <w:szCs w:val="21"/>
                <w:lang w:bidi="ar"/>
              </w:rPr>
              <w:t>监测点位</w:t>
            </w:r>
            <w:r>
              <w:rPr>
                <w:rFonts w:hint="eastAsia"/>
                <w:b/>
                <w:szCs w:val="21"/>
                <w:lang w:bidi="ar"/>
              </w:rPr>
              <w:t>说明</w:t>
            </w:r>
          </w:p>
        </w:tc>
        <w:tc>
          <w:tcPr>
            <w:tcW w:w="904" w:type="pct"/>
            <w:tcBorders>
              <w:top w:val="single" w:color="auto" w:sz="18" w:space="0"/>
            </w:tcBorders>
            <w:shd w:val="clear" w:color="auto" w:fill="auto"/>
            <w:vAlign w:val="center"/>
          </w:tcPr>
          <w:p w14:paraId="10E1F2A5">
            <w:pPr>
              <w:jc w:val="center"/>
              <w:rPr>
                <w:b/>
                <w:szCs w:val="21"/>
                <w:lang w:bidi="ar"/>
              </w:rPr>
            </w:pPr>
            <w:r>
              <w:rPr>
                <w:b/>
                <w:szCs w:val="21"/>
                <w:lang w:bidi="ar"/>
              </w:rPr>
              <w:t>相对线路位置</w:t>
            </w:r>
          </w:p>
        </w:tc>
        <w:tc>
          <w:tcPr>
            <w:tcW w:w="941" w:type="pct"/>
            <w:tcBorders>
              <w:top w:val="single" w:color="auto" w:sz="18" w:space="0"/>
            </w:tcBorders>
            <w:shd w:val="clear" w:color="auto" w:fill="auto"/>
            <w:vAlign w:val="center"/>
          </w:tcPr>
          <w:p w14:paraId="2D2346EB">
            <w:pPr>
              <w:jc w:val="center"/>
              <w:rPr>
                <w:b/>
                <w:szCs w:val="21"/>
                <w:lang w:bidi="ar"/>
              </w:rPr>
            </w:pPr>
            <w:r>
              <w:rPr>
                <w:b/>
                <w:szCs w:val="21"/>
                <w:lang w:bidi="ar"/>
              </w:rPr>
              <w:t>监测说明</w:t>
            </w:r>
          </w:p>
        </w:tc>
      </w:tr>
      <w:tr w14:paraId="7AE91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2" w:type="pct"/>
            <w:tcBorders>
              <w:bottom w:val="single" w:color="auto" w:sz="18" w:space="0"/>
            </w:tcBorders>
            <w:shd w:val="clear" w:color="auto" w:fill="auto"/>
            <w:vAlign w:val="center"/>
          </w:tcPr>
          <w:p w14:paraId="26C9319C">
            <w:pPr>
              <w:jc w:val="center"/>
              <w:rPr>
                <w:szCs w:val="21"/>
                <w:lang w:bidi="ar"/>
              </w:rPr>
            </w:pPr>
            <w:r>
              <w:rPr>
                <w:rFonts w:hint="eastAsia"/>
                <w:szCs w:val="21"/>
              </w:rPr>
              <w:t>N1-N6</w:t>
            </w:r>
          </w:p>
        </w:tc>
        <w:tc>
          <w:tcPr>
            <w:tcW w:w="2651" w:type="pct"/>
            <w:tcBorders>
              <w:bottom w:val="single" w:color="auto" w:sz="18" w:space="0"/>
            </w:tcBorders>
            <w:shd w:val="clear" w:color="auto" w:fill="auto"/>
            <w:vAlign w:val="center"/>
          </w:tcPr>
          <w:p w14:paraId="03394493">
            <w:pPr>
              <w:jc w:val="center"/>
              <w:rPr>
                <w:szCs w:val="21"/>
                <w:lang w:bidi="ar"/>
              </w:rPr>
            </w:pPr>
            <w:r>
              <w:rPr>
                <w:rFonts w:hint="eastAsia"/>
                <w:szCs w:val="21"/>
              </w:rPr>
              <w:t>衰减断面</w:t>
            </w:r>
            <w:r>
              <w:rPr>
                <w:szCs w:val="21"/>
              </w:rPr>
              <w:t>（114.348041°，23.182298°）</w:t>
            </w:r>
            <w:r>
              <w:rPr>
                <w:rFonts w:hint="eastAsia"/>
                <w:szCs w:val="21"/>
              </w:rPr>
              <w:t>，监测点分别设在距离道路路中心线20m、40m、60m、120m、150m、200m处</w:t>
            </w:r>
          </w:p>
        </w:tc>
        <w:tc>
          <w:tcPr>
            <w:tcW w:w="904" w:type="pct"/>
            <w:tcBorders>
              <w:bottom w:val="single" w:color="auto" w:sz="18" w:space="0"/>
            </w:tcBorders>
            <w:shd w:val="clear" w:color="auto" w:fill="auto"/>
            <w:vAlign w:val="center"/>
          </w:tcPr>
          <w:p w14:paraId="04B9113E">
            <w:pPr>
              <w:jc w:val="center"/>
              <w:rPr>
                <w:szCs w:val="21"/>
                <w:lang w:bidi="ar"/>
              </w:rPr>
            </w:pPr>
            <w:r>
              <w:rPr>
                <w:szCs w:val="21"/>
                <w:lang w:bidi="ar"/>
              </w:rPr>
              <w:t>北</w:t>
            </w:r>
          </w:p>
        </w:tc>
        <w:tc>
          <w:tcPr>
            <w:tcW w:w="941" w:type="pct"/>
            <w:tcBorders>
              <w:bottom w:val="single" w:color="auto" w:sz="18" w:space="0"/>
            </w:tcBorders>
            <w:shd w:val="clear" w:color="auto" w:fill="auto"/>
            <w:vAlign w:val="center"/>
          </w:tcPr>
          <w:p w14:paraId="19B01079">
            <w:pPr>
              <w:jc w:val="center"/>
              <w:rPr>
                <w:szCs w:val="21"/>
                <w:lang w:bidi="ar"/>
              </w:rPr>
            </w:pPr>
            <w:r>
              <w:rPr>
                <w:szCs w:val="21"/>
                <w:lang w:bidi="ar"/>
              </w:rPr>
              <w:t>衰减测点</w:t>
            </w:r>
          </w:p>
        </w:tc>
      </w:tr>
    </w:tbl>
    <w:p w14:paraId="79A3379C">
      <w:pPr>
        <w:spacing w:line="500" w:lineRule="exact"/>
        <w:ind w:firstLine="482" w:firstLineChars="200"/>
        <w:rPr>
          <w:b/>
          <w:sz w:val="24"/>
          <w:szCs w:val="21"/>
          <w:lang w:bidi="ar"/>
        </w:rPr>
      </w:pPr>
    </w:p>
    <w:p w14:paraId="45702043">
      <w:pPr>
        <w:spacing w:line="500" w:lineRule="exact"/>
        <w:ind w:firstLine="482" w:firstLineChars="200"/>
        <w:rPr>
          <w:b/>
          <w:sz w:val="24"/>
          <w:szCs w:val="21"/>
          <w:lang w:bidi="ar"/>
        </w:rPr>
      </w:pPr>
      <w:r>
        <w:rPr>
          <w:rFonts w:hint="eastAsia"/>
          <w:b/>
          <w:sz w:val="24"/>
          <w:szCs w:val="21"/>
          <w:lang w:bidi="ar"/>
        </w:rPr>
        <w:t>3.1.2监测时段及监测单位</w:t>
      </w:r>
    </w:p>
    <w:p w14:paraId="4D1C64E1">
      <w:pPr>
        <w:spacing w:line="500" w:lineRule="exact"/>
        <w:ind w:firstLine="480" w:firstLineChars="200"/>
        <w:rPr>
          <w:sz w:val="24"/>
          <w:lang w:bidi="ar"/>
        </w:rPr>
      </w:pPr>
      <w:r>
        <w:rPr>
          <w:rFonts w:hint="eastAsia"/>
          <w:sz w:val="24"/>
          <w:lang w:bidi="ar"/>
        </w:rPr>
        <w:t>监测时间：2024年12月19日~20日；</w:t>
      </w:r>
    </w:p>
    <w:p w14:paraId="2F8B5712">
      <w:pPr>
        <w:spacing w:line="500" w:lineRule="exact"/>
        <w:ind w:firstLine="480" w:firstLineChars="200"/>
        <w:rPr>
          <w:sz w:val="24"/>
          <w:lang w:bidi="ar"/>
        </w:rPr>
      </w:pPr>
      <w:r>
        <w:rPr>
          <w:rFonts w:hint="eastAsia"/>
          <w:sz w:val="24"/>
          <w:lang w:bidi="ar"/>
        </w:rPr>
        <w:t>监测时段：昼间6:00~22:00，夜间22:00~6:00，单次监测时间为20min；</w:t>
      </w:r>
    </w:p>
    <w:p w14:paraId="398D30EB">
      <w:pPr>
        <w:spacing w:line="500" w:lineRule="exact"/>
        <w:ind w:firstLine="480" w:firstLineChars="200"/>
        <w:rPr>
          <w:b/>
          <w:sz w:val="24"/>
          <w:lang w:bidi="ar"/>
        </w:rPr>
      </w:pPr>
      <w:r>
        <w:rPr>
          <w:rFonts w:hint="eastAsia"/>
          <w:sz w:val="24"/>
          <w:lang w:bidi="ar"/>
        </w:rPr>
        <w:t>监测单位：广东惠利通环境科技有限公司。</w:t>
      </w:r>
    </w:p>
    <w:p w14:paraId="407DB22E">
      <w:pPr>
        <w:spacing w:line="500" w:lineRule="exact"/>
        <w:ind w:firstLine="482" w:firstLineChars="200"/>
        <w:rPr>
          <w:b/>
          <w:sz w:val="24"/>
          <w:lang w:bidi="ar"/>
        </w:rPr>
      </w:pPr>
      <w:r>
        <w:rPr>
          <w:rFonts w:hint="eastAsia"/>
          <w:b/>
          <w:sz w:val="24"/>
          <w:lang w:bidi="ar"/>
        </w:rPr>
        <w:t>3.1.3监测方法</w:t>
      </w:r>
    </w:p>
    <w:p w14:paraId="7CAAFF6A">
      <w:pPr>
        <w:spacing w:line="500" w:lineRule="exact"/>
        <w:ind w:firstLine="480" w:firstLineChars="200"/>
        <w:rPr>
          <w:sz w:val="24"/>
          <w:lang w:bidi="ar"/>
        </w:rPr>
      </w:pPr>
      <w:r>
        <w:rPr>
          <w:rFonts w:hint="eastAsia"/>
          <w:sz w:val="24"/>
          <w:lang w:bidi="ar"/>
        </w:rPr>
        <w:t>按《声环境质量标准》（</w:t>
      </w:r>
      <w:r>
        <w:rPr>
          <w:sz w:val="24"/>
          <w:lang w:bidi="ar"/>
        </w:rPr>
        <w:t>GB3096-2008）中有关规范要求进行。监测仪器采用多功</w:t>
      </w:r>
      <w:r>
        <w:rPr>
          <w:rFonts w:hint="eastAsia"/>
          <w:sz w:val="24"/>
          <w:lang w:bidi="ar"/>
        </w:rPr>
        <w:t>能噪声分析仪，以等效连续</w:t>
      </w:r>
      <w:r>
        <w:rPr>
          <w:sz w:val="24"/>
          <w:lang w:bidi="ar"/>
        </w:rPr>
        <w:t>A声级Leq作为评价量，在无雨、无雷、风速小于5.0米/秒的</w:t>
      </w:r>
      <w:r>
        <w:rPr>
          <w:rFonts w:hint="eastAsia"/>
          <w:sz w:val="24"/>
          <w:lang w:bidi="ar"/>
        </w:rPr>
        <w:t>天气进行测量。</w:t>
      </w:r>
    </w:p>
    <w:p w14:paraId="7435B6CB">
      <w:pPr>
        <w:spacing w:line="500" w:lineRule="exact"/>
        <w:ind w:firstLine="482" w:firstLineChars="200"/>
        <w:rPr>
          <w:b/>
          <w:sz w:val="24"/>
          <w:lang w:bidi="ar"/>
        </w:rPr>
      </w:pPr>
      <w:r>
        <w:rPr>
          <w:rFonts w:hint="eastAsia"/>
          <w:b/>
          <w:sz w:val="24"/>
          <w:lang w:bidi="ar"/>
        </w:rPr>
        <w:t>3</w:t>
      </w:r>
      <w:r>
        <w:rPr>
          <w:b/>
          <w:sz w:val="24"/>
          <w:lang w:bidi="ar"/>
        </w:rPr>
        <w:t>.1.4</w:t>
      </w:r>
      <w:r>
        <w:rPr>
          <w:rFonts w:hint="eastAsia"/>
          <w:b/>
          <w:sz w:val="24"/>
          <w:lang w:bidi="ar"/>
        </w:rPr>
        <w:t>监测项目</w:t>
      </w:r>
    </w:p>
    <w:p w14:paraId="35EE83FE">
      <w:pPr>
        <w:spacing w:line="500" w:lineRule="exact"/>
        <w:ind w:firstLine="480" w:firstLineChars="200"/>
        <w:rPr>
          <w:bCs/>
          <w:sz w:val="24"/>
          <w:lang w:bidi="ar"/>
        </w:rPr>
      </w:pPr>
      <w:r>
        <w:rPr>
          <w:bCs/>
          <w:sz w:val="24"/>
          <w:lang w:bidi="ar"/>
        </w:rPr>
        <w:t xml:space="preserve">Leq、Lmax、Lmin、L10、L50、L90； </w:t>
      </w:r>
    </w:p>
    <w:p w14:paraId="29EC719E">
      <w:pPr>
        <w:spacing w:line="500" w:lineRule="exact"/>
        <w:ind w:firstLine="482" w:firstLineChars="200"/>
        <w:rPr>
          <w:b/>
          <w:sz w:val="24"/>
          <w:lang w:bidi="ar"/>
        </w:rPr>
      </w:pPr>
      <w:r>
        <w:rPr>
          <w:rFonts w:hint="eastAsia"/>
          <w:b/>
          <w:sz w:val="24"/>
          <w:lang w:bidi="ar"/>
        </w:rPr>
        <w:t>3.1.</w:t>
      </w:r>
      <w:r>
        <w:rPr>
          <w:b/>
          <w:sz w:val="24"/>
          <w:lang w:bidi="ar"/>
        </w:rPr>
        <w:t>5</w:t>
      </w:r>
      <w:r>
        <w:rPr>
          <w:rFonts w:hint="eastAsia"/>
          <w:b/>
          <w:sz w:val="24"/>
          <w:lang w:bidi="ar"/>
        </w:rPr>
        <w:t>监测仪器</w:t>
      </w:r>
    </w:p>
    <w:p w14:paraId="5C5FB1F7">
      <w:pPr>
        <w:spacing w:line="500" w:lineRule="exact"/>
        <w:ind w:firstLine="480" w:firstLineChars="200"/>
        <w:rPr>
          <w:sz w:val="24"/>
          <w:lang w:bidi="ar"/>
        </w:rPr>
      </w:pPr>
      <w:r>
        <w:rPr>
          <w:rFonts w:hint="eastAsia"/>
          <w:sz w:val="24"/>
          <w:lang w:bidi="ar"/>
        </w:rPr>
        <w:t>声级计法，多功能声级计AWA6228+。</w:t>
      </w:r>
    </w:p>
    <w:p w14:paraId="710CAB73">
      <w:pPr>
        <w:spacing w:line="500" w:lineRule="exact"/>
        <w:ind w:firstLine="482" w:firstLineChars="200"/>
        <w:rPr>
          <w:b/>
          <w:sz w:val="24"/>
          <w:lang w:bidi="ar"/>
        </w:rPr>
      </w:pPr>
      <w:r>
        <w:rPr>
          <w:rFonts w:hint="eastAsia"/>
          <w:b/>
          <w:sz w:val="24"/>
          <w:lang w:bidi="ar"/>
        </w:rPr>
        <w:t>3.1.</w:t>
      </w:r>
      <w:r>
        <w:rPr>
          <w:b/>
          <w:sz w:val="24"/>
          <w:lang w:bidi="ar"/>
        </w:rPr>
        <w:t>6</w:t>
      </w:r>
      <w:r>
        <w:rPr>
          <w:rFonts w:hint="eastAsia"/>
          <w:b/>
          <w:sz w:val="24"/>
          <w:lang w:bidi="ar"/>
        </w:rPr>
        <w:t>监测当天气象参数</w:t>
      </w:r>
    </w:p>
    <w:p w14:paraId="720FB65D">
      <w:pPr>
        <w:spacing w:line="500" w:lineRule="exact"/>
        <w:ind w:firstLine="480" w:firstLineChars="200"/>
        <w:rPr>
          <w:sz w:val="24"/>
          <w:lang w:bidi="ar"/>
        </w:rPr>
      </w:pPr>
      <w:r>
        <w:rPr>
          <w:rFonts w:hint="eastAsia"/>
          <w:sz w:val="24"/>
          <w:lang w:bidi="ar"/>
        </w:rPr>
        <w:t>气象参数：</w:t>
      </w:r>
    </w:p>
    <w:p w14:paraId="05EC0E29">
      <w:pPr>
        <w:spacing w:line="500" w:lineRule="exact"/>
        <w:ind w:firstLine="480" w:firstLineChars="200"/>
        <w:rPr>
          <w:sz w:val="24"/>
          <w:lang w:bidi="ar"/>
        </w:rPr>
      </w:pPr>
      <w:r>
        <w:rPr>
          <w:rFonts w:hint="eastAsia"/>
          <w:sz w:val="24"/>
          <w:lang w:bidi="ar"/>
        </w:rPr>
        <w:t>2024年12月19日昼间：无雨雪、无雷电，最大风速：1.4m/s；</w:t>
      </w:r>
    </w:p>
    <w:p w14:paraId="61259E6B">
      <w:pPr>
        <w:spacing w:line="500" w:lineRule="exact"/>
        <w:ind w:firstLine="480" w:firstLineChars="200"/>
        <w:rPr>
          <w:sz w:val="24"/>
          <w:lang w:bidi="ar"/>
        </w:rPr>
      </w:pPr>
      <w:r>
        <w:rPr>
          <w:rFonts w:hint="eastAsia"/>
          <w:sz w:val="24"/>
          <w:lang w:bidi="ar"/>
        </w:rPr>
        <w:t>2024年12月20日夜间：无雨雪、无雷电，最大风速：1.4m/s；</w:t>
      </w:r>
    </w:p>
    <w:p w14:paraId="754BC35A">
      <w:pPr>
        <w:spacing w:line="500" w:lineRule="exact"/>
        <w:ind w:firstLine="480" w:firstLineChars="200"/>
        <w:rPr>
          <w:sz w:val="24"/>
          <w:lang w:bidi="ar"/>
        </w:rPr>
      </w:pPr>
      <w:r>
        <w:rPr>
          <w:rFonts w:hint="eastAsia"/>
          <w:sz w:val="24"/>
          <w:lang w:bidi="ar"/>
        </w:rPr>
        <w:t>2024年12月20日昼间：无雨雪、无雷电，最大风速：1.3m/s；</w:t>
      </w:r>
    </w:p>
    <w:p w14:paraId="5F6B9F53">
      <w:pPr>
        <w:spacing w:line="500" w:lineRule="exact"/>
        <w:ind w:firstLine="480" w:firstLineChars="200"/>
        <w:rPr>
          <w:sz w:val="24"/>
          <w:lang w:bidi="ar"/>
        </w:rPr>
      </w:pPr>
      <w:r>
        <w:rPr>
          <w:rFonts w:hint="eastAsia"/>
          <w:sz w:val="24"/>
          <w:lang w:bidi="ar"/>
        </w:rPr>
        <w:t>2024年12月21日夜间：无雨雪、无雷电，最大风速：1.3m/s。</w:t>
      </w:r>
    </w:p>
    <w:p w14:paraId="65F14255">
      <w:pPr>
        <w:spacing w:line="500" w:lineRule="exact"/>
        <w:ind w:firstLine="482" w:firstLineChars="200"/>
        <w:rPr>
          <w:b/>
          <w:sz w:val="24"/>
          <w:lang w:bidi="ar"/>
        </w:rPr>
      </w:pPr>
      <w:r>
        <w:rPr>
          <w:rFonts w:hint="eastAsia"/>
          <w:b/>
          <w:sz w:val="24"/>
          <w:lang w:bidi="ar"/>
        </w:rPr>
        <w:t>3.1.</w:t>
      </w:r>
      <w:r>
        <w:rPr>
          <w:b/>
          <w:sz w:val="24"/>
          <w:lang w:bidi="ar"/>
        </w:rPr>
        <w:t>7</w:t>
      </w:r>
      <w:r>
        <w:rPr>
          <w:rFonts w:hint="eastAsia"/>
          <w:b/>
          <w:sz w:val="24"/>
          <w:lang w:bidi="ar"/>
        </w:rPr>
        <w:t>评价标准</w:t>
      </w:r>
    </w:p>
    <w:p w14:paraId="43A40804">
      <w:pPr>
        <w:spacing w:line="500" w:lineRule="exact"/>
        <w:ind w:firstLine="480" w:firstLineChars="200"/>
        <w:rPr>
          <w:sz w:val="24"/>
          <w:lang w:bidi="ar"/>
        </w:rPr>
      </w:pPr>
      <w:r>
        <w:rPr>
          <w:rFonts w:hint="eastAsia"/>
          <w:sz w:val="24"/>
          <w:szCs w:val="32"/>
        </w:rPr>
        <w:t>项目所在区域属于2类声环境功能区</w:t>
      </w:r>
      <w:r>
        <w:rPr>
          <w:rFonts w:hint="eastAsia"/>
          <w:sz w:val="24"/>
          <w:lang w:bidi="ar"/>
        </w:rPr>
        <w:t>执行</w:t>
      </w:r>
      <w:r>
        <w:rPr>
          <w:sz w:val="24"/>
          <w:lang w:bidi="ar"/>
        </w:rPr>
        <w:t>《声环境质量标准》（GB3096-2008）中的</w:t>
      </w:r>
      <w:r>
        <w:rPr>
          <w:rFonts w:hint="eastAsia"/>
          <w:sz w:val="24"/>
          <w:lang w:bidi="ar"/>
        </w:rPr>
        <w:t>2</w:t>
      </w:r>
      <w:r>
        <w:rPr>
          <w:sz w:val="24"/>
          <w:lang w:bidi="ar"/>
        </w:rPr>
        <w:t>类标准</w:t>
      </w:r>
      <w:r>
        <w:rPr>
          <w:rFonts w:hint="eastAsia"/>
          <w:sz w:val="24"/>
          <w:lang w:bidi="ar"/>
        </w:rPr>
        <w:t>。</w:t>
      </w:r>
    </w:p>
    <w:p w14:paraId="51129C11">
      <w:pPr>
        <w:spacing w:line="500" w:lineRule="exact"/>
        <w:ind w:firstLine="482" w:firstLineChars="200"/>
        <w:rPr>
          <w:b/>
          <w:sz w:val="24"/>
          <w:lang w:bidi="ar"/>
        </w:rPr>
      </w:pPr>
      <w:r>
        <w:rPr>
          <w:rFonts w:hint="eastAsia"/>
          <w:b/>
          <w:sz w:val="24"/>
          <w:lang w:bidi="ar"/>
        </w:rPr>
        <w:t>3.1.</w:t>
      </w:r>
      <w:r>
        <w:rPr>
          <w:b/>
          <w:sz w:val="24"/>
          <w:lang w:bidi="ar"/>
        </w:rPr>
        <w:t>8</w:t>
      </w:r>
      <w:r>
        <w:rPr>
          <w:rFonts w:hint="eastAsia"/>
          <w:b/>
          <w:sz w:val="24"/>
          <w:lang w:bidi="ar"/>
        </w:rPr>
        <w:t>监测结果</w:t>
      </w:r>
    </w:p>
    <w:p w14:paraId="5AD9D42F">
      <w:pPr>
        <w:spacing w:line="500" w:lineRule="exact"/>
        <w:ind w:firstLine="480" w:firstLineChars="200"/>
        <w:rPr>
          <w:sz w:val="24"/>
          <w:lang w:bidi="ar"/>
        </w:rPr>
      </w:pPr>
      <w:r>
        <w:rPr>
          <w:rFonts w:hint="eastAsia"/>
          <w:sz w:val="24"/>
          <w:lang w:bidi="ar"/>
        </w:rPr>
        <w:t>监测结果见下表。</w:t>
      </w:r>
    </w:p>
    <w:p w14:paraId="576A3F71">
      <w:pPr>
        <w:rPr>
          <w:sz w:val="24"/>
          <w:lang w:bidi="ar"/>
        </w:rPr>
      </w:pPr>
      <w:r>
        <mc:AlternateContent>
          <mc:Choice Requires="wps">
            <w:drawing>
              <wp:anchor distT="0" distB="0" distL="114300" distR="114300" simplePos="0" relativeHeight="251672576" behindDoc="0" locked="0" layoutInCell="1" allowOverlap="1">
                <wp:simplePos x="0" y="0"/>
                <wp:positionH relativeFrom="column">
                  <wp:posOffset>0</wp:posOffset>
                </wp:positionH>
                <wp:positionV relativeFrom="paragraph">
                  <wp:posOffset>12700</wp:posOffset>
                </wp:positionV>
                <wp:extent cx="6832600" cy="4686300"/>
                <wp:effectExtent l="0" t="0" r="25400" b="19050"/>
                <wp:wrapNone/>
                <wp:docPr id="1915926740" name="矩形 67"/>
                <wp:cNvGraphicFramePr/>
                <a:graphic xmlns:a="http://schemas.openxmlformats.org/drawingml/2006/main">
                  <a:graphicData uri="http://schemas.microsoft.com/office/word/2010/wordprocessingShape">
                    <wps:wsp>
                      <wps:cNvSpPr/>
                      <wps:spPr>
                        <a:xfrm>
                          <a:off x="0" y="0"/>
                          <a:ext cx="6832600" cy="46863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7" o:spid="_x0000_s1026" o:spt="1" style="position:absolute;left:0pt;margin-left:0pt;margin-top:1pt;height:369pt;width:538pt;z-index:251672576;v-text-anchor:middle;mso-width-relative:page;mso-height-relative:page;" fillcolor="#FFFFFF [3212]" filled="t" stroked="t" coordsize="21600,21600" o:gfxdata="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Jnv0R1QAAAAcBAAAPAAAAAAAAAAEAIAAAACIAAABkcnMvZG93bnJl&#10;di54bWxQSwECFAAUAAAACACHTuJA4aEIHHICAAD/BAAADgAAAAAAAAABACAAAAAkAQAAZHJzL2Uy&#10;b0RvYy54bWxQSwUGAAAAAAYABgBZAQAACAYAAAAA&#10;">
                <v:fill on="t" focussize="0,0"/>
                <v:stroke weight="1pt" color="#FFFFFF [3212]" miterlimit="8" joinstyle="miter"/>
                <v:imagedata o:title=""/>
                <o:lock v:ext="edit" aspectratio="f"/>
              </v:rect>
            </w:pict>
          </mc:Fallback>
        </mc:AlternateContent>
      </w:r>
      <w:r>
        <w:drawing>
          <wp:anchor distT="0" distB="0" distL="114300" distR="114300" simplePos="0" relativeHeight="251659264" behindDoc="0" locked="0" layoutInCell="1" allowOverlap="1">
            <wp:simplePos x="0" y="0"/>
            <wp:positionH relativeFrom="column">
              <wp:posOffset>5813425</wp:posOffset>
            </wp:positionH>
            <wp:positionV relativeFrom="paragraph">
              <wp:posOffset>58420</wp:posOffset>
            </wp:positionV>
            <wp:extent cx="916305" cy="859790"/>
            <wp:effectExtent l="19050" t="19050" r="17780" b="17145"/>
            <wp:wrapNone/>
            <wp:docPr id="815922141" name="图片 1" descr="图表, 雷达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922141" name="图片 1" descr="图表, 雷达图&#10;&#10;描述已自动生成"/>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16003" cy="859724"/>
                    </a:xfrm>
                    <a:prstGeom prst="rect">
                      <a:avLst/>
                    </a:prstGeom>
                    <a:ln w="19050">
                      <a:solidFill>
                        <a:schemeClr val="tx1"/>
                      </a:solidFill>
                    </a:ln>
                  </pic:spPr>
                </pic:pic>
              </a:graphicData>
            </a:graphic>
          </wp:anchor>
        </w:drawing>
      </w:r>
      <w:r>
        <w:drawing>
          <wp:inline distT="0" distB="0" distL="0" distR="0">
            <wp:extent cx="6645910" cy="4549775"/>
            <wp:effectExtent l="76200" t="76200" r="135890" b="136525"/>
            <wp:docPr id="122672335"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335" name="图片 1" descr="地图&#10;&#10;描述已自动生成"/>
                    <pic:cNvPicPr>
                      <a:picLocks noChangeAspect="1"/>
                    </pic:cNvPicPr>
                  </pic:nvPicPr>
                  <pic:blipFill>
                    <a:blip r:embed="rId25"/>
                    <a:stretch>
                      <a:fillRect/>
                    </a:stretch>
                  </pic:blipFill>
                  <pic:spPr>
                    <a:xfrm>
                      <a:off x="0" y="0"/>
                      <a:ext cx="6645910" cy="4549775"/>
                    </a:xfrm>
                    <a:prstGeom prst="rect">
                      <a:avLst/>
                    </a:prstGeom>
                    <a:ln w="381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1A3A5BF7">
      <w:pPr>
        <w:spacing w:line="500" w:lineRule="exact"/>
        <w:jc w:val="center"/>
        <w:rPr>
          <w:b/>
          <w:sz w:val="32"/>
          <w:lang w:bidi="ar"/>
        </w:rPr>
      </w:pPr>
      <w:r>
        <w:rPr>
          <w:b/>
          <w:kern w:val="0"/>
          <w:szCs w:val="21"/>
          <w:lang w:bidi="ar"/>
        </w:rPr>
        <w:t>图</w:t>
      </w:r>
      <w:r>
        <w:rPr>
          <w:rFonts w:hint="eastAsia"/>
          <w:b/>
          <w:kern w:val="0"/>
          <w:szCs w:val="21"/>
          <w:lang w:bidi="ar"/>
        </w:rPr>
        <w:t>3.1-1</w:t>
      </w:r>
      <w:r>
        <w:rPr>
          <w:b/>
          <w:kern w:val="0"/>
          <w:szCs w:val="21"/>
          <w:lang w:bidi="ar"/>
        </w:rPr>
        <w:t xml:space="preserve">   </w:t>
      </w:r>
      <w:r>
        <w:rPr>
          <w:rFonts w:hint="eastAsia"/>
          <w:b/>
          <w:kern w:val="0"/>
          <w:szCs w:val="21"/>
          <w:lang w:bidi="ar"/>
        </w:rPr>
        <w:t>声环境现状监测点位图</w:t>
      </w:r>
    </w:p>
    <w:p w14:paraId="7078E7ED">
      <w:pPr>
        <w:spacing w:line="500" w:lineRule="exact"/>
        <w:ind w:firstLine="643" w:firstLineChars="200"/>
        <w:rPr>
          <w:b/>
          <w:sz w:val="32"/>
          <w:lang w:bidi="ar"/>
        </w:rPr>
      </w:pPr>
    </w:p>
    <w:p w14:paraId="73ECBA4E">
      <w:pPr>
        <w:spacing w:line="520" w:lineRule="exact"/>
        <w:ind w:firstLine="422" w:firstLineChars="200"/>
        <w:jc w:val="center"/>
        <w:rPr>
          <w:b/>
          <w:szCs w:val="21"/>
          <w:lang w:bidi="ar"/>
        </w:rPr>
        <w:sectPr>
          <w:pgSz w:w="11906" w:h="16838"/>
          <w:pgMar w:top="720" w:right="720" w:bottom="720" w:left="720" w:header="851" w:footer="567" w:gutter="0"/>
          <w:cols w:space="720" w:num="1"/>
          <w:docGrid w:linePitch="312" w:charSpace="0"/>
        </w:sectPr>
      </w:pPr>
    </w:p>
    <w:p w14:paraId="008AF710">
      <w:pPr>
        <w:autoSpaceDE w:val="0"/>
        <w:autoSpaceDN w:val="0"/>
        <w:adjustRightInd w:val="0"/>
        <w:spacing w:before="120" w:beforeLines="50" w:line="360" w:lineRule="auto"/>
        <w:jc w:val="center"/>
        <w:rPr>
          <w:b/>
          <w:bCs/>
          <w:kern w:val="0"/>
          <w:szCs w:val="21"/>
        </w:rPr>
      </w:pPr>
      <w:r>
        <w:rPr>
          <w:b/>
          <w:bCs/>
          <w:kern w:val="0"/>
          <w:szCs w:val="21"/>
        </w:rPr>
        <w:t>表3.1-</w:t>
      </w:r>
      <w:r>
        <w:rPr>
          <w:rFonts w:hint="eastAsia"/>
          <w:b/>
          <w:bCs/>
          <w:kern w:val="0"/>
          <w:szCs w:val="21"/>
        </w:rPr>
        <w:t>2  监测</w:t>
      </w:r>
      <w:r>
        <w:rPr>
          <w:b/>
          <w:bCs/>
          <w:kern w:val="0"/>
          <w:szCs w:val="21"/>
        </w:rPr>
        <w:t>结果一览表  单位：dB（A）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26"/>
        <w:gridCol w:w="2811"/>
        <w:gridCol w:w="1092"/>
        <w:gridCol w:w="1092"/>
        <w:gridCol w:w="1092"/>
        <w:gridCol w:w="1098"/>
        <w:gridCol w:w="1206"/>
        <w:gridCol w:w="1205"/>
      </w:tblGrid>
      <w:tr w14:paraId="55401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vMerge w:val="restart"/>
            <w:tcBorders>
              <w:top w:val="single" w:color="auto" w:sz="18" w:space="0"/>
            </w:tcBorders>
            <w:shd w:val="clear" w:color="auto" w:fill="auto"/>
            <w:vAlign w:val="center"/>
          </w:tcPr>
          <w:p w14:paraId="6E3633BD">
            <w:pPr>
              <w:jc w:val="center"/>
              <w:rPr>
                <w:szCs w:val="21"/>
              </w:rPr>
            </w:pPr>
            <w:r>
              <w:rPr>
                <w:szCs w:val="21"/>
              </w:rPr>
              <w:t>序号</w:t>
            </w:r>
          </w:p>
        </w:tc>
        <w:tc>
          <w:tcPr>
            <w:tcW w:w="1336" w:type="pct"/>
            <w:vMerge w:val="restart"/>
            <w:tcBorders>
              <w:top w:val="single" w:color="auto" w:sz="18" w:space="0"/>
            </w:tcBorders>
            <w:shd w:val="clear" w:color="auto" w:fill="auto"/>
            <w:vAlign w:val="center"/>
          </w:tcPr>
          <w:p w14:paraId="7051E033">
            <w:pPr>
              <w:jc w:val="center"/>
              <w:rPr>
                <w:szCs w:val="21"/>
              </w:rPr>
            </w:pPr>
            <w:r>
              <w:rPr>
                <w:szCs w:val="21"/>
              </w:rPr>
              <w:t>监测位置</w:t>
            </w:r>
          </w:p>
        </w:tc>
        <w:tc>
          <w:tcPr>
            <w:tcW w:w="2079" w:type="pct"/>
            <w:gridSpan w:val="4"/>
            <w:tcBorders>
              <w:top w:val="single" w:color="auto" w:sz="18" w:space="0"/>
            </w:tcBorders>
            <w:shd w:val="clear" w:color="auto" w:fill="auto"/>
            <w:vAlign w:val="center"/>
          </w:tcPr>
          <w:p w14:paraId="3C3FC933">
            <w:pPr>
              <w:jc w:val="center"/>
              <w:rPr>
                <w:kern w:val="0"/>
                <w:szCs w:val="21"/>
              </w:rPr>
            </w:pPr>
            <w:r>
              <w:rPr>
                <w:szCs w:val="21"/>
              </w:rPr>
              <w:t>监测</w:t>
            </w:r>
            <w:r>
              <w:rPr>
                <w:kern w:val="0"/>
                <w:szCs w:val="21"/>
              </w:rPr>
              <w:t>结果</w:t>
            </w:r>
          </w:p>
          <w:p w14:paraId="42D89E35">
            <w:pPr>
              <w:jc w:val="center"/>
              <w:rPr>
                <w:kern w:val="0"/>
                <w:szCs w:val="21"/>
              </w:rPr>
            </w:pPr>
            <w:r>
              <w:rPr>
                <w:kern w:val="0"/>
                <w:szCs w:val="21"/>
              </w:rPr>
              <w:t>L</w:t>
            </w:r>
            <w:r>
              <w:rPr>
                <w:kern w:val="0"/>
                <w:szCs w:val="21"/>
                <w:vertAlign w:val="subscript"/>
              </w:rPr>
              <w:t>eq</w:t>
            </w:r>
            <w:r>
              <w:rPr>
                <w:kern w:val="0"/>
                <w:szCs w:val="21"/>
              </w:rPr>
              <w:t>[dB(A)]</w:t>
            </w:r>
          </w:p>
        </w:tc>
        <w:tc>
          <w:tcPr>
            <w:tcW w:w="1145" w:type="pct"/>
            <w:gridSpan w:val="2"/>
            <w:vMerge w:val="restart"/>
            <w:tcBorders>
              <w:top w:val="single" w:color="auto" w:sz="18" w:space="0"/>
            </w:tcBorders>
            <w:shd w:val="clear" w:color="auto" w:fill="auto"/>
            <w:vAlign w:val="center"/>
          </w:tcPr>
          <w:p w14:paraId="69B5BF13">
            <w:pPr>
              <w:jc w:val="center"/>
              <w:rPr>
                <w:szCs w:val="21"/>
              </w:rPr>
            </w:pPr>
            <w:r>
              <w:rPr>
                <w:rFonts w:hint="eastAsia"/>
                <w:szCs w:val="21"/>
              </w:rPr>
              <w:t>《声环境质量标准》（</w:t>
            </w:r>
            <w:r>
              <w:rPr>
                <w:szCs w:val="21"/>
              </w:rPr>
              <w:t>GB 3096-2008</w:t>
            </w:r>
            <w:r>
              <w:rPr>
                <w:rFonts w:hint="eastAsia"/>
                <w:szCs w:val="21"/>
              </w:rPr>
              <w:t>）</w:t>
            </w:r>
          </w:p>
          <w:p w14:paraId="3D3C1985">
            <w:pPr>
              <w:jc w:val="center"/>
              <w:rPr>
                <w:kern w:val="0"/>
                <w:szCs w:val="21"/>
              </w:rPr>
            </w:pPr>
            <w:r>
              <w:rPr>
                <w:rFonts w:hint="eastAsia"/>
                <w:szCs w:val="21"/>
              </w:rPr>
              <w:t>表1中2类</w:t>
            </w:r>
            <w:r>
              <w:rPr>
                <w:kern w:val="0"/>
                <w:szCs w:val="21"/>
              </w:rPr>
              <w:t>L</w:t>
            </w:r>
            <w:r>
              <w:rPr>
                <w:kern w:val="0"/>
                <w:szCs w:val="21"/>
                <w:vertAlign w:val="subscript"/>
              </w:rPr>
              <w:t>eq</w:t>
            </w:r>
            <w:r>
              <w:rPr>
                <w:kern w:val="0"/>
                <w:szCs w:val="21"/>
              </w:rPr>
              <w:t>[dB(A)]</w:t>
            </w:r>
          </w:p>
        </w:tc>
      </w:tr>
      <w:tr w14:paraId="20745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vMerge w:val="continue"/>
            <w:shd w:val="clear" w:color="auto" w:fill="auto"/>
            <w:vAlign w:val="center"/>
          </w:tcPr>
          <w:p w14:paraId="24957353">
            <w:pPr>
              <w:jc w:val="center"/>
              <w:rPr>
                <w:szCs w:val="21"/>
              </w:rPr>
            </w:pPr>
          </w:p>
        </w:tc>
        <w:tc>
          <w:tcPr>
            <w:tcW w:w="1336" w:type="pct"/>
            <w:vMerge w:val="continue"/>
            <w:shd w:val="clear" w:color="auto" w:fill="auto"/>
            <w:vAlign w:val="center"/>
          </w:tcPr>
          <w:p w14:paraId="35549867">
            <w:pPr>
              <w:jc w:val="center"/>
              <w:rPr>
                <w:szCs w:val="21"/>
              </w:rPr>
            </w:pPr>
          </w:p>
        </w:tc>
        <w:tc>
          <w:tcPr>
            <w:tcW w:w="1038" w:type="pct"/>
            <w:gridSpan w:val="2"/>
            <w:shd w:val="clear" w:color="auto" w:fill="auto"/>
            <w:vAlign w:val="center"/>
          </w:tcPr>
          <w:p w14:paraId="600C1D1E">
            <w:pPr>
              <w:jc w:val="center"/>
              <w:rPr>
                <w:szCs w:val="21"/>
              </w:rPr>
            </w:pPr>
            <w:r>
              <w:rPr>
                <w:rFonts w:hint="eastAsia"/>
                <w:szCs w:val="21"/>
              </w:rPr>
              <w:t>2</w:t>
            </w:r>
            <w:r>
              <w:rPr>
                <w:szCs w:val="21"/>
              </w:rPr>
              <w:t>024</w:t>
            </w:r>
            <w:r>
              <w:rPr>
                <w:rFonts w:hint="eastAsia"/>
                <w:szCs w:val="21"/>
              </w:rPr>
              <w:t>年1</w:t>
            </w:r>
            <w:r>
              <w:rPr>
                <w:szCs w:val="21"/>
              </w:rPr>
              <w:t>2</w:t>
            </w:r>
            <w:r>
              <w:rPr>
                <w:rFonts w:hint="eastAsia"/>
                <w:szCs w:val="21"/>
              </w:rPr>
              <w:t>月1</w:t>
            </w:r>
            <w:r>
              <w:rPr>
                <w:szCs w:val="21"/>
              </w:rPr>
              <w:t>9</w:t>
            </w:r>
            <w:r>
              <w:rPr>
                <w:rFonts w:hint="eastAsia"/>
                <w:szCs w:val="21"/>
              </w:rPr>
              <w:t>日</w:t>
            </w:r>
          </w:p>
        </w:tc>
        <w:tc>
          <w:tcPr>
            <w:tcW w:w="1040" w:type="pct"/>
            <w:gridSpan w:val="2"/>
            <w:shd w:val="clear" w:color="auto" w:fill="auto"/>
            <w:vAlign w:val="center"/>
          </w:tcPr>
          <w:p w14:paraId="1E8F9D71">
            <w:pPr>
              <w:jc w:val="center"/>
              <w:rPr>
                <w:szCs w:val="21"/>
              </w:rPr>
            </w:pPr>
            <w:r>
              <w:rPr>
                <w:rFonts w:hint="eastAsia"/>
                <w:szCs w:val="21"/>
              </w:rPr>
              <w:t>2</w:t>
            </w:r>
            <w:r>
              <w:rPr>
                <w:szCs w:val="21"/>
              </w:rPr>
              <w:t>024</w:t>
            </w:r>
            <w:r>
              <w:rPr>
                <w:rFonts w:hint="eastAsia"/>
                <w:szCs w:val="21"/>
              </w:rPr>
              <w:t>年1</w:t>
            </w:r>
            <w:r>
              <w:rPr>
                <w:szCs w:val="21"/>
              </w:rPr>
              <w:t>2</w:t>
            </w:r>
            <w:r>
              <w:rPr>
                <w:rFonts w:hint="eastAsia"/>
                <w:szCs w:val="21"/>
              </w:rPr>
              <w:t>月2</w:t>
            </w:r>
            <w:r>
              <w:rPr>
                <w:szCs w:val="21"/>
              </w:rPr>
              <w:t>0</w:t>
            </w:r>
            <w:r>
              <w:rPr>
                <w:rFonts w:hint="eastAsia"/>
                <w:szCs w:val="21"/>
              </w:rPr>
              <w:t>日</w:t>
            </w:r>
          </w:p>
        </w:tc>
        <w:tc>
          <w:tcPr>
            <w:tcW w:w="1145" w:type="pct"/>
            <w:gridSpan w:val="2"/>
            <w:vMerge w:val="continue"/>
            <w:shd w:val="clear" w:color="auto" w:fill="auto"/>
            <w:vAlign w:val="center"/>
          </w:tcPr>
          <w:p w14:paraId="462FEF44">
            <w:pPr>
              <w:jc w:val="center"/>
              <w:rPr>
                <w:szCs w:val="21"/>
              </w:rPr>
            </w:pPr>
          </w:p>
        </w:tc>
      </w:tr>
      <w:tr w14:paraId="7D2F8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vMerge w:val="continue"/>
            <w:shd w:val="clear" w:color="auto" w:fill="auto"/>
            <w:vAlign w:val="center"/>
          </w:tcPr>
          <w:p w14:paraId="632881C7">
            <w:pPr>
              <w:jc w:val="center"/>
              <w:rPr>
                <w:szCs w:val="21"/>
              </w:rPr>
            </w:pPr>
          </w:p>
        </w:tc>
        <w:tc>
          <w:tcPr>
            <w:tcW w:w="1336" w:type="pct"/>
            <w:vMerge w:val="continue"/>
            <w:shd w:val="clear" w:color="auto" w:fill="auto"/>
            <w:vAlign w:val="center"/>
          </w:tcPr>
          <w:p w14:paraId="0531F6C8">
            <w:pPr>
              <w:jc w:val="center"/>
              <w:rPr>
                <w:szCs w:val="21"/>
              </w:rPr>
            </w:pPr>
          </w:p>
        </w:tc>
        <w:tc>
          <w:tcPr>
            <w:tcW w:w="519" w:type="pct"/>
            <w:shd w:val="clear" w:color="auto" w:fill="auto"/>
            <w:vAlign w:val="center"/>
          </w:tcPr>
          <w:p w14:paraId="2D2471F9">
            <w:pPr>
              <w:jc w:val="center"/>
              <w:rPr>
                <w:kern w:val="0"/>
                <w:szCs w:val="21"/>
              </w:rPr>
            </w:pPr>
            <w:r>
              <w:rPr>
                <w:kern w:val="0"/>
                <w:szCs w:val="21"/>
              </w:rPr>
              <w:t>昼间</w:t>
            </w:r>
          </w:p>
        </w:tc>
        <w:tc>
          <w:tcPr>
            <w:tcW w:w="519" w:type="pct"/>
            <w:shd w:val="clear" w:color="auto" w:fill="auto"/>
            <w:vAlign w:val="center"/>
          </w:tcPr>
          <w:p w14:paraId="28F3AF20">
            <w:pPr>
              <w:jc w:val="center"/>
              <w:rPr>
                <w:kern w:val="0"/>
                <w:szCs w:val="21"/>
              </w:rPr>
            </w:pPr>
            <w:r>
              <w:rPr>
                <w:rFonts w:hint="eastAsia"/>
                <w:kern w:val="0"/>
                <w:szCs w:val="21"/>
              </w:rPr>
              <w:t>夜间</w:t>
            </w:r>
          </w:p>
        </w:tc>
        <w:tc>
          <w:tcPr>
            <w:tcW w:w="519" w:type="pct"/>
            <w:shd w:val="clear" w:color="auto" w:fill="auto"/>
            <w:vAlign w:val="center"/>
          </w:tcPr>
          <w:p w14:paraId="64F166E3">
            <w:pPr>
              <w:jc w:val="center"/>
              <w:rPr>
                <w:kern w:val="0"/>
                <w:szCs w:val="21"/>
              </w:rPr>
            </w:pPr>
            <w:r>
              <w:rPr>
                <w:kern w:val="0"/>
                <w:szCs w:val="21"/>
              </w:rPr>
              <w:t>昼间</w:t>
            </w:r>
          </w:p>
        </w:tc>
        <w:tc>
          <w:tcPr>
            <w:tcW w:w="521" w:type="pct"/>
            <w:shd w:val="clear" w:color="auto" w:fill="auto"/>
            <w:vAlign w:val="center"/>
          </w:tcPr>
          <w:p w14:paraId="46E0EF51">
            <w:pPr>
              <w:jc w:val="center"/>
              <w:rPr>
                <w:kern w:val="0"/>
                <w:szCs w:val="21"/>
              </w:rPr>
            </w:pPr>
            <w:r>
              <w:rPr>
                <w:rFonts w:hint="eastAsia"/>
                <w:kern w:val="0"/>
                <w:szCs w:val="21"/>
              </w:rPr>
              <w:t>夜间</w:t>
            </w:r>
          </w:p>
        </w:tc>
        <w:tc>
          <w:tcPr>
            <w:tcW w:w="573" w:type="pct"/>
            <w:shd w:val="clear" w:color="auto" w:fill="auto"/>
            <w:vAlign w:val="center"/>
          </w:tcPr>
          <w:p w14:paraId="43DEC475">
            <w:pPr>
              <w:jc w:val="center"/>
              <w:rPr>
                <w:kern w:val="0"/>
                <w:szCs w:val="21"/>
              </w:rPr>
            </w:pPr>
            <w:r>
              <w:rPr>
                <w:kern w:val="0"/>
                <w:szCs w:val="21"/>
              </w:rPr>
              <w:t>昼间</w:t>
            </w:r>
          </w:p>
        </w:tc>
        <w:tc>
          <w:tcPr>
            <w:tcW w:w="572" w:type="pct"/>
            <w:shd w:val="clear" w:color="auto" w:fill="auto"/>
            <w:vAlign w:val="center"/>
          </w:tcPr>
          <w:p w14:paraId="5DD2C594">
            <w:pPr>
              <w:jc w:val="center"/>
              <w:rPr>
                <w:kern w:val="0"/>
                <w:szCs w:val="21"/>
              </w:rPr>
            </w:pPr>
            <w:r>
              <w:rPr>
                <w:rFonts w:hint="eastAsia"/>
                <w:kern w:val="0"/>
                <w:szCs w:val="21"/>
              </w:rPr>
              <w:t>夜间</w:t>
            </w:r>
          </w:p>
        </w:tc>
      </w:tr>
      <w:tr w14:paraId="4D173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shd w:val="clear" w:color="auto" w:fill="auto"/>
            <w:vAlign w:val="center"/>
          </w:tcPr>
          <w:p w14:paraId="5FECDEBD">
            <w:pPr>
              <w:jc w:val="center"/>
              <w:rPr>
                <w:szCs w:val="21"/>
              </w:rPr>
            </w:pPr>
            <w:r>
              <w:rPr>
                <w:rFonts w:hint="eastAsia"/>
                <w:szCs w:val="21"/>
              </w:rPr>
              <w:t>N</w:t>
            </w:r>
            <w:r>
              <w:rPr>
                <w:szCs w:val="21"/>
              </w:rPr>
              <w:t>1</w:t>
            </w:r>
          </w:p>
        </w:tc>
        <w:tc>
          <w:tcPr>
            <w:tcW w:w="1336" w:type="pct"/>
            <w:shd w:val="clear" w:color="auto" w:fill="auto"/>
            <w:vAlign w:val="center"/>
          </w:tcPr>
          <w:p w14:paraId="580FE617">
            <w:pPr>
              <w:jc w:val="center"/>
              <w:rPr>
                <w:szCs w:val="21"/>
              </w:rPr>
            </w:pPr>
            <w:r>
              <w:rPr>
                <w:rFonts w:hint="eastAsia"/>
                <w:szCs w:val="21"/>
              </w:rPr>
              <w:t>距离道路路中心线2</w:t>
            </w:r>
            <w:r>
              <w:rPr>
                <w:szCs w:val="21"/>
              </w:rPr>
              <w:t>0m</w:t>
            </w:r>
          </w:p>
        </w:tc>
        <w:tc>
          <w:tcPr>
            <w:tcW w:w="519" w:type="pct"/>
            <w:shd w:val="clear" w:color="auto" w:fill="auto"/>
            <w:vAlign w:val="center"/>
          </w:tcPr>
          <w:p w14:paraId="44BB65FF">
            <w:pPr>
              <w:jc w:val="center"/>
              <w:rPr>
                <w:kern w:val="0"/>
                <w:szCs w:val="21"/>
              </w:rPr>
            </w:pPr>
            <w:r>
              <w:rPr>
                <w:rFonts w:hint="eastAsia"/>
                <w:kern w:val="0"/>
                <w:szCs w:val="21"/>
              </w:rPr>
              <w:t>5</w:t>
            </w:r>
            <w:r>
              <w:rPr>
                <w:kern w:val="0"/>
                <w:szCs w:val="21"/>
              </w:rPr>
              <w:t>5</w:t>
            </w:r>
          </w:p>
        </w:tc>
        <w:tc>
          <w:tcPr>
            <w:tcW w:w="519" w:type="pct"/>
            <w:shd w:val="clear" w:color="auto" w:fill="auto"/>
            <w:vAlign w:val="center"/>
          </w:tcPr>
          <w:p w14:paraId="378CE019">
            <w:pPr>
              <w:jc w:val="center"/>
              <w:rPr>
                <w:kern w:val="0"/>
                <w:szCs w:val="21"/>
              </w:rPr>
            </w:pPr>
            <w:r>
              <w:rPr>
                <w:rFonts w:hint="eastAsia"/>
                <w:kern w:val="0"/>
                <w:szCs w:val="21"/>
              </w:rPr>
              <w:t>4</w:t>
            </w:r>
            <w:r>
              <w:rPr>
                <w:kern w:val="0"/>
                <w:szCs w:val="21"/>
              </w:rPr>
              <w:t>6</w:t>
            </w:r>
          </w:p>
        </w:tc>
        <w:tc>
          <w:tcPr>
            <w:tcW w:w="519" w:type="pct"/>
            <w:shd w:val="clear" w:color="auto" w:fill="auto"/>
            <w:vAlign w:val="center"/>
          </w:tcPr>
          <w:p w14:paraId="5EC46F6E">
            <w:pPr>
              <w:jc w:val="center"/>
              <w:rPr>
                <w:kern w:val="0"/>
                <w:szCs w:val="21"/>
              </w:rPr>
            </w:pPr>
            <w:r>
              <w:rPr>
                <w:rFonts w:hint="eastAsia"/>
                <w:kern w:val="0"/>
                <w:szCs w:val="21"/>
              </w:rPr>
              <w:t>5</w:t>
            </w:r>
            <w:r>
              <w:rPr>
                <w:kern w:val="0"/>
                <w:szCs w:val="21"/>
              </w:rPr>
              <w:t>5</w:t>
            </w:r>
          </w:p>
        </w:tc>
        <w:tc>
          <w:tcPr>
            <w:tcW w:w="521" w:type="pct"/>
            <w:shd w:val="clear" w:color="auto" w:fill="auto"/>
            <w:vAlign w:val="center"/>
          </w:tcPr>
          <w:p w14:paraId="39F10DDC">
            <w:pPr>
              <w:jc w:val="center"/>
              <w:rPr>
                <w:kern w:val="0"/>
                <w:szCs w:val="21"/>
              </w:rPr>
            </w:pPr>
            <w:r>
              <w:rPr>
                <w:rFonts w:hint="eastAsia"/>
                <w:kern w:val="0"/>
                <w:szCs w:val="21"/>
              </w:rPr>
              <w:t>4</w:t>
            </w:r>
            <w:r>
              <w:rPr>
                <w:kern w:val="0"/>
                <w:szCs w:val="21"/>
              </w:rPr>
              <w:t>7</w:t>
            </w:r>
          </w:p>
        </w:tc>
        <w:tc>
          <w:tcPr>
            <w:tcW w:w="573" w:type="pct"/>
            <w:vMerge w:val="restart"/>
            <w:shd w:val="clear" w:color="auto" w:fill="auto"/>
            <w:vAlign w:val="center"/>
          </w:tcPr>
          <w:p w14:paraId="715B879D">
            <w:pPr>
              <w:jc w:val="center"/>
              <w:rPr>
                <w:kern w:val="0"/>
                <w:szCs w:val="21"/>
              </w:rPr>
            </w:pPr>
            <w:r>
              <w:rPr>
                <w:rFonts w:hint="eastAsia"/>
                <w:kern w:val="0"/>
                <w:szCs w:val="21"/>
              </w:rPr>
              <w:t>60</w:t>
            </w:r>
          </w:p>
        </w:tc>
        <w:tc>
          <w:tcPr>
            <w:tcW w:w="572" w:type="pct"/>
            <w:vMerge w:val="restart"/>
            <w:shd w:val="clear" w:color="auto" w:fill="auto"/>
            <w:vAlign w:val="center"/>
          </w:tcPr>
          <w:p w14:paraId="10C264DE">
            <w:pPr>
              <w:jc w:val="center"/>
              <w:rPr>
                <w:kern w:val="0"/>
                <w:szCs w:val="21"/>
              </w:rPr>
            </w:pPr>
            <w:r>
              <w:rPr>
                <w:rFonts w:hint="eastAsia"/>
                <w:kern w:val="0"/>
                <w:szCs w:val="21"/>
              </w:rPr>
              <w:t>5</w:t>
            </w:r>
            <w:r>
              <w:rPr>
                <w:kern w:val="0"/>
                <w:szCs w:val="21"/>
              </w:rPr>
              <w:t>0</w:t>
            </w:r>
          </w:p>
        </w:tc>
      </w:tr>
      <w:tr w14:paraId="451B6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shd w:val="clear" w:color="auto" w:fill="auto"/>
            <w:vAlign w:val="center"/>
          </w:tcPr>
          <w:p w14:paraId="02F2EF9C">
            <w:pPr>
              <w:jc w:val="center"/>
              <w:rPr>
                <w:szCs w:val="21"/>
              </w:rPr>
            </w:pPr>
            <w:r>
              <w:rPr>
                <w:rFonts w:hint="eastAsia"/>
                <w:szCs w:val="21"/>
              </w:rPr>
              <w:t>N</w:t>
            </w:r>
            <w:r>
              <w:rPr>
                <w:szCs w:val="21"/>
              </w:rPr>
              <w:t>2</w:t>
            </w:r>
          </w:p>
        </w:tc>
        <w:tc>
          <w:tcPr>
            <w:tcW w:w="1336" w:type="pct"/>
            <w:shd w:val="clear" w:color="auto" w:fill="auto"/>
            <w:vAlign w:val="center"/>
          </w:tcPr>
          <w:p w14:paraId="22AE9276">
            <w:pPr>
              <w:jc w:val="center"/>
              <w:rPr>
                <w:szCs w:val="21"/>
              </w:rPr>
            </w:pPr>
            <w:r>
              <w:rPr>
                <w:rFonts w:hint="eastAsia"/>
                <w:szCs w:val="21"/>
              </w:rPr>
              <w:t>距离道路路中心线</w:t>
            </w:r>
            <w:r>
              <w:rPr>
                <w:szCs w:val="21"/>
              </w:rPr>
              <w:t>40m</w:t>
            </w:r>
          </w:p>
        </w:tc>
        <w:tc>
          <w:tcPr>
            <w:tcW w:w="519" w:type="pct"/>
            <w:shd w:val="clear" w:color="auto" w:fill="auto"/>
            <w:vAlign w:val="center"/>
          </w:tcPr>
          <w:p w14:paraId="35AFD259">
            <w:pPr>
              <w:jc w:val="center"/>
              <w:rPr>
                <w:kern w:val="0"/>
                <w:szCs w:val="21"/>
              </w:rPr>
            </w:pPr>
            <w:r>
              <w:rPr>
                <w:rFonts w:hint="eastAsia"/>
                <w:kern w:val="0"/>
                <w:szCs w:val="21"/>
              </w:rPr>
              <w:t>5</w:t>
            </w:r>
            <w:r>
              <w:rPr>
                <w:kern w:val="0"/>
                <w:szCs w:val="21"/>
              </w:rPr>
              <w:t>4</w:t>
            </w:r>
          </w:p>
        </w:tc>
        <w:tc>
          <w:tcPr>
            <w:tcW w:w="519" w:type="pct"/>
            <w:shd w:val="clear" w:color="auto" w:fill="auto"/>
            <w:vAlign w:val="center"/>
          </w:tcPr>
          <w:p w14:paraId="05352A01">
            <w:pPr>
              <w:jc w:val="center"/>
              <w:rPr>
                <w:kern w:val="0"/>
                <w:szCs w:val="21"/>
              </w:rPr>
            </w:pPr>
            <w:r>
              <w:rPr>
                <w:rFonts w:hint="eastAsia"/>
                <w:kern w:val="0"/>
                <w:szCs w:val="21"/>
              </w:rPr>
              <w:t>4</w:t>
            </w:r>
            <w:r>
              <w:rPr>
                <w:kern w:val="0"/>
                <w:szCs w:val="21"/>
              </w:rPr>
              <w:t>5</w:t>
            </w:r>
          </w:p>
        </w:tc>
        <w:tc>
          <w:tcPr>
            <w:tcW w:w="519" w:type="pct"/>
            <w:shd w:val="clear" w:color="auto" w:fill="auto"/>
            <w:vAlign w:val="center"/>
          </w:tcPr>
          <w:p w14:paraId="44946603">
            <w:pPr>
              <w:jc w:val="center"/>
              <w:rPr>
                <w:kern w:val="0"/>
                <w:szCs w:val="21"/>
              </w:rPr>
            </w:pPr>
            <w:r>
              <w:rPr>
                <w:rFonts w:hint="eastAsia"/>
                <w:kern w:val="0"/>
                <w:szCs w:val="21"/>
              </w:rPr>
              <w:t>5</w:t>
            </w:r>
            <w:r>
              <w:rPr>
                <w:kern w:val="0"/>
                <w:szCs w:val="21"/>
              </w:rPr>
              <w:t>4</w:t>
            </w:r>
          </w:p>
        </w:tc>
        <w:tc>
          <w:tcPr>
            <w:tcW w:w="521" w:type="pct"/>
            <w:shd w:val="clear" w:color="auto" w:fill="auto"/>
            <w:vAlign w:val="center"/>
          </w:tcPr>
          <w:p w14:paraId="47417C64">
            <w:pPr>
              <w:jc w:val="center"/>
              <w:rPr>
                <w:kern w:val="0"/>
                <w:szCs w:val="21"/>
              </w:rPr>
            </w:pPr>
            <w:r>
              <w:rPr>
                <w:rFonts w:hint="eastAsia"/>
                <w:kern w:val="0"/>
                <w:szCs w:val="21"/>
              </w:rPr>
              <w:t>4</w:t>
            </w:r>
            <w:r>
              <w:rPr>
                <w:kern w:val="0"/>
                <w:szCs w:val="21"/>
              </w:rPr>
              <w:t>6</w:t>
            </w:r>
          </w:p>
        </w:tc>
        <w:tc>
          <w:tcPr>
            <w:tcW w:w="573" w:type="pct"/>
            <w:vMerge w:val="continue"/>
            <w:shd w:val="clear" w:color="auto" w:fill="auto"/>
            <w:vAlign w:val="center"/>
          </w:tcPr>
          <w:p w14:paraId="3DD7BE44">
            <w:pPr>
              <w:jc w:val="center"/>
              <w:rPr>
                <w:kern w:val="0"/>
                <w:szCs w:val="21"/>
              </w:rPr>
            </w:pPr>
          </w:p>
        </w:tc>
        <w:tc>
          <w:tcPr>
            <w:tcW w:w="572" w:type="pct"/>
            <w:vMerge w:val="continue"/>
            <w:shd w:val="clear" w:color="auto" w:fill="auto"/>
            <w:vAlign w:val="center"/>
          </w:tcPr>
          <w:p w14:paraId="1C5F9E8C">
            <w:pPr>
              <w:jc w:val="center"/>
              <w:rPr>
                <w:kern w:val="0"/>
                <w:szCs w:val="21"/>
              </w:rPr>
            </w:pPr>
          </w:p>
        </w:tc>
      </w:tr>
      <w:tr w14:paraId="2753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shd w:val="clear" w:color="auto" w:fill="auto"/>
            <w:vAlign w:val="center"/>
          </w:tcPr>
          <w:p w14:paraId="07EF823D">
            <w:pPr>
              <w:jc w:val="center"/>
              <w:rPr>
                <w:szCs w:val="21"/>
              </w:rPr>
            </w:pPr>
            <w:r>
              <w:rPr>
                <w:rFonts w:hint="eastAsia"/>
                <w:szCs w:val="21"/>
              </w:rPr>
              <w:t>N</w:t>
            </w:r>
            <w:r>
              <w:rPr>
                <w:szCs w:val="21"/>
              </w:rPr>
              <w:t>3</w:t>
            </w:r>
          </w:p>
        </w:tc>
        <w:tc>
          <w:tcPr>
            <w:tcW w:w="1336" w:type="pct"/>
            <w:shd w:val="clear" w:color="auto" w:fill="auto"/>
            <w:vAlign w:val="center"/>
          </w:tcPr>
          <w:p w14:paraId="22011596">
            <w:pPr>
              <w:jc w:val="center"/>
              <w:rPr>
                <w:szCs w:val="21"/>
              </w:rPr>
            </w:pPr>
            <w:r>
              <w:rPr>
                <w:rFonts w:hint="eastAsia"/>
                <w:szCs w:val="21"/>
              </w:rPr>
              <w:t>距离道路路中心线</w:t>
            </w:r>
            <w:r>
              <w:rPr>
                <w:szCs w:val="21"/>
              </w:rPr>
              <w:t>60m</w:t>
            </w:r>
          </w:p>
        </w:tc>
        <w:tc>
          <w:tcPr>
            <w:tcW w:w="519" w:type="pct"/>
            <w:shd w:val="clear" w:color="auto" w:fill="auto"/>
            <w:vAlign w:val="center"/>
          </w:tcPr>
          <w:p w14:paraId="2CBAFE95">
            <w:pPr>
              <w:jc w:val="center"/>
              <w:rPr>
                <w:kern w:val="0"/>
                <w:szCs w:val="21"/>
              </w:rPr>
            </w:pPr>
            <w:r>
              <w:rPr>
                <w:rFonts w:hint="eastAsia"/>
                <w:kern w:val="0"/>
                <w:szCs w:val="21"/>
              </w:rPr>
              <w:t>5</w:t>
            </w:r>
            <w:r>
              <w:rPr>
                <w:kern w:val="0"/>
                <w:szCs w:val="21"/>
              </w:rPr>
              <w:t>3</w:t>
            </w:r>
          </w:p>
        </w:tc>
        <w:tc>
          <w:tcPr>
            <w:tcW w:w="519" w:type="pct"/>
            <w:shd w:val="clear" w:color="auto" w:fill="auto"/>
            <w:vAlign w:val="center"/>
          </w:tcPr>
          <w:p w14:paraId="71C0C950">
            <w:pPr>
              <w:jc w:val="center"/>
              <w:rPr>
                <w:kern w:val="0"/>
                <w:szCs w:val="21"/>
              </w:rPr>
            </w:pPr>
            <w:r>
              <w:rPr>
                <w:rFonts w:hint="eastAsia"/>
                <w:kern w:val="0"/>
                <w:szCs w:val="21"/>
              </w:rPr>
              <w:t>4</w:t>
            </w:r>
            <w:r>
              <w:rPr>
                <w:kern w:val="0"/>
                <w:szCs w:val="21"/>
              </w:rPr>
              <w:t>4</w:t>
            </w:r>
          </w:p>
        </w:tc>
        <w:tc>
          <w:tcPr>
            <w:tcW w:w="519" w:type="pct"/>
            <w:shd w:val="clear" w:color="auto" w:fill="auto"/>
            <w:vAlign w:val="center"/>
          </w:tcPr>
          <w:p w14:paraId="433E6C55">
            <w:pPr>
              <w:jc w:val="center"/>
              <w:rPr>
                <w:kern w:val="0"/>
                <w:szCs w:val="21"/>
              </w:rPr>
            </w:pPr>
            <w:r>
              <w:rPr>
                <w:rFonts w:hint="eastAsia"/>
                <w:kern w:val="0"/>
                <w:szCs w:val="21"/>
              </w:rPr>
              <w:t>5</w:t>
            </w:r>
            <w:r>
              <w:rPr>
                <w:kern w:val="0"/>
                <w:szCs w:val="21"/>
              </w:rPr>
              <w:t>3</w:t>
            </w:r>
          </w:p>
        </w:tc>
        <w:tc>
          <w:tcPr>
            <w:tcW w:w="521" w:type="pct"/>
            <w:shd w:val="clear" w:color="auto" w:fill="auto"/>
            <w:vAlign w:val="center"/>
          </w:tcPr>
          <w:p w14:paraId="7D4634A8">
            <w:pPr>
              <w:jc w:val="center"/>
              <w:rPr>
                <w:kern w:val="0"/>
                <w:szCs w:val="21"/>
              </w:rPr>
            </w:pPr>
            <w:r>
              <w:rPr>
                <w:rFonts w:hint="eastAsia"/>
                <w:kern w:val="0"/>
                <w:szCs w:val="21"/>
              </w:rPr>
              <w:t>4</w:t>
            </w:r>
            <w:r>
              <w:rPr>
                <w:kern w:val="0"/>
                <w:szCs w:val="21"/>
              </w:rPr>
              <w:t>5</w:t>
            </w:r>
          </w:p>
        </w:tc>
        <w:tc>
          <w:tcPr>
            <w:tcW w:w="573" w:type="pct"/>
            <w:vMerge w:val="continue"/>
            <w:shd w:val="clear" w:color="auto" w:fill="auto"/>
            <w:vAlign w:val="center"/>
          </w:tcPr>
          <w:p w14:paraId="34835E3E">
            <w:pPr>
              <w:jc w:val="center"/>
              <w:rPr>
                <w:kern w:val="0"/>
                <w:szCs w:val="21"/>
              </w:rPr>
            </w:pPr>
          </w:p>
        </w:tc>
        <w:tc>
          <w:tcPr>
            <w:tcW w:w="572" w:type="pct"/>
            <w:vMerge w:val="continue"/>
            <w:shd w:val="clear" w:color="auto" w:fill="auto"/>
            <w:vAlign w:val="center"/>
          </w:tcPr>
          <w:p w14:paraId="5CE2F11E">
            <w:pPr>
              <w:jc w:val="center"/>
              <w:rPr>
                <w:kern w:val="0"/>
                <w:szCs w:val="21"/>
              </w:rPr>
            </w:pPr>
          </w:p>
        </w:tc>
      </w:tr>
      <w:tr w14:paraId="3BED5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shd w:val="clear" w:color="auto" w:fill="auto"/>
            <w:vAlign w:val="center"/>
          </w:tcPr>
          <w:p w14:paraId="77F704FD">
            <w:pPr>
              <w:jc w:val="center"/>
              <w:rPr>
                <w:szCs w:val="21"/>
              </w:rPr>
            </w:pPr>
            <w:r>
              <w:rPr>
                <w:rFonts w:hint="eastAsia"/>
                <w:szCs w:val="21"/>
              </w:rPr>
              <w:t>N</w:t>
            </w:r>
            <w:r>
              <w:rPr>
                <w:szCs w:val="21"/>
              </w:rPr>
              <w:t>4</w:t>
            </w:r>
          </w:p>
        </w:tc>
        <w:tc>
          <w:tcPr>
            <w:tcW w:w="1336" w:type="pct"/>
            <w:shd w:val="clear" w:color="auto" w:fill="auto"/>
            <w:vAlign w:val="center"/>
          </w:tcPr>
          <w:p w14:paraId="06511BFE">
            <w:pPr>
              <w:jc w:val="center"/>
              <w:rPr>
                <w:szCs w:val="21"/>
              </w:rPr>
            </w:pPr>
            <w:r>
              <w:rPr>
                <w:rFonts w:hint="eastAsia"/>
                <w:szCs w:val="21"/>
              </w:rPr>
              <w:t>距离道路路中心线12</w:t>
            </w:r>
            <w:r>
              <w:rPr>
                <w:szCs w:val="21"/>
              </w:rPr>
              <w:t>0m</w:t>
            </w:r>
          </w:p>
        </w:tc>
        <w:tc>
          <w:tcPr>
            <w:tcW w:w="519" w:type="pct"/>
            <w:shd w:val="clear" w:color="auto" w:fill="auto"/>
            <w:vAlign w:val="center"/>
          </w:tcPr>
          <w:p w14:paraId="02208A78">
            <w:pPr>
              <w:jc w:val="center"/>
              <w:rPr>
                <w:kern w:val="0"/>
                <w:szCs w:val="21"/>
              </w:rPr>
            </w:pPr>
            <w:r>
              <w:rPr>
                <w:rFonts w:hint="eastAsia"/>
                <w:kern w:val="0"/>
                <w:szCs w:val="21"/>
              </w:rPr>
              <w:t>5</w:t>
            </w:r>
            <w:r>
              <w:rPr>
                <w:kern w:val="0"/>
                <w:szCs w:val="21"/>
              </w:rPr>
              <w:t>2</w:t>
            </w:r>
          </w:p>
        </w:tc>
        <w:tc>
          <w:tcPr>
            <w:tcW w:w="519" w:type="pct"/>
            <w:shd w:val="clear" w:color="auto" w:fill="auto"/>
            <w:vAlign w:val="center"/>
          </w:tcPr>
          <w:p w14:paraId="5247B970">
            <w:pPr>
              <w:jc w:val="center"/>
              <w:rPr>
                <w:kern w:val="0"/>
                <w:szCs w:val="21"/>
              </w:rPr>
            </w:pPr>
            <w:r>
              <w:rPr>
                <w:rFonts w:hint="eastAsia"/>
                <w:kern w:val="0"/>
                <w:szCs w:val="21"/>
              </w:rPr>
              <w:t>4</w:t>
            </w:r>
            <w:r>
              <w:rPr>
                <w:kern w:val="0"/>
                <w:szCs w:val="21"/>
              </w:rPr>
              <w:t>1</w:t>
            </w:r>
          </w:p>
        </w:tc>
        <w:tc>
          <w:tcPr>
            <w:tcW w:w="519" w:type="pct"/>
            <w:shd w:val="clear" w:color="auto" w:fill="auto"/>
            <w:vAlign w:val="center"/>
          </w:tcPr>
          <w:p w14:paraId="127F09BF">
            <w:pPr>
              <w:jc w:val="center"/>
              <w:rPr>
                <w:kern w:val="0"/>
                <w:szCs w:val="21"/>
              </w:rPr>
            </w:pPr>
            <w:r>
              <w:rPr>
                <w:rFonts w:hint="eastAsia"/>
                <w:kern w:val="0"/>
                <w:szCs w:val="21"/>
              </w:rPr>
              <w:t>5</w:t>
            </w:r>
            <w:r>
              <w:rPr>
                <w:kern w:val="0"/>
                <w:szCs w:val="21"/>
              </w:rPr>
              <w:t>2</w:t>
            </w:r>
          </w:p>
        </w:tc>
        <w:tc>
          <w:tcPr>
            <w:tcW w:w="521" w:type="pct"/>
            <w:shd w:val="clear" w:color="auto" w:fill="auto"/>
            <w:vAlign w:val="center"/>
          </w:tcPr>
          <w:p w14:paraId="4DE58A7C">
            <w:pPr>
              <w:jc w:val="center"/>
              <w:rPr>
                <w:kern w:val="0"/>
                <w:szCs w:val="21"/>
              </w:rPr>
            </w:pPr>
            <w:r>
              <w:rPr>
                <w:rFonts w:hint="eastAsia"/>
                <w:kern w:val="0"/>
                <w:szCs w:val="21"/>
              </w:rPr>
              <w:t>4</w:t>
            </w:r>
            <w:r>
              <w:rPr>
                <w:kern w:val="0"/>
                <w:szCs w:val="21"/>
              </w:rPr>
              <w:t>3</w:t>
            </w:r>
          </w:p>
        </w:tc>
        <w:tc>
          <w:tcPr>
            <w:tcW w:w="573" w:type="pct"/>
            <w:vMerge w:val="continue"/>
            <w:shd w:val="clear" w:color="auto" w:fill="auto"/>
            <w:vAlign w:val="center"/>
          </w:tcPr>
          <w:p w14:paraId="2625E086">
            <w:pPr>
              <w:jc w:val="center"/>
              <w:rPr>
                <w:kern w:val="0"/>
                <w:szCs w:val="21"/>
              </w:rPr>
            </w:pPr>
          </w:p>
        </w:tc>
        <w:tc>
          <w:tcPr>
            <w:tcW w:w="572" w:type="pct"/>
            <w:vMerge w:val="continue"/>
            <w:shd w:val="clear" w:color="auto" w:fill="auto"/>
            <w:vAlign w:val="center"/>
          </w:tcPr>
          <w:p w14:paraId="6953DCDE">
            <w:pPr>
              <w:jc w:val="center"/>
              <w:rPr>
                <w:kern w:val="0"/>
                <w:szCs w:val="21"/>
              </w:rPr>
            </w:pPr>
          </w:p>
        </w:tc>
      </w:tr>
      <w:tr w14:paraId="714C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shd w:val="clear" w:color="auto" w:fill="auto"/>
            <w:vAlign w:val="center"/>
          </w:tcPr>
          <w:p w14:paraId="039DD443">
            <w:pPr>
              <w:jc w:val="center"/>
              <w:rPr>
                <w:szCs w:val="21"/>
              </w:rPr>
            </w:pPr>
            <w:r>
              <w:rPr>
                <w:rFonts w:hint="eastAsia"/>
                <w:szCs w:val="21"/>
              </w:rPr>
              <w:t>N</w:t>
            </w:r>
            <w:r>
              <w:rPr>
                <w:szCs w:val="21"/>
              </w:rPr>
              <w:t>5</w:t>
            </w:r>
          </w:p>
        </w:tc>
        <w:tc>
          <w:tcPr>
            <w:tcW w:w="1336" w:type="pct"/>
            <w:shd w:val="clear" w:color="auto" w:fill="auto"/>
            <w:vAlign w:val="center"/>
          </w:tcPr>
          <w:p w14:paraId="1958E478">
            <w:pPr>
              <w:jc w:val="center"/>
              <w:rPr>
                <w:szCs w:val="21"/>
              </w:rPr>
            </w:pPr>
            <w:r>
              <w:rPr>
                <w:rFonts w:hint="eastAsia"/>
                <w:szCs w:val="21"/>
              </w:rPr>
              <w:t>距离道路路中心线</w:t>
            </w:r>
            <w:r>
              <w:rPr>
                <w:szCs w:val="21"/>
              </w:rPr>
              <w:t>150m</w:t>
            </w:r>
          </w:p>
        </w:tc>
        <w:tc>
          <w:tcPr>
            <w:tcW w:w="519" w:type="pct"/>
            <w:shd w:val="clear" w:color="auto" w:fill="auto"/>
            <w:vAlign w:val="center"/>
          </w:tcPr>
          <w:p w14:paraId="33F25F12">
            <w:pPr>
              <w:jc w:val="center"/>
              <w:rPr>
                <w:kern w:val="0"/>
                <w:szCs w:val="21"/>
              </w:rPr>
            </w:pPr>
            <w:r>
              <w:rPr>
                <w:rFonts w:hint="eastAsia"/>
                <w:kern w:val="0"/>
                <w:szCs w:val="21"/>
              </w:rPr>
              <w:t>5</w:t>
            </w:r>
            <w:r>
              <w:rPr>
                <w:kern w:val="0"/>
                <w:szCs w:val="21"/>
              </w:rPr>
              <w:t>0</w:t>
            </w:r>
          </w:p>
        </w:tc>
        <w:tc>
          <w:tcPr>
            <w:tcW w:w="519" w:type="pct"/>
            <w:shd w:val="clear" w:color="auto" w:fill="auto"/>
            <w:vAlign w:val="center"/>
          </w:tcPr>
          <w:p w14:paraId="1BF77FAD">
            <w:pPr>
              <w:jc w:val="center"/>
              <w:rPr>
                <w:kern w:val="0"/>
                <w:szCs w:val="21"/>
              </w:rPr>
            </w:pPr>
            <w:r>
              <w:rPr>
                <w:rFonts w:hint="eastAsia"/>
                <w:kern w:val="0"/>
                <w:szCs w:val="21"/>
              </w:rPr>
              <w:t>4</w:t>
            </w:r>
            <w:r>
              <w:rPr>
                <w:kern w:val="0"/>
                <w:szCs w:val="21"/>
              </w:rPr>
              <w:t>0</w:t>
            </w:r>
          </w:p>
        </w:tc>
        <w:tc>
          <w:tcPr>
            <w:tcW w:w="519" w:type="pct"/>
            <w:shd w:val="clear" w:color="auto" w:fill="auto"/>
            <w:vAlign w:val="center"/>
          </w:tcPr>
          <w:p w14:paraId="59B1556C">
            <w:pPr>
              <w:jc w:val="center"/>
              <w:rPr>
                <w:kern w:val="0"/>
                <w:szCs w:val="21"/>
              </w:rPr>
            </w:pPr>
            <w:r>
              <w:rPr>
                <w:rFonts w:hint="eastAsia"/>
                <w:kern w:val="0"/>
                <w:szCs w:val="21"/>
              </w:rPr>
              <w:t>5</w:t>
            </w:r>
            <w:r>
              <w:rPr>
                <w:kern w:val="0"/>
                <w:szCs w:val="21"/>
              </w:rPr>
              <w:t>0</w:t>
            </w:r>
          </w:p>
        </w:tc>
        <w:tc>
          <w:tcPr>
            <w:tcW w:w="521" w:type="pct"/>
            <w:shd w:val="clear" w:color="auto" w:fill="auto"/>
            <w:vAlign w:val="center"/>
          </w:tcPr>
          <w:p w14:paraId="04064E82">
            <w:pPr>
              <w:jc w:val="center"/>
              <w:rPr>
                <w:kern w:val="0"/>
                <w:szCs w:val="21"/>
              </w:rPr>
            </w:pPr>
            <w:r>
              <w:rPr>
                <w:rFonts w:hint="eastAsia"/>
                <w:kern w:val="0"/>
                <w:szCs w:val="21"/>
              </w:rPr>
              <w:t>4</w:t>
            </w:r>
            <w:r>
              <w:rPr>
                <w:kern w:val="0"/>
                <w:szCs w:val="21"/>
              </w:rPr>
              <w:t>1</w:t>
            </w:r>
          </w:p>
        </w:tc>
        <w:tc>
          <w:tcPr>
            <w:tcW w:w="573" w:type="pct"/>
            <w:vMerge w:val="continue"/>
            <w:shd w:val="clear" w:color="auto" w:fill="auto"/>
            <w:vAlign w:val="center"/>
          </w:tcPr>
          <w:p w14:paraId="1E4729FE">
            <w:pPr>
              <w:jc w:val="center"/>
              <w:rPr>
                <w:kern w:val="0"/>
                <w:szCs w:val="21"/>
              </w:rPr>
            </w:pPr>
          </w:p>
        </w:tc>
        <w:tc>
          <w:tcPr>
            <w:tcW w:w="572" w:type="pct"/>
            <w:vMerge w:val="continue"/>
            <w:shd w:val="clear" w:color="auto" w:fill="auto"/>
            <w:vAlign w:val="center"/>
          </w:tcPr>
          <w:p w14:paraId="3B54D034">
            <w:pPr>
              <w:jc w:val="center"/>
              <w:rPr>
                <w:kern w:val="0"/>
                <w:szCs w:val="21"/>
              </w:rPr>
            </w:pPr>
          </w:p>
        </w:tc>
      </w:tr>
      <w:tr w14:paraId="1600E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40" w:type="pct"/>
            <w:tcBorders>
              <w:bottom w:val="single" w:color="auto" w:sz="18" w:space="0"/>
            </w:tcBorders>
            <w:shd w:val="clear" w:color="auto" w:fill="auto"/>
            <w:vAlign w:val="center"/>
          </w:tcPr>
          <w:p w14:paraId="43E7D831">
            <w:pPr>
              <w:ind w:left="42" w:right="42"/>
              <w:jc w:val="center"/>
              <w:rPr>
                <w:szCs w:val="21"/>
              </w:rPr>
            </w:pPr>
            <w:r>
              <w:rPr>
                <w:rFonts w:hint="eastAsia"/>
                <w:szCs w:val="21"/>
              </w:rPr>
              <w:t>N</w:t>
            </w:r>
            <w:r>
              <w:rPr>
                <w:szCs w:val="21"/>
              </w:rPr>
              <w:t>6</w:t>
            </w:r>
          </w:p>
        </w:tc>
        <w:tc>
          <w:tcPr>
            <w:tcW w:w="1336" w:type="pct"/>
            <w:tcBorders>
              <w:bottom w:val="single" w:color="auto" w:sz="18" w:space="0"/>
            </w:tcBorders>
            <w:shd w:val="clear" w:color="auto" w:fill="auto"/>
            <w:vAlign w:val="center"/>
          </w:tcPr>
          <w:p w14:paraId="3F3BE6D0">
            <w:pPr>
              <w:jc w:val="center"/>
              <w:rPr>
                <w:szCs w:val="21"/>
              </w:rPr>
            </w:pPr>
            <w:r>
              <w:rPr>
                <w:rFonts w:hint="eastAsia"/>
                <w:szCs w:val="21"/>
              </w:rPr>
              <w:t>距离道路路中心线</w:t>
            </w:r>
            <w:r>
              <w:rPr>
                <w:szCs w:val="21"/>
              </w:rPr>
              <w:t>200m</w:t>
            </w:r>
          </w:p>
        </w:tc>
        <w:tc>
          <w:tcPr>
            <w:tcW w:w="519" w:type="pct"/>
            <w:tcBorders>
              <w:bottom w:val="single" w:color="auto" w:sz="18" w:space="0"/>
            </w:tcBorders>
            <w:shd w:val="clear" w:color="auto" w:fill="auto"/>
            <w:vAlign w:val="center"/>
          </w:tcPr>
          <w:p w14:paraId="673129FE">
            <w:pPr>
              <w:jc w:val="center"/>
              <w:rPr>
                <w:kern w:val="0"/>
                <w:szCs w:val="21"/>
              </w:rPr>
            </w:pPr>
            <w:r>
              <w:rPr>
                <w:rFonts w:hint="eastAsia"/>
                <w:kern w:val="0"/>
                <w:szCs w:val="21"/>
              </w:rPr>
              <w:t>4</w:t>
            </w:r>
            <w:r>
              <w:rPr>
                <w:kern w:val="0"/>
                <w:szCs w:val="21"/>
              </w:rPr>
              <w:t>9</w:t>
            </w:r>
          </w:p>
        </w:tc>
        <w:tc>
          <w:tcPr>
            <w:tcW w:w="519" w:type="pct"/>
            <w:tcBorders>
              <w:bottom w:val="single" w:color="auto" w:sz="18" w:space="0"/>
            </w:tcBorders>
            <w:shd w:val="clear" w:color="auto" w:fill="auto"/>
            <w:vAlign w:val="center"/>
          </w:tcPr>
          <w:p w14:paraId="7994C94C">
            <w:pPr>
              <w:jc w:val="center"/>
              <w:rPr>
                <w:kern w:val="0"/>
                <w:szCs w:val="21"/>
              </w:rPr>
            </w:pPr>
            <w:r>
              <w:rPr>
                <w:rFonts w:hint="eastAsia"/>
                <w:kern w:val="0"/>
                <w:szCs w:val="21"/>
              </w:rPr>
              <w:t>3</w:t>
            </w:r>
            <w:r>
              <w:rPr>
                <w:kern w:val="0"/>
                <w:szCs w:val="21"/>
              </w:rPr>
              <w:t>9</w:t>
            </w:r>
          </w:p>
        </w:tc>
        <w:tc>
          <w:tcPr>
            <w:tcW w:w="519" w:type="pct"/>
            <w:tcBorders>
              <w:bottom w:val="single" w:color="auto" w:sz="18" w:space="0"/>
            </w:tcBorders>
            <w:shd w:val="clear" w:color="auto" w:fill="auto"/>
            <w:vAlign w:val="center"/>
          </w:tcPr>
          <w:p w14:paraId="7B740F16">
            <w:pPr>
              <w:jc w:val="center"/>
              <w:rPr>
                <w:kern w:val="0"/>
                <w:szCs w:val="21"/>
              </w:rPr>
            </w:pPr>
            <w:r>
              <w:rPr>
                <w:rFonts w:hint="eastAsia"/>
                <w:kern w:val="0"/>
                <w:szCs w:val="21"/>
              </w:rPr>
              <w:t>4</w:t>
            </w:r>
            <w:r>
              <w:rPr>
                <w:kern w:val="0"/>
                <w:szCs w:val="21"/>
              </w:rPr>
              <w:t>9</w:t>
            </w:r>
          </w:p>
        </w:tc>
        <w:tc>
          <w:tcPr>
            <w:tcW w:w="521" w:type="pct"/>
            <w:tcBorders>
              <w:bottom w:val="single" w:color="auto" w:sz="18" w:space="0"/>
            </w:tcBorders>
            <w:shd w:val="clear" w:color="auto" w:fill="auto"/>
            <w:vAlign w:val="center"/>
          </w:tcPr>
          <w:p w14:paraId="0351F784">
            <w:pPr>
              <w:jc w:val="center"/>
              <w:rPr>
                <w:kern w:val="0"/>
                <w:szCs w:val="21"/>
              </w:rPr>
            </w:pPr>
            <w:r>
              <w:rPr>
                <w:rFonts w:hint="eastAsia"/>
                <w:kern w:val="0"/>
                <w:szCs w:val="21"/>
              </w:rPr>
              <w:t>3</w:t>
            </w:r>
            <w:r>
              <w:rPr>
                <w:kern w:val="0"/>
                <w:szCs w:val="21"/>
              </w:rPr>
              <w:t>9</w:t>
            </w:r>
          </w:p>
        </w:tc>
        <w:tc>
          <w:tcPr>
            <w:tcW w:w="573" w:type="pct"/>
            <w:vMerge w:val="continue"/>
            <w:tcBorders>
              <w:bottom w:val="single" w:color="auto" w:sz="18" w:space="0"/>
            </w:tcBorders>
            <w:shd w:val="clear" w:color="auto" w:fill="auto"/>
            <w:vAlign w:val="center"/>
          </w:tcPr>
          <w:p w14:paraId="192F27CA">
            <w:pPr>
              <w:jc w:val="center"/>
              <w:rPr>
                <w:kern w:val="0"/>
                <w:szCs w:val="21"/>
              </w:rPr>
            </w:pPr>
          </w:p>
        </w:tc>
        <w:tc>
          <w:tcPr>
            <w:tcW w:w="572" w:type="pct"/>
            <w:vMerge w:val="continue"/>
            <w:tcBorders>
              <w:bottom w:val="single" w:color="auto" w:sz="18" w:space="0"/>
            </w:tcBorders>
            <w:shd w:val="clear" w:color="auto" w:fill="auto"/>
            <w:vAlign w:val="center"/>
          </w:tcPr>
          <w:p w14:paraId="7C85EB89">
            <w:pPr>
              <w:jc w:val="center"/>
              <w:rPr>
                <w:kern w:val="0"/>
                <w:szCs w:val="21"/>
              </w:rPr>
            </w:pPr>
          </w:p>
        </w:tc>
      </w:tr>
    </w:tbl>
    <w:p w14:paraId="07B8DAE8">
      <w:pPr>
        <w:autoSpaceDE w:val="0"/>
        <w:autoSpaceDN w:val="0"/>
        <w:adjustRightInd w:val="0"/>
        <w:spacing w:line="360" w:lineRule="auto"/>
        <w:ind w:firstLine="422" w:firstLineChars="200"/>
        <w:rPr>
          <w:b/>
          <w:bCs/>
          <w:kern w:val="0"/>
          <w:szCs w:val="21"/>
        </w:rPr>
      </w:pPr>
    </w:p>
    <w:p w14:paraId="6E325D8D">
      <w:pPr>
        <w:autoSpaceDE w:val="0"/>
        <w:autoSpaceDN w:val="0"/>
        <w:adjustRightInd w:val="0"/>
        <w:spacing w:line="360" w:lineRule="auto"/>
        <w:ind w:firstLine="482" w:firstLineChars="200"/>
        <w:rPr>
          <w:b/>
          <w:bCs/>
          <w:kern w:val="0"/>
          <w:sz w:val="24"/>
        </w:rPr>
      </w:pPr>
      <w:r>
        <w:rPr>
          <w:b/>
          <w:bCs/>
          <w:kern w:val="0"/>
          <w:sz w:val="24"/>
        </w:rPr>
        <w:t>3.2 现状声环境质量评价</w:t>
      </w:r>
    </w:p>
    <w:p w14:paraId="1D945671">
      <w:pPr>
        <w:spacing w:line="360" w:lineRule="auto"/>
        <w:ind w:firstLine="480" w:firstLineChars="200"/>
        <w:rPr>
          <w:sz w:val="24"/>
        </w:rPr>
      </w:pPr>
      <w:r>
        <w:rPr>
          <w:rFonts w:hint="eastAsia"/>
          <w:sz w:val="24"/>
        </w:rPr>
        <w:t>根据现场踏勘，项目评价范围不涉及声环境现状保护目标和声环境规划保护目标，因此本报告在拟建道路中心位置设置衰减断面（114.348041°，23.182298°），监测点分别设在距离道路路中心线20m、40m、60m、120m、150m、200m处，监测结果显示项目所在区域</w:t>
      </w:r>
      <w:r>
        <w:rPr>
          <w:rFonts w:hint="eastAsia"/>
          <w:sz w:val="24"/>
          <w:lang w:bidi="ar"/>
        </w:rPr>
        <w:t>昼间、夜间均可达到</w:t>
      </w:r>
      <w:r>
        <w:rPr>
          <w:sz w:val="24"/>
          <w:lang w:bidi="ar"/>
        </w:rPr>
        <w:t>《声环境质量标准》（GB3096-2008）中的2类标准</w:t>
      </w:r>
      <w:r>
        <w:rPr>
          <w:rFonts w:hint="eastAsia"/>
          <w:sz w:val="24"/>
          <w:lang w:bidi="ar"/>
        </w:rPr>
        <w:t>，现状声环境质量良好。</w:t>
      </w:r>
    </w:p>
    <w:p w14:paraId="24D0E789">
      <w:pPr>
        <w:spacing w:line="360" w:lineRule="auto"/>
        <w:ind w:firstLine="480" w:firstLineChars="200"/>
        <w:rPr>
          <w:sz w:val="24"/>
          <w:highlight w:val="yellow"/>
          <w:lang w:bidi="ar"/>
        </w:rPr>
      </w:pPr>
    </w:p>
    <w:p w14:paraId="727862EB">
      <w:pPr>
        <w:autoSpaceDE w:val="0"/>
        <w:autoSpaceDN w:val="0"/>
        <w:adjustRightInd w:val="0"/>
        <w:spacing w:line="520" w:lineRule="exact"/>
        <w:jc w:val="left"/>
        <w:rPr>
          <w:b/>
          <w:bCs/>
          <w:kern w:val="0"/>
          <w:sz w:val="24"/>
        </w:rPr>
        <w:sectPr>
          <w:pgSz w:w="11906" w:h="16838"/>
          <w:pgMar w:top="720" w:right="720" w:bottom="720" w:left="720" w:header="851" w:footer="567" w:gutter="0"/>
          <w:cols w:space="720" w:num="1"/>
          <w:docGrid w:linePitch="312" w:charSpace="0"/>
        </w:sectPr>
      </w:pPr>
    </w:p>
    <w:p w14:paraId="1FC1BA23">
      <w:pPr>
        <w:widowControl/>
        <w:spacing w:line="360" w:lineRule="auto"/>
        <w:jc w:val="center"/>
        <w:outlineLvl w:val="0"/>
        <w:rPr>
          <w:b/>
          <w:bCs/>
          <w:sz w:val="44"/>
          <w:szCs w:val="44"/>
        </w:rPr>
      </w:pPr>
      <w:bookmarkStart w:id="143" w:name="_Toc191907563"/>
      <w:bookmarkStart w:id="144" w:name="_Toc13183"/>
      <w:bookmarkStart w:id="145" w:name="_Toc185523913"/>
      <w:bookmarkStart w:id="146" w:name="_Toc187243676"/>
      <w:bookmarkStart w:id="147" w:name="_Toc185524021"/>
      <w:r>
        <w:rPr>
          <w:b/>
          <w:bCs/>
          <w:sz w:val="44"/>
          <w:szCs w:val="44"/>
        </w:rPr>
        <w:t>4. 声环境</w:t>
      </w:r>
      <w:r>
        <w:rPr>
          <w:rFonts w:hint="eastAsia"/>
          <w:b/>
          <w:bCs/>
          <w:sz w:val="44"/>
          <w:szCs w:val="44"/>
        </w:rPr>
        <w:t>影响预测及分析</w:t>
      </w:r>
      <w:bookmarkEnd w:id="143"/>
      <w:bookmarkEnd w:id="144"/>
      <w:bookmarkEnd w:id="145"/>
      <w:bookmarkEnd w:id="146"/>
      <w:bookmarkEnd w:id="147"/>
    </w:p>
    <w:p w14:paraId="3A4434EC">
      <w:pPr>
        <w:autoSpaceDE w:val="0"/>
        <w:autoSpaceDN w:val="0"/>
        <w:adjustRightInd w:val="0"/>
        <w:spacing w:line="360" w:lineRule="auto"/>
        <w:ind w:firstLine="482" w:firstLineChars="200"/>
        <w:rPr>
          <w:b/>
          <w:bCs/>
          <w:kern w:val="0"/>
          <w:sz w:val="24"/>
        </w:rPr>
      </w:pPr>
      <w:r>
        <w:rPr>
          <w:b/>
          <w:bCs/>
          <w:kern w:val="0"/>
          <w:sz w:val="24"/>
        </w:rPr>
        <w:t>4.1 施工期声环境影响预测与分析</w:t>
      </w:r>
    </w:p>
    <w:p w14:paraId="74B06C8D">
      <w:pPr>
        <w:spacing w:line="360" w:lineRule="auto"/>
        <w:ind w:firstLine="482" w:firstLineChars="200"/>
        <w:rPr>
          <w:b/>
          <w:sz w:val="24"/>
        </w:rPr>
      </w:pPr>
      <w:r>
        <w:rPr>
          <w:rFonts w:hint="eastAsia"/>
          <w:b/>
          <w:sz w:val="24"/>
          <w:lang w:bidi="ar"/>
        </w:rPr>
        <w:t>4.1.1</w:t>
      </w:r>
      <w:r>
        <w:rPr>
          <w:b/>
          <w:sz w:val="24"/>
          <w:lang w:bidi="ar"/>
        </w:rPr>
        <w:t>噪声源强</w:t>
      </w:r>
    </w:p>
    <w:p w14:paraId="79CA46A3">
      <w:pPr>
        <w:spacing w:line="360" w:lineRule="auto"/>
        <w:ind w:firstLine="480" w:firstLineChars="200"/>
        <w:rPr>
          <w:sz w:val="24"/>
        </w:rPr>
      </w:pPr>
      <w:r>
        <w:rPr>
          <w:rFonts w:hint="eastAsia"/>
          <w:sz w:val="24"/>
          <w:lang w:bidi="ar"/>
        </w:rPr>
        <w:t>本项目施工过程中噪声较大的施工单元主要为基础工程。不同的施工阶段所使用的施工机械不同，本项目施工过程中所使用的机械设备主要有：挖掘机、推土机、平地机、压路机、装载机、摊铺机、运输车辆等</w:t>
      </w:r>
      <w:r>
        <w:rPr>
          <w:sz w:val="24"/>
          <w:lang w:bidi="ar"/>
        </w:rPr>
        <w:t>，</w:t>
      </w:r>
      <w:r>
        <w:rPr>
          <w:rFonts w:hint="eastAsia"/>
          <w:sz w:val="24"/>
          <w:lang w:bidi="ar"/>
        </w:rPr>
        <w:t>根据前文，</w:t>
      </w:r>
      <w:r>
        <w:rPr>
          <w:sz w:val="24"/>
          <w:lang w:bidi="ar"/>
        </w:rPr>
        <w:t>各机械设备噪声声级详见</w:t>
      </w:r>
      <w:r>
        <w:rPr>
          <w:rFonts w:hint="eastAsia"/>
          <w:sz w:val="24"/>
          <w:lang w:bidi="ar"/>
        </w:rPr>
        <w:t>下表</w:t>
      </w:r>
      <w:r>
        <w:rPr>
          <w:sz w:val="24"/>
          <w:lang w:bidi="ar"/>
        </w:rPr>
        <w:t>。</w:t>
      </w:r>
    </w:p>
    <w:p w14:paraId="25FE9DA0">
      <w:pPr>
        <w:spacing w:before="120" w:beforeLines="50" w:line="360" w:lineRule="auto"/>
        <w:jc w:val="center"/>
        <w:rPr>
          <w:b/>
          <w:bCs/>
          <w:kern w:val="0"/>
          <w:szCs w:val="21"/>
        </w:rPr>
      </w:pPr>
      <w:r>
        <w:rPr>
          <w:b/>
          <w:bCs/>
          <w:kern w:val="0"/>
          <w:szCs w:val="21"/>
        </w:rPr>
        <w:t>表4</w:t>
      </w:r>
      <w:r>
        <w:rPr>
          <w:rFonts w:hint="eastAsia"/>
          <w:b/>
          <w:bCs/>
          <w:kern w:val="0"/>
          <w:szCs w:val="21"/>
        </w:rPr>
        <w:t>.</w:t>
      </w:r>
      <w:r>
        <w:rPr>
          <w:b/>
          <w:bCs/>
          <w:kern w:val="0"/>
          <w:szCs w:val="21"/>
        </w:rPr>
        <w:t>1-1  施工期各机械设备噪声声级</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447"/>
        <w:gridCol w:w="2028"/>
        <w:gridCol w:w="1737"/>
        <w:gridCol w:w="2461"/>
        <w:gridCol w:w="2288"/>
      </w:tblGrid>
      <w:tr w14:paraId="4564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38" w:type="pct"/>
            <w:tcBorders>
              <w:top w:val="single" w:color="auto" w:sz="18" w:space="0"/>
            </w:tcBorders>
            <w:shd w:val="clear" w:color="auto" w:fill="auto"/>
            <w:noWrap/>
            <w:vAlign w:val="center"/>
          </w:tcPr>
          <w:p w14:paraId="33A17FD2">
            <w:pPr>
              <w:jc w:val="center"/>
              <w:rPr>
                <w:b/>
                <w:bCs/>
                <w:szCs w:val="21"/>
              </w:rPr>
            </w:pPr>
            <w:r>
              <w:rPr>
                <w:b/>
                <w:bCs/>
                <w:szCs w:val="21"/>
                <w:lang w:bidi="ar"/>
              </w:rPr>
              <w:t>序号</w:t>
            </w:r>
          </w:p>
        </w:tc>
        <w:tc>
          <w:tcPr>
            <w:tcW w:w="677" w:type="pct"/>
            <w:tcBorders>
              <w:top w:val="single" w:color="auto" w:sz="18" w:space="0"/>
            </w:tcBorders>
            <w:shd w:val="clear" w:color="auto" w:fill="auto"/>
            <w:vAlign w:val="center"/>
          </w:tcPr>
          <w:p w14:paraId="2D97FC6E">
            <w:pPr>
              <w:jc w:val="center"/>
              <w:rPr>
                <w:b/>
                <w:bCs/>
                <w:szCs w:val="21"/>
                <w:lang w:bidi="ar"/>
              </w:rPr>
            </w:pPr>
            <w:r>
              <w:rPr>
                <w:b/>
                <w:bCs/>
                <w:szCs w:val="21"/>
                <w:lang w:bidi="ar"/>
              </w:rPr>
              <w:t>施工阶段</w:t>
            </w:r>
          </w:p>
        </w:tc>
        <w:tc>
          <w:tcPr>
            <w:tcW w:w="949" w:type="pct"/>
            <w:tcBorders>
              <w:top w:val="single" w:color="auto" w:sz="18" w:space="0"/>
            </w:tcBorders>
            <w:shd w:val="clear" w:color="auto" w:fill="auto"/>
            <w:noWrap/>
            <w:vAlign w:val="center"/>
          </w:tcPr>
          <w:p w14:paraId="4C7BEF8E">
            <w:pPr>
              <w:jc w:val="center"/>
              <w:rPr>
                <w:b/>
                <w:bCs/>
                <w:szCs w:val="21"/>
              </w:rPr>
            </w:pPr>
            <w:r>
              <w:rPr>
                <w:b/>
                <w:bCs/>
                <w:szCs w:val="21"/>
                <w:lang w:bidi="ar"/>
              </w:rPr>
              <w:t>机械类型</w:t>
            </w:r>
          </w:p>
        </w:tc>
        <w:tc>
          <w:tcPr>
            <w:tcW w:w="813" w:type="pct"/>
            <w:tcBorders>
              <w:top w:val="single" w:color="auto" w:sz="18" w:space="0"/>
            </w:tcBorders>
            <w:shd w:val="clear" w:color="auto" w:fill="auto"/>
            <w:noWrap/>
            <w:vAlign w:val="center"/>
          </w:tcPr>
          <w:p w14:paraId="0B7DCC53">
            <w:pPr>
              <w:jc w:val="center"/>
              <w:rPr>
                <w:b/>
                <w:bCs/>
                <w:szCs w:val="21"/>
              </w:rPr>
            </w:pPr>
            <w:r>
              <w:rPr>
                <w:b/>
                <w:bCs/>
                <w:szCs w:val="21"/>
                <w:lang w:bidi="ar"/>
              </w:rPr>
              <w:t>声源特点</w:t>
            </w:r>
          </w:p>
        </w:tc>
        <w:tc>
          <w:tcPr>
            <w:tcW w:w="1152" w:type="pct"/>
            <w:tcBorders>
              <w:top w:val="single" w:color="auto" w:sz="18" w:space="0"/>
            </w:tcBorders>
            <w:shd w:val="clear" w:color="auto" w:fill="auto"/>
            <w:noWrap/>
            <w:vAlign w:val="center"/>
          </w:tcPr>
          <w:p w14:paraId="1D7B07AA">
            <w:pPr>
              <w:jc w:val="center"/>
              <w:rPr>
                <w:b/>
                <w:bCs/>
                <w:szCs w:val="21"/>
              </w:rPr>
            </w:pPr>
            <w:r>
              <w:rPr>
                <w:b/>
                <w:bCs/>
                <w:szCs w:val="21"/>
                <w:lang w:bidi="ar"/>
              </w:rPr>
              <w:t>单台设备5m最大声级L</w:t>
            </w:r>
            <w:r>
              <w:rPr>
                <w:b/>
                <w:bCs/>
                <w:szCs w:val="21"/>
                <w:vertAlign w:val="subscript"/>
                <w:lang w:bidi="ar"/>
              </w:rPr>
              <w:t>max</w:t>
            </w:r>
            <w:r>
              <w:rPr>
                <w:b/>
                <w:bCs/>
                <w:szCs w:val="21"/>
                <w:lang w:bidi="ar"/>
              </w:rPr>
              <w:t>（dB）</w:t>
            </w:r>
          </w:p>
        </w:tc>
        <w:tc>
          <w:tcPr>
            <w:tcW w:w="1071" w:type="pct"/>
            <w:tcBorders>
              <w:top w:val="single" w:color="auto" w:sz="18" w:space="0"/>
            </w:tcBorders>
            <w:shd w:val="clear" w:color="auto" w:fill="auto"/>
            <w:vAlign w:val="center"/>
          </w:tcPr>
          <w:p w14:paraId="46AE80E3">
            <w:pPr>
              <w:jc w:val="center"/>
              <w:rPr>
                <w:b/>
                <w:bCs/>
                <w:szCs w:val="21"/>
                <w:lang w:bidi="ar"/>
              </w:rPr>
            </w:pPr>
            <w:r>
              <w:rPr>
                <w:b/>
                <w:bCs/>
                <w:szCs w:val="21"/>
                <w:lang w:bidi="ar"/>
              </w:rPr>
              <w:t>同时使用的最大数量</w:t>
            </w:r>
          </w:p>
        </w:tc>
      </w:tr>
      <w:tr w14:paraId="41FA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restart"/>
            <w:shd w:val="clear" w:color="auto" w:fill="auto"/>
            <w:noWrap/>
            <w:vAlign w:val="center"/>
          </w:tcPr>
          <w:p w14:paraId="0189609B">
            <w:pPr>
              <w:jc w:val="center"/>
              <w:rPr>
                <w:szCs w:val="21"/>
                <w:lang w:bidi="ar"/>
              </w:rPr>
            </w:pPr>
            <w:r>
              <w:rPr>
                <w:rFonts w:hint="eastAsia"/>
                <w:szCs w:val="21"/>
                <w:lang w:bidi="ar"/>
              </w:rPr>
              <w:t>1</w:t>
            </w:r>
          </w:p>
        </w:tc>
        <w:tc>
          <w:tcPr>
            <w:tcW w:w="677" w:type="pct"/>
            <w:vMerge w:val="restart"/>
            <w:shd w:val="clear" w:color="auto" w:fill="auto"/>
            <w:vAlign w:val="center"/>
          </w:tcPr>
          <w:p w14:paraId="7436092A">
            <w:pPr>
              <w:jc w:val="center"/>
              <w:rPr>
                <w:szCs w:val="21"/>
                <w:lang w:bidi="ar"/>
              </w:rPr>
            </w:pPr>
            <w:r>
              <w:rPr>
                <w:szCs w:val="21"/>
                <w:lang w:bidi="ar"/>
              </w:rPr>
              <w:t>路基施工</w:t>
            </w:r>
          </w:p>
        </w:tc>
        <w:tc>
          <w:tcPr>
            <w:tcW w:w="949" w:type="pct"/>
            <w:shd w:val="clear" w:color="auto" w:fill="auto"/>
            <w:noWrap/>
            <w:vAlign w:val="center"/>
          </w:tcPr>
          <w:p w14:paraId="16F5129E">
            <w:pPr>
              <w:jc w:val="center"/>
              <w:rPr>
                <w:szCs w:val="21"/>
                <w:lang w:bidi="ar"/>
              </w:rPr>
            </w:pPr>
            <w:r>
              <w:rPr>
                <w:szCs w:val="21"/>
              </w:rPr>
              <w:t>装载机</w:t>
            </w:r>
          </w:p>
        </w:tc>
        <w:tc>
          <w:tcPr>
            <w:tcW w:w="813" w:type="pct"/>
            <w:shd w:val="clear" w:color="auto" w:fill="auto"/>
            <w:noWrap/>
            <w:vAlign w:val="center"/>
          </w:tcPr>
          <w:p w14:paraId="2E4E55BB">
            <w:pPr>
              <w:jc w:val="center"/>
              <w:rPr>
                <w:szCs w:val="21"/>
                <w:lang w:bidi="ar"/>
              </w:rPr>
            </w:pPr>
            <w:r>
              <w:rPr>
                <w:szCs w:val="21"/>
                <w:lang w:bidi="ar"/>
              </w:rPr>
              <w:t>流动不稳定源</w:t>
            </w:r>
          </w:p>
        </w:tc>
        <w:tc>
          <w:tcPr>
            <w:tcW w:w="1152" w:type="pct"/>
            <w:shd w:val="clear" w:color="auto" w:fill="auto"/>
            <w:noWrap/>
            <w:vAlign w:val="center"/>
          </w:tcPr>
          <w:p w14:paraId="70E555A1">
            <w:pPr>
              <w:jc w:val="center"/>
              <w:rPr>
                <w:szCs w:val="21"/>
                <w:lang w:bidi="ar"/>
              </w:rPr>
            </w:pPr>
            <w:r>
              <w:rPr>
                <w:szCs w:val="21"/>
              </w:rPr>
              <w:t>90</w:t>
            </w:r>
          </w:p>
        </w:tc>
        <w:tc>
          <w:tcPr>
            <w:tcW w:w="1071" w:type="pct"/>
            <w:shd w:val="clear" w:color="auto" w:fill="auto"/>
            <w:vAlign w:val="center"/>
          </w:tcPr>
          <w:p w14:paraId="2208B608">
            <w:pPr>
              <w:jc w:val="center"/>
              <w:rPr>
                <w:szCs w:val="21"/>
              </w:rPr>
            </w:pPr>
            <w:r>
              <w:rPr>
                <w:rFonts w:hint="eastAsia"/>
                <w:szCs w:val="21"/>
              </w:rPr>
              <w:t>2</w:t>
            </w:r>
            <w:r>
              <w:rPr>
                <w:szCs w:val="21"/>
              </w:rPr>
              <w:t>台</w:t>
            </w:r>
          </w:p>
        </w:tc>
      </w:tr>
      <w:tr w14:paraId="0E81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07D7F622">
            <w:pPr>
              <w:jc w:val="center"/>
              <w:rPr>
                <w:szCs w:val="21"/>
                <w:lang w:bidi="ar"/>
              </w:rPr>
            </w:pPr>
          </w:p>
        </w:tc>
        <w:tc>
          <w:tcPr>
            <w:tcW w:w="677" w:type="pct"/>
            <w:vMerge w:val="continue"/>
            <w:shd w:val="clear" w:color="auto" w:fill="auto"/>
            <w:vAlign w:val="center"/>
          </w:tcPr>
          <w:p w14:paraId="4DF5A150">
            <w:pPr>
              <w:jc w:val="center"/>
              <w:rPr>
                <w:szCs w:val="21"/>
                <w:lang w:bidi="ar"/>
              </w:rPr>
            </w:pPr>
          </w:p>
        </w:tc>
        <w:tc>
          <w:tcPr>
            <w:tcW w:w="949" w:type="pct"/>
            <w:shd w:val="clear" w:color="auto" w:fill="auto"/>
            <w:noWrap/>
            <w:vAlign w:val="center"/>
          </w:tcPr>
          <w:p w14:paraId="154BC60C">
            <w:pPr>
              <w:jc w:val="center"/>
              <w:rPr>
                <w:szCs w:val="21"/>
                <w:lang w:bidi="ar"/>
              </w:rPr>
            </w:pPr>
            <w:r>
              <w:rPr>
                <w:szCs w:val="21"/>
              </w:rPr>
              <w:t>重型运输车</w:t>
            </w:r>
          </w:p>
        </w:tc>
        <w:tc>
          <w:tcPr>
            <w:tcW w:w="813" w:type="pct"/>
            <w:shd w:val="clear" w:color="auto" w:fill="auto"/>
            <w:noWrap/>
            <w:vAlign w:val="center"/>
          </w:tcPr>
          <w:p w14:paraId="26E32F92">
            <w:pPr>
              <w:jc w:val="center"/>
              <w:rPr>
                <w:szCs w:val="21"/>
                <w:lang w:bidi="ar"/>
              </w:rPr>
            </w:pPr>
            <w:r>
              <w:rPr>
                <w:szCs w:val="21"/>
                <w:lang w:bidi="ar"/>
              </w:rPr>
              <w:t>流动不稳定源</w:t>
            </w:r>
          </w:p>
        </w:tc>
        <w:tc>
          <w:tcPr>
            <w:tcW w:w="1152" w:type="pct"/>
            <w:shd w:val="clear" w:color="auto" w:fill="auto"/>
            <w:noWrap/>
            <w:vAlign w:val="center"/>
          </w:tcPr>
          <w:p w14:paraId="00CAF893">
            <w:pPr>
              <w:jc w:val="center"/>
              <w:rPr>
                <w:szCs w:val="21"/>
                <w:lang w:bidi="ar"/>
              </w:rPr>
            </w:pPr>
            <w:r>
              <w:rPr>
                <w:szCs w:val="21"/>
              </w:rPr>
              <w:t>82</w:t>
            </w:r>
          </w:p>
        </w:tc>
        <w:tc>
          <w:tcPr>
            <w:tcW w:w="1071" w:type="pct"/>
            <w:shd w:val="clear" w:color="auto" w:fill="auto"/>
            <w:vAlign w:val="center"/>
          </w:tcPr>
          <w:p w14:paraId="7DE61842">
            <w:pPr>
              <w:jc w:val="center"/>
              <w:rPr>
                <w:szCs w:val="21"/>
              </w:rPr>
            </w:pPr>
            <w:r>
              <w:rPr>
                <w:rFonts w:hint="eastAsia"/>
                <w:szCs w:val="21"/>
              </w:rPr>
              <w:t>1</w:t>
            </w:r>
            <w:r>
              <w:rPr>
                <w:szCs w:val="21"/>
              </w:rPr>
              <w:t>台</w:t>
            </w:r>
          </w:p>
        </w:tc>
      </w:tr>
      <w:tr w14:paraId="5389C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2AA1C626">
            <w:pPr>
              <w:jc w:val="center"/>
              <w:rPr>
                <w:szCs w:val="21"/>
                <w:lang w:bidi="ar"/>
              </w:rPr>
            </w:pPr>
          </w:p>
        </w:tc>
        <w:tc>
          <w:tcPr>
            <w:tcW w:w="677" w:type="pct"/>
            <w:vMerge w:val="continue"/>
            <w:shd w:val="clear" w:color="auto" w:fill="auto"/>
            <w:vAlign w:val="center"/>
          </w:tcPr>
          <w:p w14:paraId="3ED93746">
            <w:pPr>
              <w:jc w:val="center"/>
              <w:rPr>
                <w:szCs w:val="21"/>
                <w:lang w:bidi="ar"/>
              </w:rPr>
            </w:pPr>
          </w:p>
        </w:tc>
        <w:tc>
          <w:tcPr>
            <w:tcW w:w="949" w:type="pct"/>
            <w:shd w:val="clear" w:color="auto" w:fill="auto"/>
            <w:noWrap/>
            <w:vAlign w:val="center"/>
          </w:tcPr>
          <w:p w14:paraId="05CF95CC">
            <w:pPr>
              <w:jc w:val="center"/>
              <w:rPr>
                <w:szCs w:val="21"/>
                <w:lang w:bidi="ar"/>
              </w:rPr>
            </w:pPr>
            <w:r>
              <w:rPr>
                <w:szCs w:val="21"/>
              </w:rPr>
              <w:t>压路机</w:t>
            </w:r>
          </w:p>
        </w:tc>
        <w:tc>
          <w:tcPr>
            <w:tcW w:w="813" w:type="pct"/>
            <w:shd w:val="clear" w:color="auto" w:fill="auto"/>
            <w:noWrap/>
            <w:vAlign w:val="center"/>
          </w:tcPr>
          <w:p w14:paraId="5AA58FAD">
            <w:pPr>
              <w:jc w:val="center"/>
              <w:rPr>
                <w:szCs w:val="21"/>
                <w:lang w:bidi="ar"/>
              </w:rPr>
            </w:pPr>
            <w:r>
              <w:rPr>
                <w:szCs w:val="21"/>
                <w:lang w:bidi="ar"/>
              </w:rPr>
              <w:t>流动不稳定源</w:t>
            </w:r>
          </w:p>
        </w:tc>
        <w:tc>
          <w:tcPr>
            <w:tcW w:w="1152" w:type="pct"/>
            <w:shd w:val="clear" w:color="auto" w:fill="auto"/>
            <w:noWrap/>
            <w:vAlign w:val="center"/>
          </w:tcPr>
          <w:p w14:paraId="47A11827">
            <w:pPr>
              <w:jc w:val="center"/>
              <w:rPr>
                <w:szCs w:val="21"/>
                <w:lang w:bidi="ar"/>
              </w:rPr>
            </w:pPr>
            <w:r>
              <w:rPr>
                <w:szCs w:val="21"/>
              </w:rPr>
              <w:t>80</w:t>
            </w:r>
          </w:p>
        </w:tc>
        <w:tc>
          <w:tcPr>
            <w:tcW w:w="1071" w:type="pct"/>
            <w:shd w:val="clear" w:color="auto" w:fill="auto"/>
            <w:vAlign w:val="center"/>
          </w:tcPr>
          <w:p w14:paraId="1D5306F9">
            <w:pPr>
              <w:jc w:val="center"/>
              <w:rPr>
                <w:szCs w:val="21"/>
              </w:rPr>
            </w:pPr>
            <w:r>
              <w:rPr>
                <w:rFonts w:hint="eastAsia"/>
                <w:szCs w:val="21"/>
              </w:rPr>
              <w:t>2</w:t>
            </w:r>
            <w:r>
              <w:rPr>
                <w:szCs w:val="21"/>
              </w:rPr>
              <w:t>台</w:t>
            </w:r>
          </w:p>
        </w:tc>
      </w:tr>
      <w:tr w14:paraId="4C30F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00D47815">
            <w:pPr>
              <w:jc w:val="center"/>
              <w:rPr>
                <w:szCs w:val="21"/>
                <w:highlight w:val="yellow"/>
                <w:lang w:bidi="ar"/>
              </w:rPr>
            </w:pPr>
          </w:p>
        </w:tc>
        <w:tc>
          <w:tcPr>
            <w:tcW w:w="677" w:type="pct"/>
            <w:vMerge w:val="continue"/>
            <w:shd w:val="clear" w:color="auto" w:fill="auto"/>
            <w:vAlign w:val="center"/>
          </w:tcPr>
          <w:p w14:paraId="608AFFCF">
            <w:pPr>
              <w:jc w:val="center"/>
              <w:rPr>
                <w:szCs w:val="21"/>
                <w:highlight w:val="yellow"/>
                <w:lang w:bidi="ar"/>
              </w:rPr>
            </w:pPr>
          </w:p>
        </w:tc>
        <w:tc>
          <w:tcPr>
            <w:tcW w:w="949" w:type="pct"/>
            <w:shd w:val="clear" w:color="auto" w:fill="auto"/>
            <w:noWrap/>
            <w:vAlign w:val="center"/>
          </w:tcPr>
          <w:p w14:paraId="3A05DD5B">
            <w:pPr>
              <w:jc w:val="center"/>
              <w:rPr>
                <w:szCs w:val="21"/>
                <w:highlight w:val="yellow"/>
                <w:lang w:bidi="ar"/>
              </w:rPr>
            </w:pPr>
            <w:r>
              <w:rPr>
                <w:szCs w:val="21"/>
              </w:rPr>
              <w:t>推土机</w:t>
            </w:r>
          </w:p>
        </w:tc>
        <w:tc>
          <w:tcPr>
            <w:tcW w:w="813" w:type="pct"/>
            <w:shd w:val="clear" w:color="auto" w:fill="auto"/>
            <w:noWrap/>
            <w:vAlign w:val="center"/>
          </w:tcPr>
          <w:p w14:paraId="5502BFFC">
            <w:pPr>
              <w:jc w:val="center"/>
              <w:rPr>
                <w:szCs w:val="21"/>
                <w:highlight w:val="yellow"/>
                <w:lang w:bidi="ar"/>
              </w:rPr>
            </w:pPr>
            <w:r>
              <w:rPr>
                <w:szCs w:val="21"/>
                <w:lang w:bidi="ar"/>
              </w:rPr>
              <w:t>流动不稳定源</w:t>
            </w:r>
          </w:p>
        </w:tc>
        <w:tc>
          <w:tcPr>
            <w:tcW w:w="1152" w:type="pct"/>
            <w:shd w:val="clear" w:color="auto" w:fill="auto"/>
            <w:noWrap/>
            <w:vAlign w:val="center"/>
          </w:tcPr>
          <w:p w14:paraId="76B08DD7">
            <w:pPr>
              <w:jc w:val="center"/>
              <w:rPr>
                <w:szCs w:val="21"/>
                <w:highlight w:val="yellow"/>
                <w:lang w:bidi="ar"/>
              </w:rPr>
            </w:pPr>
            <w:r>
              <w:rPr>
                <w:szCs w:val="21"/>
              </w:rPr>
              <w:t>83</w:t>
            </w:r>
          </w:p>
        </w:tc>
        <w:tc>
          <w:tcPr>
            <w:tcW w:w="1071" w:type="pct"/>
            <w:shd w:val="clear" w:color="auto" w:fill="auto"/>
            <w:vAlign w:val="center"/>
          </w:tcPr>
          <w:p w14:paraId="23863643">
            <w:pPr>
              <w:jc w:val="center"/>
              <w:rPr>
                <w:szCs w:val="21"/>
              </w:rPr>
            </w:pPr>
            <w:r>
              <w:rPr>
                <w:rFonts w:hint="eastAsia"/>
                <w:szCs w:val="21"/>
              </w:rPr>
              <w:t>2</w:t>
            </w:r>
            <w:r>
              <w:rPr>
                <w:szCs w:val="21"/>
              </w:rPr>
              <w:t>台</w:t>
            </w:r>
          </w:p>
        </w:tc>
      </w:tr>
      <w:tr w14:paraId="017F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74C21A20">
            <w:pPr>
              <w:jc w:val="center"/>
              <w:rPr>
                <w:szCs w:val="21"/>
                <w:highlight w:val="yellow"/>
                <w:lang w:bidi="ar"/>
              </w:rPr>
            </w:pPr>
          </w:p>
        </w:tc>
        <w:tc>
          <w:tcPr>
            <w:tcW w:w="677" w:type="pct"/>
            <w:vMerge w:val="continue"/>
            <w:shd w:val="clear" w:color="auto" w:fill="auto"/>
            <w:vAlign w:val="center"/>
          </w:tcPr>
          <w:p w14:paraId="7625BCC6">
            <w:pPr>
              <w:jc w:val="center"/>
              <w:rPr>
                <w:szCs w:val="21"/>
                <w:highlight w:val="yellow"/>
                <w:lang w:bidi="ar"/>
              </w:rPr>
            </w:pPr>
          </w:p>
        </w:tc>
        <w:tc>
          <w:tcPr>
            <w:tcW w:w="949" w:type="pct"/>
            <w:shd w:val="clear" w:color="auto" w:fill="auto"/>
            <w:noWrap/>
            <w:vAlign w:val="center"/>
          </w:tcPr>
          <w:p w14:paraId="34C2CF54">
            <w:pPr>
              <w:jc w:val="center"/>
              <w:rPr>
                <w:szCs w:val="21"/>
                <w:highlight w:val="yellow"/>
                <w:lang w:bidi="ar"/>
              </w:rPr>
            </w:pPr>
            <w:r>
              <w:rPr>
                <w:szCs w:val="21"/>
              </w:rPr>
              <w:t>挖掘机</w:t>
            </w:r>
          </w:p>
        </w:tc>
        <w:tc>
          <w:tcPr>
            <w:tcW w:w="813" w:type="pct"/>
            <w:shd w:val="clear" w:color="auto" w:fill="auto"/>
            <w:noWrap/>
            <w:vAlign w:val="center"/>
          </w:tcPr>
          <w:p w14:paraId="2E3A4FCC">
            <w:pPr>
              <w:jc w:val="center"/>
              <w:rPr>
                <w:szCs w:val="21"/>
                <w:highlight w:val="yellow"/>
                <w:lang w:bidi="ar"/>
              </w:rPr>
            </w:pPr>
            <w:r>
              <w:rPr>
                <w:szCs w:val="21"/>
                <w:lang w:bidi="ar"/>
              </w:rPr>
              <w:t>流动不稳定源</w:t>
            </w:r>
          </w:p>
        </w:tc>
        <w:tc>
          <w:tcPr>
            <w:tcW w:w="1152" w:type="pct"/>
            <w:shd w:val="clear" w:color="auto" w:fill="auto"/>
            <w:noWrap/>
            <w:vAlign w:val="center"/>
          </w:tcPr>
          <w:p w14:paraId="546DD5F6">
            <w:pPr>
              <w:jc w:val="center"/>
              <w:rPr>
                <w:szCs w:val="21"/>
                <w:highlight w:val="yellow"/>
                <w:lang w:bidi="ar"/>
              </w:rPr>
            </w:pPr>
            <w:r>
              <w:rPr>
                <w:szCs w:val="21"/>
              </w:rPr>
              <w:t>82</w:t>
            </w:r>
          </w:p>
        </w:tc>
        <w:tc>
          <w:tcPr>
            <w:tcW w:w="1071" w:type="pct"/>
            <w:shd w:val="clear" w:color="auto" w:fill="auto"/>
            <w:vAlign w:val="center"/>
          </w:tcPr>
          <w:p w14:paraId="076C093D">
            <w:pPr>
              <w:jc w:val="center"/>
              <w:rPr>
                <w:szCs w:val="21"/>
              </w:rPr>
            </w:pPr>
            <w:r>
              <w:rPr>
                <w:rFonts w:hint="eastAsia"/>
                <w:szCs w:val="21"/>
              </w:rPr>
              <w:t>1</w:t>
            </w:r>
            <w:r>
              <w:rPr>
                <w:szCs w:val="21"/>
              </w:rPr>
              <w:t>台</w:t>
            </w:r>
          </w:p>
        </w:tc>
      </w:tr>
      <w:tr w14:paraId="16F5E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restart"/>
            <w:shd w:val="clear" w:color="auto" w:fill="auto"/>
            <w:noWrap/>
            <w:vAlign w:val="center"/>
          </w:tcPr>
          <w:p w14:paraId="0230316B">
            <w:pPr>
              <w:jc w:val="center"/>
              <w:rPr>
                <w:szCs w:val="21"/>
                <w:lang w:bidi="ar"/>
              </w:rPr>
            </w:pPr>
            <w:r>
              <w:rPr>
                <w:rFonts w:hint="eastAsia"/>
                <w:szCs w:val="21"/>
                <w:lang w:bidi="ar"/>
              </w:rPr>
              <w:t>2</w:t>
            </w:r>
          </w:p>
        </w:tc>
        <w:tc>
          <w:tcPr>
            <w:tcW w:w="677" w:type="pct"/>
            <w:vMerge w:val="restart"/>
            <w:shd w:val="clear" w:color="auto" w:fill="auto"/>
            <w:vAlign w:val="center"/>
          </w:tcPr>
          <w:p w14:paraId="2ABD8400">
            <w:pPr>
              <w:jc w:val="center"/>
              <w:rPr>
                <w:szCs w:val="21"/>
                <w:highlight w:val="yellow"/>
                <w:lang w:bidi="ar"/>
              </w:rPr>
            </w:pPr>
            <w:r>
              <w:rPr>
                <w:szCs w:val="21"/>
                <w:lang w:bidi="ar"/>
              </w:rPr>
              <w:t>路面施工</w:t>
            </w:r>
          </w:p>
        </w:tc>
        <w:tc>
          <w:tcPr>
            <w:tcW w:w="949" w:type="pct"/>
            <w:shd w:val="clear" w:color="auto" w:fill="auto"/>
            <w:noWrap/>
            <w:vAlign w:val="center"/>
          </w:tcPr>
          <w:p w14:paraId="51A82B07">
            <w:pPr>
              <w:jc w:val="center"/>
              <w:rPr>
                <w:szCs w:val="21"/>
              </w:rPr>
            </w:pPr>
            <w:r>
              <w:rPr>
                <w:szCs w:val="21"/>
              </w:rPr>
              <w:t>装载机</w:t>
            </w:r>
          </w:p>
        </w:tc>
        <w:tc>
          <w:tcPr>
            <w:tcW w:w="813" w:type="pct"/>
            <w:shd w:val="clear" w:color="auto" w:fill="auto"/>
            <w:noWrap/>
            <w:vAlign w:val="center"/>
          </w:tcPr>
          <w:p w14:paraId="17477530">
            <w:pPr>
              <w:jc w:val="center"/>
              <w:rPr>
                <w:szCs w:val="21"/>
                <w:lang w:bidi="ar"/>
              </w:rPr>
            </w:pPr>
            <w:r>
              <w:rPr>
                <w:szCs w:val="21"/>
                <w:lang w:bidi="ar"/>
              </w:rPr>
              <w:t>流动不稳定源</w:t>
            </w:r>
          </w:p>
        </w:tc>
        <w:tc>
          <w:tcPr>
            <w:tcW w:w="1152" w:type="pct"/>
            <w:shd w:val="clear" w:color="auto" w:fill="auto"/>
            <w:noWrap/>
            <w:vAlign w:val="center"/>
          </w:tcPr>
          <w:p w14:paraId="52D8A84C">
            <w:pPr>
              <w:jc w:val="center"/>
              <w:rPr>
                <w:szCs w:val="21"/>
              </w:rPr>
            </w:pPr>
            <w:r>
              <w:rPr>
                <w:szCs w:val="21"/>
              </w:rPr>
              <w:t>90</w:t>
            </w:r>
          </w:p>
        </w:tc>
        <w:tc>
          <w:tcPr>
            <w:tcW w:w="1071" w:type="pct"/>
            <w:shd w:val="clear" w:color="auto" w:fill="auto"/>
            <w:vAlign w:val="center"/>
          </w:tcPr>
          <w:p w14:paraId="3B277E8F">
            <w:pPr>
              <w:jc w:val="center"/>
              <w:rPr>
                <w:szCs w:val="21"/>
              </w:rPr>
            </w:pPr>
            <w:r>
              <w:rPr>
                <w:rFonts w:hint="eastAsia"/>
                <w:szCs w:val="21"/>
              </w:rPr>
              <w:t>2</w:t>
            </w:r>
            <w:r>
              <w:rPr>
                <w:szCs w:val="21"/>
              </w:rPr>
              <w:t>台</w:t>
            </w:r>
          </w:p>
        </w:tc>
      </w:tr>
      <w:tr w14:paraId="32A4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2B95266A">
            <w:pPr>
              <w:jc w:val="center"/>
              <w:rPr>
                <w:szCs w:val="21"/>
                <w:lang w:bidi="ar"/>
              </w:rPr>
            </w:pPr>
          </w:p>
        </w:tc>
        <w:tc>
          <w:tcPr>
            <w:tcW w:w="677" w:type="pct"/>
            <w:vMerge w:val="continue"/>
            <w:shd w:val="clear" w:color="auto" w:fill="auto"/>
            <w:vAlign w:val="center"/>
          </w:tcPr>
          <w:p w14:paraId="58B53B8F">
            <w:pPr>
              <w:jc w:val="center"/>
              <w:rPr>
                <w:szCs w:val="21"/>
                <w:highlight w:val="yellow"/>
                <w:lang w:bidi="ar"/>
              </w:rPr>
            </w:pPr>
          </w:p>
        </w:tc>
        <w:tc>
          <w:tcPr>
            <w:tcW w:w="949" w:type="pct"/>
            <w:shd w:val="clear" w:color="auto" w:fill="auto"/>
            <w:noWrap/>
            <w:vAlign w:val="center"/>
          </w:tcPr>
          <w:p w14:paraId="4297FE7D">
            <w:pPr>
              <w:jc w:val="center"/>
              <w:rPr>
                <w:szCs w:val="21"/>
              </w:rPr>
            </w:pPr>
            <w:r>
              <w:rPr>
                <w:szCs w:val="21"/>
              </w:rPr>
              <w:t>平地机</w:t>
            </w:r>
          </w:p>
        </w:tc>
        <w:tc>
          <w:tcPr>
            <w:tcW w:w="813" w:type="pct"/>
            <w:shd w:val="clear" w:color="auto" w:fill="auto"/>
            <w:noWrap/>
            <w:vAlign w:val="center"/>
          </w:tcPr>
          <w:p w14:paraId="797DC9E6">
            <w:pPr>
              <w:jc w:val="center"/>
              <w:rPr>
                <w:szCs w:val="21"/>
                <w:lang w:bidi="ar"/>
              </w:rPr>
            </w:pPr>
            <w:r>
              <w:rPr>
                <w:szCs w:val="21"/>
                <w:lang w:bidi="ar"/>
              </w:rPr>
              <w:t>流动不稳定源</w:t>
            </w:r>
          </w:p>
        </w:tc>
        <w:tc>
          <w:tcPr>
            <w:tcW w:w="1152" w:type="pct"/>
            <w:shd w:val="clear" w:color="auto" w:fill="auto"/>
            <w:noWrap/>
            <w:vAlign w:val="center"/>
          </w:tcPr>
          <w:p w14:paraId="5DA06D44">
            <w:pPr>
              <w:jc w:val="center"/>
              <w:rPr>
                <w:szCs w:val="21"/>
              </w:rPr>
            </w:pPr>
            <w:r>
              <w:rPr>
                <w:szCs w:val="21"/>
              </w:rPr>
              <w:t>90</w:t>
            </w:r>
          </w:p>
        </w:tc>
        <w:tc>
          <w:tcPr>
            <w:tcW w:w="1071" w:type="pct"/>
            <w:shd w:val="clear" w:color="auto" w:fill="auto"/>
            <w:vAlign w:val="center"/>
          </w:tcPr>
          <w:p w14:paraId="5A1AD8E6">
            <w:pPr>
              <w:jc w:val="center"/>
              <w:rPr>
                <w:szCs w:val="21"/>
              </w:rPr>
            </w:pPr>
            <w:r>
              <w:rPr>
                <w:rFonts w:hint="eastAsia"/>
                <w:szCs w:val="21"/>
              </w:rPr>
              <w:t>2</w:t>
            </w:r>
            <w:r>
              <w:rPr>
                <w:szCs w:val="21"/>
              </w:rPr>
              <w:t>台</w:t>
            </w:r>
          </w:p>
        </w:tc>
      </w:tr>
      <w:tr w14:paraId="7EB4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3583B669">
            <w:pPr>
              <w:jc w:val="center"/>
              <w:rPr>
                <w:szCs w:val="21"/>
                <w:lang w:bidi="ar"/>
              </w:rPr>
            </w:pPr>
          </w:p>
        </w:tc>
        <w:tc>
          <w:tcPr>
            <w:tcW w:w="677" w:type="pct"/>
            <w:vMerge w:val="continue"/>
            <w:shd w:val="clear" w:color="auto" w:fill="auto"/>
            <w:vAlign w:val="center"/>
          </w:tcPr>
          <w:p w14:paraId="56CCCB5D">
            <w:pPr>
              <w:jc w:val="center"/>
              <w:rPr>
                <w:szCs w:val="21"/>
                <w:highlight w:val="yellow"/>
                <w:lang w:bidi="ar"/>
              </w:rPr>
            </w:pPr>
          </w:p>
        </w:tc>
        <w:tc>
          <w:tcPr>
            <w:tcW w:w="949" w:type="pct"/>
            <w:shd w:val="clear" w:color="auto" w:fill="auto"/>
            <w:noWrap/>
            <w:vAlign w:val="center"/>
          </w:tcPr>
          <w:p w14:paraId="4E4DB947">
            <w:pPr>
              <w:jc w:val="center"/>
              <w:rPr>
                <w:szCs w:val="21"/>
              </w:rPr>
            </w:pPr>
            <w:r>
              <w:rPr>
                <w:szCs w:val="21"/>
                <w:lang w:bidi="ar"/>
              </w:rPr>
              <w:t>沥青摊铺机</w:t>
            </w:r>
          </w:p>
        </w:tc>
        <w:tc>
          <w:tcPr>
            <w:tcW w:w="813" w:type="pct"/>
            <w:shd w:val="clear" w:color="auto" w:fill="auto"/>
            <w:noWrap/>
            <w:vAlign w:val="center"/>
          </w:tcPr>
          <w:p w14:paraId="268E2E24">
            <w:pPr>
              <w:jc w:val="center"/>
              <w:rPr>
                <w:szCs w:val="21"/>
                <w:lang w:bidi="ar"/>
              </w:rPr>
            </w:pPr>
            <w:r>
              <w:rPr>
                <w:szCs w:val="21"/>
                <w:lang w:bidi="ar"/>
              </w:rPr>
              <w:t>流动不稳态源</w:t>
            </w:r>
          </w:p>
        </w:tc>
        <w:tc>
          <w:tcPr>
            <w:tcW w:w="1152" w:type="pct"/>
            <w:shd w:val="clear" w:color="auto" w:fill="auto"/>
            <w:noWrap/>
            <w:vAlign w:val="center"/>
          </w:tcPr>
          <w:p w14:paraId="39EC34A2">
            <w:pPr>
              <w:jc w:val="center"/>
              <w:rPr>
                <w:szCs w:val="21"/>
              </w:rPr>
            </w:pPr>
            <w:r>
              <w:rPr>
                <w:szCs w:val="21"/>
                <w:lang w:bidi="ar"/>
              </w:rPr>
              <w:t>87</w:t>
            </w:r>
          </w:p>
        </w:tc>
        <w:tc>
          <w:tcPr>
            <w:tcW w:w="1071" w:type="pct"/>
            <w:shd w:val="clear" w:color="auto" w:fill="auto"/>
            <w:vAlign w:val="center"/>
          </w:tcPr>
          <w:p w14:paraId="53D0A273">
            <w:pPr>
              <w:jc w:val="center"/>
              <w:rPr>
                <w:szCs w:val="21"/>
              </w:rPr>
            </w:pPr>
            <w:r>
              <w:rPr>
                <w:rFonts w:hint="eastAsia"/>
                <w:szCs w:val="21"/>
              </w:rPr>
              <w:t>1</w:t>
            </w:r>
            <w:r>
              <w:rPr>
                <w:szCs w:val="21"/>
              </w:rPr>
              <w:t>台</w:t>
            </w:r>
          </w:p>
        </w:tc>
      </w:tr>
      <w:tr w14:paraId="533B3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76F4502C">
            <w:pPr>
              <w:jc w:val="center"/>
              <w:rPr>
                <w:szCs w:val="21"/>
                <w:lang w:bidi="ar"/>
              </w:rPr>
            </w:pPr>
          </w:p>
        </w:tc>
        <w:tc>
          <w:tcPr>
            <w:tcW w:w="677" w:type="pct"/>
            <w:vMerge w:val="continue"/>
            <w:shd w:val="clear" w:color="auto" w:fill="auto"/>
            <w:vAlign w:val="center"/>
          </w:tcPr>
          <w:p w14:paraId="6C4E8AC0">
            <w:pPr>
              <w:jc w:val="center"/>
              <w:rPr>
                <w:szCs w:val="21"/>
                <w:highlight w:val="yellow"/>
                <w:lang w:bidi="ar"/>
              </w:rPr>
            </w:pPr>
          </w:p>
        </w:tc>
        <w:tc>
          <w:tcPr>
            <w:tcW w:w="949" w:type="pct"/>
            <w:shd w:val="clear" w:color="auto" w:fill="auto"/>
            <w:noWrap/>
            <w:vAlign w:val="center"/>
          </w:tcPr>
          <w:p w14:paraId="1010CDB0">
            <w:pPr>
              <w:jc w:val="center"/>
              <w:rPr>
                <w:szCs w:val="21"/>
                <w:lang w:bidi="ar"/>
              </w:rPr>
            </w:pPr>
            <w:r>
              <w:rPr>
                <w:szCs w:val="21"/>
                <w:lang w:bidi="ar"/>
              </w:rPr>
              <w:t>压路机</w:t>
            </w:r>
          </w:p>
        </w:tc>
        <w:tc>
          <w:tcPr>
            <w:tcW w:w="813" w:type="pct"/>
            <w:shd w:val="clear" w:color="auto" w:fill="auto"/>
            <w:noWrap/>
            <w:vAlign w:val="center"/>
          </w:tcPr>
          <w:p w14:paraId="20BA59E9">
            <w:pPr>
              <w:jc w:val="center"/>
              <w:rPr>
                <w:szCs w:val="21"/>
                <w:lang w:bidi="ar"/>
              </w:rPr>
            </w:pPr>
            <w:r>
              <w:rPr>
                <w:szCs w:val="21"/>
                <w:lang w:bidi="ar"/>
              </w:rPr>
              <w:t>流动不稳定源</w:t>
            </w:r>
          </w:p>
        </w:tc>
        <w:tc>
          <w:tcPr>
            <w:tcW w:w="1152" w:type="pct"/>
            <w:shd w:val="clear" w:color="auto" w:fill="auto"/>
            <w:noWrap/>
            <w:vAlign w:val="center"/>
          </w:tcPr>
          <w:p w14:paraId="4DBEDB45">
            <w:pPr>
              <w:jc w:val="center"/>
              <w:rPr>
                <w:szCs w:val="21"/>
                <w:lang w:bidi="ar"/>
              </w:rPr>
            </w:pPr>
            <w:r>
              <w:rPr>
                <w:rFonts w:hint="eastAsia"/>
                <w:szCs w:val="21"/>
                <w:lang w:bidi="ar"/>
              </w:rPr>
              <w:t>80</w:t>
            </w:r>
          </w:p>
        </w:tc>
        <w:tc>
          <w:tcPr>
            <w:tcW w:w="1071" w:type="pct"/>
            <w:shd w:val="clear" w:color="auto" w:fill="auto"/>
            <w:vAlign w:val="center"/>
          </w:tcPr>
          <w:p w14:paraId="205873CD">
            <w:pPr>
              <w:jc w:val="center"/>
              <w:rPr>
                <w:szCs w:val="21"/>
              </w:rPr>
            </w:pPr>
            <w:r>
              <w:rPr>
                <w:rFonts w:hint="eastAsia"/>
                <w:szCs w:val="21"/>
              </w:rPr>
              <w:t>1</w:t>
            </w:r>
            <w:r>
              <w:rPr>
                <w:szCs w:val="21"/>
              </w:rPr>
              <w:t>台</w:t>
            </w:r>
          </w:p>
        </w:tc>
      </w:tr>
      <w:tr w14:paraId="082EF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shd w:val="clear" w:color="auto" w:fill="auto"/>
            <w:noWrap/>
            <w:vAlign w:val="center"/>
          </w:tcPr>
          <w:p w14:paraId="28D234A0">
            <w:pPr>
              <w:jc w:val="center"/>
              <w:rPr>
                <w:szCs w:val="21"/>
                <w:lang w:bidi="ar"/>
              </w:rPr>
            </w:pPr>
          </w:p>
        </w:tc>
        <w:tc>
          <w:tcPr>
            <w:tcW w:w="677" w:type="pct"/>
            <w:vMerge w:val="continue"/>
            <w:shd w:val="clear" w:color="auto" w:fill="auto"/>
            <w:vAlign w:val="center"/>
          </w:tcPr>
          <w:p w14:paraId="6E881DF0">
            <w:pPr>
              <w:jc w:val="center"/>
              <w:rPr>
                <w:szCs w:val="21"/>
                <w:highlight w:val="yellow"/>
                <w:lang w:bidi="ar"/>
              </w:rPr>
            </w:pPr>
          </w:p>
        </w:tc>
        <w:tc>
          <w:tcPr>
            <w:tcW w:w="949" w:type="pct"/>
            <w:shd w:val="clear" w:color="auto" w:fill="auto"/>
            <w:noWrap/>
            <w:vAlign w:val="center"/>
          </w:tcPr>
          <w:p w14:paraId="77E69771">
            <w:pPr>
              <w:jc w:val="center"/>
              <w:rPr>
                <w:szCs w:val="21"/>
                <w:lang w:bidi="ar"/>
              </w:rPr>
            </w:pPr>
            <w:r>
              <w:rPr>
                <w:rFonts w:hint="eastAsia"/>
                <w:szCs w:val="21"/>
                <w:lang w:bidi="ar"/>
              </w:rPr>
              <w:t>振动夯锤</w:t>
            </w:r>
          </w:p>
        </w:tc>
        <w:tc>
          <w:tcPr>
            <w:tcW w:w="813" w:type="pct"/>
            <w:shd w:val="clear" w:color="auto" w:fill="auto"/>
            <w:noWrap/>
            <w:vAlign w:val="center"/>
          </w:tcPr>
          <w:p w14:paraId="7326E642">
            <w:pPr>
              <w:jc w:val="center"/>
              <w:rPr>
                <w:szCs w:val="21"/>
                <w:lang w:bidi="ar"/>
              </w:rPr>
            </w:pPr>
            <w:r>
              <w:rPr>
                <w:szCs w:val="21"/>
                <w:lang w:bidi="ar"/>
              </w:rPr>
              <w:t>流动不稳态源</w:t>
            </w:r>
          </w:p>
        </w:tc>
        <w:tc>
          <w:tcPr>
            <w:tcW w:w="1152" w:type="pct"/>
            <w:shd w:val="clear" w:color="auto" w:fill="auto"/>
            <w:noWrap/>
            <w:vAlign w:val="center"/>
          </w:tcPr>
          <w:p w14:paraId="373BFC7A">
            <w:pPr>
              <w:jc w:val="center"/>
              <w:rPr>
                <w:szCs w:val="21"/>
                <w:lang w:bidi="ar"/>
              </w:rPr>
            </w:pPr>
            <w:r>
              <w:rPr>
                <w:rFonts w:hint="eastAsia"/>
                <w:szCs w:val="21"/>
                <w:lang w:bidi="ar"/>
              </w:rPr>
              <w:t>92</w:t>
            </w:r>
          </w:p>
        </w:tc>
        <w:tc>
          <w:tcPr>
            <w:tcW w:w="1071" w:type="pct"/>
            <w:shd w:val="clear" w:color="auto" w:fill="auto"/>
            <w:vAlign w:val="center"/>
          </w:tcPr>
          <w:p w14:paraId="75B09B84">
            <w:pPr>
              <w:jc w:val="center"/>
              <w:rPr>
                <w:szCs w:val="21"/>
              </w:rPr>
            </w:pPr>
            <w:r>
              <w:rPr>
                <w:rFonts w:hint="eastAsia"/>
                <w:szCs w:val="21"/>
              </w:rPr>
              <w:t>2</w:t>
            </w:r>
            <w:r>
              <w:rPr>
                <w:szCs w:val="21"/>
              </w:rPr>
              <w:t>台</w:t>
            </w:r>
          </w:p>
        </w:tc>
      </w:tr>
      <w:tr w14:paraId="6EFF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8" w:type="pct"/>
            <w:vMerge w:val="continue"/>
            <w:tcBorders>
              <w:bottom w:val="single" w:color="auto" w:sz="18" w:space="0"/>
            </w:tcBorders>
            <w:shd w:val="clear" w:color="auto" w:fill="auto"/>
            <w:noWrap/>
            <w:vAlign w:val="center"/>
          </w:tcPr>
          <w:p w14:paraId="549BB12D">
            <w:pPr>
              <w:jc w:val="center"/>
              <w:rPr>
                <w:szCs w:val="21"/>
                <w:lang w:bidi="ar"/>
              </w:rPr>
            </w:pPr>
          </w:p>
        </w:tc>
        <w:tc>
          <w:tcPr>
            <w:tcW w:w="677" w:type="pct"/>
            <w:vMerge w:val="continue"/>
            <w:tcBorders>
              <w:bottom w:val="single" w:color="auto" w:sz="18" w:space="0"/>
            </w:tcBorders>
            <w:shd w:val="clear" w:color="auto" w:fill="auto"/>
            <w:vAlign w:val="center"/>
          </w:tcPr>
          <w:p w14:paraId="35B3E231">
            <w:pPr>
              <w:jc w:val="center"/>
              <w:rPr>
                <w:szCs w:val="21"/>
                <w:highlight w:val="yellow"/>
                <w:lang w:bidi="ar"/>
              </w:rPr>
            </w:pPr>
          </w:p>
        </w:tc>
        <w:tc>
          <w:tcPr>
            <w:tcW w:w="949" w:type="pct"/>
            <w:tcBorders>
              <w:bottom w:val="single" w:color="auto" w:sz="18" w:space="0"/>
            </w:tcBorders>
            <w:shd w:val="clear" w:color="auto" w:fill="auto"/>
            <w:noWrap/>
            <w:vAlign w:val="center"/>
          </w:tcPr>
          <w:p w14:paraId="7BC94512">
            <w:pPr>
              <w:jc w:val="center"/>
              <w:rPr>
                <w:szCs w:val="21"/>
                <w:lang w:bidi="ar"/>
              </w:rPr>
            </w:pPr>
            <w:r>
              <w:rPr>
                <w:rFonts w:hint="eastAsia"/>
                <w:szCs w:val="21"/>
                <w:lang w:bidi="ar"/>
              </w:rPr>
              <w:t>混凝土输送泵</w:t>
            </w:r>
          </w:p>
        </w:tc>
        <w:tc>
          <w:tcPr>
            <w:tcW w:w="813" w:type="pct"/>
            <w:tcBorders>
              <w:bottom w:val="single" w:color="auto" w:sz="18" w:space="0"/>
            </w:tcBorders>
            <w:shd w:val="clear" w:color="auto" w:fill="auto"/>
            <w:noWrap/>
            <w:vAlign w:val="center"/>
          </w:tcPr>
          <w:p w14:paraId="78310C6D">
            <w:pPr>
              <w:jc w:val="center"/>
              <w:rPr>
                <w:szCs w:val="21"/>
                <w:lang w:bidi="ar"/>
              </w:rPr>
            </w:pPr>
            <w:r>
              <w:rPr>
                <w:szCs w:val="21"/>
                <w:lang w:bidi="ar"/>
              </w:rPr>
              <w:t>流动不稳定源</w:t>
            </w:r>
          </w:p>
        </w:tc>
        <w:tc>
          <w:tcPr>
            <w:tcW w:w="1152" w:type="pct"/>
            <w:tcBorders>
              <w:bottom w:val="single" w:color="auto" w:sz="18" w:space="0"/>
            </w:tcBorders>
            <w:shd w:val="clear" w:color="auto" w:fill="auto"/>
            <w:noWrap/>
            <w:vAlign w:val="center"/>
          </w:tcPr>
          <w:p w14:paraId="0A6CEFAE">
            <w:pPr>
              <w:jc w:val="center"/>
              <w:rPr>
                <w:szCs w:val="21"/>
                <w:lang w:bidi="ar"/>
              </w:rPr>
            </w:pPr>
            <w:r>
              <w:rPr>
                <w:rFonts w:hint="eastAsia"/>
                <w:szCs w:val="21"/>
                <w:lang w:bidi="ar"/>
              </w:rPr>
              <w:t>88</w:t>
            </w:r>
          </w:p>
        </w:tc>
        <w:tc>
          <w:tcPr>
            <w:tcW w:w="1071" w:type="pct"/>
            <w:tcBorders>
              <w:bottom w:val="single" w:color="auto" w:sz="18" w:space="0"/>
            </w:tcBorders>
            <w:shd w:val="clear" w:color="auto" w:fill="auto"/>
            <w:vAlign w:val="center"/>
          </w:tcPr>
          <w:p w14:paraId="7094C573">
            <w:pPr>
              <w:jc w:val="center"/>
              <w:rPr>
                <w:szCs w:val="21"/>
              </w:rPr>
            </w:pPr>
            <w:r>
              <w:rPr>
                <w:rFonts w:hint="eastAsia"/>
                <w:szCs w:val="21"/>
              </w:rPr>
              <w:t>1</w:t>
            </w:r>
            <w:r>
              <w:rPr>
                <w:szCs w:val="21"/>
              </w:rPr>
              <w:t>台</w:t>
            </w:r>
          </w:p>
        </w:tc>
      </w:tr>
    </w:tbl>
    <w:p w14:paraId="68013818">
      <w:pPr>
        <w:spacing w:before="120" w:beforeLines="50" w:line="360" w:lineRule="auto"/>
        <w:jc w:val="center"/>
        <w:rPr>
          <w:b/>
          <w:bCs/>
          <w:kern w:val="0"/>
          <w:szCs w:val="21"/>
        </w:rPr>
      </w:pPr>
    </w:p>
    <w:p w14:paraId="37C82189">
      <w:pPr>
        <w:spacing w:line="360" w:lineRule="auto"/>
        <w:ind w:firstLine="482" w:firstLineChars="200"/>
        <w:rPr>
          <w:b/>
          <w:sz w:val="24"/>
          <w:lang w:bidi="ar"/>
        </w:rPr>
      </w:pPr>
      <w:r>
        <w:rPr>
          <w:rFonts w:hint="eastAsia"/>
          <w:b/>
          <w:sz w:val="24"/>
          <w:lang w:bidi="ar"/>
        </w:rPr>
        <w:t>4.1.2</w:t>
      </w:r>
      <w:r>
        <w:rPr>
          <w:b/>
          <w:sz w:val="24"/>
          <w:lang w:bidi="ar"/>
        </w:rPr>
        <w:t>施工噪声预测影响分析</w:t>
      </w:r>
    </w:p>
    <w:p w14:paraId="5BA41270">
      <w:pPr>
        <w:spacing w:line="360" w:lineRule="auto"/>
        <w:ind w:firstLine="482" w:firstLineChars="200"/>
        <w:rPr>
          <w:b/>
          <w:bCs/>
          <w:sz w:val="24"/>
          <w:lang w:bidi="ar"/>
        </w:rPr>
      </w:pPr>
      <w:r>
        <w:rPr>
          <w:rFonts w:hint="eastAsia" w:ascii="宋体" w:hAnsi="宋体" w:cs="宋体"/>
          <w:b/>
          <w:bCs/>
          <w:sz w:val="24"/>
          <w:lang w:bidi="ar"/>
        </w:rPr>
        <w:t>①</w:t>
      </w:r>
      <w:r>
        <w:rPr>
          <w:b/>
          <w:bCs/>
          <w:sz w:val="24"/>
          <w:lang w:bidi="ar"/>
        </w:rPr>
        <w:t>施工期噪声评价标准</w:t>
      </w:r>
    </w:p>
    <w:p w14:paraId="73C3BEF6">
      <w:pPr>
        <w:spacing w:line="360" w:lineRule="auto"/>
        <w:ind w:firstLine="480" w:firstLineChars="200"/>
        <w:rPr>
          <w:rFonts w:hint="eastAsia" w:ascii="宋体" w:hAnsi="宋体" w:cs="宋体"/>
          <w:sz w:val="24"/>
          <w:lang w:bidi="ar"/>
        </w:rPr>
      </w:pPr>
      <w:r>
        <w:rPr>
          <w:sz w:val="24"/>
          <w:lang w:bidi="ar"/>
        </w:rPr>
        <w:t>按照道路建设项目环境影响评价规范的规定：公路或道路的施工期噪声影响评价范围为拟建公路或道路两侧周围200m处，施工期的噪声评价标准参照《建筑施工场界环境噪声排放标准》（GB12523-2011）标准。施工过程中场界环境噪声排放限值为昼间70dB(A)、夜间55dB(A)。</w:t>
      </w:r>
    </w:p>
    <w:p w14:paraId="75526186">
      <w:pPr>
        <w:spacing w:line="360" w:lineRule="auto"/>
        <w:ind w:firstLine="482" w:firstLineChars="200"/>
        <w:rPr>
          <w:b/>
          <w:bCs/>
          <w:sz w:val="24"/>
          <w:lang w:bidi="ar"/>
        </w:rPr>
      </w:pPr>
      <w:r>
        <w:rPr>
          <w:rFonts w:hint="eastAsia" w:ascii="宋体" w:hAnsi="宋体" w:cs="宋体"/>
          <w:b/>
          <w:bCs/>
          <w:sz w:val="24"/>
          <w:lang w:bidi="ar"/>
        </w:rPr>
        <w:t>②</w:t>
      </w:r>
      <w:r>
        <w:rPr>
          <w:b/>
          <w:bCs/>
          <w:sz w:val="24"/>
          <w:lang w:bidi="ar"/>
        </w:rPr>
        <w:t>预测模式</w:t>
      </w:r>
    </w:p>
    <w:p w14:paraId="627E8E90">
      <w:pPr>
        <w:spacing w:line="360" w:lineRule="auto"/>
        <w:ind w:firstLine="480" w:firstLineChars="200"/>
        <w:rPr>
          <w:sz w:val="24"/>
        </w:rPr>
      </w:pPr>
      <w:r>
        <w:rPr>
          <w:rFonts w:hint="eastAsia"/>
          <w:sz w:val="24"/>
          <w:lang w:bidi="ar"/>
        </w:rPr>
        <w:t>根据《环境影响评价技术导则一声环境》</w:t>
      </w:r>
      <w:r>
        <w:rPr>
          <w:sz w:val="24"/>
          <w:lang w:bidi="ar"/>
        </w:rPr>
        <w:t>(HJ2.4-2021) 的要求，对于施工期间的噪声源的预测，通常将其视为点源预测计算。根据点声源衰减模式，可以估算出离声源不同距离敏感区的噪声值。预测模式如下：</w:t>
      </w:r>
    </w:p>
    <w:p w14:paraId="420AB34C">
      <w:pPr>
        <w:spacing w:line="360" w:lineRule="auto"/>
        <w:jc w:val="center"/>
        <w:rPr>
          <w:sz w:val="24"/>
        </w:rPr>
      </w:pPr>
      <w:r>
        <w:rPr>
          <w:sz w:val="24"/>
          <w:lang w:bidi="ar"/>
        </w:rPr>
        <w:drawing>
          <wp:inline distT="0" distB="0" distL="0" distR="0">
            <wp:extent cx="2105025" cy="30480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26"/>
                    <a:stretch>
                      <a:fillRect/>
                    </a:stretch>
                  </pic:blipFill>
                  <pic:spPr>
                    <a:xfrm>
                      <a:off x="0" y="0"/>
                      <a:ext cx="2105319" cy="304843"/>
                    </a:xfrm>
                    <a:prstGeom prst="rect">
                      <a:avLst/>
                    </a:prstGeom>
                  </pic:spPr>
                </pic:pic>
              </a:graphicData>
            </a:graphic>
          </wp:inline>
        </w:drawing>
      </w:r>
    </w:p>
    <w:p w14:paraId="7319F607">
      <w:pPr>
        <w:spacing w:line="360" w:lineRule="auto"/>
        <w:ind w:firstLine="480" w:firstLineChars="200"/>
        <w:rPr>
          <w:sz w:val="24"/>
          <w:lang w:bidi="ar"/>
        </w:rPr>
      </w:pPr>
      <w:r>
        <w:rPr>
          <w:rFonts w:hint="eastAsia"/>
          <w:sz w:val="24"/>
          <w:lang w:bidi="ar"/>
        </w:rPr>
        <w:t>式中：</w:t>
      </w:r>
      <w:r>
        <w:rPr>
          <w:sz w:val="24"/>
          <w:lang w:bidi="ar"/>
        </w:rPr>
        <w:t>Lp(r) ——预测点处声压级，dB；</w:t>
      </w:r>
    </w:p>
    <w:p w14:paraId="1122FDF9">
      <w:pPr>
        <w:spacing w:line="360" w:lineRule="auto"/>
        <w:ind w:firstLine="480" w:firstLineChars="200"/>
        <w:rPr>
          <w:sz w:val="24"/>
          <w:lang w:bidi="ar"/>
        </w:rPr>
      </w:pPr>
      <w:r>
        <w:rPr>
          <w:sz w:val="24"/>
          <w:lang w:bidi="ar"/>
        </w:rPr>
        <w:t>Lp(r0) ——参考位置r0处的声压级，dB；</w:t>
      </w:r>
    </w:p>
    <w:p w14:paraId="50C87AB0">
      <w:pPr>
        <w:spacing w:line="360" w:lineRule="auto"/>
        <w:ind w:firstLine="480" w:firstLineChars="200"/>
        <w:rPr>
          <w:sz w:val="24"/>
          <w:lang w:bidi="ar"/>
        </w:rPr>
      </w:pPr>
      <w:r>
        <w:rPr>
          <w:sz w:val="24"/>
          <w:lang w:bidi="ar"/>
        </w:rPr>
        <w:t>r ——预测点距声源的距离；</w:t>
      </w:r>
    </w:p>
    <w:p w14:paraId="3A6E8636">
      <w:pPr>
        <w:spacing w:line="360" w:lineRule="auto"/>
        <w:ind w:firstLine="480" w:firstLineChars="200"/>
        <w:rPr>
          <w:sz w:val="24"/>
        </w:rPr>
      </w:pPr>
      <w:r>
        <w:rPr>
          <w:sz w:val="24"/>
          <w:lang w:bidi="ar"/>
        </w:rPr>
        <w:t>r0——参考位置距声源的距离。</w:t>
      </w:r>
    </w:p>
    <w:p w14:paraId="4A044007">
      <w:pPr>
        <w:spacing w:line="360" w:lineRule="auto"/>
        <w:ind w:firstLine="480" w:firstLineChars="200"/>
        <w:rPr>
          <w:sz w:val="24"/>
        </w:rPr>
      </w:pPr>
      <w:r>
        <w:rPr>
          <w:sz w:val="24"/>
          <w:lang w:bidi="ar"/>
        </w:rPr>
        <w:t>多个噪声源叠加后的总声压级，按下式计算</w:t>
      </w:r>
    </w:p>
    <w:p w14:paraId="38FC2333">
      <w:pPr>
        <w:spacing w:line="360" w:lineRule="auto"/>
        <w:jc w:val="center"/>
        <w:rPr>
          <w:sz w:val="24"/>
        </w:rPr>
      </w:pPr>
      <w:r>
        <w:rPr>
          <w:sz w:val="24"/>
          <w:lang w:bidi="ar"/>
        </w:rPr>
        <w:drawing>
          <wp:inline distT="0" distB="0" distL="0" distR="0">
            <wp:extent cx="2447925" cy="742950"/>
            <wp:effectExtent l="0" t="0" r="0" b="0"/>
            <wp:docPr id="122" name="图片 122" descr="图片包含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图片包含 示意图&#10;&#10;描述已自动生成"/>
                    <pic:cNvPicPr>
                      <a:picLocks noChangeAspect="1"/>
                    </pic:cNvPicPr>
                  </pic:nvPicPr>
                  <pic:blipFill>
                    <a:blip r:embed="rId27"/>
                    <a:stretch>
                      <a:fillRect/>
                    </a:stretch>
                  </pic:blipFill>
                  <pic:spPr>
                    <a:xfrm>
                      <a:off x="0" y="0"/>
                      <a:ext cx="2448267" cy="743054"/>
                    </a:xfrm>
                    <a:prstGeom prst="rect">
                      <a:avLst/>
                    </a:prstGeom>
                  </pic:spPr>
                </pic:pic>
              </a:graphicData>
            </a:graphic>
          </wp:inline>
        </w:drawing>
      </w:r>
      <w:r>
        <w:rPr>
          <w:sz w:val="24"/>
          <w:lang w:bidi="ar"/>
        </w:rPr>
        <w:t xml:space="preserve"> </w:t>
      </w:r>
    </w:p>
    <w:p w14:paraId="2C980A8A">
      <w:pPr>
        <w:spacing w:line="360" w:lineRule="auto"/>
        <w:ind w:firstLine="480" w:firstLineChars="200"/>
        <w:rPr>
          <w:sz w:val="24"/>
        </w:rPr>
      </w:pPr>
      <w:r>
        <w:rPr>
          <w:sz w:val="24"/>
          <w:lang w:bidi="ar"/>
        </w:rPr>
        <w:t>式中：L</w:t>
      </w:r>
      <w:r>
        <w:rPr>
          <w:sz w:val="24"/>
          <w:vertAlign w:val="subscript"/>
          <w:lang w:bidi="ar"/>
        </w:rPr>
        <w:t>pm</w:t>
      </w:r>
      <w:r>
        <w:rPr>
          <w:sz w:val="24"/>
          <w:lang w:bidi="ar"/>
        </w:rPr>
        <w:t>—n个噪声源在第m个预测点产生的总声压级，dB(A)；</w:t>
      </w:r>
    </w:p>
    <w:p w14:paraId="5D76FC78">
      <w:pPr>
        <w:spacing w:line="360" w:lineRule="auto"/>
        <w:ind w:firstLine="1200" w:firstLineChars="500"/>
        <w:rPr>
          <w:sz w:val="24"/>
        </w:rPr>
      </w:pPr>
      <w:r>
        <w:rPr>
          <w:sz w:val="24"/>
          <w:lang w:bidi="ar"/>
        </w:rPr>
        <w:t>L</w:t>
      </w:r>
      <w:r>
        <w:rPr>
          <w:sz w:val="24"/>
          <w:vertAlign w:val="subscript"/>
          <w:lang w:bidi="ar"/>
        </w:rPr>
        <w:t>pmi</w:t>
      </w:r>
      <w:r>
        <w:rPr>
          <w:sz w:val="24"/>
          <w:lang w:bidi="ar"/>
        </w:rPr>
        <w:t>—</w:t>
      </w:r>
      <w:r>
        <w:rPr>
          <w:rFonts w:hint="eastAsia"/>
          <w:sz w:val="24"/>
          <w:lang w:bidi="ar"/>
        </w:rPr>
        <w:t>第</w:t>
      </w:r>
      <w:r>
        <w:rPr>
          <w:sz w:val="24"/>
          <w:lang w:bidi="ar"/>
        </w:rPr>
        <w:t xml:space="preserve"> i 个噪声源在第 m 个预测点产生的声压级，dB(A)。</w:t>
      </w:r>
    </w:p>
    <w:p w14:paraId="508A480D">
      <w:pPr>
        <w:spacing w:line="360" w:lineRule="auto"/>
        <w:ind w:firstLine="480" w:firstLineChars="200"/>
        <w:rPr>
          <w:sz w:val="24"/>
        </w:rPr>
      </w:pPr>
      <w:r>
        <w:rPr>
          <w:rFonts w:hint="eastAsia" w:ascii="宋体" w:hAnsi="宋体" w:cs="宋体"/>
          <w:sz w:val="24"/>
          <w:lang w:bidi="ar"/>
        </w:rPr>
        <w:t>③</w:t>
      </w:r>
      <w:r>
        <w:rPr>
          <w:sz w:val="24"/>
          <w:lang w:bidi="ar"/>
        </w:rPr>
        <w:t>施工期噪声影响预测</w:t>
      </w:r>
    </w:p>
    <w:p w14:paraId="79F7D9F2">
      <w:pPr>
        <w:spacing w:line="360" w:lineRule="auto"/>
        <w:ind w:firstLine="480" w:firstLineChars="200"/>
        <w:rPr>
          <w:sz w:val="24"/>
        </w:rPr>
      </w:pPr>
      <w:r>
        <w:rPr>
          <w:sz w:val="24"/>
          <w:lang w:bidi="ar"/>
        </w:rPr>
        <w:t>由于本项目施工期使用到的机械设备种类较多，这里主要列举6种常用的高噪</w:t>
      </w:r>
      <w:r>
        <w:rPr>
          <w:rFonts w:hint="eastAsia"/>
          <w:sz w:val="24"/>
          <w:lang w:bidi="ar"/>
        </w:rPr>
        <w:t>声</w:t>
      </w:r>
      <w:r>
        <w:rPr>
          <w:sz w:val="24"/>
          <w:lang w:bidi="ar"/>
        </w:rPr>
        <w:t>机械设备由预测模式计算得出单台设备的噪值，详见下表。</w:t>
      </w:r>
    </w:p>
    <w:p w14:paraId="70561914">
      <w:pPr>
        <w:spacing w:before="120" w:beforeLines="50" w:line="360" w:lineRule="auto"/>
        <w:jc w:val="center"/>
        <w:rPr>
          <w:b/>
          <w:bCs/>
          <w:kern w:val="0"/>
          <w:szCs w:val="21"/>
        </w:rPr>
      </w:pPr>
      <w:r>
        <w:rPr>
          <w:rFonts w:hint="eastAsia"/>
          <w:b/>
          <w:bCs/>
          <w:kern w:val="0"/>
          <w:szCs w:val="21"/>
        </w:rPr>
        <w:t>表</w:t>
      </w:r>
      <w:r>
        <w:rPr>
          <w:b/>
          <w:bCs/>
          <w:kern w:val="0"/>
          <w:szCs w:val="21"/>
        </w:rPr>
        <w:t>4.1-2施工期主要施工机械设备噪声级 单位：dB（A）</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737"/>
        <w:gridCol w:w="694"/>
        <w:gridCol w:w="694"/>
        <w:gridCol w:w="696"/>
        <w:gridCol w:w="694"/>
        <w:gridCol w:w="694"/>
        <w:gridCol w:w="696"/>
        <w:gridCol w:w="694"/>
        <w:gridCol w:w="695"/>
        <w:gridCol w:w="697"/>
        <w:gridCol w:w="695"/>
        <w:gridCol w:w="697"/>
      </w:tblGrid>
      <w:tr w14:paraId="0EC79BD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restart"/>
            <w:shd w:val="clear" w:color="auto" w:fill="auto"/>
            <w:vAlign w:val="center"/>
          </w:tcPr>
          <w:p w14:paraId="63068FF8">
            <w:pPr>
              <w:adjustRightInd w:val="0"/>
              <w:snapToGrid w:val="0"/>
              <w:jc w:val="center"/>
              <w:rPr>
                <w:b/>
                <w:bCs/>
                <w:szCs w:val="21"/>
                <w:lang w:bidi="ar"/>
              </w:rPr>
            </w:pPr>
            <w:r>
              <w:rPr>
                <w:b/>
                <w:bCs/>
                <w:szCs w:val="21"/>
                <w:lang w:bidi="ar"/>
              </w:rPr>
              <w:t>施工阶段</w:t>
            </w:r>
          </w:p>
        </w:tc>
        <w:tc>
          <w:tcPr>
            <w:tcW w:w="813" w:type="pct"/>
            <w:vMerge w:val="restart"/>
            <w:shd w:val="clear" w:color="auto" w:fill="auto"/>
            <w:vAlign w:val="center"/>
          </w:tcPr>
          <w:p w14:paraId="08D094C3">
            <w:pPr>
              <w:adjustRightInd w:val="0"/>
              <w:snapToGrid w:val="0"/>
              <w:jc w:val="center"/>
              <w:rPr>
                <w:b/>
                <w:bCs/>
                <w:szCs w:val="21"/>
              </w:rPr>
            </w:pPr>
            <w:r>
              <w:rPr>
                <w:b/>
                <w:bCs/>
                <w:szCs w:val="21"/>
                <w:lang w:bidi="ar"/>
              </w:rPr>
              <w:t>机械</w:t>
            </w:r>
          </w:p>
          <w:p w14:paraId="15F21B12">
            <w:pPr>
              <w:adjustRightInd w:val="0"/>
              <w:snapToGrid w:val="0"/>
              <w:jc w:val="center"/>
              <w:rPr>
                <w:b/>
                <w:bCs/>
                <w:szCs w:val="21"/>
              </w:rPr>
            </w:pPr>
            <w:r>
              <w:rPr>
                <w:b/>
                <w:bCs/>
                <w:szCs w:val="21"/>
                <w:lang w:bidi="ar"/>
              </w:rPr>
              <w:t>名称</w:t>
            </w:r>
          </w:p>
        </w:tc>
        <w:tc>
          <w:tcPr>
            <w:tcW w:w="3579" w:type="pct"/>
            <w:gridSpan w:val="11"/>
            <w:shd w:val="clear" w:color="auto" w:fill="auto"/>
            <w:vAlign w:val="center"/>
          </w:tcPr>
          <w:p w14:paraId="299706D6">
            <w:pPr>
              <w:adjustRightInd w:val="0"/>
              <w:snapToGrid w:val="0"/>
              <w:jc w:val="center"/>
              <w:rPr>
                <w:b/>
                <w:bCs/>
                <w:szCs w:val="21"/>
              </w:rPr>
            </w:pPr>
            <w:r>
              <w:rPr>
                <w:b/>
                <w:bCs/>
                <w:szCs w:val="21"/>
                <w:lang w:bidi="ar"/>
              </w:rPr>
              <w:t>距离施工点距离（m）</w:t>
            </w:r>
          </w:p>
        </w:tc>
      </w:tr>
      <w:tr w14:paraId="2FC1960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25A9D41D">
            <w:pPr>
              <w:adjustRightInd w:val="0"/>
              <w:snapToGrid w:val="0"/>
              <w:jc w:val="center"/>
              <w:rPr>
                <w:b/>
                <w:bCs/>
              </w:rPr>
            </w:pPr>
          </w:p>
        </w:tc>
        <w:tc>
          <w:tcPr>
            <w:tcW w:w="813" w:type="pct"/>
            <w:vMerge w:val="continue"/>
            <w:shd w:val="clear" w:color="auto" w:fill="auto"/>
            <w:vAlign w:val="center"/>
          </w:tcPr>
          <w:p w14:paraId="40F40E34">
            <w:pPr>
              <w:adjustRightInd w:val="0"/>
              <w:snapToGrid w:val="0"/>
              <w:jc w:val="center"/>
              <w:rPr>
                <w:b/>
                <w:bCs/>
              </w:rPr>
            </w:pPr>
          </w:p>
        </w:tc>
        <w:tc>
          <w:tcPr>
            <w:tcW w:w="325" w:type="pct"/>
            <w:shd w:val="clear" w:color="auto" w:fill="auto"/>
            <w:vAlign w:val="center"/>
          </w:tcPr>
          <w:p w14:paraId="697ED2ED">
            <w:pPr>
              <w:adjustRightInd w:val="0"/>
              <w:snapToGrid w:val="0"/>
              <w:jc w:val="center"/>
              <w:rPr>
                <w:b/>
                <w:bCs/>
                <w:szCs w:val="21"/>
              </w:rPr>
            </w:pPr>
            <w:r>
              <w:rPr>
                <w:b/>
                <w:bCs/>
                <w:szCs w:val="21"/>
                <w:lang w:bidi="ar"/>
              </w:rPr>
              <w:t>5</w:t>
            </w:r>
          </w:p>
        </w:tc>
        <w:tc>
          <w:tcPr>
            <w:tcW w:w="325" w:type="pct"/>
            <w:shd w:val="clear" w:color="auto" w:fill="auto"/>
            <w:vAlign w:val="center"/>
          </w:tcPr>
          <w:p w14:paraId="3E767D7D">
            <w:pPr>
              <w:adjustRightInd w:val="0"/>
              <w:snapToGrid w:val="0"/>
              <w:jc w:val="center"/>
              <w:rPr>
                <w:b/>
                <w:bCs/>
                <w:szCs w:val="21"/>
              </w:rPr>
            </w:pPr>
            <w:r>
              <w:rPr>
                <w:b/>
                <w:bCs/>
                <w:szCs w:val="21"/>
                <w:lang w:bidi="ar"/>
              </w:rPr>
              <w:t>10</w:t>
            </w:r>
          </w:p>
        </w:tc>
        <w:tc>
          <w:tcPr>
            <w:tcW w:w="326" w:type="pct"/>
            <w:shd w:val="clear" w:color="auto" w:fill="auto"/>
            <w:vAlign w:val="center"/>
          </w:tcPr>
          <w:p w14:paraId="636450BC">
            <w:pPr>
              <w:adjustRightInd w:val="0"/>
              <w:snapToGrid w:val="0"/>
              <w:jc w:val="center"/>
              <w:rPr>
                <w:b/>
                <w:bCs/>
                <w:szCs w:val="21"/>
              </w:rPr>
            </w:pPr>
            <w:r>
              <w:rPr>
                <w:b/>
                <w:bCs/>
                <w:szCs w:val="21"/>
                <w:lang w:bidi="ar"/>
              </w:rPr>
              <w:t>20</w:t>
            </w:r>
          </w:p>
        </w:tc>
        <w:tc>
          <w:tcPr>
            <w:tcW w:w="325" w:type="pct"/>
            <w:shd w:val="clear" w:color="auto" w:fill="auto"/>
            <w:vAlign w:val="center"/>
          </w:tcPr>
          <w:p w14:paraId="30DC9C2D">
            <w:pPr>
              <w:adjustRightInd w:val="0"/>
              <w:snapToGrid w:val="0"/>
              <w:jc w:val="center"/>
              <w:rPr>
                <w:b/>
                <w:bCs/>
                <w:szCs w:val="21"/>
              </w:rPr>
            </w:pPr>
            <w:r>
              <w:rPr>
                <w:b/>
                <w:bCs/>
                <w:szCs w:val="21"/>
                <w:lang w:bidi="ar"/>
              </w:rPr>
              <w:t>40</w:t>
            </w:r>
          </w:p>
        </w:tc>
        <w:tc>
          <w:tcPr>
            <w:tcW w:w="325" w:type="pct"/>
            <w:shd w:val="clear" w:color="auto" w:fill="auto"/>
            <w:vAlign w:val="center"/>
          </w:tcPr>
          <w:p w14:paraId="32EC03C4">
            <w:pPr>
              <w:adjustRightInd w:val="0"/>
              <w:snapToGrid w:val="0"/>
              <w:jc w:val="center"/>
              <w:rPr>
                <w:b/>
                <w:bCs/>
                <w:szCs w:val="21"/>
              </w:rPr>
            </w:pPr>
            <w:r>
              <w:rPr>
                <w:b/>
                <w:bCs/>
                <w:szCs w:val="21"/>
                <w:lang w:bidi="ar"/>
              </w:rPr>
              <w:t>60</w:t>
            </w:r>
          </w:p>
        </w:tc>
        <w:tc>
          <w:tcPr>
            <w:tcW w:w="326" w:type="pct"/>
            <w:shd w:val="clear" w:color="auto" w:fill="auto"/>
            <w:vAlign w:val="center"/>
          </w:tcPr>
          <w:p w14:paraId="707F8E54">
            <w:pPr>
              <w:adjustRightInd w:val="0"/>
              <w:snapToGrid w:val="0"/>
              <w:jc w:val="center"/>
              <w:rPr>
                <w:b/>
                <w:bCs/>
                <w:szCs w:val="21"/>
              </w:rPr>
            </w:pPr>
            <w:r>
              <w:rPr>
                <w:b/>
                <w:bCs/>
                <w:szCs w:val="21"/>
                <w:lang w:bidi="ar"/>
              </w:rPr>
              <w:t>80</w:t>
            </w:r>
          </w:p>
        </w:tc>
        <w:tc>
          <w:tcPr>
            <w:tcW w:w="325" w:type="pct"/>
            <w:shd w:val="clear" w:color="auto" w:fill="auto"/>
            <w:vAlign w:val="center"/>
          </w:tcPr>
          <w:p w14:paraId="6E3CE41B">
            <w:pPr>
              <w:adjustRightInd w:val="0"/>
              <w:snapToGrid w:val="0"/>
              <w:jc w:val="center"/>
              <w:rPr>
                <w:b/>
                <w:bCs/>
                <w:szCs w:val="21"/>
              </w:rPr>
            </w:pPr>
            <w:r>
              <w:rPr>
                <w:b/>
                <w:bCs/>
                <w:szCs w:val="21"/>
                <w:lang w:bidi="ar"/>
              </w:rPr>
              <w:t>100</w:t>
            </w:r>
          </w:p>
        </w:tc>
        <w:tc>
          <w:tcPr>
            <w:tcW w:w="325" w:type="pct"/>
            <w:shd w:val="clear" w:color="auto" w:fill="auto"/>
            <w:vAlign w:val="center"/>
          </w:tcPr>
          <w:p w14:paraId="7A4F8288">
            <w:pPr>
              <w:adjustRightInd w:val="0"/>
              <w:snapToGrid w:val="0"/>
              <w:jc w:val="center"/>
              <w:rPr>
                <w:b/>
                <w:bCs/>
                <w:szCs w:val="21"/>
              </w:rPr>
            </w:pPr>
            <w:r>
              <w:rPr>
                <w:b/>
                <w:bCs/>
                <w:szCs w:val="21"/>
                <w:lang w:bidi="ar"/>
              </w:rPr>
              <w:t>150</w:t>
            </w:r>
          </w:p>
        </w:tc>
        <w:tc>
          <w:tcPr>
            <w:tcW w:w="326" w:type="pct"/>
            <w:shd w:val="clear" w:color="auto" w:fill="auto"/>
            <w:vAlign w:val="center"/>
          </w:tcPr>
          <w:p w14:paraId="3F66CD1E">
            <w:pPr>
              <w:adjustRightInd w:val="0"/>
              <w:snapToGrid w:val="0"/>
              <w:jc w:val="center"/>
              <w:rPr>
                <w:b/>
                <w:bCs/>
                <w:szCs w:val="21"/>
              </w:rPr>
            </w:pPr>
            <w:r>
              <w:rPr>
                <w:b/>
                <w:bCs/>
                <w:szCs w:val="21"/>
                <w:lang w:bidi="ar"/>
              </w:rPr>
              <w:t>200</w:t>
            </w:r>
          </w:p>
        </w:tc>
        <w:tc>
          <w:tcPr>
            <w:tcW w:w="325" w:type="pct"/>
            <w:shd w:val="clear" w:color="auto" w:fill="auto"/>
            <w:vAlign w:val="center"/>
          </w:tcPr>
          <w:p w14:paraId="47C27DBF">
            <w:pPr>
              <w:adjustRightInd w:val="0"/>
              <w:snapToGrid w:val="0"/>
              <w:jc w:val="center"/>
              <w:rPr>
                <w:b/>
                <w:bCs/>
                <w:szCs w:val="21"/>
              </w:rPr>
            </w:pPr>
            <w:r>
              <w:rPr>
                <w:b/>
                <w:bCs/>
                <w:szCs w:val="21"/>
                <w:lang w:bidi="ar"/>
              </w:rPr>
              <w:t>300</w:t>
            </w:r>
          </w:p>
        </w:tc>
        <w:tc>
          <w:tcPr>
            <w:tcW w:w="326" w:type="pct"/>
            <w:shd w:val="clear" w:color="auto" w:fill="auto"/>
            <w:vAlign w:val="center"/>
          </w:tcPr>
          <w:p w14:paraId="07747AF0">
            <w:pPr>
              <w:adjustRightInd w:val="0"/>
              <w:snapToGrid w:val="0"/>
              <w:jc w:val="center"/>
              <w:rPr>
                <w:b/>
                <w:bCs/>
                <w:szCs w:val="21"/>
              </w:rPr>
            </w:pPr>
            <w:r>
              <w:rPr>
                <w:b/>
                <w:bCs/>
                <w:szCs w:val="21"/>
                <w:lang w:bidi="ar"/>
              </w:rPr>
              <w:t>400</w:t>
            </w:r>
          </w:p>
        </w:tc>
      </w:tr>
      <w:tr w14:paraId="1590CDF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restart"/>
            <w:shd w:val="clear" w:color="auto" w:fill="auto"/>
            <w:vAlign w:val="center"/>
          </w:tcPr>
          <w:p w14:paraId="678F139F">
            <w:pPr>
              <w:adjustRightInd w:val="0"/>
              <w:snapToGrid w:val="0"/>
              <w:jc w:val="center"/>
              <w:rPr>
                <w:szCs w:val="21"/>
                <w:lang w:bidi="ar"/>
              </w:rPr>
            </w:pPr>
            <w:r>
              <w:rPr>
                <w:szCs w:val="21"/>
                <w:lang w:bidi="ar"/>
              </w:rPr>
              <w:t>路基施工</w:t>
            </w:r>
          </w:p>
        </w:tc>
        <w:tc>
          <w:tcPr>
            <w:tcW w:w="813" w:type="pct"/>
            <w:shd w:val="clear" w:color="auto" w:fill="auto"/>
            <w:vAlign w:val="center"/>
          </w:tcPr>
          <w:p w14:paraId="26F48E79">
            <w:pPr>
              <w:adjustRightInd w:val="0"/>
              <w:snapToGrid w:val="0"/>
              <w:jc w:val="center"/>
              <w:rPr>
                <w:szCs w:val="21"/>
                <w:lang w:bidi="ar"/>
              </w:rPr>
            </w:pPr>
            <w:r>
              <w:rPr>
                <w:rFonts w:hint="eastAsia"/>
                <w:szCs w:val="21"/>
              </w:rPr>
              <w:t>装载机</w:t>
            </w:r>
          </w:p>
        </w:tc>
        <w:tc>
          <w:tcPr>
            <w:tcW w:w="325" w:type="pct"/>
            <w:shd w:val="clear" w:color="auto" w:fill="auto"/>
            <w:vAlign w:val="center"/>
          </w:tcPr>
          <w:p w14:paraId="79169793">
            <w:pPr>
              <w:adjustRightInd w:val="0"/>
              <w:snapToGrid w:val="0"/>
              <w:jc w:val="center"/>
              <w:rPr>
                <w:szCs w:val="21"/>
                <w:lang w:bidi="ar"/>
              </w:rPr>
            </w:pPr>
            <w:r>
              <w:rPr>
                <w:rFonts w:eastAsia="等线"/>
                <w:szCs w:val="21"/>
              </w:rPr>
              <w:t>93</w:t>
            </w:r>
          </w:p>
        </w:tc>
        <w:tc>
          <w:tcPr>
            <w:tcW w:w="325" w:type="pct"/>
            <w:shd w:val="clear" w:color="auto" w:fill="auto"/>
            <w:vAlign w:val="center"/>
          </w:tcPr>
          <w:p w14:paraId="4FDC607E">
            <w:pPr>
              <w:adjustRightInd w:val="0"/>
              <w:snapToGrid w:val="0"/>
              <w:jc w:val="center"/>
              <w:rPr>
                <w:rFonts w:eastAsia="等线"/>
                <w:kern w:val="0"/>
                <w:szCs w:val="21"/>
                <w:lang w:bidi="ar"/>
              </w:rPr>
            </w:pPr>
            <w:r>
              <w:rPr>
                <w:rFonts w:eastAsia="等线"/>
                <w:sz w:val="22"/>
                <w:szCs w:val="22"/>
              </w:rPr>
              <w:t>87</w:t>
            </w:r>
          </w:p>
        </w:tc>
        <w:tc>
          <w:tcPr>
            <w:tcW w:w="326" w:type="pct"/>
            <w:shd w:val="clear" w:color="auto" w:fill="auto"/>
            <w:vAlign w:val="center"/>
          </w:tcPr>
          <w:p w14:paraId="35CE2A26">
            <w:pPr>
              <w:adjustRightInd w:val="0"/>
              <w:snapToGrid w:val="0"/>
              <w:jc w:val="center"/>
              <w:rPr>
                <w:rFonts w:eastAsia="等线"/>
                <w:kern w:val="0"/>
                <w:szCs w:val="21"/>
                <w:lang w:bidi="ar"/>
              </w:rPr>
            </w:pPr>
            <w:r>
              <w:rPr>
                <w:rFonts w:eastAsia="等线"/>
                <w:sz w:val="22"/>
                <w:szCs w:val="22"/>
              </w:rPr>
              <w:t>81</w:t>
            </w:r>
          </w:p>
        </w:tc>
        <w:tc>
          <w:tcPr>
            <w:tcW w:w="325" w:type="pct"/>
            <w:shd w:val="clear" w:color="auto" w:fill="auto"/>
            <w:vAlign w:val="center"/>
          </w:tcPr>
          <w:p w14:paraId="327AD43E">
            <w:pPr>
              <w:adjustRightInd w:val="0"/>
              <w:snapToGrid w:val="0"/>
              <w:jc w:val="center"/>
              <w:rPr>
                <w:rFonts w:eastAsia="等线"/>
                <w:kern w:val="0"/>
                <w:szCs w:val="21"/>
                <w:lang w:bidi="ar"/>
              </w:rPr>
            </w:pPr>
            <w:r>
              <w:rPr>
                <w:rFonts w:eastAsia="等线"/>
                <w:sz w:val="22"/>
                <w:szCs w:val="22"/>
              </w:rPr>
              <w:t>75</w:t>
            </w:r>
          </w:p>
        </w:tc>
        <w:tc>
          <w:tcPr>
            <w:tcW w:w="325" w:type="pct"/>
            <w:shd w:val="clear" w:color="auto" w:fill="auto"/>
            <w:vAlign w:val="center"/>
          </w:tcPr>
          <w:p w14:paraId="4FBD256C">
            <w:pPr>
              <w:adjustRightInd w:val="0"/>
              <w:snapToGrid w:val="0"/>
              <w:jc w:val="center"/>
              <w:rPr>
                <w:rFonts w:eastAsia="等线"/>
                <w:kern w:val="0"/>
                <w:szCs w:val="21"/>
                <w:lang w:bidi="ar"/>
              </w:rPr>
            </w:pPr>
            <w:r>
              <w:rPr>
                <w:rFonts w:eastAsia="等线"/>
                <w:sz w:val="22"/>
                <w:szCs w:val="22"/>
              </w:rPr>
              <w:t>71</w:t>
            </w:r>
          </w:p>
        </w:tc>
        <w:tc>
          <w:tcPr>
            <w:tcW w:w="326" w:type="pct"/>
            <w:shd w:val="clear" w:color="auto" w:fill="auto"/>
            <w:vAlign w:val="center"/>
          </w:tcPr>
          <w:p w14:paraId="64C6E4D8">
            <w:pPr>
              <w:adjustRightInd w:val="0"/>
              <w:snapToGrid w:val="0"/>
              <w:jc w:val="center"/>
              <w:rPr>
                <w:rFonts w:eastAsia="等线"/>
                <w:kern w:val="0"/>
                <w:szCs w:val="21"/>
                <w:lang w:bidi="ar"/>
              </w:rPr>
            </w:pPr>
            <w:r>
              <w:rPr>
                <w:rFonts w:eastAsia="等线"/>
                <w:sz w:val="22"/>
                <w:szCs w:val="22"/>
              </w:rPr>
              <w:t>69</w:t>
            </w:r>
          </w:p>
        </w:tc>
        <w:tc>
          <w:tcPr>
            <w:tcW w:w="325" w:type="pct"/>
            <w:shd w:val="clear" w:color="auto" w:fill="auto"/>
            <w:vAlign w:val="center"/>
          </w:tcPr>
          <w:p w14:paraId="3D93C9B0">
            <w:pPr>
              <w:adjustRightInd w:val="0"/>
              <w:snapToGrid w:val="0"/>
              <w:jc w:val="center"/>
              <w:rPr>
                <w:rFonts w:eastAsia="等线"/>
                <w:kern w:val="0"/>
                <w:szCs w:val="21"/>
                <w:lang w:bidi="ar"/>
              </w:rPr>
            </w:pPr>
            <w:r>
              <w:rPr>
                <w:rFonts w:eastAsia="等线"/>
                <w:sz w:val="22"/>
                <w:szCs w:val="22"/>
              </w:rPr>
              <w:t>67</w:t>
            </w:r>
          </w:p>
        </w:tc>
        <w:tc>
          <w:tcPr>
            <w:tcW w:w="325" w:type="pct"/>
            <w:shd w:val="clear" w:color="auto" w:fill="auto"/>
            <w:vAlign w:val="center"/>
          </w:tcPr>
          <w:p w14:paraId="5C2C80E2">
            <w:pPr>
              <w:adjustRightInd w:val="0"/>
              <w:snapToGrid w:val="0"/>
              <w:jc w:val="center"/>
              <w:rPr>
                <w:rFonts w:eastAsia="等线"/>
                <w:kern w:val="0"/>
                <w:szCs w:val="21"/>
                <w:lang w:bidi="ar"/>
              </w:rPr>
            </w:pPr>
            <w:r>
              <w:rPr>
                <w:rFonts w:eastAsia="等线"/>
                <w:sz w:val="22"/>
                <w:szCs w:val="22"/>
              </w:rPr>
              <w:t>63</w:t>
            </w:r>
          </w:p>
        </w:tc>
        <w:tc>
          <w:tcPr>
            <w:tcW w:w="326" w:type="pct"/>
            <w:shd w:val="clear" w:color="auto" w:fill="auto"/>
            <w:vAlign w:val="center"/>
          </w:tcPr>
          <w:p w14:paraId="1E2FA706">
            <w:pPr>
              <w:adjustRightInd w:val="0"/>
              <w:snapToGrid w:val="0"/>
              <w:jc w:val="center"/>
              <w:rPr>
                <w:rFonts w:eastAsia="等线"/>
                <w:kern w:val="0"/>
                <w:szCs w:val="21"/>
                <w:lang w:bidi="ar"/>
              </w:rPr>
            </w:pPr>
            <w:r>
              <w:rPr>
                <w:rFonts w:eastAsia="等线"/>
                <w:sz w:val="22"/>
                <w:szCs w:val="22"/>
              </w:rPr>
              <w:t>61</w:t>
            </w:r>
          </w:p>
        </w:tc>
        <w:tc>
          <w:tcPr>
            <w:tcW w:w="325" w:type="pct"/>
            <w:shd w:val="clear" w:color="auto" w:fill="auto"/>
            <w:vAlign w:val="center"/>
          </w:tcPr>
          <w:p w14:paraId="6B8B0873">
            <w:pPr>
              <w:adjustRightInd w:val="0"/>
              <w:snapToGrid w:val="0"/>
              <w:jc w:val="center"/>
              <w:rPr>
                <w:rFonts w:eastAsia="等线"/>
                <w:kern w:val="0"/>
                <w:szCs w:val="21"/>
                <w:lang w:bidi="ar"/>
              </w:rPr>
            </w:pPr>
            <w:r>
              <w:rPr>
                <w:rFonts w:eastAsia="等线"/>
                <w:sz w:val="22"/>
                <w:szCs w:val="22"/>
              </w:rPr>
              <w:t>57</w:t>
            </w:r>
          </w:p>
        </w:tc>
        <w:tc>
          <w:tcPr>
            <w:tcW w:w="326" w:type="pct"/>
            <w:shd w:val="clear" w:color="auto" w:fill="auto"/>
            <w:vAlign w:val="center"/>
          </w:tcPr>
          <w:p w14:paraId="681731CF">
            <w:pPr>
              <w:adjustRightInd w:val="0"/>
              <w:snapToGrid w:val="0"/>
              <w:jc w:val="center"/>
              <w:rPr>
                <w:rFonts w:eastAsia="等线"/>
                <w:kern w:val="0"/>
                <w:szCs w:val="21"/>
                <w:lang w:bidi="ar"/>
              </w:rPr>
            </w:pPr>
            <w:r>
              <w:rPr>
                <w:rFonts w:eastAsia="等线"/>
                <w:sz w:val="22"/>
                <w:szCs w:val="22"/>
              </w:rPr>
              <w:t>55</w:t>
            </w:r>
          </w:p>
        </w:tc>
      </w:tr>
      <w:tr w14:paraId="2BD2D0D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05614F82">
            <w:pPr>
              <w:adjustRightInd w:val="0"/>
              <w:snapToGrid w:val="0"/>
              <w:jc w:val="center"/>
              <w:rPr>
                <w:szCs w:val="21"/>
                <w:lang w:bidi="ar"/>
              </w:rPr>
            </w:pPr>
          </w:p>
        </w:tc>
        <w:tc>
          <w:tcPr>
            <w:tcW w:w="813" w:type="pct"/>
            <w:shd w:val="clear" w:color="auto" w:fill="auto"/>
            <w:vAlign w:val="center"/>
          </w:tcPr>
          <w:p w14:paraId="5AE37A82">
            <w:pPr>
              <w:adjustRightInd w:val="0"/>
              <w:snapToGrid w:val="0"/>
              <w:jc w:val="center"/>
              <w:rPr>
                <w:szCs w:val="21"/>
                <w:lang w:bidi="ar"/>
              </w:rPr>
            </w:pPr>
            <w:r>
              <w:rPr>
                <w:rFonts w:hint="eastAsia"/>
                <w:szCs w:val="21"/>
              </w:rPr>
              <w:t>重型运输车</w:t>
            </w:r>
          </w:p>
        </w:tc>
        <w:tc>
          <w:tcPr>
            <w:tcW w:w="325" w:type="pct"/>
            <w:shd w:val="clear" w:color="auto" w:fill="auto"/>
            <w:vAlign w:val="center"/>
          </w:tcPr>
          <w:p w14:paraId="6C13357D">
            <w:pPr>
              <w:adjustRightInd w:val="0"/>
              <w:snapToGrid w:val="0"/>
              <w:jc w:val="center"/>
              <w:rPr>
                <w:szCs w:val="21"/>
                <w:lang w:bidi="ar"/>
              </w:rPr>
            </w:pPr>
            <w:r>
              <w:rPr>
                <w:rFonts w:eastAsia="等线"/>
                <w:szCs w:val="21"/>
              </w:rPr>
              <w:t>82</w:t>
            </w:r>
          </w:p>
        </w:tc>
        <w:tc>
          <w:tcPr>
            <w:tcW w:w="325" w:type="pct"/>
            <w:shd w:val="clear" w:color="auto" w:fill="auto"/>
            <w:vAlign w:val="center"/>
          </w:tcPr>
          <w:p w14:paraId="1A39E78A">
            <w:pPr>
              <w:adjustRightInd w:val="0"/>
              <w:snapToGrid w:val="0"/>
              <w:jc w:val="center"/>
              <w:rPr>
                <w:rFonts w:eastAsia="等线"/>
                <w:kern w:val="0"/>
                <w:szCs w:val="21"/>
                <w:lang w:bidi="ar"/>
              </w:rPr>
            </w:pPr>
            <w:r>
              <w:rPr>
                <w:rFonts w:eastAsia="等线"/>
                <w:sz w:val="22"/>
                <w:szCs w:val="22"/>
              </w:rPr>
              <w:t>76</w:t>
            </w:r>
          </w:p>
        </w:tc>
        <w:tc>
          <w:tcPr>
            <w:tcW w:w="326" w:type="pct"/>
            <w:shd w:val="clear" w:color="auto" w:fill="auto"/>
            <w:vAlign w:val="center"/>
          </w:tcPr>
          <w:p w14:paraId="6B0A9848">
            <w:pPr>
              <w:adjustRightInd w:val="0"/>
              <w:snapToGrid w:val="0"/>
              <w:jc w:val="center"/>
              <w:rPr>
                <w:rFonts w:eastAsia="等线"/>
                <w:kern w:val="0"/>
                <w:szCs w:val="21"/>
                <w:lang w:bidi="ar"/>
              </w:rPr>
            </w:pPr>
            <w:r>
              <w:rPr>
                <w:rFonts w:eastAsia="等线"/>
                <w:sz w:val="22"/>
                <w:szCs w:val="22"/>
              </w:rPr>
              <w:t>70</w:t>
            </w:r>
          </w:p>
        </w:tc>
        <w:tc>
          <w:tcPr>
            <w:tcW w:w="325" w:type="pct"/>
            <w:shd w:val="clear" w:color="auto" w:fill="auto"/>
            <w:vAlign w:val="center"/>
          </w:tcPr>
          <w:p w14:paraId="26917970">
            <w:pPr>
              <w:adjustRightInd w:val="0"/>
              <w:snapToGrid w:val="0"/>
              <w:jc w:val="center"/>
              <w:rPr>
                <w:rFonts w:eastAsia="等线"/>
                <w:kern w:val="0"/>
                <w:szCs w:val="21"/>
                <w:lang w:bidi="ar"/>
              </w:rPr>
            </w:pPr>
            <w:r>
              <w:rPr>
                <w:rFonts w:eastAsia="等线"/>
                <w:sz w:val="22"/>
                <w:szCs w:val="22"/>
              </w:rPr>
              <w:t>64</w:t>
            </w:r>
          </w:p>
        </w:tc>
        <w:tc>
          <w:tcPr>
            <w:tcW w:w="325" w:type="pct"/>
            <w:shd w:val="clear" w:color="auto" w:fill="auto"/>
            <w:vAlign w:val="center"/>
          </w:tcPr>
          <w:p w14:paraId="2894ABDF">
            <w:pPr>
              <w:adjustRightInd w:val="0"/>
              <w:snapToGrid w:val="0"/>
              <w:jc w:val="center"/>
              <w:rPr>
                <w:rFonts w:eastAsia="等线"/>
                <w:kern w:val="0"/>
                <w:szCs w:val="21"/>
                <w:lang w:bidi="ar"/>
              </w:rPr>
            </w:pPr>
            <w:r>
              <w:rPr>
                <w:rFonts w:eastAsia="等线"/>
                <w:sz w:val="22"/>
                <w:szCs w:val="22"/>
              </w:rPr>
              <w:t>60</w:t>
            </w:r>
          </w:p>
        </w:tc>
        <w:tc>
          <w:tcPr>
            <w:tcW w:w="326" w:type="pct"/>
            <w:shd w:val="clear" w:color="auto" w:fill="auto"/>
            <w:vAlign w:val="center"/>
          </w:tcPr>
          <w:p w14:paraId="5571DAC5">
            <w:pPr>
              <w:adjustRightInd w:val="0"/>
              <w:snapToGrid w:val="0"/>
              <w:jc w:val="center"/>
              <w:rPr>
                <w:rFonts w:eastAsia="等线"/>
                <w:kern w:val="0"/>
                <w:szCs w:val="21"/>
                <w:lang w:bidi="ar"/>
              </w:rPr>
            </w:pPr>
            <w:r>
              <w:rPr>
                <w:rFonts w:eastAsia="等线"/>
                <w:sz w:val="22"/>
                <w:szCs w:val="22"/>
              </w:rPr>
              <w:t>58</w:t>
            </w:r>
          </w:p>
        </w:tc>
        <w:tc>
          <w:tcPr>
            <w:tcW w:w="325" w:type="pct"/>
            <w:shd w:val="clear" w:color="auto" w:fill="auto"/>
            <w:vAlign w:val="center"/>
          </w:tcPr>
          <w:p w14:paraId="67ABC095">
            <w:pPr>
              <w:adjustRightInd w:val="0"/>
              <w:snapToGrid w:val="0"/>
              <w:jc w:val="center"/>
              <w:rPr>
                <w:rFonts w:eastAsia="等线"/>
                <w:kern w:val="0"/>
                <w:szCs w:val="21"/>
                <w:lang w:bidi="ar"/>
              </w:rPr>
            </w:pPr>
            <w:r>
              <w:rPr>
                <w:rFonts w:eastAsia="等线"/>
                <w:sz w:val="22"/>
                <w:szCs w:val="22"/>
              </w:rPr>
              <w:t>56</w:t>
            </w:r>
          </w:p>
        </w:tc>
        <w:tc>
          <w:tcPr>
            <w:tcW w:w="325" w:type="pct"/>
            <w:shd w:val="clear" w:color="auto" w:fill="auto"/>
            <w:vAlign w:val="center"/>
          </w:tcPr>
          <w:p w14:paraId="525EC68C">
            <w:pPr>
              <w:adjustRightInd w:val="0"/>
              <w:snapToGrid w:val="0"/>
              <w:jc w:val="center"/>
              <w:rPr>
                <w:rFonts w:eastAsia="等线"/>
                <w:kern w:val="0"/>
                <w:szCs w:val="21"/>
                <w:lang w:bidi="ar"/>
              </w:rPr>
            </w:pPr>
            <w:r>
              <w:rPr>
                <w:rFonts w:eastAsia="等线"/>
                <w:sz w:val="22"/>
                <w:szCs w:val="22"/>
              </w:rPr>
              <w:t>52</w:t>
            </w:r>
          </w:p>
        </w:tc>
        <w:tc>
          <w:tcPr>
            <w:tcW w:w="326" w:type="pct"/>
            <w:shd w:val="clear" w:color="auto" w:fill="auto"/>
            <w:vAlign w:val="center"/>
          </w:tcPr>
          <w:p w14:paraId="4C949DE1">
            <w:pPr>
              <w:adjustRightInd w:val="0"/>
              <w:snapToGrid w:val="0"/>
              <w:jc w:val="center"/>
              <w:rPr>
                <w:rFonts w:eastAsia="等线"/>
                <w:kern w:val="0"/>
                <w:szCs w:val="21"/>
                <w:lang w:bidi="ar"/>
              </w:rPr>
            </w:pPr>
            <w:r>
              <w:rPr>
                <w:rFonts w:eastAsia="等线"/>
                <w:sz w:val="22"/>
                <w:szCs w:val="22"/>
              </w:rPr>
              <w:t>50</w:t>
            </w:r>
          </w:p>
        </w:tc>
        <w:tc>
          <w:tcPr>
            <w:tcW w:w="325" w:type="pct"/>
            <w:shd w:val="clear" w:color="auto" w:fill="auto"/>
            <w:vAlign w:val="center"/>
          </w:tcPr>
          <w:p w14:paraId="31BC8026">
            <w:pPr>
              <w:adjustRightInd w:val="0"/>
              <w:snapToGrid w:val="0"/>
              <w:jc w:val="center"/>
              <w:rPr>
                <w:rFonts w:eastAsia="等线"/>
                <w:kern w:val="0"/>
                <w:szCs w:val="21"/>
                <w:lang w:bidi="ar"/>
              </w:rPr>
            </w:pPr>
            <w:r>
              <w:rPr>
                <w:rFonts w:eastAsia="等线"/>
                <w:sz w:val="22"/>
                <w:szCs w:val="22"/>
              </w:rPr>
              <w:t>46</w:t>
            </w:r>
          </w:p>
        </w:tc>
        <w:tc>
          <w:tcPr>
            <w:tcW w:w="326" w:type="pct"/>
            <w:shd w:val="clear" w:color="auto" w:fill="auto"/>
            <w:vAlign w:val="center"/>
          </w:tcPr>
          <w:p w14:paraId="588EB7FD">
            <w:pPr>
              <w:adjustRightInd w:val="0"/>
              <w:snapToGrid w:val="0"/>
              <w:jc w:val="center"/>
              <w:rPr>
                <w:rFonts w:eastAsia="等线"/>
                <w:kern w:val="0"/>
                <w:szCs w:val="21"/>
                <w:lang w:bidi="ar"/>
              </w:rPr>
            </w:pPr>
            <w:r>
              <w:rPr>
                <w:rFonts w:eastAsia="等线"/>
                <w:sz w:val="22"/>
                <w:szCs w:val="22"/>
              </w:rPr>
              <w:t>44</w:t>
            </w:r>
          </w:p>
        </w:tc>
      </w:tr>
      <w:tr w14:paraId="140D263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14A8C261">
            <w:pPr>
              <w:adjustRightInd w:val="0"/>
              <w:snapToGrid w:val="0"/>
              <w:jc w:val="center"/>
              <w:rPr>
                <w:szCs w:val="21"/>
                <w:lang w:bidi="ar"/>
              </w:rPr>
            </w:pPr>
          </w:p>
        </w:tc>
        <w:tc>
          <w:tcPr>
            <w:tcW w:w="813" w:type="pct"/>
            <w:shd w:val="clear" w:color="auto" w:fill="auto"/>
            <w:vAlign w:val="center"/>
          </w:tcPr>
          <w:p w14:paraId="7D02D5AA">
            <w:pPr>
              <w:adjustRightInd w:val="0"/>
              <w:snapToGrid w:val="0"/>
              <w:jc w:val="center"/>
              <w:rPr>
                <w:szCs w:val="21"/>
                <w:lang w:bidi="ar"/>
              </w:rPr>
            </w:pPr>
            <w:r>
              <w:rPr>
                <w:rFonts w:hint="eastAsia"/>
                <w:szCs w:val="21"/>
              </w:rPr>
              <w:t>压路机</w:t>
            </w:r>
          </w:p>
        </w:tc>
        <w:tc>
          <w:tcPr>
            <w:tcW w:w="325" w:type="pct"/>
            <w:shd w:val="clear" w:color="auto" w:fill="auto"/>
            <w:vAlign w:val="center"/>
          </w:tcPr>
          <w:p w14:paraId="78311BEF">
            <w:pPr>
              <w:adjustRightInd w:val="0"/>
              <w:snapToGrid w:val="0"/>
              <w:jc w:val="center"/>
              <w:rPr>
                <w:szCs w:val="21"/>
                <w:lang w:bidi="ar"/>
              </w:rPr>
            </w:pPr>
            <w:r>
              <w:rPr>
                <w:rFonts w:eastAsia="等线"/>
                <w:szCs w:val="21"/>
              </w:rPr>
              <w:t>83</w:t>
            </w:r>
          </w:p>
        </w:tc>
        <w:tc>
          <w:tcPr>
            <w:tcW w:w="325" w:type="pct"/>
            <w:shd w:val="clear" w:color="auto" w:fill="auto"/>
            <w:vAlign w:val="center"/>
          </w:tcPr>
          <w:p w14:paraId="639F2AFB">
            <w:pPr>
              <w:adjustRightInd w:val="0"/>
              <w:snapToGrid w:val="0"/>
              <w:jc w:val="center"/>
              <w:rPr>
                <w:rFonts w:eastAsia="等线"/>
                <w:kern w:val="0"/>
                <w:szCs w:val="21"/>
                <w:lang w:bidi="ar"/>
              </w:rPr>
            </w:pPr>
            <w:r>
              <w:rPr>
                <w:rFonts w:eastAsia="等线"/>
                <w:sz w:val="22"/>
                <w:szCs w:val="22"/>
              </w:rPr>
              <w:t>77</w:t>
            </w:r>
          </w:p>
        </w:tc>
        <w:tc>
          <w:tcPr>
            <w:tcW w:w="326" w:type="pct"/>
            <w:shd w:val="clear" w:color="auto" w:fill="auto"/>
            <w:vAlign w:val="center"/>
          </w:tcPr>
          <w:p w14:paraId="02A9C8B5">
            <w:pPr>
              <w:adjustRightInd w:val="0"/>
              <w:snapToGrid w:val="0"/>
              <w:jc w:val="center"/>
              <w:rPr>
                <w:rFonts w:eastAsia="等线"/>
                <w:kern w:val="0"/>
                <w:szCs w:val="21"/>
                <w:lang w:bidi="ar"/>
              </w:rPr>
            </w:pPr>
            <w:r>
              <w:rPr>
                <w:rFonts w:eastAsia="等线"/>
                <w:sz w:val="22"/>
                <w:szCs w:val="22"/>
              </w:rPr>
              <w:t>71</w:t>
            </w:r>
          </w:p>
        </w:tc>
        <w:tc>
          <w:tcPr>
            <w:tcW w:w="325" w:type="pct"/>
            <w:shd w:val="clear" w:color="auto" w:fill="auto"/>
            <w:vAlign w:val="center"/>
          </w:tcPr>
          <w:p w14:paraId="403B3993">
            <w:pPr>
              <w:adjustRightInd w:val="0"/>
              <w:snapToGrid w:val="0"/>
              <w:jc w:val="center"/>
              <w:rPr>
                <w:rFonts w:eastAsia="等线"/>
                <w:kern w:val="0"/>
                <w:szCs w:val="21"/>
                <w:lang w:bidi="ar"/>
              </w:rPr>
            </w:pPr>
            <w:r>
              <w:rPr>
                <w:rFonts w:eastAsia="等线"/>
                <w:sz w:val="22"/>
                <w:szCs w:val="22"/>
              </w:rPr>
              <w:t>65</w:t>
            </w:r>
          </w:p>
        </w:tc>
        <w:tc>
          <w:tcPr>
            <w:tcW w:w="325" w:type="pct"/>
            <w:shd w:val="clear" w:color="auto" w:fill="auto"/>
            <w:vAlign w:val="center"/>
          </w:tcPr>
          <w:p w14:paraId="4E0E855B">
            <w:pPr>
              <w:adjustRightInd w:val="0"/>
              <w:snapToGrid w:val="0"/>
              <w:jc w:val="center"/>
              <w:rPr>
                <w:rFonts w:eastAsia="等线"/>
                <w:kern w:val="0"/>
                <w:szCs w:val="21"/>
                <w:lang w:bidi="ar"/>
              </w:rPr>
            </w:pPr>
            <w:r>
              <w:rPr>
                <w:rFonts w:eastAsia="等线"/>
                <w:sz w:val="22"/>
                <w:szCs w:val="22"/>
              </w:rPr>
              <w:t>61</w:t>
            </w:r>
          </w:p>
        </w:tc>
        <w:tc>
          <w:tcPr>
            <w:tcW w:w="326" w:type="pct"/>
            <w:shd w:val="clear" w:color="auto" w:fill="auto"/>
            <w:vAlign w:val="center"/>
          </w:tcPr>
          <w:p w14:paraId="46E77686">
            <w:pPr>
              <w:adjustRightInd w:val="0"/>
              <w:snapToGrid w:val="0"/>
              <w:jc w:val="center"/>
              <w:rPr>
                <w:rFonts w:eastAsia="等线"/>
                <w:kern w:val="0"/>
                <w:szCs w:val="21"/>
                <w:lang w:bidi="ar"/>
              </w:rPr>
            </w:pPr>
            <w:r>
              <w:rPr>
                <w:rFonts w:eastAsia="等线"/>
                <w:sz w:val="22"/>
                <w:szCs w:val="22"/>
              </w:rPr>
              <w:t>59</w:t>
            </w:r>
          </w:p>
        </w:tc>
        <w:tc>
          <w:tcPr>
            <w:tcW w:w="325" w:type="pct"/>
            <w:shd w:val="clear" w:color="auto" w:fill="auto"/>
            <w:vAlign w:val="center"/>
          </w:tcPr>
          <w:p w14:paraId="6D5F3EA0">
            <w:pPr>
              <w:adjustRightInd w:val="0"/>
              <w:snapToGrid w:val="0"/>
              <w:jc w:val="center"/>
              <w:rPr>
                <w:rFonts w:eastAsia="等线"/>
                <w:kern w:val="0"/>
                <w:szCs w:val="21"/>
                <w:lang w:bidi="ar"/>
              </w:rPr>
            </w:pPr>
            <w:r>
              <w:rPr>
                <w:rFonts w:eastAsia="等线"/>
                <w:sz w:val="22"/>
                <w:szCs w:val="22"/>
              </w:rPr>
              <w:t>57</w:t>
            </w:r>
          </w:p>
        </w:tc>
        <w:tc>
          <w:tcPr>
            <w:tcW w:w="325" w:type="pct"/>
            <w:shd w:val="clear" w:color="auto" w:fill="auto"/>
            <w:vAlign w:val="center"/>
          </w:tcPr>
          <w:p w14:paraId="27FB6C0D">
            <w:pPr>
              <w:adjustRightInd w:val="0"/>
              <w:snapToGrid w:val="0"/>
              <w:jc w:val="center"/>
              <w:rPr>
                <w:rFonts w:eastAsia="等线"/>
                <w:kern w:val="0"/>
                <w:szCs w:val="21"/>
                <w:lang w:bidi="ar"/>
              </w:rPr>
            </w:pPr>
            <w:r>
              <w:rPr>
                <w:rFonts w:eastAsia="等线"/>
                <w:sz w:val="22"/>
                <w:szCs w:val="22"/>
              </w:rPr>
              <w:t>53</w:t>
            </w:r>
          </w:p>
        </w:tc>
        <w:tc>
          <w:tcPr>
            <w:tcW w:w="326" w:type="pct"/>
            <w:shd w:val="clear" w:color="auto" w:fill="auto"/>
            <w:vAlign w:val="center"/>
          </w:tcPr>
          <w:p w14:paraId="62BE5FB0">
            <w:pPr>
              <w:adjustRightInd w:val="0"/>
              <w:snapToGrid w:val="0"/>
              <w:jc w:val="center"/>
              <w:rPr>
                <w:rFonts w:eastAsia="等线"/>
                <w:kern w:val="0"/>
                <w:szCs w:val="21"/>
                <w:lang w:bidi="ar"/>
              </w:rPr>
            </w:pPr>
            <w:r>
              <w:rPr>
                <w:rFonts w:eastAsia="等线"/>
                <w:sz w:val="22"/>
                <w:szCs w:val="22"/>
              </w:rPr>
              <w:t>51</w:t>
            </w:r>
          </w:p>
        </w:tc>
        <w:tc>
          <w:tcPr>
            <w:tcW w:w="325" w:type="pct"/>
            <w:shd w:val="clear" w:color="auto" w:fill="auto"/>
            <w:vAlign w:val="center"/>
          </w:tcPr>
          <w:p w14:paraId="088689E2">
            <w:pPr>
              <w:adjustRightInd w:val="0"/>
              <w:snapToGrid w:val="0"/>
              <w:jc w:val="center"/>
              <w:rPr>
                <w:rFonts w:eastAsia="等线"/>
                <w:kern w:val="0"/>
                <w:szCs w:val="21"/>
                <w:lang w:bidi="ar"/>
              </w:rPr>
            </w:pPr>
            <w:r>
              <w:rPr>
                <w:rFonts w:eastAsia="等线"/>
                <w:sz w:val="22"/>
                <w:szCs w:val="22"/>
              </w:rPr>
              <w:t>47</w:t>
            </w:r>
          </w:p>
        </w:tc>
        <w:tc>
          <w:tcPr>
            <w:tcW w:w="326" w:type="pct"/>
            <w:shd w:val="clear" w:color="auto" w:fill="auto"/>
            <w:vAlign w:val="center"/>
          </w:tcPr>
          <w:p w14:paraId="1FCD0E92">
            <w:pPr>
              <w:adjustRightInd w:val="0"/>
              <w:snapToGrid w:val="0"/>
              <w:jc w:val="center"/>
              <w:rPr>
                <w:rFonts w:eastAsia="等线"/>
                <w:kern w:val="0"/>
                <w:szCs w:val="21"/>
                <w:lang w:bidi="ar"/>
              </w:rPr>
            </w:pPr>
            <w:r>
              <w:rPr>
                <w:rFonts w:eastAsia="等线"/>
                <w:sz w:val="22"/>
                <w:szCs w:val="22"/>
              </w:rPr>
              <w:t>45</w:t>
            </w:r>
          </w:p>
        </w:tc>
      </w:tr>
      <w:tr w14:paraId="5934C5C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23B76540">
            <w:pPr>
              <w:adjustRightInd w:val="0"/>
              <w:snapToGrid w:val="0"/>
              <w:jc w:val="center"/>
              <w:rPr>
                <w:szCs w:val="21"/>
                <w:lang w:bidi="ar"/>
              </w:rPr>
            </w:pPr>
          </w:p>
        </w:tc>
        <w:tc>
          <w:tcPr>
            <w:tcW w:w="813" w:type="pct"/>
            <w:shd w:val="clear" w:color="auto" w:fill="auto"/>
            <w:vAlign w:val="center"/>
          </w:tcPr>
          <w:p w14:paraId="3E8EB81E">
            <w:pPr>
              <w:adjustRightInd w:val="0"/>
              <w:snapToGrid w:val="0"/>
              <w:jc w:val="center"/>
              <w:rPr>
                <w:szCs w:val="21"/>
                <w:lang w:bidi="ar"/>
              </w:rPr>
            </w:pPr>
            <w:r>
              <w:rPr>
                <w:rFonts w:hint="eastAsia"/>
                <w:szCs w:val="21"/>
              </w:rPr>
              <w:t>推土机</w:t>
            </w:r>
          </w:p>
        </w:tc>
        <w:tc>
          <w:tcPr>
            <w:tcW w:w="325" w:type="pct"/>
            <w:shd w:val="clear" w:color="auto" w:fill="auto"/>
            <w:vAlign w:val="center"/>
          </w:tcPr>
          <w:p w14:paraId="6DD0E467">
            <w:pPr>
              <w:adjustRightInd w:val="0"/>
              <w:snapToGrid w:val="0"/>
              <w:jc w:val="center"/>
              <w:rPr>
                <w:szCs w:val="21"/>
                <w:lang w:bidi="ar"/>
              </w:rPr>
            </w:pPr>
            <w:r>
              <w:rPr>
                <w:rFonts w:eastAsia="等线"/>
                <w:szCs w:val="21"/>
              </w:rPr>
              <w:t>86</w:t>
            </w:r>
          </w:p>
        </w:tc>
        <w:tc>
          <w:tcPr>
            <w:tcW w:w="325" w:type="pct"/>
            <w:shd w:val="clear" w:color="auto" w:fill="auto"/>
            <w:vAlign w:val="center"/>
          </w:tcPr>
          <w:p w14:paraId="22F0EB91">
            <w:pPr>
              <w:adjustRightInd w:val="0"/>
              <w:snapToGrid w:val="0"/>
              <w:jc w:val="center"/>
              <w:rPr>
                <w:rFonts w:eastAsia="等线"/>
                <w:kern w:val="0"/>
                <w:szCs w:val="21"/>
                <w:lang w:bidi="ar"/>
              </w:rPr>
            </w:pPr>
            <w:r>
              <w:rPr>
                <w:rFonts w:eastAsia="等线"/>
                <w:sz w:val="22"/>
                <w:szCs w:val="22"/>
              </w:rPr>
              <w:t>80</w:t>
            </w:r>
          </w:p>
        </w:tc>
        <w:tc>
          <w:tcPr>
            <w:tcW w:w="326" w:type="pct"/>
            <w:shd w:val="clear" w:color="auto" w:fill="auto"/>
            <w:vAlign w:val="center"/>
          </w:tcPr>
          <w:p w14:paraId="454B8416">
            <w:pPr>
              <w:adjustRightInd w:val="0"/>
              <w:snapToGrid w:val="0"/>
              <w:jc w:val="center"/>
              <w:rPr>
                <w:rFonts w:eastAsia="等线"/>
                <w:kern w:val="0"/>
                <w:szCs w:val="21"/>
                <w:lang w:bidi="ar"/>
              </w:rPr>
            </w:pPr>
            <w:r>
              <w:rPr>
                <w:rFonts w:eastAsia="等线"/>
                <w:sz w:val="22"/>
                <w:szCs w:val="22"/>
              </w:rPr>
              <w:t>74</w:t>
            </w:r>
          </w:p>
        </w:tc>
        <w:tc>
          <w:tcPr>
            <w:tcW w:w="325" w:type="pct"/>
            <w:shd w:val="clear" w:color="auto" w:fill="auto"/>
            <w:vAlign w:val="center"/>
          </w:tcPr>
          <w:p w14:paraId="2554419D">
            <w:pPr>
              <w:adjustRightInd w:val="0"/>
              <w:snapToGrid w:val="0"/>
              <w:jc w:val="center"/>
              <w:rPr>
                <w:rFonts w:eastAsia="等线"/>
                <w:kern w:val="0"/>
                <w:szCs w:val="21"/>
                <w:lang w:bidi="ar"/>
              </w:rPr>
            </w:pPr>
            <w:r>
              <w:rPr>
                <w:rFonts w:eastAsia="等线"/>
                <w:sz w:val="22"/>
                <w:szCs w:val="22"/>
              </w:rPr>
              <w:t>68</w:t>
            </w:r>
          </w:p>
        </w:tc>
        <w:tc>
          <w:tcPr>
            <w:tcW w:w="325" w:type="pct"/>
            <w:shd w:val="clear" w:color="auto" w:fill="auto"/>
            <w:vAlign w:val="center"/>
          </w:tcPr>
          <w:p w14:paraId="0874E531">
            <w:pPr>
              <w:adjustRightInd w:val="0"/>
              <w:snapToGrid w:val="0"/>
              <w:jc w:val="center"/>
              <w:rPr>
                <w:rFonts w:eastAsia="等线"/>
                <w:kern w:val="0"/>
                <w:szCs w:val="21"/>
                <w:lang w:bidi="ar"/>
              </w:rPr>
            </w:pPr>
            <w:r>
              <w:rPr>
                <w:rFonts w:eastAsia="等线"/>
                <w:sz w:val="22"/>
                <w:szCs w:val="22"/>
              </w:rPr>
              <w:t>64</w:t>
            </w:r>
          </w:p>
        </w:tc>
        <w:tc>
          <w:tcPr>
            <w:tcW w:w="326" w:type="pct"/>
            <w:shd w:val="clear" w:color="auto" w:fill="auto"/>
            <w:vAlign w:val="center"/>
          </w:tcPr>
          <w:p w14:paraId="5142EF41">
            <w:pPr>
              <w:adjustRightInd w:val="0"/>
              <w:snapToGrid w:val="0"/>
              <w:jc w:val="center"/>
              <w:rPr>
                <w:rFonts w:eastAsia="等线"/>
                <w:kern w:val="0"/>
                <w:szCs w:val="21"/>
                <w:lang w:bidi="ar"/>
              </w:rPr>
            </w:pPr>
            <w:r>
              <w:rPr>
                <w:rFonts w:eastAsia="等线"/>
                <w:sz w:val="22"/>
                <w:szCs w:val="22"/>
              </w:rPr>
              <w:t>62</w:t>
            </w:r>
          </w:p>
        </w:tc>
        <w:tc>
          <w:tcPr>
            <w:tcW w:w="325" w:type="pct"/>
            <w:shd w:val="clear" w:color="auto" w:fill="auto"/>
            <w:vAlign w:val="center"/>
          </w:tcPr>
          <w:p w14:paraId="630623AA">
            <w:pPr>
              <w:adjustRightInd w:val="0"/>
              <w:snapToGrid w:val="0"/>
              <w:jc w:val="center"/>
              <w:rPr>
                <w:rFonts w:eastAsia="等线"/>
                <w:kern w:val="0"/>
                <w:szCs w:val="21"/>
                <w:lang w:bidi="ar"/>
              </w:rPr>
            </w:pPr>
            <w:r>
              <w:rPr>
                <w:rFonts w:eastAsia="等线"/>
                <w:sz w:val="22"/>
                <w:szCs w:val="22"/>
              </w:rPr>
              <w:t>60</w:t>
            </w:r>
          </w:p>
        </w:tc>
        <w:tc>
          <w:tcPr>
            <w:tcW w:w="325" w:type="pct"/>
            <w:shd w:val="clear" w:color="auto" w:fill="auto"/>
            <w:vAlign w:val="center"/>
          </w:tcPr>
          <w:p w14:paraId="224D1669">
            <w:pPr>
              <w:adjustRightInd w:val="0"/>
              <w:snapToGrid w:val="0"/>
              <w:jc w:val="center"/>
              <w:rPr>
                <w:rFonts w:eastAsia="等线"/>
                <w:kern w:val="0"/>
                <w:szCs w:val="21"/>
                <w:lang w:bidi="ar"/>
              </w:rPr>
            </w:pPr>
            <w:r>
              <w:rPr>
                <w:rFonts w:eastAsia="等线"/>
                <w:sz w:val="22"/>
                <w:szCs w:val="22"/>
              </w:rPr>
              <w:t>56</w:t>
            </w:r>
          </w:p>
        </w:tc>
        <w:tc>
          <w:tcPr>
            <w:tcW w:w="326" w:type="pct"/>
            <w:shd w:val="clear" w:color="auto" w:fill="auto"/>
            <w:vAlign w:val="center"/>
          </w:tcPr>
          <w:p w14:paraId="3ABFF905">
            <w:pPr>
              <w:adjustRightInd w:val="0"/>
              <w:snapToGrid w:val="0"/>
              <w:jc w:val="center"/>
              <w:rPr>
                <w:rFonts w:eastAsia="等线"/>
                <w:kern w:val="0"/>
                <w:szCs w:val="21"/>
                <w:lang w:bidi="ar"/>
              </w:rPr>
            </w:pPr>
            <w:r>
              <w:rPr>
                <w:rFonts w:eastAsia="等线"/>
                <w:sz w:val="22"/>
                <w:szCs w:val="22"/>
              </w:rPr>
              <w:t>54</w:t>
            </w:r>
          </w:p>
        </w:tc>
        <w:tc>
          <w:tcPr>
            <w:tcW w:w="325" w:type="pct"/>
            <w:shd w:val="clear" w:color="auto" w:fill="auto"/>
            <w:vAlign w:val="center"/>
          </w:tcPr>
          <w:p w14:paraId="7E3BFD5F">
            <w:pPr>
              <w:adjustRightInd w:val="0"/>
              <w:snapToGrid w:val="0"/>
              <w:jc w:val="center"/>
              <w:rPr>
                <w:rFonts w:eastAsia="等线"/>
                <w:kern w:val="0"/>
                <w:szCs w:val="21"/>
                <w:lang w:bidi="ar"/>
              </w:rPr>
            </w:pPr>
            <w:r>
              <w:rPr>
                <w:rFonts w:eastAsia="等线"/>
                <w:sz w:val="22"/>
                <w:szCs w:val="22"/>
              </w:rPr>
              <w:t>50</w:t>
            </w:r>
          </w:p>
        </w:tc>
        <w:tc>
          <w:tcPr>
            <w:tcW w:w="326" w:type="pct"/>
            <w:shd w:val="clear" w:color="auto" w:fill="auto"/>
            <w:vAlign w:val="center"/>
          </w:tcPr>
          <w:p w14:paraId="3E9FCCE5">
            <w:pPr>
              <w:adjustRightInd w:val="0"/>
              <w:snapToGrid w:val="0"/>
              <w:jc w:val="center"/>
              <w:rPr>
                <w:rFonts w:eastAsia="等线"/>
                <w:kern w:val="0"/>
                <w:szCs w:val="21"/>
                <w:lang w:bidi="ar"/>
              </w:rPr>
            </w:pPr>
            <w:r>
              <w:rPr>
                <w:rFonts w:eastAsia="等线"/>
                <w:sz w:val="22"/>
                <w:szCs w:val="22"/>
              </w:rPr>
              <w:t>48</w:t>
            </w:r>
          </w:p>
        </w:tc>
      </w:tr>
      <w:tr w14:paraId="391E202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0E24BD8F">
            <w:pPr>
              <w:adjustRightInd w:val="0"/>
              <w:snapToGrid w:val="0"/>
              <w:jc w:val="center"/>
              <w:rPr>
                <w:szCs w:val="21"/>
                <w:lang w:bidi="ar"/>
              </w:rPr>
            </w:pPr>
          </w:p>
        </w:tc>
        <w:tc>
          <w:tcPr>
            <w:tcW w:w="813" w:type="pct"/>
            <w:shd w:val="clear" w:color="auto" w:fill="auto"/>
            <w:vAlign w:val="center"/>
          </w:tcPr>
          <w:p w14:paraId="6D4050BE">
            <w:pPr>
              <w:adjustRightInd w:val="0"/>
              <w:snapToGrid w:val="0"/>
              <w:jc w:val="center"/>
              <w:rPr>
                <w:szCs w:val="21"/>
                <w:lang w:bidi="ar"/>
              </w:rPr>
            </w:pPr>
            <w:r>
              <w:rPr>
                <w:rFonts w:hint="eastAsia"/>
                <w:szCs w:val="21"/>
              </w:rPr>
              <w:t>挖掘机</w:t>
            </w:r>
          </w:p>
        </w:tc>
        <w:tc>
          <w:tcPr>
            <w:tcW w:w="325" w:type="pct"/>
            <w:shd w:val="clear" w:color="auto" w:fill="auto"/>
            <w:vAlign w:val="center"/>
          </w:tcPr>
          <w:p w14:paraId="049C5E7B">
            <w:pPr>
              <w:adjustRightInd w:val="0"/>
              <w:snapToGrid w:val="0"/>
              <w:jc w:val="center"/>
              <w:rPr>
                <w:szCs w:val="21"/>
                <w:lang w:bidi="ar"/>
              </w:rPr>
            </w:pPr>
            <w:r>
              <w:rPr>
                <w:rFonts w:eastAsia="等线"/>
                <w:szCs w:val="21"/>
              </w:rPr>
              <w:t>82</w:t>
            </w:r>
          </w:p>
        </w:tc>
        <w:tc>
          <w:tcPr>
            <w:tcW w:w="325" w:type="pct"/>
            <w:shd w:val="clear" w:color="auto" w:fill="auto"/>
            <w:vAlign w:val="center"/>
          </w:tcPr>
          <w:p w14:paraId="59933B13">
            <w:pPr>
              <w:adjustRightInd w:val="0"/>
              <w:snapToGrid w:val="0"/>
              <w:jc w:val="center"/>
              <w:rPr>
                <w:rFonts w:eastAsia="等线"/>
                <w:kern w:val="0"/>
                <w:szCs w:val="21"/>
                <w:lang w:bidi="ar"/>
              </w:rPr>
            </w:pPr>
            <w:r>
              <w:rPr>
                <w:rFonts w:eastAsia="等线"/>
                <w:sz w:val="22"/>
                <w:szCs w:val="22"/>
              </w:rPr>
              <w:t>76</w:t>
            </w:r>
          </w:p>
        </w:tc>
        <w:tc>
          <w:tcPr>
            <w:tcW w:w="326" w:type="pct"/>
            <w:shd w:val="clear" w:color="auto" w:fill="auto"/>
            <w:vAlign w:val="center"/>
          </w:tcPr>
          <w:p w14:paraId="70BA8626">
            <w:pPr>
              <w:adjustRightInd w:val="0"/>
              <w:snapToGrid w:val="0"/>
              <w:jc w:val="center"/>
              <w:rPr>
                <w:rFonts w:eastAsia="等线"/>
                <w:kern w:val="0"/>
                <w:szCs w:val="21"/>
                <w:lang w:bidi="ar"/>
              </w:rPr>
            </w:pPr>
            <w:r>
              <w:rPr>
                <w:rFonts w:eastAsia="等线"/>
                <w:sz w:val="22"/>
                <w:szCs w:val="22"/>
              </w:rPr>
              <w:t>70</w:t>
            </w:r>
          </w:p>
        </w:tc>
        <w:tc>
          <w:tcPr>
            <w:tcW w:w="325" w:type="pct"/>
            <w:shd w:val="clear" w:color="auto" w:fill="auto"/>
            <w:vAlign w:val="center"/>
          </w:tcPr>
          <w:p w14:paraId="566B4757">
            <w:pPr>
              <w:adjustRightInd w:val="0"/>
              <w:snapToGrid w:val="0"/>
              <w:jc w:val="center"/>
              <w:rPr>
                <w:rFonts w:eastAsia="等线"/>
                <w:kern w:val="0"/>
                <w:szCs w:val="21"/>
                <w:lang w:bidi="ar"/>
              </w:rPr>
            </w:pPr>
            <w:r>
              <w:rPr>
                <w:rFonts w:eastAsia="等线"/>
                <w:sz w:val="22"/>
                <w:szCs w:val="22"/>
              </w:rPr>
              <w:t>64</w:t>
            </w:r>
          </w:p>
        </w:tc>
        <w:tc>
          <w:tcPr>
            <w:tcW w:w="325" w:type="pct"/>
            <w:shd w:val="clear" w:color="auto" w:fill="auto"/>
            <w:vAlign w:val="center"/>
          </w:tcPr>
          <w:p w14:paraId="7FBAD60A">
            <w:pPr>
              <w:adjustRightInd w:val="0"/>
              <w:snapToGrid w:val="0"/>
              <w:jc w:val="center"/>
              <w:rPr>
                <w:rFonts w:eastAsia="等线"/>
                <w:kern w:val="0"/>
                <w:szCs w:val="21"/>
                <w:lang w:bidi="ar"/>
              </w:rPr>
            </w:pPr>
            <w:r>
              <w:rPr>
                <w:rFonts w:eastAsia="等线"/>
                <w:sz w:val="22"/>
                <w:szCs w:val="22"/>
              </w:rPr>
              <w:t>60</w:t>
            </w:r>
          </w:p>
        </w:tc>
        <w:tc>
          <w:tcPr>
            <w:tcW w:w="326" w:type="pct"/>
            <w:shd w:val="clear" w:color="auto" w:fill="auto"/>
            <w:vAlign w:val="center"/>
          </w:tcPr>
          <w:p w14:paraId="3996BC2E">
            <w:pPr>
              <w:adjustRightInd w:val="0"/>
              <w:snapToGrid w:val="0"/>
              <w:jc w:val="center"/>
              <w:rPr>
                <w:rFonts w:eastAsia="等线"/>
                <w:kern w:val="0"/>
                <w:szCs w:val="21"/>
                <w:lang w:bidi="ar"/>
              </w:rPr>
            </w:pPr>
            <w:r>
              <w:rPr>
                <w:rFonts w:eastAsia="等线"/>
                <w:sz w:val="22"/>
                <w:szCs w:val="22"/>
              </w:rPr>
              <w:t>58</w:t>
            </w:r>
          </w:p>
        </w:tc>
        <w:tc>
          <w:tcPr>
            <w:tcW w:w="325" w:type="pct"/>
            <w:shd w:val="clear" w:color="auto" w:fill="auto"/>
            <w:vAlign w:val="center"/>
          </w:tcPr>
          <w:p w14:paraId="4B1F1D82">
            <w:pPr>
              <w:adjustRightInd w:val="0"/>
              <w:snapToGrid w:val="0"/>
              <w:jc w:val="center"/>
              <w:rPr>
                <w:rFonts w:eastAsia="等线"/>
                <w:kern w:val="0"/>
                <w:szCs w:val="21"/>
                <w:lang w:bidi="ar"/>
              </w:rPr>
            </w:pPr>
            <w:r>
              <w:rPr>
                <w:rFonts w:eastAsia="等线"/>
                <w:sz w:val="22"/>
                <w:szCs w:val="22"/>
              </w:rPr>
              <w:t>56</w:t>
            </w:r>
          </w:p>
        </w:tc>
        <w:tc>
          <w:tcPr>
            <w:tcW w:w="325" w:type="pct"/>
            <w:shd w:val="clear" w:color="auto" w:fill="auto"/>
            <w:vAlign w:val="center"/>
          </w:tcPr>
          <w:p w14:paraId="0695C990">
            <w:pPr>
              <w:adjustRightInd w:val="0"/>
              <w:snapToGrid w:val="0"/>
              <w:jc w:val="center"/>
              <w:rPr>
                <w:rFonts w:eastAsia="等线"/>
                <w:kern w:val="0"/>
                <w:szCs w:val="21"/>
                <w:lang w:bidi="ar"/>
              </w:rPr>
            </w:pPr>
            <w:r>
              <w:rPr>
                <w:rFonts w:eastAsia="等线"/>
                <w:sz w:val="22"/>
                <w:szCs w:val="22"/>
              </w:rPr>
              <w:t>52</w:t>
            </w:r>
          </w:p>
        </w:tc>
        <w:tc>
          <w:tcPr>
            <w:tcW w:w="326" w:type="pct"/>
            <w:shd w:val="clear" w:color="auto" w:fill="auto"/>
            <w:vAlign w:val="center"/>
          </w:tcPr>
          <w:p w14:paraId="6358245D">
            <w:pPr>
              <w:adjustRightInd w:val="0"/>
              <w:snapToGrid w:val="0"/>
              <w:jc w:val="center"/>
              <w:rPr>
                <w:rFonts w:eastAsia="等线"/>
                <w:kern w:val="0"/>
                <w:szCs w:val="21"/>
                <w:lang w:bidi="ar"/>
              </w:rPr>
            </w:pPr>
            <w:r>
              <w:rPr>
                <w:rFonts w:eastAsia="等线"/>
                <w:sz w:val="22"/>
                <w:szCs w:val="22"/>
              </w:rPr>
              <w:t>50</w:t>
            </w:r>
          </w:p>
        </w:tc>
        <w:tc>
          <w:tcPr>
            <w:tcW w:w="325" w:type="pct"/>
            <w:shd w:val="clear" w:color="auto" w:fill="auto"/>
            <w:vAlign w:val="center"/>
          </w:tcPr>
          <w:p w14:paraId="2584A679">
            <w:pPr>
              <w:adjustRightInd w:val="0"/>
              <w:snapToGrid w:val="0"/>
              <w:jc w:val="center"/>
              <w:rPr>
                <w:rFonts w:eastAsia="等线"/>
                <w:kern w:val="0"/>
                <w:szCs w:val="21"/>
                <w:lang w:bidi="ar"/>
              </w:rPr>
            </w:pPr>
            <w:r>
              <w:rPr>
                <w:rFonts w:eastAsia="等线"/>
                <w:sz w:val="22"/>
                <w:szCs w:val="22"/>
              </w:rPr>
              <w:t>46</w:t>
            </w:r>
          </w:p>
        </w:tc>
        <w:tc>
          <w:tcPr>
            <w:tcW w:w="326" w:type="pct"/>
            <w:shd w:val="clear" w:color="auto" w:fill="auto"/>
            <w:vAlign w:val="center"/>
          </w:tcPr>
          <w:p w14:paraId="76D8BFEF">
            <w:pPr>
              <w:adjustRightInd w:val="0"/>
              <w:snapToGrid w:val="0"/>
              <w:jc w:val="center"/>
              <w:rPr>
                <w:rFonts w:eastAsia="等线"/>
                <w:kern w:val="0"/>
                <w:szCs w:val="21"/>
                <w:lang w:bidi="ar"/>
              </w:rPr>
            </w:pPr>
            <w:r>
              <w:rPr>
                <w:rFonts w:eastAsia="等线"/>
                <w:sz w:val="22"/>
                <w:szCs w:val="22"/>
              </w:rPr>
              <w:t>44</w:t>
            </w:r>
          </w:p>
        </w:tc>
      </w:tr>
      <w:tr w14:paraId="3F6F8D2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2FC8A5A6">
            <w:pPr>
              <w:adjustRightInd w:val="0"/>
              <w:snapToGrid w:val="0"/>
              <w:jc w:val="center"/>
              <w:rPr>
                <w:szCs w:val="21"/>
                <w:lang w:bidi="ar"/>
              </w:rPr>
            </w:pPr>
          </w:p>
        </w:tc>
        <w:tc>
          <w:tcPr>
            <w:tcW w:w="813" w:type="pct"/>
            <w:shd w:val="clear" w:color="auto" w:fill="auto"/>
            <w:vAlign w:val="center"/>
          </w:tcPr>
          <w:p w14:paraId="0F2E8A02">
            <w:pPr>
              <w:adjustRightInd w:val="0"/>
              <w:snapToGrid w:val="0"/>
              <w:jc w:val="center"/>
              <w:rPr>
                <w:szCs w:val="21"/>
                <w:lang w:bidi="ar"/>
              </w:rPr>
            </w:pPr>
            <w:r>
              <w:rPr>
                <w:rFonts w:hint="eastAsia"/>
                <w:szCs w:val="21"/>
              </w:rPr>
              <w:t>装载机</w:t>
            </w:r>
          </w:p>
        </w:tc>
        <w:tc>
          <w:tcPr>
            <w:tcW w:w="325" w:type="pct"/>
            <w:shd w:val="clear" w:color="auto" w:fill="auto"/>
            <w:vAlign w:val="center"/>
          </w:tcPr>
          <w:p w14:paraId="4BB9DD94">
            <w:pPr>
              <w:adjustRightInd w:val="0"/>
              <w:snapToGrid w:val="0"/>
              <w:jc w:val="center"/>
              <w:rPr>
                <w:szCs w:val="21"/>
                <w:lang w:bidi="ar"/>
              </w:rPr>
            </w:pPr>
            <w:r>
              <w:rPr>
                <w:rFonts w:eastAsia="等线"/>
                <w:szCs w:val="21"/>
              </w:rPr>
              <w:t>93</w:t>
            </w:r>
          </w:p>
        </w:tc>
        <w:tc>
          <w:tcPr>
            <w:tcW w:w="325" w:type="pct"/>
            <w:shd w:val="clear" w:color="auto" w:fill="auto"/>
            <w:vAlign w:val="center"/>
          </w:tcPr>
          <w:p w14:paraId="65659CA0">
            <w:pPr>
              <w:adjustRightInd w:val="0"/>
              <w:snapToGrid w:val="0"/>
              <w:jc w:val="center"/>
              <w:rPr>
                <w:rFonts w:eastAsia="等线"/>
                <w:kern w:val="0"/>
                <w:szCs w:val="21"/>
                <w:lang w:bidi="ar"/>
              </w:rPr>
            </w:pPr>
            <w:r>
              <w:rPr>
                <w:rFonts w:eastAsia="等线"/>
                <w:sz w:val="22"/>
                <w:szCs w:val="22"/>
              </w:rPr>
              <w:t>87</w:t>
            </w:r>
          </w:p>
        </w:tc>
        <w:tc>
          <w:tcPr>
            <w:tcW w:w="326" w:type="pct"/>
            <w:shd w:val="clear" w:color="auto" w:fill="auto"/>
            <w:vAlign w:val="center"/>
          </w:tcPr>
          <w:p w14:paraId="4674FC5C">
            <w:pPr>
              <w:adjustRightInd w:val="0"/>
              <w:snapToGrid w:val="0"/>
              <w:jc w:val="center"/>
              <w:rPr>
                <w:rFonts w:eastAsia="等线"/>
                <w:kern w:val="0"/>
                <w:szCs w:val="21"/>
                <w:lang w:bidi="ar"/>
              </w:rPr>
            </w:pPr>
            <w:r>
              <w:rPr>
                <w:rFonts w:eastAsia="等线"/>
                <w:sz w:val="22"/>
                <w:szCs w:val="22"/>
              </w:rPr>
              <w:t>81</w:t>
            </w:r>
          </w:p>
        </w:tc>
        <w:tc>
          <w:tcPr>
            <w:tcW w:w="325" w:type="pct"/>
            <w:shd w:val="clear" w:color="auto" w:fill="auto"/>
            <w:vAlign w:val="center"/>
          </w:tcPr>
          <w:p w14:paraId="21BB1620">
            <w:pPr>
              <w:adjustRightInd w:val="0"/>
              <w:snapToGrid w:val="0"/>
              <w:jc w:val="center"/>
              <w:rPr>
                <w:rFonts w:eastAsia="等线"/>
                <w:kern w:val="0"/>
                <w:szCs w:val="21"/>
                <w:lang w:bidi="ar"/>
              </w:rPr>
            </w:pPr>
            <w:r>
              <w:rPr>
                <w:rFonts w:eastAsia="等线"/>
                <w:sz w:val="22"/>
                <w:szCs w:val="22"/>
              </w:rPr>
              <w:t>75</w:t>
            </w:r>
          </w:p>
        </w:tc>
        <w:tc>
          <w:tcPr>
            <w:tcW w:w="325" w:type="pct"/>
            <w:shd w:val="clear" w:color="auto" w:fill="auto"/>
            <w:vAlign w:val="center"/>
          </w:tcPr>
          <w:p w14:paraId="3940620F">
            <w:pPr>
              <w:adjustRightInd w:val="0"/>
              <w:snapToGrid w:val="0"/>
              <w:jc w:val="center"/>
              <w:rPr>
                <w:rFonts w:eastAsia="等线"/>
                <w:kern w:val="0"/>
                <w:szCs w:val="21"/>
                <w:lang w:bidi="ar"/>
              </w:rPr>
            </w:pPr>
            <w:r>
              <w:rPr>
                <w:rFonts w:eastAsia="等线"/>
                <w:sz w:val="22"/>
                <w:szCs w:val="22"/>
              </w:rPr>
              <w:t>71</w:t>
            </w:r>
          </w:p>
        </w:tc>
        <w:tc>
          <w:tcPr>
            <w:tcW w:w="326" w:type="pct"/>
            <w:shd w:val="clear" w:color="auto" w:fill="auto"/>
            <w:vAlign w:val="center"/>
          </w:tcPr>
          <w:p w14:paraId="70E4E142">
            <w:pPr>
              <w:adjustRightInd w:val="0"/>
              <w:snapToGrid w:val="0"/>
              <w:jc w:val="center"/>
              <w:rPr>
                <w:rFonts w:eastAsia="等线"/>
                <w:kern w:val="0"/>
                <w:szCs w:val="21"/>
                <w:lang w:bidi="ar"/>
              </w:rPr>
            </w:pPr>
            <w:r>
              <w:rPr>
                <w:rFonts w:eastAsia="等线"/>
                <w:sz w:val="22"/>
                <w:szCs w:val="22"/>
              </w:rPr>
              <w:t>69</w:t>
            </w:r>
          </w:p>
        </w:tc>
        <w:tc>
          <w:tcPr>
            <w:tcW w:w="325" w:type="pct"/>
            <w:shd w:val="clear" w:color="auto" w:fill="auto"/>
            <w:vAlign w:val="center"/>
          </w:tcPr>
          <w:p w14:paraId="195802AF">
            <w:pPr>
              <w:adjustRightInd w:val="0"/>
              <w:snapToGrid w:val="0"/>
              <w:jc w:val="center"/>
              <w:rPr>
                <w:rFonts w:eastAsia="等线"/>
                <w:kern w:val="0"/>
                <w:szCs w:val="21"/>
                <w:lang w:bidi="ar"/>
              </w:rPr>
            </w:pPr>
            <w:r>
              <w:rPr>
                <w:rFonts w:eastAsia="等线"/>
                <w:sz w:val="22"/>
                <w:szCs w:val="22"/>
              </w:rPr>
              <w:t>67</w:t>
            </w:r>
          </w:p>
        </w:tc>
        <w:tc>
          <w:tcPr>
            <w:tcW w:w="325" w:type="pct"/>
            <w:shd w:val="clear" w:color="auto" w:fill="auto"/>
            <w:vAlign w:val="center"/>
          </w:tcPr>
          <w:p w14:paraId="50F2472F">
            <w:pPr>
              <w:adjustRightInd w:val="0"/>
              <w:snapToGrid w:val="0"/>
              <w:jc w:val="center"/>
              <w:rPr>
                <w:rFonts w:eastAsia="等线"/>
                <w:kern w:val="0"/>
                <w:szCs w:val="21"/>
                <w:lang w:bidi="ar"/>
              </w:rPr>
            </w:pPr>
            <w:r>
              <w:rPr>
                <w:rFonts w:eastAsia="等线"/>
                <w:sz w:val="22"/>
                <w:szCs w:val="22"/>
              </w:rPr>
              <w:t>63</w:t>
            </w:r>
          </w:p>
        </w:tc>
        <w:tc>
          <w:tcPr>
            <w:tcW w:w="326" w:type="pct"/>
            <w:shd w:val="clear" w:color="auto" w:fill="auto"/>
            <w:vAlign w:val="center"/>
          </w:tcPr>
          <w:p w14:paraId="34FD602C">
            <w:pPr>
              <w:adjustRightInd w:val="0"/>
              <w:snapToGrid w:val="0"/>
              <w:jc w:val="center"/>
              <w:rPr>
                <w:rFonts w:eastAsia="等线"/>
                <w:kern w:val="0"/>
                <w:szCs w:val="21"/>
                <w:lang w:bidi="ar"/>
              </w:rPr>
            </w:pPr>
            <w:r>
              <w:rPr>
                <w:rFonts w:eastAsia="等线"/>
                <w:sz w:val="22"/>
                <w:szCs w:val="22"/>
              </w:rPr>
              <w:t>61</w:t>
            </w:r>
          </w:p>
        </w:tc>
        <w:tc>
          <w:tcPr>
            <w:tcW w:w="325" w:type="pct"/>
            <w:shd w:val="clear" w:color="auto" w:fill="auto"/>
            <w:vAlign w:val="center"/>
          </w:tcPr>
          <w:p w14:paraId="1A66888D">
            <w:pPr>
              <w:adjustRightInd w:val="0"/>
              <w:snapToGrid w:val="0"/>
              <w:jc w:val="center"/>
              <w:rPr>
                <w:rFonts w:eastAsia="等线"/>
                <w:kern w:val="0"/>
                <w:szCs w:val="21"/>
                <w:lang w:bidi="ar"/>
              </w:rPr>
            </w:pPr>
            <w:r>
              <w:rPr>
                <w:rFonts w:eastAsia="等线"/>
                <w:sz w:val="22"/>
                <w:szCs w:val="22"/>
              </w:rPr>
              <w:t>57</w:t>
            </w:r>
          </w:p>
        </w:tc>
        <w:tc>
          <w:tcPr>
            <w:tcW w:w="326" w:type="pct"/>
            <w:shd w:val="clear" w:color="auto" w:fill="auto"/>
            <w:vAlign w:val="center"/>
          </w:tcPr>
          <w:p w14:paraId="719821CC">
            <w:pPr>
              <w:adjustRightInd w:val="0"/>
              <w:snapToGrid w:val="0"/>
              <w:jc w:val="center"/>
              <w:rPr>
                <w:rFonts w:eastAsia="等线"/>
                <w:kern w:val="0"/>
                <w:szCs w:val="21"/>
                <w:lang w:bidi="ar"/>
              </w:rPr>
            </w:pPr>
            <w:r>
              <w:rPr>
                <w:rFonts w:eastAsia="等线"/>
                <w:sz w:val="22"/>
                <w:szCs w:val="22"/>
              </w:rPr>
              <w:t>55</w:t>
            </w:r>
          </w:p>
        </w:tc>
      </w:tr>
      <w:tr w14:paraId="3700B9A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restart"/>
            <w:shd w:val="clear" w:color="auto" w:fill="auto"/>
            <w:vAlign w:val="center"/>
          </w:tcPr>
          <w:p w14:paraId="37CBEE88">
            <w:pPr>
              <w:adjustRightInd w:val="0"/>
              <w:snapToGrid w:val="0"/>
              <w:jc w:val="center"/>
              <w:rPr>
                <w:szCs w:val="21"/>
                <w:lang w:bidi="ar"/>
              </w:rPr>
            </w:pPr>
            <w:r>
              <w:rPr>
                <w:szCs w:val="21"/>
                <w:lang w:bidi="ar"/>
              </w:rPr>
              <w:t>路面施工</w:t>
            </w:r>
          </w:p>
        </w:tc>
        <w:tc>
          <w:tcPr>
            <w:tcW w:w="813" w:type="pct"/>
            <w:shd w:val="clear" w:color="auto" w:fill="auto"/>
            <w:vAlign w:val="center"/>
          </w:tcPr>
          <w:p w14:paraId="3DF66FDF">
            <w:pPr>
              <w:adjustRightInd w:val="0"/>
              <w:snapToGrid w:val="0"/>
              <w:jc w:val="center"/>
              <w:rPr>
                <w:szCs w:val="21"/>
                <w:lang w:bidi="ar"/>
              </w:rPr>
            </w:pPr>
            <w:r>
              <w:rPr>
                <w:rFonts w:hint="eastAsia"/>
                <w:szCs w:val="21"/>
              </w:rPr>
              <w:t>平地机</w:t>
            </w:r>
          </w:p>
        </w:tc>
        <w:tc>
          <w:tcPr>
            <w:tcW w:w="325" w:type="pct"/>
            <w:shd w:val="clear" w:color="auto" w:fill="auto"/>
            <w:vAlign w:val="center"/>
          </w:tcPr>
          <w:p w14:paraId="7DA25BA7">
            <w:pPr>
              <w:adjustRightInd w:val="0"/>
              <w:snapToGrid w:val="0"/>
              <w:jc w:val="center"/>
              <w:rPr>
                <w:szCs w:val="21"/>
                <w:lang w:bidi="ar"/>
              </w:rPr>
            </w:pPr>
            <w:r>
              <w:rPr>
                <w:rFonts w:eastAsia="等线"/>
                <w:szCs w:val="21"/>
              </w:rPr>
              <w:t>93</w:t>
            </w:r>
          </w:p>
        </w:tc>
        <w:tc>
          <w:tcPr>
            <w:tcW w:w="325" w:type="pct"/>
            <w:shd w:val="clear" w:color="auto" w:fill="auto"/>
            <w:vAlign w:val="center"/>
          </w:tcPr>
          <w:p w14:paraId="621D5849">
            <w:pPr>
              <w:adjustRightInd w:val="0"/>
              <w:snapToGrid w:val="0"/>
              <w:jc w:val="center"/>
              <w:rPr>
                <w:rFonts w:eastAsia="等线"/>
                <w:kern w:val="0"/>
                <w:szCs w:val="21"/>
                <w:lang w:bidi="ar"/>
              </w:rPr>
            </w:pPr>
            <w:r>
              <w:rPr>
                <w:rFonts w:eastAsia="等线"/>
                <w:sz w:val="22"/>
                <w:szCs w:val="22"/>
              </w:rPr>
              <w:t>87</w:t>
            </w:r>
          </w:p>
        </w:tc>
        <w:tc>
          <w:tcPr>
            <w:tcW w:w="326" w:type="pct"/>
            <w:shd w:val="clear" w:color="auto" w:fill="auto"/>
            <w:vAlign w:val="center"/>
          </w:tcPr>
          <w:p w14:paraId="7C935976">
            <w:pPr>
              <w:adjustRightInd w:val="0"/>
              <w:snapToGrid w:val="0"/>
              <w:jc w:val="center"/>
              <w:rPr>
                <w:rFonts w:eastAsia="等线"/>
                <w:kern w:val="0"/>
                <w:szCs w:val="21"/>
                <w:lang w:bidi="ar"/>
              </w:rPr>
            </w:pPr>
            <w:r>
              <w:rPr>
                <w:rFonts w:eastAsia="等线"/>
                <w:sz w:val="22"/>
                <w:szCs w:val="22"/>
              </w:rPr>
              <w:t>81</w:t>
            </w:r>
          </w:p>
        </w:tc>
        <w:tc>
          <w:tcPr>
            <w:tcW w:w="325" w:type="pct"/>
            <w:shd w:val="clear" w:color="auto" w:fill="auto"/>
            <w:vAlign w:val="center"/>
          </w:tcPr>
          <w:p w14:paraId="24038BB3">
            <w:pPr>
              <w:adjustRightInd w:val="0"/>
              <w:snapToGrid w:val="0"/>
              <w:jc w:val="center"/>
              <w:rPr>
                <w:rFonts w:eastAsia="等线"/>
                <w:kern w:val="0"/>
                <w:szCs w:val="21"/>
                <w:lang w:bidi="ar"/>
              </w:rPr>
            </w:pPr>
            <w:r>
              <w:rPr>
                <w:rFonts w:eastAsia="等线"/>
                <w:sz w:val="22"/>
                <w:szCs w:val="22"/>
              </w:rPr>
              <w:t>75</w:t>
            </w:r>
          </w:p>
        </w:tc>
        <w:tc>
          <w:tcPr>
            <w:tcW w:w="325" w:type="pct"/>
            <w:shd w:val="clear" w:color="auto" w:fill="auto"/>
            <w:vAlign w:val="center"/>
          </w:tcPr>
          <w:p w14:paraId="0E0025D6">
            <w:pPr>
              <w:adjustRightInd w:val="0"/>
              <w:snapToGrid w:val="0"/>
              <w:jc w:val="center"/>
              <w:rPr>
                <w:rFonts w:eastAsia="等线"/>
                <w:kern w:val="0"/>
                <w:szCs w:val="21"/>
                <w:lang w:bidi="ar"/>
              </w:rPr>
            </w:pPr>
            <w:r>
              <w:rPr>
                <w:rFonts w:eastAsia="等线"/>
                <w:sz w:val="22"/>
                <w:szCs w:val="22"/>
              </w:rPr>
              <w:t>71</w:t>
            </w:r>
          </w:p>
        </w:tc>
        <w:tc>
          <w:tcPr>
            <w:tcW w:w="326" w:type="pct"/>
            <w:shd w:val="clear" w:color="auto" w:fill="auto"/>
            <w:vAlign w:val="center"/>
          </w:tcPr>
          <w:p w14:paraId="578D6290">
            <w:pPr>
              <w:adjustRightInd w:val="0"/>
              <w:snapToGrid w:val="0"/>
              <w:jc w:val="center"/>
              <w:rPr>
                <w:rFonts w:eastAsia="等线"/>
                <w:kern w:val="0"/>
                <w:szCs w:val="21"/>
                <w:lang w:bidi="ar"/>
              </w:rPr>
            </w:pPr>
            <w:r>
              <w:rPr>
                <w:rFonts w:eastAsia="等线"/>
                <w:sz w:val="22"/>
                <w:szCs w:val="22"/>
              </w:rPr>
              <w:t>69</w:t>
            </w:r>
          </w:p>
        </w:tc>
        <w:tc>
          <w:tcPr>
            <w:tcW w:w="325" w:type="pct"/>
            <w:shd w:val="clear" w:color="auto" w:fill="auto"/>
            <w:vAlign w:val="center"/>
          </w:tcPr>
          <w:p w14:paraId="6C088468">
            <w:pPr>
              <w:adjustRightInd w:val="0"/>
              <w:snapToGrid w:val="0"/>
              <w:jc w:val="center"/>
              <w:rPr>
                <w:rFonts w:eastAsia="等线"/>
                <w:kern w:val="0"/>
                <w:szCs w:val="21"/>
                <w:lang w:bidi="ar"/>
              </w:rPr>
            </w:pPr>
            <w:r>
              <w:rPr>
                <w:rFonts w:eastAsia="等线"/>
                <w:sz w:val="22"/>
                <w:szCs w:val="22"/>
              </w:rPr>
              <w:t>67</w:t>
            </w:r>
          </w:p>
        </w:tc>
        <w:tc>
          <w:tcPr>
            <w:tcW w:w="325" w:type="pct"/>
            <w:shd w:val="clear" w:color="auto" w:fill="auto"/>
            <w:vAlign w:val="center"/>
          </w:tcPr>
          <w:p w14:paraId="0D6882DA">
            <w:pPr>
              <w:adjustRightInd w:val="0"/>
              <w:snapToGrid w:val="0"/>
              <w:jc w:val="center"/>
              <w:rPr>
                <w:rFonts w:eastAsia="等线"/>
                <w:kern w:val="0"/>
                <w:szCs w:val="21"/>
                <w:lang w:bidi="ar"/>
              </w:rPr>
            </w:pPr>
            <w:r>
              <w:rPr>
                <w:rFonts w:eastAsia="等线"/>
                <w:sz w:val="22"/>
                <w:szCs w:val="22"/>
              </w:rPr>
              <w:t>63</w:t>
            </w:r>
          </w:p>
        </w:tc>
        <w:tc>
          <w:tcPr>
            <w:tcW w:w="326" w:type="pct"/>
            <w:shd w:val="clear" w:color="auto" w:fill="auto"/>
            <w:vAlign w:val="center"/>
          </w:tcPr>
          <w:p w14:paraId="7A3CEB14">
            <w:pPr>
              <w:adjustRightInd w:val="0"/>
              <w:snapToGrid w:val="0"/>
              <w:jc w:val="center"/>
              <w:rPr>
                <w:rFonts w:eastAsia="等线"/>
                <w:kern w:val="0"/>
                <w:szCs w:val="21"/>
                <w:lang w:bidi="ar"/>
              </w:rPr>
            </w:pPr>
            <w:r>
              <w:rPr>
                <w:rFonts w:eastAsia="等线"/>
                <w:sz w:val="22"/>
                <w:szCs w:val="22"/>
              </w:rPr>
              <w:t>61</w:t>
            </w:r>
          </w:p>
        </w:tc>
        <w:tc>
          <w:tcPr>
            <w:tcW w:w="325" w:type="pct"/>
            <w:shd w:val="clear" w:color="auto" w:fill="auto"/>
            <w:vAlign w:val="center"/>
          </w:tcPr>
          <w:p w14:paraId="4EF3FCFF">
            <w:pPr>
              <w:adjustRightInd w:val="0"/>
              <w:snapToGrid w:val="0"/>
              <w:jc w:val="center"/>
              <w:rPr>
                <w:rFonts w:eastAsia="等线"/>
                <w:kern w:val="0"/>
                <w:szCs w:val="21"/>
                <w:lang w:bidi="ar"/>
              </w:rPr>
            </w:pPr>
            <w:r>
              <w:rPr>
                <w:rFonts w:eastAsia="等线"/>
                <w:sz w:val="22"/>
                <w:szCs w:val="22"/>
              </w:rPr>
              <w:t>57</w:t>
            </w:r>
          </w:p>
        </w:tc>
        <w:tc>
          <w:tcPr>
            <w:tcW w:w="326" w:type="pct"/>
            <w:shd w:val="clear" w:color="auto" w:fill="auto"/>
            <w:vAlign w:val="center"/>
          </w:tcPr>
          <w:p w14:paraId="3D93D62F">
            <w:pPr>
              <w:adjustRightInd w:val="0"/>
              <w:snapToGrid w:val="0"/>
              <w:jc w:val="center"/>
              <w:rPr>
                <w:rFonts w:eastAsia="等线"/>
                <w:kern w:val="0"/>
                <w:szCs w:val="21"/>
                <w:lang w:bidi="ar"/>
              </w:rPr>
            </w:pPr>
            <w:r>
              <w:rPr>
                <w:rFonts w:eastAsia="等线"/>
                <w:sz w:val="22"/>
                <w:szCs w:val="22"/>
              </w:rPr>
              <w:t>55</w:t>
            </w:r>
          </w:p>
        </w:tc>
      </w:tr>
      <w:tr w14:paraId="21D0DE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2F21BA37">
            <w:pPr>
              <w:adjustRightInd w:val="0"/>
              <w:snapToGrid w:val="0"/>
              <w:jc w:val="center"/>
              <w:rPr>
                <w:szCs w:val="21"/>
                <w:lang w:bidi="ar"/>
              </w:rPr>
            </w:pPr>
          </w:p>
        </w:tc>
        <w:tc>
          <w:tcPr>
            <w:tcW w:w="813" w:type="pct"/>
            <w:shd w:val="clear" w:color="auto" w:fill="auto"/>
            <w:vAlign w:val="center"/>
          </w:tcPr>
          <w:p w14:paraId="6C28F2A7">
            <w:pPr>
              <w:adjustRightInd w:val="0"/>
              <w:snapToGrid w:val="0"/>
              <w:jc w:val="center"/>
              <w:rPr>
                <w:szCs w:val="21"/>
                <w:lang w:bidi="ar"/>
              </w:rPr>
            </w:pPr>
            <w:r>
              <w:rPr>
                <w:rFonts w:hint="eastAsia"/>
                <w:szCs w:val="21"/>
              </w:rPr>
              <w:t>沥青摊铺机</w:t>
            </w:r>
          </w:p>
        </w:tc>
        <w:tc>
          <w:tcPr>
            <w:tcW w:w="325" w:type="pct"/>
            <w:shd w:val="clear" w:color="auto" w:fill="auto"/>
            <w:vAlign w:val="center"/>
          </w:tcPr>
          <w:p w14:paraId="69917283">
            <w:pPr>
              <w:adjustRightInd w:val="0"/>
              <w:snapToGrid w:val="0"/>
              <w:jc w:val="center"/>
              <w:rPr>
                <w:szCs w:val="21"/>
                <w:lang w:bidi="ar"/>
              </w:rPr>
            </w:pPr>
            <w:r>
              <w:rPr>
                <w:rFonts w:eastAsia="等线"/>
                <w:szCs w:val="21"/>
              </w:rPr>
              <w:t>87</w:t>
            </w:r>
          </w:p>
        </w:tc>
        <w:tc>
          <w:tcPr>
            <w:tcW w:w="325" w:type="pct"/>
            <w:shd w:val="clear" w:color="auto" w:fill="auto"/>
            <w:vAlign w:val="center"/>
          </w:tcPr>
          <w:p w14:paraId="6870A587">
            <w:pPr>
              <w:adjustRightInd w:val="0"/>
              <w:snapToGrid w:val="0"/>
              <w:jc w:val="center"/>
              <w:rPr>
                <w:rFonts w:eastAsia="等线"/>
                <w:kern w:val="0"/>
                <w:szCs w:val="21"/>
                <w:lang w:bidi="ar"/>
              </w:rPr>
            </w:pPr>
            <w:r>
              <w:rPr>
                <w:rFonts w:eastAsia="等线"/>
                <w:sz w:val="22"/>
                <w:szCs w:val="22"/>
              </w:rPr>
              <w:t>81</w:t>
            </w:r>
          </w:p>
        </w:tc>
        <w:tc>
          <w:tcPr>
            <w:tcW w:w="326" w:type="pct"/>
            <w:shd w:val="clear" w:color="auto" w:fill="auto"/>
            <w:vAlign w:val="center"/>
          </w:tcPr>
          <w:p w14:paraId="09554B5F">
            <w:pPr>
              <w:adjustRightInd w:val="0"/>
              <w:snapToGrid w:val="0"/>
              <w:jc w:val="center"/>
              <w:rPr>
                <w:rFonts w:eastAsia="等线"/>
                <w:kern w:val="0"/>
                <w:szCs w:val="21"/>
                <w:lang w:bidi="ar"/>
              </w:rPr>
            </w:pPr>
            <w:r>
              <w:rPr>
                <w:rFonts w:eastAsia="等线"/>
                <w:sz w:val="22"/>
                <w:szCs w:val="22"/>
              </w:rPr>
              <w:t>75</w:t>
            </w:r>
          </w:p>
        </w:tc>
        <w:tc>
          <w:tcPr>
            <w:tcW w:w="325" w:type="pct"/>
            <w:shd w:val="clear" w:color="auto" w:fill="auto"/>
            <w:vAlign w:val="center"/>
          </w:tcPr>
          <w:p w14:paraId="64B6E2F1">
            <w:pPr>
              <w:adjustRightInd w:val="0"/>
              <w:snapToGrid w:val="0"/>
              <w:jc w:val="center"/>
              <w:rPr>
                <w:rFonts w:eastAsia="等线"/>
                <w:kern w:val="0"/>
                <w:szCs w:val="21"/>
                <w:lang w:bidi="ar"/>
              </w:rPr>
            </w:pPr>
            <w:r>
              <w:rPr>
                <w:rFonts w:eastAsia="等线"/>
                <w:sz w:val="22"/>
                <w:szCs w:val="22"/>
              </w:rPr>
              <w:t>69</w:t>
            </w:r>
          </w:p>
        </w:tc>
        <w:tc>
          <w:tcPr>
            <w:tcW w:w="325" w:type="pct"/>
            <w:shd w:val="clear" w:color="auto" w:fill="auto"/>
            <w:vAlign w:val="center"/>
          </w:tcPr>
          <w:p w14:paraId="72F31B47">
            <w:pPr>
              <w:adjustRightInd w:val="0"/>
              <w:snapToGrid w:val="0"/>
              <w:jc w:val="center"/>
              <w:rPr>
                <w:rFonts w:eastAsia="等线"/>
                <w:kern w:val="0"/>
                <w:szCs w:val="21"/>
                <w:lang w:bidi="ar"/>
              </w:rPr>
            </w:pPr>
            <w:r>
              <w:rPr>
                <w:rFonts w:eastAsia="等线"/>
                <w:sz w:val="22"/>
                <w:szCs w:val="22"/>
              </w:rPr>
              <w:t>65</w:t>
            </w:r>
          </w:p>
        </w:tc>
        <w:tc>
          <w:tcPr>
            <w:tcW w:w="326" w:type="pct"/>
            <w:shd w:val="clear" w:color="auto" w:fill="auto"/>
            <w:vAlign w:val="center"/>
          </w:tcPr>
          <w:p w14:paraId="0128668D">
            <w:pPr>
              <w:adjustRightInd w:val="0"/>
              <w:snapToGrid w:val="0"/>
              <w:jc w:val="center"/>
              <w:rPr>
                <w:rFonts w:eastAsia="等线"/>
                <w:kern w:val="0"/>
                <w:szCs w:val="21"/>
                <w:lang w:bidi="ar"/>
              </w:rPr>
            </w:pPr>
            <w:r>
              <w:rPr>
                <w:rFonts w:eastAsia="等线"/>
                <w:sz w:val="22"/>
                <w:szCs w:val="22"/>
              </w:rPr>
              <w:t>63</w:t>
            </w:r>
          </w:p>
        </w:tc>
        <w:tc>
          <w:tcPr>
            <w:tcW w:w="325" w:type="pct"/>
            <w:shd w:val="clear" w:color="auto" w:fill="auto"/>
            <w:vAlign w:val="center"/>
          </w:tcPr>
          <w:p w14:paraId="6EE1CA86">
            <w:pPr>
              <w:adjustRightInd w:val="0"/>
              <w:snapToGrid w:val="0"/>
              <w:jc w:val="center"/>
              <w:rPr>
                <w:rFonts w:eastAsia="等线"/>
                <w:kern w:val="0"/>
                <w:szCs w:val="21"/>
                <w:lang w:bidi="ar"/>
              </w:rPr>
            </w:pPr>
            <w:r>
              <w:rPr>
                <w:rFonts w:eastAsia="等线"/>
                <w:sz w:val="22"/>
                <w:szCs w:val="22"/>
              </w:rPr>
              <w:t>61</w:t>
            </w:r>
          </w:p>
        </w:tc>
        <w:tc>
          <w:tcPr>
            <w:tcW w:w="325" w:type="pct"/>
            <w:shd w:val="clear" w:color="auto" w:fill="auto"/>
            <w:vAlign w:val="center"/>
          </w:tcPr>
          <w:p w14:paraId="5800ABE6">
            <w:pPr>
              <w:adjustRightInd w:val="0"/>
              <w:snapToGrid w:val="0"/>
              <w:jc w:val="center"/>
              <w:rPr>
                <w:rFonts w:eastAsia="等线"/>
                <w:kern w:val="0"/>
                <w:szCs w:val="21"/>
                <w:lang w:bidi="ar"/>
              </w:rPr>
            </w:pPr>
            <w:r>
              <w:rPr>
                <w:rFonts w:eastAsia="等线"/>
                <w:sz w:val="22"/>
                <w:szCs w:val="22"/>
              </w:rPr>
              <w:t>57</w:t>
            </w:r>
          </w:p>
        </w:tc>
        <w:tc>
          <w:tcPr>
            <w:tcW w:w="326" w:type="pct"/>
            <w:shd w:val="clear" w:color="auto" w:fill="auto"/>
            <w:vAlign w:val="center"/>
          </w:tcPr>
          <w:p w14:paraId="5BD1BC62">
            <w:pPr>
              <w:adjustRightInd w:val="0"/>
              <w:snapToGrid w:val="0"/>
              <w:jc w:val="center"/>
              <w:rPr>
                <w:rFonts w:eastAsia="等线"/>
                <w:kern w:val="0"/>
                <w:szCs w:val="21"/>
                <w:lang w:bidi="ar"/>
              </w:rPr>
            </w:pPr>
            <w:r>
              <w:rPr>
                <w:rFonts w:eastAsia="等线"/>
                <w:sz w:val="22"/>
                <w:szCs w:val="22"/>
              </w:rPr>
              <w:t>55</w:t>
            </w:r>
          </w:p>
        </w:tc>
        <w:tc>
          <w:tcPr>
            <w:tcW w:w="325" w:type="pct"/>
            <w:shd w:val="clear" w:color="auto" w:fill="auto"/>
            <w:vAlign w:val="center"/>
          </w:tcPr>
          <w:p w14:paraId="50389A46">
            <w:pPr>
              <w:adjustRightInd w:val="0"/>
              <w:snapToGrid w:val="0"/>
              <w:jc w:val="center"/>
              <w:rPr>
                <w:rFonts w:eastAsia="等线"/>
                <w:kern w:val="0"/>
                <w:szCs w:val="21"/>
                <w:lang w:bidi="ar"/>
              </w:rPr>
            </w:pPr>
            <w:r>
              <w:rPr>
                <w:rFonts w:eastAsia="等线"/>
                <w:sz w:val="22"/>
                <w:szCs w:val="22"/>
              </w:rPr>
              <w:t>51</w:t>
            </w:r>
          </w:p>
        </w:tc>
        <w:tc>
          <w:tcPr>
            <w:tcW w:w="326" w:type="pct"/>
            <w:shd w:val="clear" w:color="auto" w:fill="auto"/>
            <w:vAlign w:val="center"/>
          </w:tcPr>
          <w:p w14:paraId="4C9B9D3E">
            <w:pPr>
              <w:adjustRightInd w:val="0"/>
              <w:snapToGrid w:val="0"/>
              <w:jc w:val="center"/>
              <w:rPr>
                <w:rFonts w:eastAsia="等线"/>
                <w:kern w:val="0"/>
                <w:szCs w:val="21"/>
                <w:lang w:bidi="ar"/>
              </w:rPr>
            </w:pPr>
            <w:r>
              <w:rPr>
                <w:rFonts w:eastAsia="等线"/>
                <w:sz w:val="22"/>
                <w:szCs w:val="22"/>
              </w:rPr>
              <w:t>49</w:t>
            </w:r>
          </w:p>
        </w:tc>
      </w:tr>
      <w:tr w14:paraId="2A5F2EA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2E852BAA">
            <w:pPr>
              <w:adjustRightInd w:val="0"/>
              <w:snapToGrid w:val="0"/>
              <w:jc w:val="center"/>
              <w:rPr>
                <w:szCs w:val="21"/>
                <w:lang w:bidi="ar"/>
              </w:rPr>
            </w:pPr>
          </w:p>
        </w:tc>
        <w:tc>
          <w:tcPr>
            <w:tcW w:w="813" w:type="pct"/>
            <w:shd w:val="clear" w:color="auto" w:fill="auto"/>
            <w:vAlign w:val="center"/>
          </w:tcPr>
          <w:p w14:paraId="25354421">
            <w:pPr>
              <w:adjustRightInd w:val="0"/>
              <w:snapToGrid w:val="0"/>
              <w:jc w:val="center"/>
              <w:rPr>
                <w:szCs w:val="21"/>
              </w:rPr>
            </w:pPr>
            <w:r>
              <w:rPr>
                <w:rFonts w:hint="eastAsia"/>
                <w:szCs w:val="21"/>
              </w:rPr>
              <w:t>压路机</w:t>
            </w:r>
          </w:p>
        </w:tc>
        <w:tc>
          <w:tcPr>
            <w:tcW w:w="679" w:type="dxa"/>
            <w:shd w:val="clear" w:color="auto" w:fill="auto"/>
            <w:vAlign w:val="center"/>
          </w:tcPr>
          <w:p w14:paraId="557F0D71">
            <w:pPr>
              <w:widowControl/>
              <w:jc w:val="center"/>
              <w:textAlignment w:val="center"/>
              <w:rPr>
                <w:szCs w:val="21"/>
                <w:lang w:bidi="ar"/>
              </w:rPr>
            </w:pPr>
            <w:r>
              <w:rPr>
                <w:rFonts w:eastAsia="等线"/>
                <w:kern w:val="0"/>
                <w:sz w:val="20"/>
                <w:szCs w:val="20"/>
                <w:lang w:bidi="ar"/>
              </w:rPr>
              <w:t>80</w:t>
            </w:r>
          </w:p>
        </w:tc>
        <w:tc>
          <w:tcPr>
            <w:tcW w:w="680" w:type="dxa"/>
            <w:shd w:val="clear" w:color="auto" w:fill="auto"/>
            <w:vAlign w:val="center"/>
          </w:tcPr>
          <w:p w14:paraId="068F0B9B">
            <w:pPr>
              <w:widowControl/>
              <w:jc w:val="center"/>
              <w:textAlignment w:val="center"/>
              <w:rPr>
                <w:rFonts w:eastAsia="等线"/>
                <w:kern w:val="0"/>
                <w:szCs w:val="21"/>
                <w:lang w:bidi="ar"/>
              </w:rPr>
            </w:pPr>
            <w:r>
              <w:rPr>
                <w:rFonts w:eastAsia="等线"/>
                <w:kern w:val="0"/>
                <w:sz w:val="22"/>
                <w:szCs w:val="22"/>
                <w:lang w:bidi="ar"/>
              </w:rPr>
              <w:t>74</w:t>
            </w:r>
          </w:p>
        </w:tc>
        <w:tc>
          <w:tcPr>
            <w:tcW w:w="682" w:type="dxa"/>
            <w:shd w:val="clear" w:color="auto" w:fill="auto"/>
            <w:vAlign w:val="center"/>
          </w:tcPr>
          <w:p w14:paraId="439D7277">
            <w:pPr>
              <w:widowControl/>
              <w:jc w:val="center"/>
              <w:textAlignment w:val="center"/>
              <w:rPr>
                <w:rFonts w:eastAsia="等线"/>
                <w:kern w:val="0"/>
                <w:szCs w:val="21"/>
                <w:lang w:bidi="ar"/>
              </w:rPr>
            </w:pPr>
            <w:r>
              <w:rPr>
                <w:rFonts w:eastAsia="等线"/>
                <w:kern w:val="0"/>
                <w:sz w:val="22"/>
                <w:szCs w:val="22"/>
                <w:lang w:bidi="ar"/>
              </w:rPr>
              <w:t>68</w:t>
            </w:r>
          </w:p>
        </w:tc>
        <w:tc>
          <w:tcPr>
            <w:tcW w:w="680" w:type="dxa"/>
            <w:shd w:val="clear" w:color="auto" w:fill="auto"/>
            <w:vAlign w:val="center"/>
          </w:tcPr>
          <w:p w14:paraId="5982E986">
            <w:pPr>
              <w:widowControl/>
              <w:jc w:val="center"/>
              <w:textAlignment w:val="center"/>
              <w:rPr>
                <w:rFonts w:eastAsia="等线"/>
                <w:kern w:val="0"/>
                <w:szCs w:val="21"/>
                <w:lang w:bidi="ar"/>
              </w:rPr>
            </w:pPr>
            <w:r>
              <w:rPr>
                <w:rFonts w:eastAsia="等线"/>
                <w:kern w:val="0"/>
                <w:sz w:val="22"/>
                <w:szCs w:val="22"/>
                <w:lang w:bidi="ar"/>
              </w:rPr>
              <w:t>62</w:t>
            </w:r>
          </w:p>
        </w:tc>
        <w:tc>
          <w:tcPr>
            <w:tcW w:w="680" w:type="dxa"/>
            <w:shd w:val="clear" w:color="auto" w:fill="auto"/>
            <w:vAlign w:val="center"/>
          </w:tcPr>
          <w:p w14:paraId="43F1BB80">
            <w:pPr>
              <w:widowControl/>
              <w:jc w:val="center"/>
              <w:textAlignment w:val="center"/>
              <w:rPr>
                <w:rFonts w:eastAsia="等线"/>
                <w:kern w:val="0"/>
                <w:szCs w:val="21"/>
                <w:lang w:bidi="ar"/>
              </w:rPr>
            </w:pPr>
            <w:r>
              <w:rPr>
                <w:rFonts w:eastAsia="等线"/>
                <w:kern w:val="0"/>
                <w:sz w:val="22"/>
                <w:szCs w:val="22"/>
                <w:lang w:bidi="ar"/>
              </w:rPr>
              <w:t>58</w:t>
            </w:r>
          </w:p>
        </w:tc>
        <w:tc>
          <w:tcPr>
            <w:tcW w:w="682" w:type="dxa"/>
            <w:shd w:val="clear" w:color="auto" w:fill="auto"/>
            <w:vAlign w:val="center"/>
          </w:tcPr>
          <w:p w14:paraId="2186E3D2">
            <w:pPr>
              <w:widowControl/>
              <w:jc w:val="center"/>
              <w:textAlignment w:val="center"/>
              <w:rPr>
                <w:rFonts w:eastAsia="等线"/>
                <w:kern w:val="0"/>
                <w:szCs w:val="21"/>
                <w:lang w:bidi="ar"/>
              </w:rPr>
            </w:pPr>
            <w:r>
              <w:rPr>
                <w:rFonts w:eastAsia="等线"/>
                <w:kern w:val="0"/>
                <w:sz w:val="22"/>
                <w:szCs w:val="22"/>
                <w:lang w:bidi="ar"/>
              </w:rPr>
              <w:t>56</w:t>
            </w:r>
          </w:p>
        </w:tc>
        <w:tc>
          <w:tcPr>
            <w:tcW w:w="680" w:type="dxa"/>
            <w:shd w:val="clear" w:color="auto" w:fill="auto"/>
            <w:vAlign w:val="center"/>
          </w:tcPr>
          <w:p w14:paraId="6CCC8DD6">
            <w:pPr>
              <w:widowControl/>
              <w:jc w:val="center"/>
              <w:textAlignment w:val="center"/>
              <w:rPr>
                <w:rFonts w:eastAsia="等线"/>
                <w:kern w:val="0"/>
                <w:szCs w:val="21"/>
                <w:lang w:bidi="ar"/>
              </w:rPr>
            </w:pPr>
            <w:r>
              <w:rPr>
                <w:rFonts w:eastAsia="等线"/>
                <w:kern w:val="0"/>
                <w:sz w:val="22"/>
                <w:szCs w:val="22"/>
                <w:lang w:bidi="ar"/>
              </w:rPr>
              <w:t>54</w:t>
            </w:r>
          </w:p>
        </w:tc>
        <w:tc>
          <w:tcPr>
            <w:tcW w:w="680" w:type="dxa"/>
            <w:shd w:val="clear" w:color="auto" w:fill="auto"/>
            <w:vAlign w:val="center"/>
          </w:tcPr>
          <w:p w14:paraId="33C3E3D8">
            <w:pPr>
              <w:widowControl/>
              <w:jc w:val="center"/>
              <w:textAlignment w:val="center"/>
              <w:rPr>
                <w:rFonts w:eastAsia="等线"/>
                <w:kern w:val="0"/>
                <w:szCs w:val="21"/>
                <w:lang w:bidi="ar"/>
              </w:rPr>
            </w:pPr>
            <w:r>
              <w:rPr>
                <w:rFonts w:eastAsia="等线"/>
                <w:kern w:val="0"/>
                <w:sz w:val="22"/>
                <w:szCs w:val="22"/>
                <w:lang w:bidi="ar"/>
              </w:rPr>
              <w:t>50</w:t>
            </w:r>
          </w:p>
        </w:tc>
        <w:tc>
          <w:tcPr>
            <w:tcW w:w="682" w:type="dxa"/>
            <w:shd w:val="clear" w:color="auto" w:fill="auto"/>
            <w:vAlign w:val="center"/>
          </w:tcPr>
          <w:p w14:paraId="585E4E74">
            <w:pPr>
              <w:widowControl/>
              <w:jc w:val="center"/>
              <w:textAlignment w:val="center"/>
              <w:rPr>
                <w:rFonts w:eastAsia="等线"/>
                <w:kern w:val="0"/>
                <w:szCs w:val="21"/>
                <w:lang w:bidi="ar"/>
              </w:rPr>
            </w:pPr>
            <w:r>
              <w:rPr>
                <w:rFonts w:eastAsia="等线"/>
                <w:kern w:val="0"/>
                <w:sz w:val="22"/>
                <w:szCs w:val="22"/>
                <w:lang w:bidi="ar"/>
              </w:rPr>
              <w:t>48</w:t>
            </w:r>
          </w:p>
        </w:tc>
        <w:tc>
          <w:tcPr>
            <w:tcW w:w="680" w:type="dxa"/>
            <w:shd w:val="clear" w:color="auto" w:fill="auto"/>
            <w:vAlign w:val="center"/>
          </w:tcPr>
          <w:p w14:paraId="3EE81070">
            <w:pPr>
              <w:widowControl/>
              <w:jc w:val="center"/>
              <w:textAlignment w:val="center"/>
              <w:rPr>
                <w:rFonts w:eastAsia="等线"/>
                <w:kern w:val="0"/>
                <w:szCs w:val="21"/>
                <w:lang w:bidi="ar"/>
              </w:rPr>
            </w:pPr>
            <w:r>
              <w:rPr>
                <w:rFonts w:eastAsia="等线"/>
                <w:kern w:val="0"/>
                <w:sz w:val="22"/>
                <w:szCs w:val="22"/>
                <w:lang w:bidi="ar"/>
              </w:rPr>
              <w:t>44</w:t>
            </w:r>
          </w:p>
        </w:tc>
        <w:tc>
          <w:tcPr>
            <w:tcW w:w="682" w:type="dxa"/>
            <w:shd w:val="clear" w:color="auto" w:fill="auto"/>
            <w:vAlign w:val="center"/>
          </w:tcPr>
          <w:p w14:paraId="1A23C798">
            <w:pPr>
              <w:widowControl/>
              <w:jc w:val="center"/>
              <w:textAlignment w:val="center"/>
              <w:rPr>
                <w:rFonts w:eastAsia="等线"/>
                <w:kern w:val="0"/>
                <w:szCs w:val="21"/>
                <w:lang w:bidi="ar"/>
              </w:rPr>
            </w:pPr>
            <w:r>
              <w:rPr>
                <w:rFonts w:eastAsia="等线"/>
                <w:kern w:val="0"/>
                <w:sz w:val="22"/>
                <w:szCs w:val="22"/>
                <w:lang w:bidi="ar"/>
              </w:rPr>
              <w:t>42</w:t>
            </w:r>
          </w:p>
        </w:tc>
      </w:tr>
      <w:tr w14:paraId="5875132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7552DF94">
            <w:pPr>
              <w:adjustRightInd w:val="0"/>
              <w:snapToGrid w:val="0"/>
              <w:jc w:val="center"/>
              <w:rPr>
                <w:szCs w:val="21"/>
                <w:lang w:bidi="ar"/>
              </w:rPr>
            </w:pPr>
          </w:p>
        </w:tc>
        <w:tc>
          <w:tcPr>
            <w:tcW w:w="813" w:type="pct"/>
            <w:shd w:val="clear" w:color="auto" w:fill="auto"/>
            <w:vAlign w:val="center"/>
          </w:tcPr>
          <w:p w14:paraId="2268247C">
            <w:pPr>
              <w:adjustRightInd w:val="0"/>
              <w:snapToGrid w:val="0"/>
              <w:jc w:val="center"/>
              <w:rPr>
                <w:szCs w:val="21"/>
              </w:rPr>
            </w:pPr>
            <w:r>
              <w:rPr>
                <w:rFonts w:hint="eastAsia"/>
                <w:szCs w:val="21"/>
              </w:rPr>
              <w:t>振动夯锤</w:t>
            </w:r>
          </w:p>
        </w:tc>
        <w:tc>
          <w:tcPr>
            <w:tcW w:w="325" w:type="pct"/>
            <w:shd w:val="clear" w:color="auto" w:fill="auto"/>
            <w:vAlign w:val="center"/>
          </w:tcPr>
          <w:p w14:paraId="36D6A60D">
            <w:pPr>
              <w:adjustRightInd w:val="0"/>
              <w:snapToGrid w:val="0"/>
              <w:jc w:val="center"/>
              <w:rPr>
                <w:szCs w:val="21"/>
                <w:lang w:bidi="ar"/>
              </w:rPr>
            </w:pPr>
            <w:r>
              <w:rPr>
                <w:rFonts w:eastAsia="等线"/>
                <w:szCs w:val="21"/>
              </w:rPr>
              <w:t>93</w:t>
            </w:r>
          </w:p>
        </w:tc>
        <w:tc>
          <w:tcPr>
            <w:tcW w:w="325" w:type="pct"/>
            <w:shd w:val="clear" w:color="auto" w:fill="auto"/>
            <w:vAlign w:val="center"/>
          </w:tcPr>
          <w:p w14:paraId="3DC4D258">
            <w:pPr>
              <w:adjustRightInd w:val="0"/>
              <w:snapToGrid w:val="0"/>
              <w:jc w:val="center"/>
              <w:rPr>
                <w:rFonts w:eastAsia="等线"/>
                <w:kern w:val="0"/>
                <w:szCs w:val="21"/>
                <w:lang w:bidi="ar"/>
              </w:rPr>
            </w:pPr>
            <w:r>
              <w:rPr>
                <w:rFonts w:eastAsia="等线"/>
                <w:sz w:val="22"/>
                <w:szCs w:val="22"/>
              </w:rPr>
              <w:t>87</w:t>
            </w:r>
          </w:p>
        </w:tc>
        <w:tc>
          <w:tcPr>
            <w:tcW w:w="326" w:type="pct"/>
            <w:shd w:val="clear" w:color="auto" w:fill="auto"/>
            <w:vAlign w:val="center"/>
          </w:tcPr>
          <w:p w14:paraId="21BB70D6">
            <w:pPr>
              <w:adjustRightInd w:val="0"/>
              <w:snapToGrid w:val="0"/>
              <w:jc w:val="center"/>
              <w:rPr>
                <w:rFonts w:eastAsia="等线"/>
                <w:kern w:val="0"/>
                <w:szCs w:val="21"/>
                <w:lang w:bidi="ar"/>
              </w:rPr>
            </w:pPr>
            <w:r>
              <w:rPr>
                <w:rFonts w:eastAsia="等线"/>
                <w:sz w:val="22"/>
                <w:szCs w:val="22"/>
              </w:rPr>
              <w:t>81</w:t>
            </w:r>
          </w:p>
        </w:tc>
        <w:tc>
          <w:tcPr>
            <w:tcW w:w="325" w:type="pct"/>
            <w:shd w:val="clear" w:color="auto" w:fill="auto"/>
            <w:vAlign w:val="center"/>
          </w:tcPr>
          <w:p w14:paraId="6DC5FD61">
            <w:pPr>
              <w:adjustRightInd w:val="0"/>
              <w:snapToGrid w:val="0"/>
              <w:jc w:val="center"/>
              <w:rPr>
                <w:rFonts w:eastAsia="等线"/>
                <w:kern w:val="0"/>
                <w:szCs w:val="21"/>
                <w:lang w:bidi="ar"/>
              </w:rPr>
            </w:pPr>
            <w:r>
              <w:rPr>
                <w:rFonts w:eastAsia="等线"/>
                <w:sz w:val="22"/>
                <w:szCs w:val="22"/>
              </w:rPr>
              <w:t>75</w:t>
            </w:r>
          </w:p>
        </w:tc>
        <w:tc>
          <w:tcPr>
            <w:tcW w:w="325" w:type="pct"/>
            <w:shd w:val="clear" w:color="auto" w:fill="auto"/>
            <w:vAlign w:val="center"/>
          </w:tcPr>
          <w:p w14:paraId="03B7BB74">
            <w:pPr>
              <w:adjustRightInd w:val="0"/>
              <w:snapToGrid w:val="0"/>
              <w:jc w:val="center"/>
              <w:rPr>
                <w:rFonts w:eastAsia="等线"/>
                <w:kern w:val="0"/>
                <w:szCs w:val="21"/>
                <w:lang w:bidi="ar"/>
              </w:rPr>
            </w:pPr>
            <w:r>
              <w:rPr>
                <w:rFonts w:eastAsia="等线"/>
                <w:sz w:val="22"/>
                <w:szCs w:val="22"/>
              </w:rPr>
              <w:t>71</w:t>
            </w:r>
          </w:p>
        </w:tc>
        <w:tc>
          <w:tcPr>
            <w:tcW w:w="326" w:type="pct"/>
            <w:shd w:val="clear" w:color="auto" w:fill="auto"/>
            <w:vAlign w:val="center"/>
          </w:tcPr>
          <w:p w14:paraId="4CD6CEE5">
            <w:pPr>
              <w:adjustRightInd w:val="0"/>
              <w:snapToGrid w:val="0"/>
              <w:jc w:val="center"/>
              <w:rPr>
                <w:rFonts w:eastAsia="等线"/>
                <w:kern w:val="0"/>
                <w:szCs w:val="21"/>
                <w:lang w:bidi="ar"/>
              </w:rPr>
            </w:pPr>
            <w:r>
              <w:rPr>
                <w:rFonts w:eastAsia="等线"/>
                <w:sz w:val="22"/>
                <w:szCs w:val="22"/>
              </w:rPr>
              <w:t>69</w:t>
            </w:r>
          </w:p>
        </w:tc>
        <w:tc>
          <w:tcPr>
            <w:tcW w:w="325" w:type="pct"/>
            <w:shd w:val="clear" w:color="auto" w:fill="auto"/>
            <w:vAlign w:val="center"/>
          </w:tcPr>
          <w:p w14:paraId="425656F0">
            <w:pPr>
              <w:adjustRightInd w:val="0"/>
              <w:snapToGrid w:val="0"/>
              <w:jc w:val="center"/>
              <w:rPr>
                <w:rFonts w:eastAsia="等线"/>
                <w:kern w:val="0"/>
                <w:szCs w:val="21"/>
                <w:lang w:bidi="ar"/>
              </w:rPr>
            </w:pPr>
            <w:r>
              <w:rPr>
                <w:rFonts w:eastAsia="等线"/>
                <w:sz w:val="22"/>
                <w:szCs w:val="22"/>
              </w:rPr>
              <w:t>67</w:t>
            </w:r>
          </w:p>
        </w:tc>
        <w:tc>
          <w:tcPr>
            <w:tcW w:w="325" w:type="pct"/>
            <w:shd w:val="clear" w:color="auto" w:fill="auto"/>
            <w:vAlign w:val="center"/>
          </w:tcPr>
          <w:p w14:paraId="465A5289">
            <w:pPr>
              <w:adjustRightInd w:val="0"/>
              <w:snapToGrid w:val="0"/>
              <w:jc w:val="center"/>
              <w:rPr>
                <w:rFonts w:eastAsia="等线"/>
                <w:kern w:val="0"/>
                <w:szCs w:val="21"/>
                <w:lang w:bidi="ar"/>
              </w:rPr>
            </w:pPr>
            <w:r>
              <w:rPr>
                <w:rFonts w:eastAsia="等线"/>
                <w:sz w:val="22"/>
                <w:szCs w:val="22"/>
              </w:rPr>
              <w:t>63</w:t>
            </w:r>
          </w:p>
        </w:tc>
        <w:tc>
          <w:tcPr>
            <w:tcW w:w="326" w:type="pct"/>
            <w:shd w:val="clear" w:color="auto" w:fill="auto"/>
            <w:vAlign w:val="center"/>
          </w:tcPr>
          <w:p w14:paraId="1E20714F">
            <w:pPr>
              <w:adjustRightInd w:val="0"/>
              <w:snapToGrid w:val="0"/>
              <w:jc w:val="center"/>
              <w:rPr>
                <w:rFonts w:eastAsia="等线"/>
                <w:kern w:val="0"/>
                <w:szCs w:val="21"/>
                <w:lang w:bidi="ar"/>
              </w:rPr>
            </w:pPr>
            <w:r>
              <w:rPr>
                <w:rFonts w:eastAsia="等线"/>
                <w:sz w:val="22"/>
                <w:szCs w:val="22"/>
              </w:rPr>
              <w:t>61</w:t>
            </w:r>
          </w:p>
        </w:tc>
        <w:tc>
          <w:tcPr>
            <w:tcW w:w="325" w:type="pct"/>
            <w:shd w:val="clear" w:color="auto" w:fill="auto"/>
            <w:vAlign w:val="center"/>
          </w:tcPr>
          <w:p w14:paraId="08DE1262">
            <w:pPr>
              <w:adjustRightInd w:val="0"/>
              <w:snapToGrid w:val="0"/>
              <w:jc w:val="center"/>
              <w:rPr>
                <w:rFonts w:eastAsia="等线"/>
                <w:kern w:val="0"/>
                <w:szCs w:val="21"/>
                <w:lang w:bidi="ar"/>
              </w:rPr>
            </w:pPr>
            <w:r>
              <w:rPr>
                <w:rFonts w:eastAsia="等线"/>
                <w:sz w:val="22"/>
                <w:szCs w:val="22"/>
              </w:rPr>
              <w:t>57</w:t>
            </w:r>
          </w:p>
        </w:tc>
        <w:tc>
          <w:tcPr>
            <w:tcW w:w="326" w:type="pct"/>
            <w:shd w:val="clear" w:color="auto" w:fill="auto"/>
            <w:vAlign w:val="center"/>
          </w:tcPr>
          <w:p w14:paraId="0F379986">
            <w:pPr>
              <w:adjustRightInd w:val="0"/>
              <w:snapToGrid w:val="0"/>
              <w:jc w:val="center"/>
              <w:rPr>
                <w:rFonts w:eastAsia="等线"/>
                <w:kern w:val="0"/>
                <w:szCs w:val="21"/>
                <w:lang w:bidi="ar"/>
              </w:rPr>
            </w:pPr>
            <w:r>
              <w:rPr>
                <w:rFonts w:eastAsia="等线"/>
                <w:sz w:val="22"/>
                <w:szCs w:val="22"/>
              </w:rPr>
              <w:t>55</w:t>
            </w:r>
          </w:p>
        </w:tc>
      </w:tr>
      <w:tr w14:paraId="70F91BE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734101F4">
            <w:pPr>
              <w:adjustRightInd w:val="0"/>
              <w:snapToGrid w:val="0"/>
              <w:jc w:val="center"/>
              <w:rPr>
                <w:szCs w:val="21"/>
                <w:lang w:bidi="ar"/>
              </w:rPr>
            </w:pPr>
          </w:p>
        </w:tc>
        <w:tc>
          <w:tcPr>
            <w:tcW w:w="813" w:type="pct"/>
            <w:shd w:val="clear" w:color="auto" w:fill="auto"/>
            <w:vAlign w:val="center"/>
          </w:tcPr>
          <w:p w14:paraId="087F2C53">
            <w:pPr>
              <w:adjustRightInd w:val="0"/>
              <w:snapToGrid w:val="0"/>
              <w:jc w:val="center"/>
              <w:rPr>
                <w:szCs w:val="21"/>
                <w:lang w:bidi="ar"/>
              </w:rPr>
            </w:pPr>
            <w:r>
              <w:rPr>
                <w:rFonts w:hint="eastAsia"/>
                <w:szCs w:val="21"/>
              </w:rPr>
              <w:t>混凝土输送泵</w:t>
            </w:r>
          </w:p>
        </w:tc>
        <w:tc>
          <w:tcPr>
            <w:tcW w:w="325" w:type="pct"/>
            <w:shd w:val="clear" w:color="auto" w:fill="auto"/>
            <w:vAlign w:val="center"/>
          </w:tcPr>
          <w:p w14:paraId="31AF7DA0">
            <w:pPr>
              <w:adjustRightInd w:val="0"/>
              <w:snapToGrid w:val="0"/>
              <w:jc w:val="center"/>
              <w:rPr>
                <w:rFonts w:eastAsia="等线"/>
                <w:szCs w:val="21"/>
              </w:rPr>
            </w:pPr>
            <w:r>
              <w:rPr>
                <w:rFonts w:eastAsia="等线"/>
                <w:szCs w:val="21"/>
              </w:rPr>
              <w:t>88</w:t>
            </w:r>
          </w:p>
        </w:tc>
        <w:tc>
          <w:tcPr>
            <w:tcW w:w="325" w:type="pct"/>
            <w:shd w:val="clear" w:color="auto" w:fill="auto"/>
            <w:vAlign w:val="center"/>
          </w:tcPr>
          <w:p w14:paraId="38202AF0">
            <w:pPr>
              <w:adjustRightInd w:val="0"/>
              <w:snapToGrid w:val="0"/>
              <w:jc w:val="center"/>
              <w:rPr>
                <w:rFonts w:eastAsia="等线"/>
                <w:sz w:val="22"/>
              </w:rPr>
            </w:pPr>
            <w:r>
              <w:rPr>
                <w:rFonts w:eastAsia="等线"/>
                <w:sz w:val="22"/>
                <w:szCs w:val="22"/>
              </w:rPr>
              <w:t>82</w:t>
            </w:r>
          </w:p>
        </w:tc>
        <w:tc>
          <w:tcPr>
            <w:tcW w:w="326" w:type="pct"/>
            <w:shd w:val="clear" w:color="auto" w:fill="auto"/>
            <w:vAlign w:val="center"/>
          </w:tcPr>
          <w:p w14:paraId="19C7966F">
            <w:pPr>
              <w:adjustRightInd w:val="0"/>
              <w:snapToGrid w:val="0"/>
              <w:jc w:val="center"/>
              <w:rPr>
                <w:rFonts w:eastAsia="等线"/>
                <w:sz w:val="22"/>
              </w:rPr>
            </w:pPr>
            <w:r>
              <w:rPr>
                <w:rFonts w:eastAsia="等线"/>
                <w:sz w:val="22"/>
                <w:szCs w:val="22"/>
              </w:rPr>
              <w:t>76</w:t>
            </w:r>
          </w:p>
        </w:tc>
        <w:tc>
          <w:tcPr>
            <w:tcW w:w="325" w:type="pct"/>
            <w:shd w:val="clear" w:color="auto" w:fill="auto"/>
            <w:vAlign w:val="center"/>
          </w:tcPr>
          <w:p w14:paraId="1DDF4244">
            <w:pPr>
              <w:adjustRightInd w:val="0"/>
              <w:snapToGrid w:val="0"/>
              <w:jc w:val="center"/>
              <w:rPr>
                <w:rFonts w:eastAsia="等线"/>
                <w:sz w:val="22"/>
              </w:rPr>
            </w:pPr>
            <w:r>
              <w:rPr>
                <w:rFonts w:eastAsia="等线"/>
                <w:sz w:val="22"/>
                <w:szCs w:val="22"/>
              </w:rPr>
              <w:t>70</w:t>
            </w:r>
          </w:p>
        </w:tc>
        <w:tc>
          <w:tcPr>
            <w:tcW w:w="325" w:type="pct"/>
            <w:shd w:val="clear" w:color="auto" w:fill="auto"/>
            <w:vAlign w:val="center"/>
          </w:tcPr>
          <w:p w14:paraId="36D3DCC6">
            <w:pPr>
              <w:adjustRightInd w:val="0"/>
              <w:snapToGrid w:val="0"/>
              <w:jc w:val="center"/>
              <w:rPr>
                <w:rFonts w:eastAsia="等线"/>
                <w:sz w:val="22"/>
              </w:rPr>
            </w:pPr>
            <w:r>
              <w:rPr>
                <w:rFonts w:eastAsia="等线"/>
                <w:sz w:val="22"/>
                <w:szCs w:val="22"/>
              </w:rPr>
              <w:t>66</w:t>
            </w:r>
          </w:p>
        </w:tc>
        <w:tc>
          <w:tcPr>
            <w:tcW w:w="326" w:type="pct"/>
            <w:shd w:val="clear" w:color="auto" w:fill="auto"/>
            <w:vAlign w:val="center"/>
          </w:tcPr>
          <w:p w14:paraId="34BE1D8F">
            <w:pPr>
              <w:adjustRightInd w:val="0"/>
              <w:snapToGrid w:val="0"/>
              <w:jc w:val="center"/>
              <w:rPr>
                <w:rFonts w:eastAsia="等线"/>
                <w:sz w:val="22"/>
              </w:rPr>
            </w:pPr>
            <w:r>
              <w:rPr>
                <w:rFonts w:eastAsia="等线"/>
                <w:sz w:val="22"/>
                <w:szCs w:val="22"/>
              </w:rPr>
              <w:t>64</w:t>
            </w:r>
          </w:p>
        </w:tc>
        <w:tc>
          <w:tcPr>
            <w:tcW w:w="325" w:type="pct"/>
            <w:shd w:val="clear" w:color="auto" w:fill="auto"/>
            <w:vAlign w:val="center"/>
          </w:tcPr>
          <w:p w14:paraId="1F31E603">
            <w:pPr>
              <w:adjustRightInd w:val="0"/>
              <w:snapToGrid w:val="0"/>
              <w:jc w:val="center"/>
              <w:rPr>
                <w:rFonts w:eastAsia="等线"/>
                <w:sz w:val="22"/>
              </w:rPr>
            </w:pPr>
            <w:r>
              <w:rPr>
                <w:rFonts w:eastAsia="等线"/>
                <w:sz w:val="22"/>
                <w:szCs w:val="22"/>
              </w:rPr>
              <w:t>62</w:t>
            </w:r>
          </w:p>
        </w:tc>
        <w:tc>
          <w:tcPr>
            <w:tcW w:w="325" w:type="pct"/>
            <w:shd w:val="clear" w:color="auto" w:fill="auto"/>
            <w:vAlign w:val="center"/>
          </w:tcPr>
          <w:p w14:paraId="04AD6FCC">
            <w:pPr>
              <w:adjustRightInd w:val="0"/>
              <w:snapToGrid w:val="0"/>
              <w:jc w:val="center"/>
              <w:rPr>
                <w:rFonts w:eastAsia="等线"/>
                <w:sz w:val="22"/>
              </w:rPr>
            </w:pPr>
            <w:r>
              <w:rPr>
                <w:rFonts w:eastAsia="等线"/>
                <w:sz w:val="22"/>
                <w:szCs w:val="22"/>
              </w:rPr>
              <w:t>58</w:t>
            </w:r>
          </w:p>
        </w:tc>
        <w:tc>
          <w:tcPr>
            <w:tcW w:w="326" w:type="pct"/>
            <w:shd w:val="clear" w:color="auto" w:fill="auto"/>
            <w:vAlign w:val="center"/>
          </w:tcPr>
          <w:p w14:paraId="1F11C494">
            <w:pPr>
              <w:adjustRightInd w:val="0"/>
              <w:snapToGrid w:val="0"/>
              <w:jc w:val="center"/>
              <w:rPr>
                <w:rFonts w:eastAsia="等线"/>
                <w:sz w:val="22"/>
              </w:rPr>
            </w:pPr>
            <w:r>
              <w:rPr>
                <w:rFonts w:eastAsia="等线"/>
                <w:sz w:val="22"/>
                <w:szCs w:val="22"/>
              </w:rPr>
              <w:t>56</w:t>
            </w:r>
          </w:p>
        </w:tc>
        <w:tc>
          <w:tcPr>
            <w:tcW w:w="325" w:type="pct"/>
            <w:shd w:val="clear" w:color="auto" w:fill="auto"/>
            <w:vAlign w:val="center"/>
          </w:tcPr>
          <w:p w14:paraId="07185518">
            <w:pPr>
              <w:adjustRightInd w:val="0"/>
              <w:snapToGrid w:val="0"/>
              <w:jc w:val="center"/>
              <w:rPr>
                <w:rFonts w:eastAsia="等线"/>
                <w:sz w:val="22"/>
              </w:rPr>
            </w:pPr>
            <w:r>
              <w:rPr>
                <w:rFonts w:eastAsia="等线"/>
                <w:sz w:val="22"/>
                <w:szCs w:val="22"/>
              </w:rPr>
              <w:t>52</w:t>
            </w:r>
          </w:p>
        </w:tc>
        <w:tc>
          <w:tcPr>
            <w:tcW w:w="326" w:type="pct"/>
            <w:shd w:val="clear" w:color="auto" w:fill="auto"/>
            <w:vAlign w:val="center"/>
          </w:tcPr>
          <w:p w14:paraId="55A6FFB9">
            <w:pPr>
              <w:adjustRightInd w:val="0"/>
              <w:snapToGrid w:val="0"/>
              <w:jc w:val="center"/>
              <w:rPr>
                <w:rFonts w:eastAsia="等线"/>
                <w:sz w:val="22"/>
              </w:rPr>
            </w:pPr>
            <w:r>
              <w:rPr>
                <w:rFonts w:eastAsia="等线"/>
                <w:sz w:val="22"/>
                <w:szCs w:val="22"/>
              </w:rPr>
              <w:t>50</w:t>
            </w:r>
          </w:p>
        </w:tc>
      </w:tr>
      <w:tr w14:paraId="4F5F489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8" w:type="pct"/>
            <w:vMerge w:val="continue"/>
            <w:shd w:val="clear" w:color="auto" w:fill="auto"/>
            <w:vAlign w:val="center"/>
          </w:tcPr>
          <w:p w14:paraId="76CB0FAC">
            <w:pPr>
              <w:adjustRightInd w:val="0"/>
              <w:snapToGrid w:val="0"/>
              <w:jc w:val="center"/>
              <w:rPr>
                <w:szCs w:val="21"/>
                <w:lang w:bidi="ar"/>
              </w:rPr>
            </w:pPr>
          </w:p>
        </w:tc>
        <w:tc>
          <w:tcPr>
            <w:tcW w:w="813" w:type="pct"/>
            <w:shd w:val="clear" w:color="auto" w:fill="auto"/>
            <w:vAlign w:val="center"/>
          </w:tcPr>
          <w:p w14:paraId="2A3DF3D7">
            <w:pPr>
              <w:adjustRightInd w:val="0"/>
              <w:snapToGrid w:val="0"/>
              <w:jc w:val="center"/>
              <w:rPr>
                <w:szCs w:val="21"/>
                <w:lang w:bidi="ar"/>
              </w:rPr>
            </w:pPr>
            <w:r>
              <w:rPr>
                <w:rFonts w:hint="eastAsia"/>
                <w:szCs w:val="21"/>
              </w:rPr>
              <w:t>装载机</w:t>
            </w:r>
          </w:p>
        </w:tc>
        <w:tc>
          <w:tcPr>
            <w:tcW w:w="325" w:type="pct"/>
            <w:shd w:val="clear" w:color="auto" w:fill="auto"/>
            <w:vAlign w:val="center"/>
          </w:tcPr>
          <w:p w14:paraId="6E208F48">
            <w:pPr>
              <w:adjustRightInd w:val="0"/>
              <w:snapToGrid w:val="0"/>
              <w:jc w:val="center"/>
              <w:rPr>
                <w:rFonts w:eastAsia="等线"/>
                <w:szCs w:val="21"/>
              </w:rPr>
            </w:pPr>
            <w:r>
              <w:rPr>
                <w:rFonts w:eastAsia="等线"/>
                <w:szCs w:val="21"/>
              </w:rPr>
              <w:t>93</w:t>
            </w:r>
          </w:p>
        </w:tc>
        <w:tc>
          <w:tcPr>
            <w:tcW w:w="325" w:type="pct"/>
            <w:shd w:val="clear" w:color="auto" w:fill="auto"/>
            <w:vAlign w:val="center"/>
          </w:tcPr>
          <w:p w14:paraId="433C11C9">
            <w:pPr>
              <w:adjustRightInd w:val="0"/>
              <w:snapToGrid w:val="0"/>
              <w:jc w:val="center"/>
              <w:rPr>
                <w:rFonts w:eastAsia="等线"/>
                <w:sz w:val="22"/>
              </w:rPr>
            </w:pPr>
            <w:r>
              <w:rPr>
                <w:rFonts w:eastAsia="等线"/>
                <w:sz w:val="22"/>
                <w:szCs w:val="22"/>
              </w:rPr>
              <w:t>87</w:t>
            </w:r>
          </w:p>
        </w:tc>
        <w:tc>
          <w:tcPr>
            <w:tcW w:w="326" w:type="pct"/>
            <w:shd w:val="clear" w:color="auto" w:fill="auto"/>
            <w:vAlign w:val="center"/>
          </w:tcPr>
          <w:p w14:paraId="77687FB6">
            <w:pPr>
              <w:adjustRightInd w:val="0"/>
              <w:snapToGrid w:val="0"/>
              <w:jc w:val="center"/>
              <w:rPr>
                <w:rFonts w:eastAsia="等线"/>
                <w:sz w:val="22"/>
              </w:rPr>
            </w:pPr>
            <w:r>
              <w:rPr>
                <w:rFonts w:eastAsia="等线"/>
                <w:sz w:val="22"/>
                <w:szCs w:val="22"/>
              </w:rPr>
              <w:t>81</w:t>
            </w:r>
          </w:p>
        </w:tc>
        <w:tc>
          <w:tcPr>
            <w:tcW w:w="325" w:type="pct"/>
            <w:shd w:val="clear" w:color="auto" w:fill="auto"/>
            <w:vAlign w:val="center"/>
          </w:tcPr>
          <w:p w14:paraId="177292F4">
            <w:pPr>
              <w:adjustRightInd w:val="0"/>
              <w:snapToGrid w:val="0"/>
              <w:jc w:val="center"/>
              <w:rPr>
                <w:rFonts w:eastAsia="等线"/>
                <w:sz w:val="22"/>
              </w:rPr>
            </w:pPr>
            <w:r>
              <w:rPr>
                <w:rFonts w:eastAsia="等线"/>
                <w:sz w:val="22"/>
                <w:szCs w:val="22"/>
              </w:rPr>
              <w:t>75</w:t>
            </w:r>
          </w:p>
        </w:tc>
        <w:tc>
          <w:tcPr>
            <w:tcW w:w="325" w:type="pct"/>
            <w:shd w:val="clear" w:color="auto" w:fill="auto"/>
            <w:vAlign w:val="center"/>
          </w:tcPr>
          <w:p w14:paraId="59A2E9FC">
            <w:pPr>
              <w:adjustRightInd w:val="0"/>
              <w:snapToGrid w:val="0"/>
              <w:jc w:val="center"/>
              <w:rPr>
                <w:rFonts w:eastAsia="等线"/>
                <w:sz w:val="22"/>
              </w:rPr>
            </w:pPr>
            <w:r>
              <w:rPr>
                <w:rFonts w:eastAsia="等线"/>
                <w:sz w:val="22"/>
                <w:szCs w:val="22"/>
              </w:rPr>
              <w:t>71</w:t>
            </w:r>
          </w:p>
        </w:tc>
        <w:tc>
          <w:tcPr>
            <w:tcW w:w="326" w:type="pct"/>
            <w:shd w:val="clear" w:color="auto" w:fill="auto"/>
            <w:vAlign w:val="center"/>
          </w:tcPr>
          <w:p w14:paraId="66A42E10">
            <w:pPr>
              <w:adjustRightInd w:val="0"/>
              <w:snapToGrid w:val="0"/>
              <w:jc w:val="center"/>
              <w:rPr>
                <w:rFonts w:eastAsia="等线"/>
                <w:sz w:val="22"/>
              </w:rPr>
            </w:pPr>
            <w:r>
              <w:rPr>
                <w:rFonts w:eastAsia="等线"/>
                <w:sz w:val="22"/>
                <w:szCs w:val="22"/>
              </w:rPr>
              <w:t>69</w:t>
            </w:r>
          </w:p>
        </w:tc>
        <w:tc>
          <w:tcPr>
            <w:tcW w:w="325" w:type="pct"/>
            <w:shd w:val="clear" w:color="auto" w:fill="auto"/>
            <w:vAlign w:val="center"/>
          </w:tcPr>
          <w:p w14:paraId="73C23EE2">
            <w:pPr>
              <w:adjustRightInd w:val="0"/>
              <w:snapToGrid w:val="0"/>
              <w:jc w:val="center"/>
              <w:rPr>
                <w:rFonts w:eastAsia="等线"/>
                <w:sz w:val="22"/>
              </w:rPr>
            </w:pPr>
            <w:r>
              <w:rPr>
                <w:rFonts w:eastAsia="等线"/>
                <w:sz w:val="22"/>
                <w:szCs w:val="22"/>
              </w:rPr>
              <w:t>67</w:t>
            </w:r>
          </w:p>
        </w:tc>
        <w:tc>
          <w:tcPr>
            <w:tcW w:w="325" w:type="pct"/>
            <w:shd w:val="clear" w:color="auto" w:fill="auto"/>
            <w:vAlign w:val="center"/>
          </w:tcPr>
          <w:p w14:paraId="6F766A88">
            <w:pPr>
              <w:adjustRightInd w:val="0"/>
              <w:snapToGrid w:val="0"/>
              <w:jc w:val="center"/>
              <w:rPr>
                <w:rFonts w:eastAsia="等线"/>
                <w:sz w:val="22"/>
              </w:rPr>
            </w:pPr>
            <w:r>
              <w:rPr>
                <w:rFonts w:eastAsia="等线"/>
                <w:sz w:val="22"/>
                <w:szCs w:val="22"/>
              </w:rPr>
              <w:t>63</w:t>
            </w:r>
          </w:p>
        </w:tc>
        <w:tc>
          <w:tcPr>
            <w:tcW w:w="326" w:type="pct"/>
            <w:shd w:val="clear" w:color="auto" w:fill="auto"/>
            <w:vAlign w:val="center"/>
          </w:tcPr>
          <w:p w14:paraId="5839E7DF">
            <w:pPr>
              <w:adjustRightInd w:val="0"/>
              <w:snapToGrid w:val="0"/>
              <w:jc w:val="center"/>
              <w:rPr>
                <w:rFonts w:eastAsia="等线"/>
                <w:sz w:val="22"/>
              </w:rPr>
            </w:pPr>
            <w:r>
              <w:rPr>
                <w:rFonts w:eastAsia="等线"/>
                <w:sz w:val="22"/>
                <w:szCs w:val="22"/>
              </w:rPr>
              <w:t>61</w:t>
            </w:r>
          </w:p>
        </w:tc>
        <w:tc>
          <w:tcPr>
            <w:tcW w:w="325" w:type="pct"/>
            <w:shd w:val="clear" w:color="auto" w:fill="auto"/>
            <w:vAlign w:val="center"/>
          </w:tcPr>
          <w:p w14:paraId="522B8384">
            <w:pPr>
              <w:adjustRightInd w:val="0"/>
              <w:snapToGrid w:val="0"/>
              <w:jc w:val="center"/>
              <w:rPr>
                <w:rFonts w:eastAsia="等线"/>
                <w:sz w:val="22"/>
              </w:rPr>
            </w:pPr>
            <w:r>
              <w:rPr>
                <w:rFonts w:eastAsia="等线"/>
                <w:sz w:val="22"/>
                <w:szCs w:val="22"/>
              </w:rPr>
              <w:t>57</w:t>
            </w:r>
          </w:p>
        </w:tc>
        <w:tc>
          <w:tcPr>
            <w:tcW w:w="326" w:type="pct"/>
            <w:shd w:val="clear" w:color="auto" w:fill="auto"/>
            <w:vAlign w:val="center"/>
          </w:tcPr>
          <w:p w14:paraId="6155EF8C">
            <w:pPr>
              <w:adjustRightInd w:val="0"/>
              <w:snapToGrid w:val="0"/>
              <w:jc w:val="center"/>
              <w:rPr>
                <w:rFonts w:eastAsia="等线"/>
                <w:sz w:val="22"/>
              </w:rPr>
            </w:pPr>
            <w:r>
              <w:rPr>
                <w:rFonts w:eastAsia="等线"/>
                <w:sz w:val="22"/>
                <w:szCs w:val="22"/>
              </w:rPr>
              <w:t>55</w:t>
            </w:r>
          </w:p>
        </w:tc>
      </w:tr>
    </w:tbl>
    <w:p w14:paraId="5F19F897">
      <w:pPr>
        <w:spacing w:line="360" w:lineRule="auto"/>
        <w:ind w:firstLine="480" w:firstLineChars="200"/>
        <w:rPr>
          <w:b/>
          <w:szCs w:val="21"/>
          <w:lang w:bidi="ar"/>
        </w:rPr>
      </w:pPr>
      <w:r>
        <w:rPr>
          <w:sz w:val="24"/>
          <w:lang w:bidi="ar"/>
        </w:rPr>
        <w:t>考虑到实际施工过程中，单台设备运行情况较少，通常为多台施工机械同时操作。</w:t>
      </w:r>
      <w:r>
        <w:rPr>
          <w:rFonts w:hint="eastAsia"/>
          <w:sz w:val="24"/>
          <w:lang w:bidi="ar"/>
        </w:rPr>
        <w:t>根据实际作业情况，分施工阶段对上述施工机械设备同时使用时噪声影响进行预测</w:t>
      </w:r>
      <w:r>
        <w:rPr>
          <w:sz w:val="24"/>
          <w:lang w:bidi="ar"/>
        </w:rPr>
        <w:t>，具体预测结果见</w:t>
      </w:r>
      <w:r>
        <w:rPr>
          <w:rFonts w:hint="eastAsia"/>
          <w:sz w:val="24"/>
          <w:lang w:bidi="ar"/>
        </w:rPr>
        <w:t>下表</w:t>
      </w:r>
      <w:r>
        <w:rPr>
          <w:sz w:val="24"/>
          <w:lang w:bidi="ar"/>
        </w:rPr>
        <w:t>。</w:t>
      </w:r>
    </w:p>
    <w:p w14:paraId="25B561B2">
      <w:pPr>
        <w:spacing w:before="120" w:beforeLines="50" w:line="360" w:lineRule="auto"/>
        <w:jc w:val="center"/>
        <w:rPr>
          <w:b/>
          <w:bCs/>
          <w:kern w:val="0"/>
          <w:szCs w:val="21"/>
        </w:rPr>
      </w:pPr>
      <w:r>
        <w:rPr>
          <w:b/>
          <w:bCs/>
          <w:kern w:val="0"/>
          <w:szCs w:val="21"/>
        </w:rPr>
        <w:t>表4.1-3 施工期主要机械设备同时使用噪声叠加值</w:t>
      </w:r>
      <w:r>
        <w:rPr>
          <w:rFonts w:hint="eastAsia"/>
          <w:b/>
          <w:bCs/>
          <w:kern w:val="0"/>
          <w:szCs w:val="21"/>
        </w:rPr>
        <w:t>（单位：dB(A)）</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1"/>
        <w:gridCol w:w="786"/>
        <w:gridCol w:w="788"/>
        <w:gridCol w:w="786"/>
        <w:gridCol w:w="788"/>
        <w:gridCol w:w="788"/>
        <w:gridCol w:w="786"/>
        <w:gridCol w:w="788"/>
        <w:gridCol w:w="788"/>
        <w:gridCol w:w="787"/>
        <w:gridCol w:w="789"/>
        <w:gridCol w:w="787"/>
      </w:tblGrid>
      <w:tr w14:paraId="511425B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6" w:type="pct"/>
            <w:vMerge w:val="restart"/>
            <w:shd w:val="clear" w:color="auto" w:fill="auto"/>
            <w:vAlign w:val="center"/>
          </w:tcPr>
          <w:p w14:paraId="033329A0">
            <w:pPr>
              <w:adjustRightInd w:val="0"/>
              <w:snapToGrid w:val="0"/>
              <w:jc w:val="center"/>
              <w:rPr>
                <w:b/>
                <w:bCs/>
                <w:szCs w:val="21"/>
                <w:lang w:bidi="ar"/>
              </w:rPr>
            </w:pPr>
            <w:r>
              <w:rPr>
                <w:b/>
                <w:bCs/>
                <w:szCs w:val="21"/>
                <w:lang w:bidi="ar"/>
              </w:rPr>
              <w:t>施工阶段</w:t>
            </w:r>
          </w:p>
        </w:tc>
        <w:tc>
          <w:tcPr>
            <w:tcW w:w="4054" w:type="pct"/>
            <w:gridSpan w:val="11"/>
            <w:shd w:val="clear" w:color="auto" w:fill="auto"/>
            <w:vAlign w:val="center"/>
          </w:tcPr>
          <w:p w14:paraId="401B1DDC">
            <w:pPr>
              <w:adjustRightInd w:val="0"/>
              <w:snapToGrid w:val="0"/>
              <w:jc w:val="center"/>
              <w:rPr>
                <w:b/>
                <w:bCs/>
                <w:szCs w:val="21"/>
                <w:lang w:bidi="ar"/>
              </w:rPr>
            </w:pPr>
            <w:r>
              <w:rPr>
                <w:rFonts w:hint="eastAsia"/>
                <w:b/>
                <w:bCs/>
                <w:szCs w:val="21"/>
                <w:lang w:bidi="ar"/>
              </w:rPr>
              <w:t>距离施工点距离（</w:t>
            </w:r>
            <w:r>
              <w:rPr>
                <w:b/>
                <w:bCs/>
                <w:szCs w:val="21"/>
                <w:lang w:bidi="ar"/>
              </w:rPr>
              <w:t>m）</w:t>
            </w:r>
          </w:p>
        </w:tc>
      </w:tr>
      <w:tr w14:paraId="7F1BC89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6" w:type="pct"/>
            <w:vMerge w:val="continue"/>
            <w:shd w:val="clear" w:color="auto" w:fill="auto"/>
            <w:vAlign w:val="center"/>
          </w:tcPr>
          <w:p w14:paraId="409A024F">
            <w:pPr>
              <w:adjustRightInd w:val="0"/>
              <w:snapToGrid w:val="0"/>
              <w:jc w:val="center"/>
              <w:rPr>
                <w:b/>
                <w:bCs/>
                <w:szCs w:val="21"/>
                <w:lang w:bidi="ar"/>
              </w:rPr>
            </w:pPr>
          </w:p>
        </w:tc>
        <w:tc>
          <w:tcPr>
            <w:tcW w:w="368" w:type="pct"/>
            <w:shd w:val="clear" w:color="auto" w:fill="auto"/>
            <w:vAlign w:val="center"/>
          </w:tcPr>
          <w:p w14:paraId="35C9D799">
            <w:pPr>
              <w:adjustRightInd w:val="0"/>
              <w:snapToGrid w:val="0"/>
              <w:jc w:val="center"/>
              <w:rPr>
                <w:b/>
                <w:bCs/>
                <w:szCs w:val="21"/>
              </w:rPr>
            </w:pPr>
            <w:r>
              <w:rPr>
                <w:b/>
                <w:bCs/>
                <w:szCs w:val="21"/>
                <w:lang w:bidi="ar"/>
              </w:rPr>
              <w:t>5</w:t>
            </w:r>
          </w:p>
        </w:tc>
        <w:tc>
          <w:tcPr>
            <w:tcW w:w="369" w:type="pct"/>
            <w:shd w:val="clear" w:color="auto" w:fill="auto"/>
            <w:vAlign w:val="center"/>
          </w:tcPr>
          <w:p w14:paraId="08ECF0FB">
            <w:pPr>
              <w:adjustRightInd w:val="0"/>
              <w:snapToGrid w:val="0"/>
              <w:jc w:val="center"/>
              <w:rPr>
                <w:b/>
                <w:bCs/>
                <w:szCs w:val="21"/>
              </w:rPr>
            </w:pPr>
            <w:r>
              <w:rPr>
                <w:b/>
                <w:bCs/>
                <w:szCs w:val="21"/>
                <w:lang w:bidi="ar"/>
              </w:rPr>
              <w:t>10</w:t>
            </w:r>
          </w:p>
        </w:tc>
        <w:tc>
          <w:tcPr>
            <w:tcW w:w="368" w:type="pct"/>
            <w:shd w:val="clear" w:color="auto" w:fill="auto"/>
            <w:vAlign w:val="center"/>
          </w:tcPr>
          <w:p w14:paraId="0552D813">
            <w:pPr>
              <w:adjustRightInd w:val="0"/>
              <w:snapToGrid w:val="0"/>
              <w:jc w:val="center"/>
              <w:rPr>
                <w:b/>
                <w:bCs/>
                <w:szCs w:val="21"/>
              </w:rPr>
            </w:pPr>
            <w:r>
              <w:rPr>
                <w:b/>
                <w:bCs/>
                <w:szCs w:val="21"/>
                <w:lang w:bidi="ar"/>
              </w:rPr>
              <w:t>20</w:t>
            </w:r>
          </w:p>
        </w:tc>
        <w:tc>
          <w:tcPr>
            <w:tcW w:w="369" w:type="pct"/>
            <w:shd w:val="clear" w:color="auto" w:fill="auto"/>
            <w:vAlign w:val="center"/>
          </w:tcPr>
          <w:p w14:paraId="0416FE9C">
            <w:pPr>
              <w:adjustRightInd w:val="0"/>
              <w:snapToGrid w:val="0"/>
              <w:jc w:val="center"/>
              <w:rPr>
                <w:b/>
                <w:bCs/>
                <w:szCs w:val="21"/>
              </w:rPr>
            </w:pPr>
            <w:r>
              <w:rPr>
                <w:b/>
                <w:bCs/>
                <w:szCs w:val="21"/>
                <w:lang w:bidi="ar"/>
              </w:rPr>
              <w:t>40</w:t>
            </w:r>
          </w:p>
        </w:tc>
        <w:tc>
          <w:tcPr>
            <w:tcW w:w="369" w:type="pct"/>
            <w:shd w:val="clear" w:color="auto" w:fill="auto"/>
            <w:vAlign w:val="center"/>
          </w:tcPr>
          <w:p w14:paraId="652D7AAA">
            <w:pPr>
              <w:adjustRightInd w:val="0"/>
              <w:snapToGrid w:val="0"/>
              <w:jc w:val="center"/>
              <w:rPr>
                <w:b/>
                <w:bCs/>
                <w:szCs w:val="21"/>
              </w:rPr>
            </w:pPr>
            <w:r>
              <w:rPr>
                <w:b/>
                <w:bCs/>
                <w:szCs w:val="21"/>
                <w:lang w:bidi="ar"/>
              </w:rPr>
              <w:t>60</w:t>
            </w:r>
          </w:p>
        </w:tc>
        <w:tc>
          <w:tcPr>
            <w:tcW w:w="368" w:type="pct"/>
            <w:shd w:val="clear" w:color="auto" w:fill="auto"/>
            <w:vAlign w:val="center"/>
          </w:tcPr>
          <w:p w14:paraId="356A934C">
            <w:pPr>
              <w:adjustRightInd w:val="0"/>
              <w:snapToGrid w:val="0"/>
              <w:jc w:val="center"/>
              <w:rPr>
                <w:b/>
                <w:bCs/>
                <w:szCs w:val="21"/>
              </w:rPr>
            </w:pPr>
            <w:r>
              <w:rPr>
                <w:b/>
                <w:bCs/>
                <w:szCs w:val="21"/>
                <w:lang w:bidi="ar"/>
              </w:rPr>
              <w:t>80</w:t>
            </w:r>
          </w:p>
        </w:tc>
        <w:tc>
          <w:tcPr>
            <w:tcW w:w="369" w:type="pct"/>
            <w:shd w:val="clear" w:color="auto" w:fill="auto"/>
            <w:vAlign w:val="center"/>
          </w:tcPr>
          <w:p w14:paraId="528C9B97">
            <w:pPr>
              <w:adjustRightInd w:val="0"/>
              <w:snapToGrid w:val="0"/>
              <w:jc w:val="center"/>
              <w:rPr>
                <w:b/>
                <w:bCs/>
                <w:szCs w:val="21"/>
              </w:rPr>
            </w:pPr>
            <w:r>
              <w:rPr>
                <w:b/>
                <w:bCs/>
                <w:szCs w:val="21"/>
                <w:lang w:bidi="ar"/>
              </w:rPr>
              <w:t>100</w:t>
            </w:r>
          </w:p>
        </w:tc>
        <w:tc>
          <w:tcPr>
            <w:tcW w:w="369" w:type="pct"/>
            <w:shd w:val="clear" w:color="auto" w:fill="auto"/>
            <w:vAlign w:val="center"/>
          </w:tcPr>
          <w:p w14:paraId="4371DA76">
            <w:pPr>
              <w:adjustRightInd w:val="0"/>
              <w:snapToGrid w:val="0"/>
              <w:jc w:val="center"/>
              <w:rPr>
                <w:b/>
                <w:bCs/>
                <w:szCs w:val="21"/>
              </w:rPr>
            </w:pPr>
            <w:r>
              <w:rPr>
                <w:b/>
                <w:bCs/>
                <w:szCs w:val="21"/>
                <w:lang w:bidi="ar"/>
              </w:rPr>
              <w:t>150</w:t>
            </w:r>
          </w:p>
        </w:tc>
        <w:tc>
          <w:tcPr>
            <w:tcW w:w="368" w:type="pct"/>
            <w:shd w:val="clear" w:color="auto" w:fill="auto"/>
            <w:vAlign w:val="center"/>
          </w:tcPr>
          <w:p w14:paraId="2AB49168">
            <w:pPr>
              <w:adjustRightInd w:val="0"/>
              <w:snapToGrid w:val="0"/>
              <w:jc w:val="center"/>
              <w:rPr>
                <w:b/>
                <w:bCs/>
                <w:szCs w:val="21"/>
              </w:rPr>
            </w:pPr>
            <w:r>
              <w:rPr>
                <w:b/>
                <w:bCs/>
                <w:szCs w:val="21"/>
                <w:lang w:bidi="ar"/>
              </w:rPr>
              <w:t>200</w:t>
            </w:r>
          </w:p>
        </w:tc>
        <w:tc>
          <w:tcPr>
            <w:tcW w:w="369" w:type="pct"/>
            <w:shd w:val="clear" w:color="auto" w:fill="auto"/>
            <w:vAlign w:val="center"/>
          </w:tcPr>
          <w:p w14:paraId="38D64834">
            <w:pPr>
              <w:adjustRightInd w:val="0"/>
              <w:snapToGrid w:val="0"/>
              <w:jc w:val="center"/>
              <w:rPr>
                <w:b/>
                <w:bCs/>
                <w:szCs w:val="21"/>
              </w:rPr>
            </w:pPr>
            <w:r>
              <w:rPr>
                <w:b/>
                <w:bCs/>
                <w:szCs w:val="21"/>
                <w:lang w:bidi="ar"/>
              </w:rPr>
              <w:t>300</w:t>
            </w:r>
          </w:p>
        </w:tc>
        <w:tc>
          <w:tcPr>
            <w:tcW w:w="369" w:type="pct"/>
            <w:shd w:val="clear" w:color="auto" w:fill="auto"/>
            <w:vAlign w:val="center"/>
          </w:tcPr>
          <w:p w14:paraId="0F8BD5F0">
            <w:pPr>
              <w:adjustRightInd w:val="0"/>
              <w:snapToGrid w:val="0"/>
              <w:jc w:val="center"/>
              <w:rPr>
                <w:b/>
                <w:bCs/>
                <w:szCs w:val="21"/>
              </w:rPr>
            </w:pPr>
            <w:r>
              <w:rPr>
                <w:b/>
                <w:bCs/>
                <w:szCs w:val="21"/>
                <w:lang w:bidi="ar"/>
              </w:rPr>
              <w:t>400</w:t>
            </w:r>
          </w:p>
        </w:tc>
      </w:tr>
      <w:tr w14:paraId="572087D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6" w:type="pct"/>
            <w:shd w:val="clear" w:color="auto" w:fill="auto"/>
            <w:vAlign w:val="center"/>
          </w:tcPr>
          <w:p w14:paraId="10BD3A69">
            <w:pPr>
              <w:adjustRightInd w:val="0"/>
              <w:snapToGrid w:val="0"/>
              <w:jc w:val="center"/>
              <w:rPr>
                <w:rFonts w:hint="eastAsia" w:ascii="等线" w:hAnsi="等线" w:eastAsia="等线" w:cs="等线"/>
                <w:szCs w:val="21"/>
                <w:lang w:bidi="ar"/>
              </w:rPr>
            </w:pPr>
            <w:r>
              <w:rPr>
                <w:rFonts w:hint="eastAsia"/>
                <w:szCs w:val="21"/>
                <w:lang w:bidi="ar"/>
              </w:rPr>
              <w:t>路基</w:t>
            </w:r>
            <w:r>
              <w:rPr>
                <w:szCs w:val="21"/>
                <w:lang w:bidi="ar"/>
              </w:rPr>
              <w:t>施工</w:t>
            </w:r>
          </w:p>
        </w:tc>
        <w:tc>
          <w:tcPr>
            <w:tcW w:w="769" w:type="dxa"/>
            <w:shd w:val="clear" w:color="auto" w:fill="auto"/>
            <w:vAlign w:val="center"/>
          </w:tcPr>
          <w:p w14:paraId="1BFDD4DE">
            <w:pPr>
              <w:widowControl/>
              <w:jc w:val="center"/>
              <w:textAlignment w:val="center"/>
              <w:rPr>
                <w:rFonts w:eastAsia="等线"/>
                <w:kern w:val="0"/>
                <w:szCs w:val="21"/>
                <w:lang w:bidi="ar"/>
              </w:rPr>
            </w:pPr>
            <w:r>
              <w:rPr>
                <w:rFonts w:eastAsia="等线"/>
                <w:kern w:val="0"/>
                <w:szCs w:val="21"/>
                <w:lang w:bidi="ar"/>
              </w:rPr>
              <w:t>97</w:t>
            </w:r>
          </w:p>
        </w:tc>
        <w:tc>
          <w:tcPr>
            <w:tcW w:w="771" w:type="dxa"/>
            <w:shd w:val="clear" w:color="auto" w:fill="auto"/>
            <w:vAlign w:val="center"/>
          </w:tcPr>
          <w:p w14:paraId="59DFFFC6">
            <w:pPr>
              <w:widowControl/>
              <w:jc w:val="center"/>
              <w:textAlignment w:val="center"/>
              <w:rPr>
                <w:rFonts w:eastAsia="等线"/>
                <w:kern w:val="0"/>
                <w:szCs w:val="21"/>
                <w:lang w:bidi="ar"/>
              </w:rPr>
            </w:pPr>
            <w:r>
              <w:rPr>
                <w:rFonts w:eastAsia="等线"/>
                <w:kern w:val="0"/>
                <w:sz w:val="22"/>
                <w:szCs w:val="22"/>
                <w:lang w:bidi="ar"/>
              </w:rPr>
              <w:t>91</w:t>
            </w:r>
          </w:p>
        </w:tc>
        <w:tc>
          <w:tcPr>
            <w:tcW w:w="769" w:type="dxa"/>
            <w:shd w:val="clear" w:color="auto" w:fill="auto"/>
            <w:vAlign w:val="center"/>
          </w:tcPr>
          <w:p w14:paraId="1F37FB08">
            <w:pPr>
              <w:widowControl/>
              <w:jc w:val="center"/>
              <w:textAlignment w:val="center"/>
              <w:rPr>
                <w:rFonts w:eastAsia="等线"/>
                <w:kern w:val="0"/>
                <w:szCs w:val="21"/>
                <w:lang w:bidi="ar"/>
              </w:rPr>
            </w:pPr>
            <w:r>
              <w:rPr>
                <w:rFonts w:eastAsia="等线"/>
                <w:kern w:val="0"/>
                <w:sz w:val="22"/>
                <w:szCs w:val="22"/>
                <w:lang w:bidi="ar"/>
              </w:rPr>
              <w:t>85</w:t>
            </w:r>
          </w:p>
        </w:tc>
        <w:tc>
          <w:tcPr>
            <w:tcW w:w="772" w:type="dxa"/>
            <w:shd w:val="clear" w:color="auto" w:fill="auto"/>
            <w:vAlign w:val="center"/>
          </w:tcPr>
          <w:p w14:paraId="675CFBAF">
            <w:pPr>
              <w:widowControl/>
              <w:jc w:val="center"/>
              <w:textAlignment w:val="center"/>
              <w:rPr>
                <w:rFonts w:eastAsia="等线"/>
                <w:kern w:val="0"/>
                <w:szCs w:val="21"/>
                <w:lang w:bidi="ar"/>
              </w:rPr>
            </w:pPr>
            <w:r>
              <w:rPr>
                <w:rFonts w:eastAsia="等线"/>
                <w:kern w:val="0"/>
                <w:sz w:val="22"/>
                <w:szCs w:val="22"/>
                <w:lang w:bidi="ar"/>
              </w:rPr>
              <w:t>79</w:t>
            </w:r>
          </w:p>
        </w:tc>
        <w:tc>
          <w:tcPr>
            <w:tcW w:w="772" w:type="dxa"/>
            <w:shd w:val="clear" w:color="auto" w:fill="auto"/>
            <w:vAlign w:val="center"/>
          </w:tcPr>
          <w:p w14:paraId="602E16F4">
            <w:pPr>
              <w:widowControl/>
              <w:jc w:val="center"/>
              <w:textAlignment w:val="center"/>
              <w:rPr>
                <w:rFonts w:eastAsia="等线"/>
                <w:kern w:val="0"/>
                <w:szCs w:val="21"/>
                <w:lang w:bidi="ar"/>
              </w:rPr>
            </w:pPr>
            <w:r>
              <w:rPr>
                <w:rFonts w:eastAsia="等线"/>
                <w:kern w:val="0"/>
                <w:sz w:val="22"/>
                <w:szCs w:val="22"/>
                <w:lang w:bidi="ar"/>
              </w:rPr>
              <w:t>75</w:t>
            </w:r>
          </w:p>
        </w:tc>
        <w:tc>
          <w:tcPr>
            <w:tcW w:w="770" w:type="dxa"/>
            <w:shd w:val="clear" w:color="auto" w:fill="auto"/>
            <w:vAlign w:val="center"/>
          </w:tcPr>
          <w:p w14:paraId="05345F3D">
            <w:pPr>
              <w:widowControl/>
              <w:jc w:val="center"/>
              <w:textAlignment w:val="center"/>
              <w:rPr>
                <w:rFonts w:eastAsia="等线"/>
                <w:kern w:val="0"/>
                <w:szCs w:val="21"/>
                <w:lang w:bidi="ar"/>
              </w:rPr>
            </w:pPr>
            <w:r>
              <w:rPr>
                <w:rFonts w:eastAsia="等线"/>
                <w:kern w:val="0"/>
                <w:sz w:val="22"/>
                <w:szCs w:val="22"/>
                <w:lang w:bidi="ar"/>
              </w:rPr>
              <w:t>73</w:t>
            </w:r>
          </w:p>
        </w:tc>
        <w:tc>
          <w:tcPr>
            <w:tcW w:w="772" w:type="dxa"/>
            <w:shd w:val="clear" w:color="auto" w:fill="auto"/>
            <w:vAlign w:val="center"/>
          </w:tcPr>
          <w:p w14:paraId="4B5CB95F">
            <w:pPr>
              <w:widowControl/>
              <w:jc w:val="center"/>
              <w:textAlignment w:val="center"/>
              <w:rPr>
                <w:rFonts w:eastAsia="等线"/>
                <w:kern w:val="0"/>
                <w:szCs w:val="21"/>
                <w:lang w:bidi="ar"/>
              </w:rPr>
            </w:pPr>
            <w:r>
              <w:rPr>
                <w:rFonts w:eastAsia="等线"/>
                <w:kern w:val="0"/>
                <w:sz w:val="22"/>
                <w:szCs w:val="22"/>
                <w:lang w:bidi="ar"/>
              </w:rPr>
              <w:t>71</w:t>
            </w:r>
          </w:p>
        </w:tc>
        <w:tc>
          <w:tcPr>
            <w:tcW w:w="772" w:type="dxa"/>
            <w:shd w:val="clear" w:color="auto" w:fill="auto"/>
            <w:vAlign w:val="center"/>
          </w:tcPr>
          <w:p w14:paraId="0F395C32">
            <w:pPr>
              <w:widowControl/>
              <w:jc w:val="center"/>
              <w:textAlignment w:val="center"/>
              <w:rPr>
                <w:rFonts w:eastAsia="等线"/>
                <w:kern w:val="0"/>
                <w:szCs w:val="21"/>
                <w:lang w:bidi="ar"/>
              </w:rPr>
            </w:pPr>
            <w:r>
              <w:rPr>
                <w:rFonts w:eastAsia="等线"/>
                <w:kern w:val="0"/>
                <w:sz w:val="22"/>
                <w:szCs w:val="22"/>
                <w:lang w:bidi="ar"/>
              </w:rPr>
              <w:t>67</w:t>
            </w:r>
          </w:p>
        </w:tc>
        <w:tc>
          <w:tcPr>
            <w:tcW w:w="770" w:type="dxa"/>
            <w:shd w:val="clear" w:color="auto" w:fill="auto"/>
            <w:vAlign w:val="center"/>
          </w:tcPr>
          <w:p w14:paraId="26811BFB">
            <w:pPr>
              <w:widowControl/>
              <w:jc w:val="center"/>
              <w:textAlignment w:val="center"/>
              <w:rPr>
                <w:rFonts w:eastAsia="等线"/>
                <w:kern w:val="0"/>
                <w:szCs w:val="21"/>
                <w:lang w:bidi="ar"/>
              </w:rPr>
            </w:pPr>
            <w:r>
              <w:rPr>
                <w:rFonts w:eastAsia="等线"/>
                <w:kern w:val="0"/>
                <w:sz w:val="22"/>
                <w:szCs w:val="22"/>
                <w:lang w:bidi="ar"/>
              </w:rPr>
              <w:t>65</w:t>
            </w:r>
          </w:p>
        </w:tc>
        <w:tc>
          <w:tcPr>
            <w:tcW w:w="772" w:type="dxa"/>
            <w:shd w:val="clear" w:color="auto" w:fill="auto"/>
            <w:vAlign w:val="center"/>
          </w:tcPr>
          <w:p w14:paraId="6BDCADF9">
            <w:pPr>
              <w:widowControl/>
              <w:jc w:val="center"/>
              <w:textAlignment w:val="center"/>
              <w:rPr>
                <w:rFonts w:eastAsia="等线"/>
                <w:kern w:val="0"/>
                <w:szCs w:val="21"/>
                <w:lang w:bidi="ar"/>
              </w:rPr>
            </w:pPr>
            <w:r>
              <w:rPr>
                <w:rFonts w:eastAsia="等线"/>
                <w:kern w:val="0"/>
                <w:sz w:val="22"/>
                <w:szCs w:val="22"/>
                <w:lang w:bidi="ar"/>
              </w:rPr>
              <w:t>61</w:t>
            </w:r>
          </w:p>
        </w:tc>
        <w:tc>
          <w:tcPr>
            <w:tcW w:w="770" w:type="dxa"/>
            <w:shd w:val="clear" w:color="auto" w:fill="auto"/>
            <w:vAlign w:val="center"/>
          </w:tcPr>
          <w:p w14:paraId="007ADCB5">
            <w:pPr>
              <w:widowControl/>
              <w:jc w:val="center"/>
              <w:textAlignment w:val="center"/>
              <w:rPr>
                <w:rFonts w:eastAsia="等线"/>
                <w:kern w:val="0"/>
                <w:szCs w:val="21"/>
                <w:lang w:bidi="ar"/>
              </w:rPr>
            </w:pPr>
            <w:r>
              <w:rPr>
                <w:rFonts w:eastAsia="等线"/>
                <w:kern w:val="0"/>
                <w:sz w:val="22"/>
                <w:szCs w:val="22"/>
                <w:lang w:bidi="ar"/>
              </w:rPr>
              <w:t>59</w:t>
            </w:r>
          </w:p>
        </w:tc>
      </w:tr>
      <w:tr w14:paraId="58351DA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6" w:type="pct"/>
            <w:shd w:val="clear" w:color="auto" w:fill="auto"/>
            <w:vAlign w:val="center"/>
          </w:tcPr>
          <w:p w14:paraId="67C0B541">
            <w:pPr>
              <w:adjustRightInd w:val="0"/>
              <w:snapToGrid w:val="0"/>
              <w:jc w:val="center"/>
              <w:rPr>
                <w:rFonts w:hint="eastAsia" w:ascii="等线" w:hAnsi="等线" w:eastAsia="等线" w:cs="等线"/>
                <w:szCs w:val="21"/>
                <w:lang w:bidi="ar"/>
              </w:rPr>
            </w:pPr>
            <w:r>
              <w:rPr>
                <w:rFonts w:hint="eastAsia"/>
                <w:szCs w:val="21"/>
                <w:lang w:bidi="ar"/>
              </w:rPr>
              <w:t>路面</w:t>
            </w:r>
            <w:r>
              <w:rPr>
                <w:szCs w:val="21"/>
                <w:lang w:bidi="ar"/>
              </w:rPr>
              <w:t>施工</w:t>
            </w:r>
          </w:p>
        </w:tc>
        <w:tc>
          <w:tcPr>
            <w:tcW w:w="368" w:type="pct"/>
            <w:shd w:val="clear" w:color="auto" w:fill="auto"/>
            <w:vAlign w:val="center"/>
          </w:tcPr>
          <w:p w14:paraId="20A13473">
            <w:pPr>
              <w:adjustRightInd w:val="0"/>
              <w:snapToGrid w:val="0"/>
              <w:jc w:val="center"/>
              <w:rPr>
                <w:rFonts w:eastAsia="等线"/>
                <w:kern w:val="0"/>
                <w:szCs w:val="21"/>
                <w:lang w:bidi="ar"/>
              </w:rPr>
            </w:pPr>
            <w:r>
              <w:rPr>
                <w:rFonts w:eastAsia="等线"/>
                <w:szCs w:val="21"/>
              </w:rPr>
              <w:t>99</w:t>
            </w:r>
          </w:p>
        </w:tc>
        <w:tc>
          <w:tcPr>
            <w:tcW w:w="369" w:type="pct"/>
            <w:shd w:val="clear" w:color="auto" w:fill="auto"/>
            <w:vAlign w:val="center"/>
          </w:tcPr>
          <w:p w14:paraId="6ED25EC2">
            <w:pPr>
              <w:adjustRightInd w:val="0"/>
              <w:snapToGrid w:val="0"/>
              <w:jc w:val="center"/>
              <w:rPr>
                <w:rFonts w:eastAsia="等线"/>
                <w:kern w:val="0"/>
                <w:szCs w:val="21"/>
                <w:lang w:bidi="ar"/>
              </w:rPr>
            </w:pPr>
            <w:r>
              <w:rPr>
                <w:rFonts w:eastAsia="等线"/>
                <w:sz w:val="22"/>
                <w:szCs w:val="22"/>
              </w:rPr>
              <w:t>93</w:t>
            </w:r>
          </w:p>
        </w:tc>
        <w:tc>
          <w:tcPr>
            <w:tcW w:w="368" w:type="pct"/>
            <w:shd w:val="clear" w:color="auto" w:fill="auto"/>
            <w:vAlign w:val="center"/>
          </w:tcPr>
          <w:p w14:paraId="6E925F69">
            <w:pPr>
              <w:adjustRightInd w:val="0"/>
              <w:snapToGrid w:val="0"/>
              <w:jc w:val="center"/>
              <w:rPr>
                <w:rFonts w:eastAsia="等线"/>
                <w:kern w:val="0"/>
                <w:szCs w:val="21"/>
                <w:lang w:bidi="ar"/>
              </w:rPr>
            </w:pPr>
            <w:r>
              <w:rPr>
                <w:rFonts w:eastAsia="等线"/>
                <w:sz w:val="22"/>
                <w:szCs w:val="22"/>
              </w:rPr>
              <w:t>87</w:t>
            </w:r>
          </w:p>
        </w:tc>
        <w:tc>
          <w:tcPr>
            <w:tcW w:w="369" w:type="pct"/>
            <w:shd w:val="clear" w:color="auto" w:fill="auto"/>
            <w:vAlign w:val="center"/>
          </w:tcPr>
          <w:p w14:paraId="6154E509">
            <w:pPr>
              <w:adjustRightInd w:val="0"/>
              <w:snapToGrid w:val="0"/>
              <w:jc w:val="center"/>
              <w:rPr>
                <w:rFonts w:eastAsia="等线"/>
                <w:kern w:val="0"/>
                <w:szCs w:val="21"/>
                <w:lang w:bidi="ar"/>
              </w:rPr>
            </w:pPr>
            <w:r>
              <w:rPr>
                <w:rFonts w:eastAsia="等线"/>
                <w:sz w:val="22"/>
                <w:szCs w:val="22"/>
              </w:rPr>
              <w:t>81</w:t>
            </w:r>
          </w:p>
        </w:tc>
        <w:tc>
          <w:tcPr>
            <w:tcW w:w="369" w:type="pct"/>
            <w:shd w:val="clear" w:color="auto" w:fill="auto"/>
            <w:vAlign w:val="center"/>
          </w:tcPr>
          <w:p w14:paraId="442AD221">
            <w:pPr>
              <w:adjustRightInd w:val="0"/>
              <w:snapToGrid w:val="0"/>
              <w:jc w:val="center"/>
              <w:rPr>
                <w:rFonts w:eastAsia="等线"/>
                <w:kern w:val="0"/>
                <w:szCs w:val="21"/>
                <w:lang w:bidi="ar"/>
              </w:rPr>
            </w:pPr>
            <w:r>
              <w:rPr>
                <w:rFonts w:eastAsia="等线"/>
                <w:sz w:val="22"/>
                <w:szCs w:val="22"/>
              </w:rPr>
              <w:t>77</w:t>
            </w:r>
          </w:p>
        </w:tc>
        <w:tc>
          <w:tcPr>
            <w:tcW w:w="368" w:type="pct"/>
            <w:shd w:val="clear" w:color="auto" w:fill="auto"/>
            <w:vAlign w:val="center"/>
          </w:tcPr>
          <w:p w14:paraId="619D1F2E">
            <w:pPr>
              <w:adjustRightInd w:val="0"/>
              <w:snapToGrid w:val="0"/>
              <w:jc w:val="center"/>
              <w:rPr>
                <w:rFonts w:eastAsia="等线"/>
                <w:kern w:val="0"/>
                <w:szCs w:val="21"/>
                <w:lang w:bidi="ar"/>
              </w:rPr>
            </w:pPr>
            <w:r>
              <w:rPr>
                <w:rFonts w:eastAsia="等线"/>
                <w:sz w:val="22"/>
                <w:szCs w:val="22"/>
              </w:rPr>
              <w:t>75</w:t>
            </w:r>
          </w:p>
        </w:tc>
        <w:tc>
          <w:tcPr>
            <w:tcW w:w="369" w:type="pct"/>
            <w:shd w:val="clear" w:color="auto" w:fill="auto"/>
            <w:vAlign w:val="center"/>
          </w:tcPr>
          <w:p w14:paraId="0BF3DE35">
            <w:pPr>
              <w:adjustRightInd w:val="0"/>
              <w:snapToGrid w:val="0"/>
              <w:jc w:val="center"/>
              <w:rPr>
                <w:rFonts w:eastAsia="等线"/>
                <w:kern w:val="0"/>
                <w:szCs w:val="21"/>
                <w:lang w:bidi="ar"/>
              </w:rPr>
            </w:pPr>
            <w:r>
              <w:rPr>
                <w:rFonts w:eastAsia="等线"/>
                <w:sz w:val="22"/>
                <w:szCs w:val="22"/>
              </w:rPr>
              <w:t>73</w:t>
            </w:r>
          </w:p>
        </w:tc>
        <w:tc>
          <w:tcPr>
            <w:tcW w:w="369" w:type="pct"/>
            <w:shd w:val="clear" w:color="auto" w:fill="auto"/>
            <w:vAlign w:val="center"/>
          </w:tcPr>
          <w:p w14:paraId="0F3592D5">
            <w:pPr>
              <w:adjustRightInd w:val="0"/>
              <w:snapToGrid w:val="0"/>
              <w:jc w:val="center"/>
              <w:rPr>
                <w:rFonts w:eastAsia="等线"/>
                <w:kern w:val="0"/>
                <w:szCs w:val="21"/>
                <w:lang w:bidi="ar"/>
              </w:rPr>
            </w:pPr>
            <w:r>
              <w:rPr>
                <w:rFonts w:eastAsia="等线"/>
                <w:sz w:val="22"/>
                <w:szCs w:val="22"/>
              </w:rPr>
              <w:t>69</w:t>
            </w:r>
          </w:p>
        </w:tc>
        <w:tc>
          <w:tcPr>
            <w:tcW w:w="368" w:type="pct"/>
            <w:shd w:val="clear" w:color="auto" w:fill="auto"/>
            <w:vAlign w:val="center"/>
          </w:tcPr>
          <w:p w14:paraId="6AE8787C">
            <w:pPr>
              <w:adjustRightInd w:val="0"/>
              <w:snapToGrid w:val="0"/>
              <w:jc w:val="center"/>
              <w:rPr>
                <w:rFonts w:eastAsia="等线"/>
                <w:kern w:val="0"/>
                <w:szCs w:val="21"/>
                <w:lang w:bidi="ar"/>
              </w:rPr>
            </w:pPr>
            <w:r>
              <w:rPr>
                <w:rFonts w:eastAsia="等线"/>
                <w:sz w:val="22"/>
                <w:szCs w:val="22"/>
              </w:rPr>
              <w:t>67</w:t>
            </w:r>
          </w:p>
        </w:tc>
        <w:tc>
          <w:tcPr>
            <w:tcW w:w="369" w:type="pct"/>
            <w:shd w:val="clear" w:color="auto" w:fill="auto"/>
            <w:vAlign w:val="center"/>
          </w:tcPr>
          <w:p w14:paraId="7325993C">
            <w:pPr>
              <w:adjustRightInd w:val="0"/>
              <w:snapToGrid w:val="0"/>
              <w:jc w:val="center"/>
              <w:rPr>
                <w:rFonts w:eastAsia="等线"/>
                <w:kern w:val="0"/>
                <w:szCs w:val="21"/>
                <w:lang w:bidi="ar"/>
              </w:rPr>
            </w:pPr>
            <w:r>
              <w:rPr>
                <w:rFonts w:eastAsia="等线"/>
                <w:sz w:val="22"/>
                <w:szCs w:val="22"/>
              </w:rPr>
              <w:t>63</w:t>
            </w:r>
          </w:p>
        </w:tc>
        <w:tc>
          <w:tcPr>
            <w:tcW w:w="369" w:type="pct"/>
            <w:shd w:val="clear" w:color="auto" w:fill="auto"/>
            <w:vAlign w:val="center"/>
          </w:tcPr>
          <w:p w14:paraId="2B05677A">
            <w:pPr>
              <w:adjustRightInd w:val="0"/>
              <w:snapToGrid w:val="0"/>
              <w:jc w:val="center"/>
              <w:rPr>
                <w:rFonts w:eastAsia="等线"/>
                <w:kern w:val="0"/>
                <w:szCs w:val="21"/>
                <w:lang w:bidi="ar"/>
              </w:rPr>
            </w:pPr>
            <w:r>
              <w:rPr>
                <w:rFonts w:eastAsia="等线"/>
                <w:sz w:val="22"/>
                <w:szCs w:val="22"/>
              </w:rPr>
              <w:t>61</w:t>
            </w:r>
          </w:p>
        </w:tc>
      </w:tr>
    </w:tbl>
    <w:p w14:paraId="2CBAF28D">
      <w:pPr>
        <w:spacing w:line="360" w:lineRule="auto"/>
        <w:ind w:firstLine="480" w:firstLineChars="200"/>
        <w:rPr>
          <w:sz w:val="24"/>
          <w:lang w:bidi="ar"/>
        </w:rPr>
      </w:pPr>
      <w:r>
        <w:rPr>
          <w:rFonts w:hint="eastAsia"/>
          <w:sz w:val="24"/>
          <w:lang w:bidi="ar"/>
        </w:rPr>
        <w:t>根据上表结果可知，</w:t>
      </w:r>
      <w:r>
        <w:rPr>
          <w:rFonts w:hint="eastAsia"/>
          <w:b/>
          <w:bCs/>
          <w:sz w:val="24"/>
          <w:lang w:bidi="ar"/>
        </w:rPr>
        <w:t>不同施工阶段场界外</w:t>
      </w:r>
      <w:r>
        <w:rPr>
          <w:b/>
          <w:bCs/>
          <w:sz w:val="24"/>
          <w:lang w:bidi="ar"/>
        </w:rPr>
        <w:t>150m外均能达到《建筑施工场界环境噪声排放标准》(GB125232011) 的昼间标准(夜间不施工)</w:t>
      </w:r>
      <w:r>
        <w:rPr>
          <w:rFonts w:hint="eastAsia"/>
          <w:b/>
          <w:bCs/>
          <w:sz w:val="24"/>
          <w:lang w:bidi="ar"/>
        </w:rPr>
        <w:t>。</w:t>
      </w:r>
    </w:p>
    <w:p w14:paraId="2D0CAD48">
      <w:pPr>
        <w:spacing w:line="360" w:lineRule="auto"/>
        <w:ind w:firstLine="480" w:firstLineChars="200"/>
        <w:rPr>
          <w:sz w:val="24"/>
          <w:lang w:bidi="ar"/>
        </w:rPr>
      </w:pPr>
      <w:r>
        <w:rPr>
          <w:rFonts w:hint="eastAsia"/>
          <w:sz w:val="24"/>
          <w:lang w:bidi="ar"/>
        </w:rPr>
        <w:t>本项目周边距离最近的噪声敏感点为中海锦宸花园小区，距离本项目道路中心线最近距离约为250m，路基施工阶段距离施工点距离250m噪声叠加值约为63dB，路面施工阶段距离施工点距离250m噪声叠加值约为65dB，均满足《建筑施工场界环境噪声排放标准》(GB125232011) 的昼间标准(夜间不施工)，对最近敏感点中海锦宸花园小区影响较小。</w:t>
      </w:r>
    </w:p>
    <w:p w14:paraId="0C0669D4">
      <w:pPr>
        <w:spacing w:line="360" w:lineRule="auto"/>
        <w:ind w:firstLine="480" w:firstLineChars="200"/>
        <w:rPr>
          <w:sz w:val="24"/>
          <w:lang w:bidi="ar"/>
        </w:rPr>
      </w:pPr>
      <w:r>
        <w:rPr>
          <w:rFonts w:hint="eastAsia"/>
          <w:sz w:val="24"/>
          <w:lang w:bidi="ar"/>
        </w:rPr>
        <w:t>由于施工噪声对沿线敏感点的影响较大，因此在施工期必须采取降噪措施，</w:t>
      </w:r>
      <w:r>
        <w:rPr>
          <w:sz w:val="24"/>
          <w:lang w:bidi="ar"/>
        </w:rPr>
        <w:t>合理安排施工时序、避免多台施工设备同时使用、严格控制施工时间、避免夜间施工等措施降低施工噪声影响。各类机械设备的施工噪声能从影响程度、影响时间及影响强度等方面得以一定程度的削减，由于道路施工作业难以做到全封闭施工，因此本项目的建设施工仍将对周围环境造成一定的不利影响，但噪声属无残留污染，</w:t>
      </w:r>
      <w:r>
        <w:rPr>
          <w:rFonts w:hint="eastAsia"/>
          <w:sz w:val="24"/>
          <w:lang w:bidi="ar"/>
        </w:rPr>
        <w:t>施工结束噪声污染也随之结束，周围声环境即可恢复至现状水平。因此建设单位和施工单位应对施工期的噪声污染防治引起重视，落实控制措施，尽可能将该影响控制在最低水平</w:t>
      </w:r>
      <w:r>
        <w:rPr>
          <w:sz w:val="24"/>
          <w:lang w:bidi="ar"/>
        </w:rPr>
        <w:t>。</w:t>
      </w:r>
    </w:p>
    <w:p w14:paraId="76BD3D87">
      <w:pPr>
        <w:spacing w:line="360" w:lineRule="auto"/>
        <w:ind w:firstLine="482" w:firstLineChars="200"/>
        <w:rPr>
          <w:b/>
          <w:sz w:val="24"/>
          <w:lang w:bidi="ar"/>
        </w:rPr>
      </w:pPr>
      <w:r>
        <w:rPr>
          <w:rFonts w:hint="eastAsia"/>
          <w:b/>
          <w:sz w:val="24"/>
          <w:lang w:bidi="ar"/>
        </w:rPr>
        <w:t>4.1.3施工车辆运输噪声影响分析</w:t>
      </w:r>
    </w:p>
    <w:p w14:paraId="4CD660A9">
      <w:pPr>
        <w:spacing w:line="360" w:lineRule="auto"/>
        <w:ind w:firstLine="480" w:firstLineChars="200"/>
        <w:rPr>
          <w:bCs/>
          <w:sz w:val="24"/>
        </w:rPr>
      </w:pPr>
      <w:r>
        <w:rPr>
          <w:rFonts w:hint="eastAsia"/>
          <w:bCs/>
          <w:sz w:val="24"/>
        </w:rPr>
        <w:t>项目施工期间交通噪声主要产生在建筑材料、土石方运输过程中，其影响范围主要为运输道路沿线区域，特别是在城镇路段或居民集中区路段行驶时，其运输噪声影响较为明显。</w:t>
      </w:r>
    </w:p>
    <w:p w14:paraId="42F808A4">
      <w:pPr>
        <w:spacing w:line="360" w:lineRule="auto"/>
        <w:ind w:firstLine="480" w:firstLineChars="200"/>
        <w:rPr>
          <w:bCs/>
          <w:sz w:val="24"/>
        </w:rPr>
      </w:pPr>
      <w:r>
        <w:rPr>
          <w:rFonts w:hint="eastAsia"/>
          <w:bCs/>
          <w:sz w:val="24"/>
        </w:rPr>
        <w:t>由于项目建设所需运输带来的车流量较少，运输时段较分散，故施工车辆运输噪声对沿线声环境保护目标影响较小。为最大限度地降低施工车辆运输噪声对沿线声环境保护目标的影响，施工车辆应绕避声环境保护目标行驶，若因条件限制，无法绕避时，应采取限制施工车辆行驶速度、禁鸣喇叭等措施。</w:t>
      </w:r>
    </w:p>
    <w:p w14:paraId="72314A09">
      <w:pPr>
        <w:spacing w:line="360" w:lineRule="auto"/>
        <w:ind w:firstLine="482" w:firstLineChars="200"/>
        <w:rPr>
          <w:b/>
          <w:sz w:val="24"/>
        </w:rPr>
      </w:pPr>
      <w:r>
        <w:rPr>
          <w:rFonts w:hint="eastAsia"/>
          <w:b/>
          <w:sz w:val="24"/>
        </w:rPr>
        <w:t>4.1.4</w:t>
      </w:r>
      <w:r>
        <w:rPr>
          <w:b/>
          <w:sz w:val="24"/>
        </w:rPr>
        <w:t>施工噪声环境保护措施</w:t>
      </w:r>
    </w:p>
    <w:p w14:paraId="70FE4D19">
      <w:pPr>
        <w:spacing w:line="360" w:lineRule="auto"/>
        <w:ind w:firstLine="480" w:firstLineChars="200"/>
        <w:rPr>
          <w:sz w:val="24"/>
          <w:lang w:bidi="ar"/>
        </w:rPr>
      </w:pPr>
      <w:r>
        <w:rPr>
          <w:rFonts w:hint="eastAsia"/>
          <w:sz w:val="24"/>
          <w:lang w:bidi="ar"/>
        </w:rPr>
        <w:t>根据声环境功能区划，本项目所在区域声环境质量为2类区，施工噪声对居民区会有一定程度的影响。为了更好地保护环境，避免噪声扰民，</w:t>
      </w:r>
      <w:r>
        <w:rPr>
          <w:sz w:val="24"/>
          <w:lang w:bidi="ar"/>
        </w:rPr>
        <w:t>项目施工应严格执行《建筑施工场界环境噪声排放标准》（GB12523—2011）相关规定</w:t>
      </w:r>
      <w:r>
        <w:rPr>
          <w:rFonts w:hint="eastAsia"/>
          <w:sz w:val="24"/>
          <w:lang w:bidi="ar"/>
        </w:rPr>
        <w:t>，需采取一定的防治措施来减轻施工噪声对敏感点声环境的影响。可采取的措施如下：</w:t>
      </w:r>
    </w:p>
    <w:p w14:paraId="23E030DF">
      <w:pPr>
        <w:spacing w:line="360" w:lineRule="auto"/>
        <w:ind w:firstLine="480" w:firstLineChars="200"/>
        <w:rPr>
          <w:sz w:val="24"/>
        </w:rPr>
      </w:pPr>
      <w:r>
        <w:rPr>
          <w:rFonts w:hint="eastAsia" w:ascii="宋体" w:hAnsi="宋体" w:cs="宋体"/>
          <w:sz w:val="24"/>
          <w:lang w:bidi="ar"/>
        </w:rPr>
        <w:t>①</w:t>
      </w:r>
      <w:r>
        <w:rPr>
          <w:sz w:val="24"/>
          <w:lang w:bidi="ar"/>
        </w:rPr>
        <w:t>合理安排施工时间，并要求施工单位严格执行《建筑施工场界环境噪声排放标准》（GB12523-2011）的相关规定。使用高噪声设备的施工阶段应尽量安排在白天，减少夜间的施工量；施工方</w:t>
      </w:r>
      <w:r>
        <w:rPr>
          <w:rFonts w:hint="eastAsia"/>
          <w:sz w:val="24"/>
          <w:lang w:bidi="ar"/>
        </w:rPr>
        <w:t>减少</w:t>
      </w:r>
      <w:r>
        <w:rPr>
          <w:sz w:val="24"/>
          <w:lang w:bidi="ar"/>
        </w:rPr>
        <w:t>在中午（12：00-14：00）和夜间（22：00—次日6：00）进行施工作业，</w:t>
      </w:r>
      <w:r>
        <w:rPr>
          <w:rFonts w:hint="eastAsia"/>
          <w:sz w:val="24"/>
          <w:lang w:bidi="ar"/>
        </w:rPr>
        <w:t>确需施工的，必须有县级以上人民政府或者其有关主管部门的证明，且必须公告附近居民</w:t>
      </w:r>
      <w:r>
        <w:rPr>
          <w:sz w:val="24"/>
          <w:lang w:bidi="ar"/>
        </w:rPr>
        <w:t>。</w:t>
      </w:r>
    </w:p>
    <w:p w14:paraId="12067FBF">
      <w:pPr>
        <w:spacing w:line="360" w:lineRule="auto"/>
        <w:ind w:firstLine="480" w:firstLineChars="200"/>
        <w:rPr>
          <w:sz w:val="24"/>
        </w:rPr>
      </w:pPr>
      <w:r>
        <w:rPr>
          <w:rFonts w:hint="eastAsia" w:ascii="宋体" w:hAnsi="宋体" w:cs="宋体"/>
          <w:sz w:val="24"/>
          <w:lang w:bidi="ar"/>
        </w:rPr>
        <w:t>②</w:t>
      </w:r>
      <w:r>
        <w:rPr>
          <w:sz w:val="24"/>
          <w:lang w:bidi="ar"/>
        </w:rPr>
        <w:t>避免在夜间运输，同时在运输车辆途经居民区及其附近敏感点时应采取禁鸣喇叭和限制车速等措施。</w:t>
      </w:r>
    </w:p>
    <w:p w14:paraId="4A5A3347">
      <w:pPr>
        <w:spacing w:line="360" w:lineRule="auto"/>
        <w:ind w:firstLine="480" w:firstLineChars="200"/>
        <w:rPr>
          <w:sz w:val="24"/>
        </w:rPr>
      </w:pPr>
      <w:r>
        <w:rPr>
          <w:rFonts w:hint="eastAsia" w:ascii="宋体" w:hAnsi="宋体" w:cs="宋体"/>
          <w:sz w:val="24"/>
          <w:lang w:bidi="ar"/>
        </w:rPr>
        <w:t>③</w:t>
      </w:r>
      <w:r>
        <w:rPr>
          <w:sz w:val="24"/>
          <w:lang w:bidi="ar"/>
        </w:rPr>
        <w:t>在施工进度上，要适当组合搭配，避免高噪设备同时在相对集中的地点作业，尽量减少运行动力机械设备数量，合理布局，尽量使高噪设备远离敏感点；闲置设备应予以关闭或减速；路基施工阶段，应针对振动式压路作业提出监控措施或替代作业方式。</w:t>
      </w:r>
    </w:p>
    <w:p w14:paraId="355D7FD6">
      <w:pPr>
        <w:spacing w:line="360" w:lineRule="auto"/>
        <w:ind w:firstLine="480" w:firstLineChars="200"/>
        <w:rPr>
          <w:sz w:val="24"/>
        </w:rPr>
      </w:pPr>
      <w:r>
        <w:rPr>
          <w:rFonts w:hint="eastAsia" w:ascii="宋体" w:hAnsi="宋体" w:cs="宋体"/>
          <w:sz w:val="24"/>
          <w:lang w:bidi="ar"/>
        </w:rPr>
        <w:t>④</w:t>
      </w:r>
      <w:r>
        <w:rPr>
          <w:sz w:val="24"/>
          <w:lang w:bidi="ar"/>
        </w:rPr>
        <w:t>选择低噪设备，对高噪机械建立简易声屏障，必要时，在高噪设备进排气口安装消声器和隔离震动部分，使场界噪声低于相关标准限值。一切动力机械设备都应适时维修，特别是松动部件和降噪部件。</w:t>
      </w:r>
    </w:p>
    <w:p w14:paraId="5C8E463C">
      <w:pPr>
        <w:spacing w:line="360" w:lineRule="auto"/>
        <w:ind w:firstLine="480" w:firstLineChars="200"/>
        <w:rPr>
          <w:sz w:val="24"/>
        </w:rPr>
      </w:pPr>
      <w:r>
        <w:rPr>
          <w:rFonts w:hint="eastAsia"/>
          <w:sz w:val="24"/>
          <w:lang w:bidi="ar"/>
        </w:rPr>
        <w:t>⑤</w:t>
      </w:r>
      <w:r>
        <w:rPr>
          <w:sz w:val="24"/>
          <w:lang w:bidi="ar"/>
        </w:rPr>
        <w:t>对必须连续高噪的施工作业，应在事前向有关单位申报，并会同建设单位找当地居民协调，得到群众谅解，经同意后方可施工。</w:t>
      </w:r>
    </w:p>
    <w:p w14:paraId="78F8F772">
      <w:pPr>
        <w:spacing w:line="360" w:lineRule="auto"/>
        <w:ind w:firstLine="480" w:firstLineChars="200"/>
        <w:rPr>
          <w:sz w:val="24"/>
        </w:rPr>
      </w:pPr>
      <w:r>
        <w:rPr>
          <w:rFonts w:hint="eastAsia" w:ascii="宋体" w:hAnsi="宋体" w:cs="宋体"/>
          <w:sz w:val="24"/>
          <w:lang w:bidi="ar"/>
        </w:rPr>
        <w:t>⑥</w:t>
      </w:r>
      <w:r>
        <w:rPr>
          <w:rFonts w:hint="eastAsia"/>
          <w:sz w:val="24"/>
          <w:lang w:bidi="ar"/>
        </w:rPr>
        <w:t>本项目会造成沿线各敏感点不同程度的噪声超标和噪声增加现象，建议对造成噪声影响的敏感点采取隔声效果较好的措施以保证其室内噪声满足相关标准</w:t>
      </w:r>
      <w:r>
        <w:rPr>
          <w:sz w:val="24"/>
          <w:lang w:bidi="ar"/>
        </w:rPr>
        <w:t>。</w:t>
      </w:r>
    </w:p>
    <w:p w14:paraId="4387D708">
      <w:pPr>
        <w:spacing w:line="360" w:lineRule="auto"/>
        <w:ind w:firstLine="480" w:firstLineChars="200"/>
        <w:rPr>
          <w:sz w:val="24"/>
          <w:lang w:bidi="ar"/>
        </w:rPr>
      </w:pPr>
      <w:r>
        <w:rPr>
          <w:rFonts w:hint="eastAsia" w:ascii="宋体" w:hAnsi="宋体" w:cs="宋体"/>
          <w:sz w:val="24"/>
          <w:lang w:bidi="ar"/>
        </w:rPr>
        <w:t>⑦</w:t>
      </w:r>
      <w:r>
        <w:rPr>
          <w:sz w:val="24"/>
          <w:lang w:bidi="ar"/>
        </w:rPr>
        <w:t>经上述措施进行处理后，项目施工噪声通过距离衰减，这种暂时性的噪声对周围声环境敏感点的影响在可接受范围内。</w:t>
      </w:r>
    </w:p>
    <w:p w14:paraId="64DE161C">
      <w:pPr>
        <w:spacing w:line="360" w:lineRule="auto"/>
        <w:ind w:firstLine="482" w:firstLineChars="200"/>
        <w:rPr>
          <w:b/>
          <w:sz w:val="24"/>
        </w:rPr>
      </w:pPr>
      <w:r>
        <w:rPr>
          <w:rFonts w:hint="eastAsia"/>
          <w:b/>
          <w:sz w:val="24"/>
        </w:rPr>
        <w:t>4.1.5</w:t>
      </w:r>
      <w:r>
        <w:rPr>
          <w:b/>
          <w:sz w:val="24"/>
        </w:rPr>
        <w:t>施工噪声</w:t>
      </w:r>
      <w:r>
        <w:rPr>
          <w:rFonts w:hint="eastAsia"/>
          <w:b/>
          <w:sz w:val="24"/>
        </w:rPr>
        <w:t>影响评价结论</w:t>
      </w:r>
    </w:p>
    <w:p w14:paraId="393996A3">
      <w:pPr>
        <w:spacing w:line="360" w:lineRule="auto"/>
        <w:ind w:firstLine="480" w:firstLineChars="200"/>
        <w:rPr>
          <w:sz w:val="24"/>
          <w:lang w:bidi="ar"/>
        </w:rPr>
      </w:pPr>
      <w:r>
        <w:rPr>
          <w:sz w:val="24"/>
          <w:lang w:bidi="ar"/>
        </w:rPr>
        <w:t>综上所述，本项目施工将会对周围环境产生比较明显的影响，</w:t>
      </w:r>
      <w:r>
        <w:rPr>
          <w:rFonts w:hint="eastAsia"/>
          <w:sz w:val="24"/>
          <w:lang w:bidi="ar"/>
        </w:rPr>
        <w:t>考虑到本项目评价范围内不存在声环境敏感目标，在采取</w:t>
      </w:r>
      <w:r>
        <w:rPr>
          <w:sz w:val="24"/>
          <w:lang w:bidi="ar"/>
        </w:rPr>
        <w:t>上述措施进行处理后，项目施工噪声通过距离衰减，这种暂时性的噪声对周围声环境敏感点的影响在可接受范围内。</w:t>
      </w:r>
    </w:p>
    <w:p w14:paraId="3EA88233">
      <w:pPr>
        <w:spacing w:line="360" w:lineRule="auto"/>
        <w:ind w:firstLine="480" w:firstLineChars="200"/>
        <w:rPr>
          <w:sz w:val="24"/>
          <w:lang w:bidi="ar"/>
        </w:rPr>
      </w:pPr>
    </w:p>
    <w:p w14:paraId="0B39F866">
      <w:pPr>
        <w:spacing w:line="360" w:lineRule="auto"/>
        <w:ind w:firstLine="480" w:firstLineChars="200"/>
        <w:rPr>
          <w:sz w:val="24"/>
          <w:lang w:bidi="ar"/>
        </w:rPr>
      </w:pPr>
    </w:p>
    <w:p w14:paraId="0884D8B9">
      <w:pPr>
        <w:spacing w:line="360" w:lineRule="auto"/>
        <w:ind w:firstLine="480" w:firstLineChars="200"/>
        <w:rPr>
          <w:sz w:val="24"/>
          <w:lang w:bidi="ar"/>
        </w:rPr>
      </w:pPr>
    </w:p>
    <w:p w14:paraId="0C115788">
      <w:pPr>
        <w:spacing w:line="360" w:lineRule="auto"/>
        <w:ind w:firstLine="480" w:firstLineChars="200"/>
        <w:rPr>
          <w:sz w:val="24"/>
          <w:lang w:bidi="ar"/>
        </w:rPr>
        <w:sectPr>
          <w:pgSz w:w="11906" w:h="16838"/>
          <w:pgMar w:top="720" w:right="720" w:bottom="720" w:left="720" w:header="851" w:footer="567" w:gutter="0"/>
          <w:cols w:space="720" w:num="1"/>
          <w:docGrid w:linePitch="312" w:charSpace="0"/>
        </w:sectPr>
      </w:pPr>
    </w:p>
    <w:p w14:paraId="78085C80">
      <w:pPr>
        <w:spacing w:line="360" w:lineRule="auto"/>
        <w:ind w:firstLine="482" w:firstLineChars="200"/>
        <w:rPr>
          <w:b/>
          <w:bCs/>
          <w:kern w:val="0"/>
          <w:sz w:val="24"/>
        </w:rPr>
      </w:pPr>
      <w:r>
        <w:rPr>
          <w:b/>
          <w:bCs/>
          <w:kern w:val="0"/>
          <w:sz w:val="24"/>
        </w:rPr>
        <w:t>4.2 营运期声环境影响预测与分析</w:t>
      </w:r>
    </w:p>
    <w:p w14:paraId="6A46C553">
      <w:pPr>
        <w:spacing w:line="360" w:lineRule="auto"/>
        <w:ind w:firstLine="480" w:firstLineChars="200"/>
        <w:rPr>
          <w:sz w:val="24"/>
        </w:rPr>
      </w:pPr>
      <w:r>
        <w:rPr>
          <w:sz w:val="24"/>
          <w:lang w:bidi="ar"/>
        </w:rPr>
        <w:t>项目营运期噪声污染源主要是交通噪声，主要是机动车车辆行驶中发动机发出的噪声和车辆行驶引起的气流湍动、地面摩擦等噪声</w:t>
      </w:r>
      <w:r>
        <w:rPr>
          <w:rFonts w:hint="eastAsia"/>
          <w:sz w:val="24"/>
          <w:lang w:bidi="ar"/>
        </w:rPr>
        <w:t>。</w:t>
      </w:r>
    </w:p>
    <w:p w14:paraId="4E9BCBE4">
      <w:pPr>
        <w:spacing w:line="360" w:lineRule="auto"/>
        <w:ind w:firstLine="482" w:firstLineChars="200"/>
        <w:rPr>
          <w:b/>
          <w:bCs/>
          <w:sz w:val="24"/>
        </w:rPr>
      </w:pPr>
      <w:r>
        <w:rPr>
          <w:rFonts w:hint="eastAsia"/>
          <w:b/>
          <w:bCs/>
          <w:sz w:val="24"/>
          <w:lang w:bidi="ar"/>
        </w:rPr>
        <w:t>A、</w:t>
      </w:r>
      <w:r>
        <w:rPr>
          <w:b/>
          <w:bCs/>
          <w:sz w:val="24"/>
          <w:lang w:bidi="ar"/>
        </w:rPr>
        <w:t>预测模式</w:t>
      </w:r>
    </w:p>
    <w:p w14:paraId="0CFBD2AD">
      <w:pPr>
        <w:spacing w:line="360" w:lineRule="auto"/>
        <w:ind w:firstLine="480" w:firstLineChars="200"/>
        <w:rPr>
          <w:sz w:val="24"/>
          <w:lang w:bidi="ar"/>
        </w:rPr>
      </w:pPr>
      <w:r>
        <w:rPr>
          <w:rFonts w:hint="eastAsia"/>
          <w:sz w:val="24"/>
          <w:lang w:bidi="ar"/>
        </w:rPr>
        <w:t>本项目声环境影响预测采用《环境影响评价技术导则</w:t>
      </w:r>
      <w:r>
        <w:rPr>
          <w:sz w:val="24"/>
          <w:lang w:bidi="ar"/>
        </w:rPr>
        <w:t xml:space="preserve"> 声环境》（HJ2.4-2021）附</w:t>
      </w:r>
      <w:r>
        <w:rPr>
          <w:rFonts w:hint="eastAsia"/>
          <w:sz w:val="24"/>
          <w:lang w:bidi="ar"/>
        </w:rPr>
        <w:t>录</w:t>
      </w:r>
      <w:r>
        <w:rPr>
          <w:sz w:val="24"/>
          <w:lang w:bidi="ar"/>
        </w:rPr>
        <w:t xml:space="preserve"> A.2 中推荐的公路（道路）交通运输噪声预测模式进行预测</w:t>
      </w:r>
      <w:r>
        <w:rPr>
          <w:rFonts w:hint="eastAsia"/>
          <w:sz w:val="24"/>
          <w:lang w:bidi="ar"/>
        </w:rPr>
        <w:t>。</w:t>
      </w:r>
    </w:p>
    <w:p w14:paraId="47561C4A">
      <w:pPr>
        <w:spacing w:line="360" w:lineRule="auto"/>
        <w:ind w:firstLine="482" w:firstLineChars="200"/>
        <w:rPr>
          <w:sz w:val="24"/>
          <w:lang w:bidi="ar"/>
        </w:rPr>
      </w:pPr>
      <w:r>
        <w:rPr>
          <w:rFonts w:hint="eastAsia"/>
          <w:b/>
          <w:bCs/>
          <w:sz w:val="24"/>
          <w:lang w:bidi="ar"/>
        </w:rPr>
        <w:t>（1）</w:t>
      </w:r>
      <w:r>
        <w:rPr>
          <w:b/>
          <w:bCs/>
          <w:sz w:val="24"/>
          <w:lang w:bidi="ar"/>
        </w:rPr>
        <w:t>第i类车等效声级的预测模式：</w:t>
      </w:r>
    </w:p>
    <w:p w14:paraId="5DBC291E">
      <w:pPr>
        <w:jc w:val="center"/>
        <w:rPr>
          <w:sz w:val="24"/>
        </w:rPr>
      </w:pPr>
      <w:r>
        <w:rPr>
          <w:sz w:val="24"/>
          <w:lang w:bidi="ar"/>
        </w:rPr>
        <w:drawing>
          <wp:inline distT="0" distB="0" distL="0" distR="0">
            <wp:extent cx="4934585" cy="619125"/>
            <wp:effectExtent l="0" t="0" r="0" b="9525"/>
            <wp:docPr id="123" name="图片 123"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图示&#10;&#10;中度可信度描述已自动生成"/>
                    <pic:cNvPicPr>
                      <a:picLocks noChangeAspect="1"/>
                    </pic:cNvPicPr>
                  </pic:nvPicPr>
                  <pic:blipFill>
                    <a:blip r:embed="rId28"/>
                    <a:stretch>
                      <a:fillRect/>
                    </a:stretch>
                  </pic:blipFill>
                  <pic:spPr>
                    <a:xfrm>
                      <a:off x="0" y="0"/>
                      <a:ext cx="4934639" cy="619211"/>
                    </a:xfrm>
                    <a:prstGeom prst="rect">
                      <a:avLst/>
                    </a:prstGeom>
                  </pic:spPr>
                </pic:pic>
              </a:graphicData>
            </a:graphic>
          </wp:inline>
        </w:drawing>
      </w:r>
    </w:p>
    <w:p w14:paraId="28AF300D">
      <w:pPr>
        <w:spacing w:line="360" w:lineRule="auto"/>
        <w:ind w:firstLine="480" w:firstLineChars="200"/>
        <w:rPr>
          <w:sz w:val="24"/>
        </w:rPr>
      </w:pPr>
      <w:r>
        <w:rPr>
          <w:sz w:val="24"/>
          <w:lang w:bidi="ar"/>
        </w:rPr>
        <w:t>式中：</w:t>
      </w:r>
    </w:p>
    <w:p w14:paraId="4570492E">
      <w:pPr>
        <w:spacing w:line="360" w:lineRule="auto"/>
        <w:ind w:firstLine="960" w:firstLineChars="400"/>
        <w:rPr>
          <w:sz w:val="24"/>
        </w:rPr>
      </w:pPr>
      <w:r>
        <w:rPr>
          <w:sz w:val="24"/>
          <w:lang w:bidi="ar"/>
        </w:rPr>
        <w:t>Leq（h）i</w:t>
      </w:r>
      <w:r>
        <w:rPr>
          <w:rFonts w:hint="eastAsia"/>
          <w:sz w:val="24"/>
          <w:lang w:bidi="ar"/>
        </w:rPr>
        <w:t>——</w:t>
      </w:r>
      <w:r>
        <w:rPr>
          <w:sz w:val="24"/>
          <w:lang w:bidi="ar"/>
        </w:rPr>
        <w:t>第 i 类车的小时等效声级，dB（A）；</w:t>
      </w:r>
    </w:p>
    <w:p w14:paraId="3A0D845E">
      <w:pPr>
        <w:spacing w:line="360" w:lineRule="auto"/>
        <w:ind w:firstLine="960" w:firstLineChars="400"/>
        <w:rPr>
          <w:sz w:val="24"/>
        </w:rPr>
      </w:pPr>
      <w:r>
        <w:rPr>
          <w:sz w:val="24"/>
          <w:lang w:bidi="ar"/>
        </w:rPr>
        <w:drawing>
          <wp:inline distT="0" distB="0" distL="0" distR="0">
            <wp:extent cx="424180" cy="299720"/>
            <wp:effectExtent l="0" t="0" r="0" b="508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pic:cNvPicPr>
                  </pic:nvPicPr>
                  <pic:blipFill>
                    <a:blip r:embed="rId29"/>
                    <a:stretch>
                      <a:fillRect/>
                    </a:stretch>
                  </pic:blipFill>
                  <pic:spPr>
                    <a:xfrm>
                      <a:off x="0" y="0"/>
                      <a:ext cx="435409" cy="307789"/>
                    </a:xfrm>
                    <a:prstGeom prst="rect">
                      <a:avLst/>
                    </a:prstGeom>
                  </pic:spPr>
                </pic:pic>
              </a:graphicData>
            </a:graphic>
          </wp:inline>
        </w:drawing>
      </w:r>
      <w:r>
        <w:rPr>
          <w:rFonts w:hint="eastAsia"/>
          <w:sz w:val="24"/>
          <w:lang w:bidi="ar"/>
        </w:rPr>
        <w:t>——</w:t>
      </w:r>
      <w:r>
        <w:rPr>
          <w:sz w:val="24"/>
          <w:lang w:bidi="ar"/>
        </w:rPr>
        <w:t>第 i 类车速度为 Vi，km/h；水平距离为 7.5m 处的能量平均 A 声级，dB（A）；</w:t>
      </w:r>
    </w:p>
    <w:p w14:paraId="2A44802D">
      <w:pPr>
        <w:spacing w:line="360" w:lineRule="auto"/>
        <w:ind w:firstLine="960" w:firstLineChars="400"/>
        <w:rPr>
          <w:sz w:val="24"/>
        </w:rPr>
      </w:pPr>
      <w:r>
        <w:rPr>
          <w:sz w:val="24"/>
          <w:lang w:bidi="ar"/>
        </w:rPr>
        <w:t>N</w:t>
      </w:r>
      <w:r>
        <w:rPr>
          <w:sz w:val="24"/>
          <w:vertAlign w:val="subscript"/>
          <w:lang w:bidi="ar"/>
        </w:rPr>
        <w:t>i</w:t>
      </w:r>
      <w:r>
        <w:rPr>
          <w:rFonts w:hint="eastAsia"/>
          <w:sz w:val="24"/>
          <w:lang w:bidi="ar"/>
        </w:rPr>
        <w:t>——</w:t>
      </w:r>
      <w:r>
        <w:rPr>
          <w:sz w:val="24"/>
          <w:lang w:bidi="ar"/>
        </w:rPr>
        <w:t>昼间，夜间通过某个预测点的第 i 类车平均小时车流量，辆/h；</w:t>
      </w:r>
    </w:p>
    <w:p w14:paraId="60373BD3">
      <w:pPr>
        <w:spacing w:line="360" w:lineRule="auto"/>
        <w:ind w:firstLine="960" w:firstLineChars="400"/>
        <w:rPr>
          <w:sz w:val="24"/>
          <w:lang w:bidi="ar"/>
        </w:rPr>
      </w:pPr>
      <w:r>
        <w:rPr>
          <w:sz w:val="24"/>
          <w:lang w:bidi="ar"/>
        </w:rPr>
        <w:drawing>
          <wp:inline distT="0" distB="0" distL="0" distR="0">
            <wp:extent cx="404495" cy="286385"/>
            <wp:effectExtent l="0" t="0" r="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30"/>
                    <a:stretch>
                      <a:fillRect/>
                    </a:stretch>
                  </pic:blipFill>
                  <pic:spPr>
                    <a:xfrm>
                      <a:off x="0" y="0"/>
                      <a:ext cx="411861" cy="291471"/>
                    </a:xfrm>
                    <a:prstGeom prst="rect">
                      <a:avLst/>
                    </a:prstGeom>
                  </pic:spPr>
                </pic:pic>
              </a:graphicData>
            </a:graphic>
          </wp:inline>
        </w:drawing>
      </w:r>
      <w:r>
        <w:rPr>
          <w:rFonts w:hint="eastAsia"/>
          <w:sz w:val="24"/>
          <w:lang w:bidi="ar"/>
        </w:rPr>
        <w:t>——距离衰减量，</w:t>
      </w:r>
      <w:r>
        <w:rPr>
          <w:sz w:val="24"/>
          <w:lang w:bidi="ar"/>
        </w:rPr>
        <w:t>dB（A），小时车流量大于等于 300 辆/小时：</w:t>
      </w:r>
      <w:r>
        <w:rPr>
          <w:rFonts w:hint="eastAsia" w:ascii="宋体" w:hAnsi="宋体" w:cs="宋体"/>
          <w:sz w:val="24"/>
          <w:lang w:bidi="ar"/>
        </w:rPr>
        <w:t>△</w:t>
      </w:r>
      <w:r>
        <w:rPr>
          <w:sz w:val="24"/>
          <w:lang w:bidi="ar"/>
        </w:rPr>
        <w:t>L 距离=10lg</w:t>
      </w:r>
      <w:r>
        <w:rPr>
          <w:rFonts w:hint="eastAsia"/>
          <w:sz w:val="24"/>
          <w:lang w:bidi="ar"/>
        </w:rPr>
        <w:t>（</w:t>
      </w:r>
      <w:r>
        <w:rPr>
          <w:sz w:val="24"/>
          <w:lang w:bidi="ar"/>
        </w:rPr>
        <w:t>7.5/r），小时车流量小于等于300辆/小时：</w:t>
      </w:r>
      <w:r>
        <w:rPr>
          <w:rFonts w:hint="eastAsia" w:ascii="宋体" w:hAnsi="宋体" w:cs="宋体"/>
          <w:sz w:val="24"/>
          <w:lang w:bidi="ar"/>
        </w:rPr>
        <w:t>△</w:t>
      </w:r>
      <w:r>
        <w:rPr>
          <w:sz w:val="24"/>
          <w:lang w:bidi="ar"/>
        </w:rPr>
        <w:t>L 距离=15lg（7.5/r）；</w:t>
      </w:r>
    </w:p>
    <w:p w14:paraId="6039DD2F">
      <w:pPr>
        <w:spacing w:line="360" w:lineRule="auto"/>
        <w:ind w:firstLine="960" w:firstLineChars="400"/>
        <w:rPr>
          <w:sz w:val="24"/>
        </w:rPr>
      </w:pPr>
      <w:r>
        <w:rPr>
          <w:sz w:val="24"/>
          <w:lang w:bidi="ar"/>
        </w:rPr>
        <w:t>r</w:t>
      </w:r>
      <w:r>
        <w:rPr>
          <w:rFonts w:hint="eastAsia"/>
          <w:sz w:val="24"/>
          <w:lang w:bidi="ar"/>
        </w:rPr>
        <w:t>——从车道中心线到预测点的距离，</w:t>
      </w:r>
      <w:r>
        <w:rPr>
          <w:sz w:val="24"/>
          <w:lang w:bidi="ar"/>
        </w:rPr>
        <w:t>m，适用于 r&gt;7.5m 预测点的噪声预测；</w:t>
      </w:r>
    </w:p>
    <w:p w14:paraId="622510BB">
      <w:pPr>
        <w:spacing w:line="360" w:lineRule="auto"/>
        <w:ind w:firstLine="960" w:firstLineChars="400"/>
        <w:rPr>
          <w:sz w:val="24"/>
          <w:lang w:bidi="ar"/>
        </w:rPr>
      </w:pPr>
      <w:r>
        <w:rPr>
          <w:sz w:val="24"/>
          <w:lang w:bidi="ar"/>
        </w:rPr>
        <w:t>Vi</w:t>
      </w:r>
      <w:r>
        <w:rPr>
          <w:rFonts w:hint="eastAsia"/>
          <w:sz w:val="24"/>
          <w:lang w:bidi="ar"/>
        </w:rPr>
        <w:t>——第</w:t>
      </w:r>
      <w:r>
        <w:rPr>
          <w:sz w:val="24"/>
          <w:lang w:bidi="ar"/>
        </w:rPr>
        <w:t xml:space="preserve"> i 类车的平均车速，km/h；</w:t>
      </w:r>
    </w:p>
    <w:p w14:paraId="37F1678C">
      <w:pPr>
        <w:spacing w:line="360" w:lineRule="auto"/>
        <w:ind w:firstLine="960" w:firstLineChars="400"/>
        <w:rPr>
          <w:sz w:val="24"/>
        </w:rPr>
      </w:pPr>
      <w:r>
        <w:rPr>
          <w:rFonts w:hint="eastAsia"/>
          <w:sz w:val="24"/>
          <w:lang w:bidi="ar"/>
        </w:rPr>
        <w:t>T——计算等效声级的时间，</w:t>
      </w:r>
      <w:r>
        <w:rPr>
          <w:sz w:val="24"/>
          <w:lang w:bidi="ar"/>
        </w:rPr>
        <w:t>h；</w:t>
      </w:r>
    </w:p>
    <w:p w14:paraId="078253DF">
      <w:pPr>
        <w:spacing w:line="360" w:lineRule="auto"/>
        <w:ind w:firstLine="960" w:firstLineChars="400"/>
        <w:rPr>
          <w:sz w:val="24"/>
          <w:lang w:bidi="ar"/>
        </w:rPr>
      </w:pPr>
      <w:r>
        <w:rPr>
          <w:sz w:val="24"/>
          <w:lang w:bidi="ar"/>
        </w:rPr>
        <w:t>Ψ1、Ψ2 预测点到有限长路段两端的张角，弧度，见</w:t>
      </w:r>
      <w:r>
        <w:rPr>
          <w:rFonts w:hint="eastAsia"/>
          <w:sz w:val="24"/>
          <w:lang w:bidi="ar"/>
        </w:rPr>
        <w:t>下</w:t>
      </w:r>
      <w:r>
        <w:rPr>
          <w:sz w:val="24"/>
          <w:lang w:bidi="ar"/>
        </w:rPr>
        <w:t>图所示；</w:t>
      </w:r>
    </w:p>
    <w:p w14:paraId="45B0B74C">
      <w:pPr>
        <w:spacing w:line="360" w:lineRule="auto"/>
        <w:ind w:firstLine="840" w:firstLineChars="400"/>
        <w:jc w:val="center"/>
        <w:rPr>
          <w:sz w:val="24"/>
        </w:rPr>
      </w:pPr>
      <w:r>
        <w:drawing>
          <wp:inline distT="0" distB="0" distL="0" distR="0">
            <wp:extent cx="2360930" cy="1132205"/>
            <wp:effectExtent l="0" t="0" r="1270" b="0"/>
            <wp:docPr id="127" name="图片 127" descr="形状&#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形状&#10;&#10;中度可信度描述已自动生成"/>
                    <pic:cNvPicPr>
                      <a:picLocks noChangeAspect="1"/>
                    </pic:cNvPicPr>
                  </pic:nvPicPr>
                  <pic:blipFill>
                    <a:blip r:embed="rId31"/>
                    <a:stretch>
                      <a:fillRect/>
                    </a:stretch>
                  </pic:blipFill>
                  <pic:spPr>
                    <a:xfrm>
                      <a:off x="0" y="0"/>
                      <a:ext cx="2421342" cy="1161543"/>
                    </a:xfrm>
                    <a:prstGeom prst="rect">
                      <a:avLst/>
                    </a:prstGeom>
                  </pic:spPr>
                </pic:pic>
              </a:graphicData>
            </a:graphic>
          </wp:inline>
        </w:drawing>
      </w:r>
    </w:p>
    <w:p w14:paraId="647F79AC">
      <w:pPr>
        <w:spacing w:line="360" w:lineRule="auto"/>
        <w:ind w:firstLine="964" w:firstLineChars="400"/>
        <w:jc w:val="center"/>
        <w:rPr>
          <w:b/>
          <w:bCs/>
          <w:sz w:val="24"/>
        </w:rPr>
      </w:pPr>
      <w:r>
        <w:rPr>
          <w:rFonts w:hint="eastAsia"/>
          <w:b/>
          <w:bCs/>
          <w:sz w:val="24"/>
        </w:rPr>
        <w:t>图</w:t>
      </w:r>
      <w:r>
        <w:rPr>
          <w:b/>
          <w:bCs/>
          <w:sz w:val="24"/>
        </w:rPr>
        <w:t>4.2-1 有限路段的修正函数，A~B 为路段，P 为预测点</w:t>
      </w:r>
    </w:p>
    <w:p w14:paraId="60C02161">
      <w:pPr>
        <w:spacing w:line="360" w:lineRule="auto"/>
        <w:ind w:firstLine="480" w:firstLineChars="200"/>
        <w:rPr>
          <w:sz w:val="24"/>
        </w:rPr>
      </w:pPr>
      <w:r>
        <w:rPr>
          <w:sz w:val="24"/>
          <w:lang w:bidi="ar"/>
        </w:rPr>
        <w:t>有限路段的修正函数，A-B 为路段，P 为预测点</w:t>
      </w:r>
    </w:p>
    <w:p w14:paraId="1D74A975">
      <w:pPr>
        <w:spacing w:line="360" w:lineRule="auto"/>
        <w:ind w:firstLine="480" w:firstLineChars="200"/>
        <w:rPr>
          <w:rFonts w:eastAsia="TT117o01"/>
          <w:sz w:val="24"/>
        </w:rPr>
      </w:pPr>
      <w:r>
        <w:rPr>
          <w:rFonts w:ascii="Cambria Math" w:hAnsi="Cambria Math" w:eastAsia="Cambria Math" w:cs="Cambria Math"/>
          <w:sz w:val="24"/>
          <w:lang w:bidi="ar"/>
        </w:rPr>
        <w:t>△</w:t>
      </w:r>
      <w:r>
        <w:rPr>
          <w:rFonts w:eastAsia="TimesNewRoman"/>
          <w:sz w:val="24"/>
          <w:lang w:bidi="ar"/>
        </w:rPr>
        <w:t>L-</w:t>
      </w:r>
      <w:r>
        <w:rPr>
          <w:sz w:val="24"/>
          <w:lang w:bidi="ar"/>
        </w:rPr>
        <w:t>由其他因素引起的修正量，</w:t>
      </w:r>
      <w:r>
        <w:rPr>
          <w:rFonts w:eastAsia="TimesNewRoman"/>
          <w:sz w:val="24"/>
          <w:lang w:bidi="ar"/>
        </w:rPr>
        <w:t>dB</w:t>
      </w:r>
      <w:r>
        <w:rPr>
          <w:sz w:val="24"/>
          <w:lang w:bidi="ar"/>
        </w:rPr>
        <w:t>（</w:t>
      </w:r>
      <w:r>
        <w:rPr>
          <w:rFonts w:eastAsia="TimesNewRoman"/>
          <w:sz w:val="24"/>
          <w:lang w:bidi="ar"/>
        </w:rPr>
        <w:t>A</w:t>
      </w:r>
      <w:r>
        <w:rPr>
          <w:sz w:val="24"/>
          <w:lang w:bidi="ar"/>
        </w:rPr>
        <w:t>），可按下式计算：</w:t>
      </w:r>
    </w:p>
    <w:p w14:paraId="6C42ED0A">
      <w:pPr>
        <w:jc w:val="center"/>
        <w:rPr>
          <w:sz w:val="24"/>
        </w:rPr>
      </w:pPr>
      <w:r>
        <w:rPr>
          <w:sz w:val="24"/>
          <w:lang w:bidi="ar"/>
        </w:rPr>
        <w:drawing>
          <wp:inline distT="0" distB="0" distL="0" distR="0">
            <wp:extent cx="3193415" cy="1242060"/>
            <wp:effectExtent l="0" t="0" r="6985" b="0"/>
            <wp:docPr id="115" name="图片 115"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文本&#10;&#10;描述已自动生成"/>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3193415" cy="1242060"/>
                    </a:xfrm>
                    <a:prstGeom prst="rect">
                      <a:avLst/>
                    </a:prstGeom>
                    <a:noFill/>
                    <a:ln>
                      <a:noFill/>
                    </a:ln>
                    <a:effectLst/>
                  </pic:spPr>
                </pic:pic>
              </a:graphicData>
            </a:graphic>
          </wp:inline>
        </w:drawing>
      </w:r>
    </w:p>
    <w:p w14:paraId="49DE11F4">
      <w:pPr>
        <w:spacing w:line="360" w:lineRule="auto"/>
        <w:ind w:firstLine="480" w:firstLineChars="200"/>
        <w:rPr>
          <w:sz w:val="24"/>
        </w:rPr>
      </w:pPr>
      <w:r>
        <w:rPr>
          <w:sz w:val="24"/>
          <w:lang w:bidi="ar"/>
        </w:rPr>
        <w:t>式中：</w:t>
      </w:r>
    </w:p>
    <w:p w14:paraId="5248EC70">
      <w:pPr>
        <w:spacing w:line="360" w:lineRule="auto"/>
        <w:ind w:firstLine="480" w:firstLineChars="200"/>
        <w:rPr>
          <w:sz w:val="24"/>
        </w:rPr>
      </w:pPr>
      <w:r>
        <w:rPr>
          <w:sz w:val="24"/>
          <w:lang w:bidi="ar"/>
        </w:rPr>
        <w:t>∆L1</w:t>
      </w:r>
      <w:r>
        <w:rPr>
          <w:rFonts w:hint="eastAsia"/>
          <w:sz w:val="24"/>
          <w:lang w:bidi="ar"/>
        </w:rPr>
        <w:t>——</w:t>
      </w:r>
      <w:r>
        <w:rPr>
          <w:sz w:val="24"/>
          <w:lang w:bidi="ar"/>
        </w:rPr>
        <w:t>线路因素引起的修正量，dB（A）；</w:t>
      </w:r>
    </w:p>
    <w:p w14:paraId="50C0AFAF">
      <w:pPr>
        <w:spacing w:line="360" w:lineRule="auto"/>
        <w:ind w:firstLine="480" w:firstLineChars="200"/>
        <w:rPr>
          <w:rFonts w:eastAsia="TT117o01"/>
          <w:sz w:val="24"/>
        </w:rPr>
      </w:pPr>
      <w:r>
        <w:rPr>
          <w:rFonts w:eastAsia="TimesNewRoman"/>
          <w:sz w:val="24"/>
          <w:lang w:bidi="ar"/>
        </w:rPr>
        <w:t>∆L</w:t>
      </w:r>
      <w:r>
        <w:rPr>
          <w:sz w:val="24"/>
          <w:lang w:bidi="ar"/>
        </w:rPr>
        <w:t>坡度</w:t>
      </w:r>
      <w:r>
        <w:rPr>
          <w:rFonts w:hint="eastAsia" w:asciiTheme="minorEastAsia" w:hAnsiTheme="minorEastAsia"/>
          <w:sz w:val="24"/>
          <w:lang w:bidi="ar"/>
        </w:rPr>
        <w:t>——</w:t>
      </w:r>
      <w:r>
        <w:rPr>
          <w:sz w:val="24"/>
          <w:lang w:bidi="ar"/>
        </w:rPr>
        <w:t>公路纵坡修正量，</w:t>
      </w:r>
      <w:r>
        <w:rPr>
          <w:rFonts w:eastAsia="TimesNewRoman"/>
          <w:sz w:val="24"/>
          <w:lang w:bidi="ar"/>
        </w:rPr>
        <w:t>dB</w:t>
      </w:r>
      <w:r>
        <w:rPr>
          <w:sz w:val="24"/>
          <w:lang w:bidi="ar"/>
        </w:rPr>
        <w:t>（</w:t>
      </w:r>
      <w:r>
        <w:rPr>
          <w:rFonts w:eastAsia="TimesNewRoman"/>
          <w:sz w:val="24"/>
          <w:lang w:bidi="ar"/>
        </w:rPr>
        <w:t>A</w:t>
      </w:r>
      <w:r>
        <w:rPr>
          <w:sz w:val="24"/>
          <w:lang w:bidi="ar"/>
        </w:rPr>
        <w:t>）；</w:t>
      </w:r>
    </w:p>
    <w:p w14:paraId="73817907">
      <w:pPr>
        <w:spacing w:line="360" w:lineRule="auto"/>
        <w:ind w:firstLine="480" w:firstLineChars="200"/>
        <w:rPr>
          <w:rFonts w:eastAsia="TT117o01"/>
          <w:sz w:val="24"/>
        </w:rPr>
      </w:pPr>
      <w:r>
        <w:rPr>
          <w:rFonts w:eastAsia="TimesNewRoman"/>
          <w:sz w:val="24"/>
          <w:lang w:bidi="ar"/>
        </w:rPr>
        <w:t>∆L</w:t>
      </w:r>
      <w:r>
        <w:rPr>
          <w:sz w:val="24"/>
          <w:lang w:bidi="ar"/>
        </w:rPr>
        <w:t>路面</w:t>
      </w:r>
      <w:r>
        <w:rPr>
          <w:rFonts w:hint="eastAsia" w:asciiTheme="minorEastAsia" w:hAnsiTheme="minorEastAsia"/>
          <w:sz w:val="24"/>
          <w:lang w:bidi="ar"/>
        </w:rPr>
        <w:t>——</w:t>
      </w:r>
      <w:r>
        <w:rPr>
          <w:sz w:val="24"/>
          <w:lang w:bidi="ar"/>
        </w:rPr>
        <w:t>公路路面材料引起的修正量，</w:t>
      </w:r>
      <w:r>
        <w:rPr>
          <w:rFonts w:eastAsia="TimesNewRoman"/>
          <w:sz w:val="24"/>
          <w:lang w:bidi="ar"/>
        </w:rPr>
        <w:t>dB</w:t>
      </w:r>
      <w:r>
        <w:rPr>
          <w:sz w:val="24"/>
          <w:lang w:bidi="ar"/>
        </w:rPr>
        <w:t>（</w:t>
      </w:r>
      <w:r>
        <w:rPr>
          <w:rFonts w:eastAsia="TimesNewRoman"/>
          <w:sz w:val="24"/>
          <w:lang w:bidi="ar"/>
        </w:rPr>
        <w:t>A</w:t>
      </w:r>
      <w:r>
        <w:rPr>
          <w:sz w:val="24"/>
          <w:lang w:bidi="ar"/>
        </w:rPr>
        <w:t>）；</w:t>
      </w:r>
    </w:p>
    <w:p w14:paraId="0B7B149E">
      <w:pPr>
        <w:spacing w:line="360" w:lineRule="auto"/>
        <w:ind w:firstLine="480" w:firstLineChars="200"/>
        <w:rPr>
          <w:rFonts w:eastAsia="TT117o01"/>
          <w:sz w:val="24"/>
        </w:rPr>
      </w:pPr>
      <w:r>
        <w:rPr>
          <w:rFonts w:eastAsia="TimesNewRoman"/>
          <w:sz w:val="24"/>
          <w:lang w:bidi="ar"/>
        </w:rPr>
        <w:t>∆L2</w:t>
      </w:r>
      <w:r>
        <w:rPr>
          <w:rFonts w:hint="eastAsia" w:asciiTheme="minorEastAsia" w:hAnsiTheme="minorEastAsia"/>
          <w:sz w:val="24"/>
          <w:lang w:bidi="ar"/>
        </w:rPr>
        <w:t>——</w:t>
      </w:r>
      <w:r>
        <w:rPr>
          <w:sz w:val="24"/>
          <w:lang w:bidi="ar"/>
        </w:rPr>
        <w:t>声波传播途径中引起的衰减量，</w:t>
      </w:r>
      <w:r>
        <w:rPr>
          <w:rFonts w:eastAsia="TimesNewRoman"/>
          <w:sz w:val="24"/>
          <w:lang w:bidi="ar"/>
        </w:rPr>
        <w:t>dB</w:t>
      </w:r>
      <w:r>
        <w:rPr>
          <w:sz w:val="24"/>
          <w:lang w:bidi="ar"/>
        </w:rPr>
        <w:t>（</w:t>
      </w:r>
      <w:r>
        <w:rPr>
          <w:rFonts w:eastAsia="TimesNewRoman"/>
          <w:sz w:val="24"/>
          <w:lang w:bidi="ar"/>
        </w:rPr>
        <w:t>A</w:t>
      </w:r>
      <w:r>
        <w:rPr>
          <w:sz w:val="24"/>
          <w:lang w:bidi="ar"/>
        </w:rPr>
        <w:t>）；</w:t>
      </w:r>
    </w:p>
    <w:p w14:paraId="6A6E1247">
      <w:pPr>
        <w:spacing w:line="360" w:lineRule="auto"/>
        <w:ind w:firstLine="480" w:firstLineChars="200"/>
        <w:rPr>
          <w:rFonts w:eastAsia="TT117o00"/>
          <w:sz w:val="24"/>
        </w:rPr>
      </w:pPr>
      <w:r>
        <w:rPr>
          <w:rFonts w:eastAsia="TimesNewRoman"/>
          <w:sz w:val="24"/>
          <w:lang w:bidi="ar"/>
        </w:rPr>
        <w:t>∆L3</w:t>
      </w:r>
      <w:r>
        <w:rPr>
          <w:rFonts w:hint="eastAsia" w:asciiTheme="minorEastAsia" w:hAnsiTheme="minorEastAsia"/>
          <w:sz w:val="24"/>
          <w:lang w:bidi="ar"/>
        </w:rPr>
        <w:t>——</w:t>
      </w:r>
      <w:r>
        <w:rPr>
          <w:sz w:val="24"/>
          <w:lang w:bidi="ar"/>
        </w:rPr>
        <w:t>由反射等引起的修正量，</w:t>
      </w:r>
      <w:r>
        <w:rPr>
          <w:rFonts w:eastAsia="TimesNewRoman"/>
          <w:sz w:val="24"/>
          <w:lang w:bidi="ar"/>
        </w:rPr>
        <w:t>dB</w:t>
      </w:r>
      <w:r>
        <w:rPr>
          <w:sz w:val="24"/>
          <w:lang w:bidi="ar"/>
        </w:rPr>
        <w:t>（</w:t>
      </w:r>
      <w:r>
        <w:rPr>
          <w:rFonts w:eastAsia="TimesNewRoman"/>
          <w:sz w:val="24"/>
          <w:lang w:bidi="ar"/>
        </w:rPr>
        <w:t>A</w:t>
      </w:r>
      <w:r>
        <w:rPr>
          <w:sz w:val="24"/>
          <w:lang w:bidi="ar"/>
        </w:rPr>
        <w:t>）。</w:t>
      </w:r>
    </w:p>
    <w:p w14:paraId="0A917336">
      <w:pPr>
        <w:spacing w:line="360" w:lineRule="auto"/>
        <w:ind w:firstLine="482" w:firstLineChars="200"/>
        <w:rPr>
          <w:rFonts w:eastAsia="TT117o01"/>
          <w:b/>
          <w:bCs/>
          <w:sz w:val="24"/>
        </w:rPr>
      </w:pPr>
      <w:r>
        <w:rPr>
          <w:rFonts w:hint="eastAsia" w:ascii="宋体" w:hAnsi="宋体" w:cs="宋体"/>
          <w:b/>
          <w:bCs/>
          <w:sz w:val="24"/>
          <w:lang w:bidi="ar"/>
        </w:rPr>
        <w:t>（2）</w:t>
      </w:r>
      <w:r>
        <w:rPr>
          <w:b/>
          <w:bCs/>
          <w:sz w:val="24"/>
          <w:lang w:bidi="ar"/>
        </w:rPr>
        <w:t>总车流等效声级为：</w:t>
      </w:r>
    </w:p>
    <w:p w14:paraId="2AA58D12">
      <w:pPr>
        <w:jc w:val="center"/>
        <w:rPr>
          <w:sz w:val="24"/>
        </w:rPr>
      </w:pPr>
      <w:r>
        <w:rPr>
          <w:sz w:val="24"/>
          <w:lang w:bidi="ar"/>
        </w:rPr>
        <w:drawing>
          <wp:inline distT="0" distB="0" distL="0" distR="0">
            <wp:extent cx="4795520" cy="436245"/>
            <wp:effectExtent l="0" t="0" r="0" b="1905"/>
            <wp:docPr id="114" name="图片 11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示&#10;&#10;描述已自动生成"/>
                    <pic:cNvPicPr>
                      <a:picLocks noChangeAspect="1" noChangeArrowheads="1"/>
                    </pic:cNvPicPr>
                  </pic:nvPicPr>
                  <pic:blipFill>
                    <a:blip r:embed="rId33">
                      <a:extLst>
                        <a:ext uri="{28A0092B-C50C-407E-A947-70E740481C1C}">
                          <a14:useLocalDpi xmlns:a14="http://schemas.microsoft.com/office/drawing/2010/main" val="0"/>
                        </a:ext>
                      </a:extLst>
                    </a:blip>
                    <a:srcRect b="78075"/>
                    <a:stretch>
                      <a:fillRect/>
                    </a:stretch>
                  </pic:blipFill>
                  <pic:spPr>
                    <a:xfrm>
                      <a:off x="0" y="0"/>
                      <a:ext cx="4797425" cy="436878"/>
                    </a:xfrm>
                    <a:prstGeom prst="rect">
                      <a:avLst/>
                    </a:prstGeom>
                    <a:noFill/>
                    <a:ln>
                      <a:noFill/>
                    </a:ln>
                    <a:effectLst/>
                  </pic:spPr>
                </pic:pic>
              </a:graphicData>
            </a:graphic>
          </wp:inline>
        </w:drawing>
      </w:r>
    </w:p>
    <w:p w14:paraId="4AFEF9AF">
      <w:pPr>
        <w:spacing w:line="360" w:lineRule="auto"/>
        <w:ind w:firstLine="480" w:firstLineChars="200"/>
        <w:rPr>
          <w:sz w:val="24"/>
          <w:lang w:bidi="ar"/>
        </w:rPr>
      </w:pPr>
      <w:r>
        <w:rPr>
          <w:rFonts w:hint="eastAsia"/>
          <w:sz w:val="24"/>
          <w:lang w:bidi="ar"/>
        </w:rPr>
        <w:t>如某个预测点受到多条线路交通噪声影响（如高架桥周边预测点受桥上和桥下多条车道的影响，路边高层建筑预测点受地面多条车道的影响），应分别计算每条车道对该预测点的声级后，经叠加后得到贡献值。</w:t>
      </w:r>
    </w:p>
    <w:p w14:paraId="1CD84017">
      <w:pPr>
        <w:spacing w:line="360" w:lineRule="auto"/>
        <w:ind w:firstLine="482" w:firstLineChars="200"/>
        <w:rPr>
          <w:b/>
          <w:bCs/>
          <w:sz w:val="24"/>
          <w:lang w:bidi="ar"/>
        </w:rPr>
      </w:pPr>
      <w:r>
        <w:rPr>
          <w:b/>
          <w:bCs/>
          <w:sz w:val="24"/>
          <w:lang w:bidi="ar"/>
        </w:rPr>
        <w:t>B.计算参数的确定</w:t>
      </w:r>
    </w:p>
    <w:p w14:paraId="404D06F2">
      <w:pPr>
        <w:spacing w:line="360" w:lineRule="auto"/>
        <w:ind w:firstLine="482" w:firstLineChars="200"/>
        <w:rPr>
          <w:b/>
          <w:bCs/>
          <w:sz w:val="24"/>
          <w:lang w:bidi="ar"/>
        </w:rPr>
      </w:pPr>
      <w:r>
        <w:rPr>
          <w:rFonts w:hint="eastAsia"/>
          <w:b/>
          <w:bCs/>
          <w:sz w:val="24"/>
          <w:lang w:bidi="ar"/>
        </w:rPr>
        <w:t>（</w:t>
      </w:r>
      <w:r>
        <w:rPr>
          <w:b/>
          <w:bCs/>
          <w:sz w:val="24"/>
          <w:lang w:bidi="ar"/>
        </w:rPr>
        <w:t>1）车速及单车行驶辐射噪声级</w:t>
      </w:r>
    </w:p>
    <w:p w14:paraId="6753A3CC">
      <w:pPr>
        <w:spacing w:line="360" w:lineRule="auto"/>
        <w:ind w:firstLine="480" w:firstLineChars="200"/>
        <w:rPr>
          <w:sz w:val="24"/>
          <w:lang w:bidi="ar"/>
        </w:rPr>
      </w:pPr>
      <w:r>
        <w:rPr>
          <w:rFonts w:hint="eastAsia"/>
          <w:sz w:val="24"/>
          <w:lang w:bidi="ar"/>
        </w:rPr>
        <w:t>根据前文工程分析，本项目各预测特征年各车型各时段车速及预测路段距道路中心线</w:t>
      </w:r>
      <w:r>
        <w:rPr>
          <w:sz w:val="24"/>
          <w:lang w:bidi="ar"/>
        </w:rPr>
        <w:t>7.5m处单车辐射噪声级详见前文</w:t>
      </w:r>
      <w:r>
        <w:rPr>
          <w:rFonts w:hint="eastAsia"/>
          <w:sz w:val="24"/>
          <w:lang w:bidi="ar"/>
        </w:rPr>
        <w:t>表</w:t>
      </w:r>
      <w:r>
        <w:rPr>
          <w:sz w:val="24"/>
          <w:lang w:bidi="ar"/>
        </w:rPr>
        <w:t>2.</w:t>
      </w:r>
      <w:r>
        <w:rPr>
          <w:rFonts w:hint="eastAsia"/>
          <w:sz w:val="24"/>
          <w:lang w:bidi="ar"/>
        </w:rPr>
        <w:t>5</w:t>
      </w:r>
      <w:r>
        <w:rPr>
          <w:sz w:val="24"/>
          <w:lang w:bidi="ar"/>
        </w:rPr>
        <w:t>-</w:t>
      </w:r>
      <w:r>
        <w:rPr>
          <w:rFonts w:hint="eastAsia"/>
          <w:sz w:val="24"/>
          <w:lang w:bidi="ar"/>
        </w:rPr>
        <w:t>4。</w:t>
      </w:r>
    </w:p>
    <w:p w14:paraId="03F5EB56">
      <w:pPr>
        <w:spacing w:line="360" w:lineRule="auto"/>
        <w:ind w:firstLine="482" w:firstLineChars="200"/>
        <w:rPr>
          <w:b/>
          <w:bCs/>
          <w:sz w:val="24"/>
        </w:rPr>
      </w:pPr>
      <w:r>
        <w:rPr>
          <w:b/>
          <w:bCs/>
          <w:sz w:val="24"/>
          <w:lang w:bidi="ar"/>
        </w:rPr>
        <w:t>（2）修正量和衰减量的计算</w:t>
      </w:r>
    </w:p>
    <w:p w14:paraId="6E66D614">
      <w:pPr>
        <w:spacing w:line="360" w:lineRule="auto"/>
        <w:ind w:firstLine="482" w:firstLineChars="200"/>
        <w:rPr>
          <w:b/>
          <w:bCs/>
          <w:sz w:val="24"/>
        </w:rPr>
      </w:pPr>
      <w:r>
        <w:rPr>
          <w:rFonts w:hint="eastAsia" w:ascii="宋体" w:hAnsi="宋体" w:cs="宋体"/>
          <w:b/>
          <w:bCs/>
          <w:sz w:val="24"/>
          <w:lang w:bidi="ar"/>
        </w:rPr>
        <w:t>1）</w:t>
      </w:r>
      <w:r>
        <w:rPr>
          <w:b/>
          <w:bCs/>
          <w:sz w:val="24"/>
          <w:lang w:bidi="ar"/>
        </w:rPr>
        <w:t>线路因素引起的修正量（ΔL</w:t>
      </w:r>
      <w:r>
        <w:rPr>
          <w:b/>
          <w:bCs/>
          <w:sz w:val="24"/>
          <w:vertAlign w:val="subscript"/>
          <w:lang w:bidi="ar"/>
        </w:rPr>
        <w:t>1</w:t>
      </w:r>
      <w:r>
        <w:rPr>
          <w:b/>
          <w:bCs/>
          <w:sz w:val="24"/>
          <w:lang w:bidi="ar"/>
        </w:rPr>
        <w:t>）</w:t>
      </w:r>
    </w:p>
    <w:p w14:paraId="5B1B1FD4">
      <w:pPr>
        <w:spacing w:line="360" w:lineRule="auto"/>
        <w:ind w:firstLine="480" w:firstLineChars="200"/>
        <w:rPr>
          <w:sz w:val="24"/>
        </w:rPr>
      </w:pPr>
      <w:r>
        <w:rPr>
          <w:rFonts w:hint="eastAsia"/>
          <w:sz w:val="24"/>
          <w:lang w:bidi="ar"/>
        </w:rPr>
        <w:t>①</w:t>
      </w:r>
      <w:r>
        <w:rPr>
          <w:sz w:val="24"/>
          <w:lang w:bidi="ar"/>
        </w:rPr>
        <w:t>纵坡修正量（ΔL坡度）</w:t>
      </w:r>
    </w:p>
    <w:p w14:paraId="10B0B4C2">
      <w:pPr>
        <w:spacing w:line="360" w:lineRule="auto"/>
        <w:ind w:firstLine="480" w:firstLineChars="200"/>
        <w:rPr>
          <w:sz w:val="24"/>
        </w:rPr>
      </w:pPr>
      <w:r>
        <w:rPr>
          <w:sz w:val="24"/>
          <w:lang w:bidi="ar"/>
        </w:rPr>
        <w:t>公路纵坡修正量ΔL坡度可按下式计算：</w:t>
      </w:r>
    </w:p>
    <w:p w14:paraId="7D1FB47A">
      <w:pPr>
        <w:spacing w:line="360" w:lineRule="auto"/>
        <w:ind w:firstLine="480" w:firstLineChars="200"/>
        <w:rPr>
          <w:sz w:val="24"/>
        </w:rPr>
      </w:pPr>
      <w:r>
        <w:rPr>
          <w:sz w:val="24"/>
          <w:lang w:bidi="ar"/>
        </w:rPr>
        <w:t>大型车：ΔL坡度=98×β     dB(A)</w:t>
      </w:r>
    </w:p>
    <w:p w14:paraId="79086FDD">
      <w:pPr>
        <w:spacing w:line="360" w:lineRule="auto"/>
        <w:ind w:firstLine="480" w:firstLineChars="200"/>
        <w:rPr>
          <w:sz w:val="24"/>
        </w:rPr>
      </w:pPr>
      <w:r>
        <w:rPr>
          <w:sz w:val="24"/>
          <w:lang w:bidi="ar"/>
        </w:rPr>
        <w:t>中型车：ΔL坡度=73×β     dB(A)</w:t>
      </w:r>
    </w:p>
    <w:p w14:paraId="5CFD75F5">
      <w:pPr>
        <w:spacing w:line="360" w:lineRule="auto"/>
        <w:ind w:firstLine="480" w:firstLineChars="200"/>
        <w:rPr>
          <w:sz w:val="24"/>
        </w:rPr>
      </w:pPr>
      <w:r>
        <w:rPr>
          <w:sz w:val="24"/>
          <w:lang w:bidi="ar"/>
        </w:rPr>
        <w:t>小型车：ΔL坡度=50×β     dB(A)</w:t>
      </w:r>
    </w:p>
    <w:p w14:paraId="6549E95C">
      <w:pPr>
        <w:spacing w:line="360" w:lineRule="auto"/>
        <w:ind w:firstLine="480" w:firstLineChars="200"/>
        <w:rPr>
          <w:sz w:val="24"/>
        </w:rPr>
      </w:pPr>
      <w:r>
        <w:rPr>
          <w:sz w:val="24"/>
          <w:lang w:bidi="ar"/>
        </w:rPr>
        <w:t>式中：β——公路纵坡坡度，%。</w:t>
      </w:r>
    </w:p>
    <w:p w14:paraId="59584576">
      <w:pPr>
        <w:spacing w:line="360" w:lineRule="auto"/>
        <w:ind w:firstLine="480" w:firstLineChars="200"/>
        <w:rPr>
          <w:sz w:val="24"/>
        </w:rPr>
      </w:pPr>
      <w:r>
        <w:rPr>
          <w:sz w:val="24"/>
          <w:lang w:bidi="ar"/>
        </w:rPr>
        <w:t>（b）路面修正量（ΔL</w:t>
      </w:r>
      <w:r>
        <w:rPr>
          <w:sz w:val="24"/>
          <w:vertAlign w:val="subscript"/>
          <w:lang w:bidi="ar"/>
        </w:rPr>
        <w:t xml:space="preserve"> 路面</w:t>
      </w:r>
      <w:r>
        <w:rPr>
          <w:sz w:val="24"/>
          <w:lang w:bidi="ar"/>
        </w:rPr>
        <w:t>）</w:t>
      </w:r>
    </w:p>
    <w:p w14:paraId="68FEB7C1">
      <w:pPr>
        <w:spacing w:line="360" w:lineRule="auto"/>
        <w:ind w:firstLine="480" w:firstLineChars="200"/>
        <w:rPr>
          <w:sz w:val="24"/>
        </w:rPr>
      </w:pPr>
      <w:r>
        <w:rPr>
          <w:sz w:val="24"/>
          <w:lang w:bidi="ar"/>
        </w:rPr>
        <w:t>不同路面的噪声修正量见下表。</w:t>
      </w:r>
    </w:p>
    <w:p w14:paraId="5C2160B5">
      <w:pPr>
        <w:spacing w:before="120" w:beforeLines="50" w:line="360" w:lineRule="auto"/>
        <w:jc w:val="center"/>
        <w:rPr>
          <w:b/>
          <w:bCs/>
          <w:kern w:val="0"/>
          <w:szCs w:val="21"/>
        </w:rPr>
      </w:pPr>
      <w:r>
        <w:rPr>
          <w:b/>
          <w:bCs/>
          <w:kern w:val="0"/>
          <w:szCs w:val="21"/>
        </w:rPr>
        <w:t>表4.2-1  常见路面噪声修正量       单位：dB(A)</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1"/>
        <w:gridCol w:w="2671"/>
        <w:gridCol w:w="2671"/>
        <w:gridCol w:w="2671"/>
      </w:tblGrid>
      <w:tr w14:paraId="7538E80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vMerge w:val="restart"/>
            <w:shd w:val="clear" w:color="auto" w:fill="auto"/>
            <w:vAlign w:val="center"/>
          </w:tcPr>
          <w:p w14:paraId="39B9F3B3">
            <w:pPr>
              <w:adjustRightInd w:val="0"/>
              <w:snapToGrid w:val="0"/>
              <w:jc w:val="center"/>
              <w:rPr>
                <w:b/>
                <w:bCs/>
                <w:szCs w:val="21"/>
              </w:rPr>
            </w:pPr>
            <w:r>
              <w:rPr>
                <w:b/>
                <w:bCs/>
                <w:szCs w:val="21"/>
                <w:lang w:bidi="ar"/>
              </w:rPr>
              <w:t>路面类型</w:t>
            </w:r>
          </w:p>
        </w:tc>
        <w:tc>
          <w:tcPr>
            <w:tcW w:w="3750" w:type="pct"/>
            <w:gridSpan w:val="3"/>
            <w:shd w:val="clear" w:color="auto" w:fill="auto"/>
            <w:vAlign w:val="center"/>
          </w:tcPr>
          <w:p w14:paraId="65BE104F">
            <w:pPr>
              <w:adjustRightInd w:val="0"/>
              <w:snapToGrid w:val="0"/>
              <w:jc w:val="center"/>
              <w:rPr>
                <w:b/>
                <w:bCs/>
                <w:szCs w:val="21"/>
              </w:rPr>
            </w:pPr>
            <w:r>
              <w:rPr>
                <w:b/>
                <w:bCs/>
                <w:szCs w:val="21"/>
                <w:lang w:bidi="ar"/>
              </w:rPr>
              <w:t>不同行驶速度修正量/（km/h）</w:t>
            </w:r>
          </w:p>
        </w:tc>
      </w:tr>
      <w:tr w14:paraId="1FF40F5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vMerge w:val="continue"/>
            <w:shd w:val="clear" w:color="auto" w:fill="auto"/>
            <w:vAlign w:val="center"/>
          </w:tcPr>
          <w:p w14:paraId="49231DCD">
            <w:pPr>
              <w:adjustRightInd w:val="0"/>
              <w:snapToGrid w:val="0"/>
              <w:jc w:val="center"/>
              <w:rPr>
                <w:b/>
                <w:bCs/>
                <w:sz w:val="20"/>
                <w:szCs w:val="20"/>
              </w:rPr>
            </w:pPr>
          </w:p>
        </w:tc>
        <w:tc>
          <w:tcPr>
            <w:tcW w:w="1250" w:type="pct"/>
            <w:shd w:val="clear" w:color="auto" w:fill="auto"/>
            <w:vAlign w:val="center"/>
          </w:tcPr>
          <w:p w14:paraId="36D9F67E">
            <w:pPr>
              <w:adjustRightInd w:val="0"/>
              <w:snapToGrid w:val="0"/>
              <w:jc w:val="center"/>
              <w:rPr>
                <w:b/>
                <w:bCs/>
                <w:szCs w:val="21"/>
              </w:rPr>
            </w:pPr>
            <w:r>
              <w:rPr>
                <w:b/>
                <w:bCs/>
                <w:szCs w:val="21"/>
                <w:lang w:bidi="ar"/>
              </w:rPr>
              <w:t>30</w:t>
            </w:r>
          </w:p>
        </w:tc>
        <w:tc>
          <w:tcPr>
            <w:tcW w:w="1250" w:type="pct"/>
            <w:shd w:val="clear" w:color="auto" w:fill="auto"/>
            <w:vAlign w:val="center"/>
          </w:tcPr>
          <w:p w14:paraId="07C91C1D">
            <w:pPr>
              <w:adjustRightInd w:val="0"/>
              <w:snapToGrid w:val="0"/>
              <w:jc w:val="center"/>
              <w:rPr>
                <w:b/>
                <w:bCs/>
                <w:szCs w:val="21"/>
              </w:rPr>
            </w:pPr>
            <w:r>
              <w:rPr>
                <w:b/>
                <w:bCs/>
                <w:szCs w:val="21"/>
                <w:lang w:bidi="ar"/>
              </w:rPr>
              <w:t>40</w:t>
            </w:r>
          </w:p>
        </w:tc>
        <w:tc>
          <w:tcPr>
            <w:tcW w:w="1250" w:type="pct"/>
            <w:shd w:val="clear" w:color="auto" w:fill="auto"/>
            <w:vAlign w:val="center"/>
          </w:tcPr>
          <w:p w14:paraId="5BEE0667">
            <w:pPr>
              <w:adjustRightInd w:val="0"/>
              <w:snapToGrid w:val="0"/>
              <w:jc w:val="center"/>
              <w:rPr>
                <w:b/>
                <w:bCs/>
                <w:szCs w:val="21"/>
              </w:rPr>
            </w:pPr>
            <w:r>
              <w:rPr>
                <w:b/>
                <w:bCs/>
                <w:szCs w:val="21"/>
                <w:lang w:bidi="ar"/>
              </w:rPr>
              <w:t>≥50</w:t>
            </w:r>
          </w:p>
        </w:tc>
      </w:tr>
      <w:tr w14:paraId="5D765F5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shd w:val="clear" w:color="auto" w:fill="auto"/>
            <w:vAlign w:val="center"/>
          </w:tcPr>
          <w:p w14:paraId="342DFEAA">
            <w:pPr>
              <w:adjustRightInd w:val="0"/>
              <w:snapToGrid w:val="0"/>
              <w:jc w:val="center"/>
              <w:rPr>
                <w:szCs w:val="21"/>
              </w:rPr>
            </w:pPr>
            <w:r>
              <w:rPr>
                <w:szCs w:val="21"/>
                <w:lang w:bidi="ar"/>
              </w:rPr>
              <w:t>沥青混凝土</w:t>
            </w:r>
          </w:p>
        </w:tc>
        <w:tc>
          <w:tcPr>
            <w:tcW w:w="1250" w:type="pct"/>
            <w:shd w:val="clear" w:color="auto" w:fill="auto"/>
            <w:vAlign w:val="center"/>
          </w:tcPr>
          <w:p w14:paraId="127225B7">
            <w:pPr>
              <w:adjustRightInd w:val="0"/>
              <w:snapToGrid w:val="0"/>
              <w:jc w:val="center"/>
              <w:rPr>
                <w:szCs w:val="21"/>
              </w:rPr>
            </w:pPr>
            <w:r>
              <w:rPr>
                <w:szCs w:val="21"/>
                <w:lang w:bidi="ar"/>
              </w:rPr>
              <w:t>0</w:t>
            </w:r>
          </w:p>
        </w:tc>
        <w:tc>
          <w:tcPr>
            <w:tcW w:w="1250" w:type="pct"/>
            <w:shd w:val="clear" w:color="auto" w:fill="auto"/>
            <w:vAlign w:val="center"/>
          </w:tcPr>
          <w:p w14:paraId="5D031C1A">
            <w:pPr>
              <w:adjustRightInd w:val="0"/>
              <w:snapToGrid w:val="0"/>
              <w:jc w:val="center"/>
              <w:rPr>
                <w:szCs w:val="21"/>
              </w:rPr>
            </w:pPr>
            <w:r>
              <w:rPr>
                <w:szCs w:val="21"/>
                <w:lang w:bidi="ar"/>
              </w:rPr>
              <w:t>0</w:t>
            </w:r>
          </w:p>
        </w:tc>
        <w:tc>
          <w:tcPr>
            <w:tcW w:w="1250" w:type="pct"/>
            <w:shd w:val="clear" w:color="auto" w:fill="auto"/>
            <w:vAlign w:val="center"/>
          </w:tcPr>
          <w:p w14:paraId="1473325A">
            <w:pPr>
              <w:adjustRightInd w:val="0"/>
              <w:snapToGrid w:val="0"/>
              <w:jc w:val="center"/>
              <w:rPr>
                <w:szCs w:val="21"/>
              </w:rPr>
            </w:pPr>
            <w:r>
              <w:rPr>
                <w:szCs w:val="21"/>
                <w:lang w:bidi="ar"/>
              </w:rPr>
              <w:t>0</w:t>
            </w:r>
          </w:p>
        </w:tc>
      </w:tr>
      <w:tr w14:paraId="40DCB34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shd w:val="clear" w:color="auto" w:fill="auto"/>
            <w:vAlign w:val="center"/>
          </w:tcPr>
          <w:p w14:paraId="4065D533">
            <w:pPr>
              <w:adjustRightInd w:val="0"/>
              <w:snapToGrid w:val="0"/>
              <w:jc w:val="center"/>
              <w:rPr>
                <w:szCs w:val="21"/>
              </w:rPr>
            </w:pPr>
            <w:r>
              <w:rPr>
                <w:szCs w:val="21"/>
                <w:lang w:bidi="ar"/>
              </w:rPr>
              <w:t>水泥混凝土</w:t>
            </w:r>
          </w:p>
        </w:tc>
        <w:tc>
          <w:tcPr>
            <w:tcW w:w="1250" w:type="pct"/>
            <w:shd w:val="clear" w:color="auto" w:fill="auto"/>
            <w:vAlign w:val="center"/>
          </w:tcPr>
          <w:p w14:paraId="249828E6">
            <w:pPr>
              <w:adjustRightInd w:val="0"/>
              <w:snapToGrid w:val="0"/>
              <w:jc w:val="center"/>
              <w:rPr>
                <w:szCs w:val="21"/>
              </w:rPr>
            </w:pPr>
            <w:r>
              <w:rPr>
                <w:szCs w:val="21"/>
                <w:lang w:bidi="ar"/>
              </w:rPr>
              <w:t>1.0</w:t>
            </w:r>
          </w:p>
        </w:tc>
        <w:tc>
          <w:tcPr>
            <w:tcW w:w="1250" w:type="pct"/>
            <w:shd w:val="clear" w:color="auto" w:fill="auto"/>
            <w:vAlign w:val="center"/>
          </w:tcPr>
          <w:p w14:paraId="1A214E47">
            <w:pPr>
              <w:adjustRightInd w:val="0"/>
              <w:snapToGrid w:val="0"/>
              <w:jc w:val="center"/>
              <w:rPr>
                <w:szCs w:val="21"/>
              </w:rPr>
            </w:pPr>
            <w:r>
              <w:rPr>
                <w:szCs w:val="21"/>
                <w:lang w:bidi="ar"/>
              </w:rPr>
              <w:t>1.5</w:t>
            </w:r>
          </w:p>
        </w:tc>
        <w:tc>
          <w:tcPr>
            <w:tcW w:w="1250" w:type="pct"/>
            <w:shd w:val="clear" w:color="auto" w:fill="auto"/>
            <w:vAlign w:val="center"/>
          </w:tcPr>
          <w:p w14:paraId="5D177385">
            <w:pPr>
              <w:adjustRightInd w:val="0"/>
              <w:snapToGrid w:val="0"/>
              <w:jc w:val="center"/>
              <w:rPr>
                <w:szCs w:val="21"/>
              </w:rPr>
            </w:pPr>
            <w:r>
              <w:rPr>
                <w:szCs w:val="21"/>
                <w:lang w:bidi="ar"/>
              </w:rPr>
              <w:t>2.0</w:t>
            </w:r>
          </w:p>
        </w:tc>
      </w:tr>
      <w:tr w14:paraId="420D6C8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shd w:val="clear" w:color="auto" w:fill="auto"/>
            <w:vAlign w:val="center"/>
          </w:tcPr>
          <w:p w14:paraId="6A324ADC">
            <w:pPr>
              <w:adjustRightInd w:val="0"/>
              <w:snapToGrid w:val="0"/>
              <w:rPr>
                <w:szCs w:val="21"/>
              </w:rPr>
            </w:pPr>
            <w:r>
              <w:rPr>
                <w:szCs w:val="21"/>
                <w:lang w:bidi="ar"/>
              </w:rPr>
              <w:t>注：表中修正量为</w:t>
            </w:r>
            <w:r>
              <w:rPr>
                <w:szCs w:val="21"/>
                <w:lang w:bidi="ar"/>
              </w:rPr>
              <w:drawing>
                <wp:inline distT="0" distB="0" distL="0" distR="0">
                  <wp:extent cx="293370" cy="198120"/>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93370" cy="198120"/>
                          </a:xfrm>
                          <a:prstGeom prst="rect">
                            <a:avLst/>
                          </a:prstGeom>
                          <a:noFill/>
                          <a:ln>
                            <a:noFill/>
                          </a:ln>
                          <a:effectLst/>
                        </pic:spPr>
                      </pic:pic>
                    </a:graphicData>
                  </a:graphic>
                </wp:inline>
              </w:drawing>
            </w:r>
            <w:r>
              <w:rPr>
                <w:szCs w:val="21"/>
                <w:lang w:bidi="ar"/>
              </w:rPr>
              <w:t>在沥青混凝土路面测得结果的修正</w:t>
            </w:r>
          </w:p>
        </w:tc>
      </w:tr>
    </w:tbl>
    <w:p w14:paraId="791A7434">
      <w:pPr>
        <w:spacing w:line="360" w:lineRule="auto"/>
        <w:ind w:firstLine="482" w:firstLineChars="200"/>
        <w:rPr>
          <w:b/>
          <w:bCs/>
          <w:sz w:val="24"/>
        </w:rPr>
      </w:pPr>
      <w:r>
        <w:rPr>
          <w:rFonts w:hint="eastAsia" w:ascii="宋体" w:hAnsi="宋体" w:cs="宋体"/>
          <w:b/>
          <w:bCs/>
          <w:sz w:val="24"/>
          <w:lang w:bidi="ar"/>
        </w:rPr>
        <w:t>2）</w:t>
      </w:r>
      <w:r>
        <w:rPr>
          <w:b/>
          <w:bCs/>
          <w:sz w:val="24"/>
          <w:lang w:bidi="ar"/>
        </w:rPr>
        <w:t>声波传播途径引起的衰减量</w:t>
      </w:r>
      <w:r>
        <w:rPr>
          <w:b/>
          <w:bCs/>
          <w:sz w:val="24"/>
          <w:lang w:bidi="ar"/>
        </w:rPr>
        <w:drawing>
          <wp:inline distT="0" distB="0" distL="0" distR="0">
            <wp:extent cx="231775" cy="163830"/>
            <wp:effectExtent l="0" t="0" r="0" b="762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231775" cy="163830"/>
                    </a:xfrm>
                    <a:prstGeom prst="rect">
                      <a:avLst/>
                    </a:prstGeom>
                    <a:noFill/>
                    <a:ln>
                      <a:noFill/>
                    </a:ln>
                    <a:effectLst/>
                  </pic:spPr>
                </pic:pic>
              </a:graphicData>
            </a:graphic>
          </wp:inline>
        </w:drawing>
      </w:r>
      <w:r>
        <w:rPr>
          <w:b/>
          <w:bCs/>
          <w:sz w:val="24"/>
          <w:vertAlign w:val="subscript"/>
          <w:lang w:bidi="ar"/>
        </w:rPr>
        <w:t>2</w:t>
      </w:r>
    </w:p>
    <w:p w14:paraId="1530EBB7">
      <w:pPr>
        <w:spacing w:line="360" w:lineRule="auto"/>
        <w:ind w:firstLine="200"/>
        <w:rPr>
          <w:b/>
          <w:bCs/>
          <w:sz w:val="24"/>
          <w:vertAlign w:val="subscript"/>
        </w:rPr>
      </w:pPr>
      <w:r>
        <w:rPr>
          <w:rFonts w:hint="eastAsia"/>
          <w:b/>
          <w:bCs/>
          <w:sz w:val="24"/>
          <w:lang w:bidi="ar"/>
        </w:rPr>
        <w:t>①</w:t>
      </w:r>
      <w:r>
        <w:rPr>
          <w:b/>
          <w:bCs/>
          <w:sz w:val="24"/>
          <w:lang w:bidi="ar"/>
        </w:rPr>
        <w:t>障碍物衰减量A</w:t>
      </w:r>
      <w:r>
        <w:rPr>
          <w:b/>
          <w:bCs/>
          <w:sz w:val="24"/>
          <w:vertAlign w:val="subscript"/>
          <w:lang w:bidi="ar"/>
        </w:rPr>
        <w:t>bar</w:t>
      </w:r>
    </w:p>
    <w:p w14:paraId="21D60F25">
      <w:pPr>
        <w:spacing w:line="360" w:lineRule="auto"/>
        <w:ind w:firstLine="200"/>
        <w:rPr>
          <w:b/>
          <w:bCs/>
          <w:sz w:val="24"/>
        </w:rPr>
      </w:pPr>
      <w:r>
        <w:rPr>
          <w:b/>
          <w:bCs/>
          <w:sz w:val="24"/>
          <w:lang w:bidi="ar"/>
        </w:rPr>
        <w:t>声屏障衰减量（A</w:t>
      </w:r>
      <w:r>
        <w:rPr>
          <w:b/>
          <w:bCs/>
          <w:sz w:val="24"/>
          <w:vertAlign w:val="subscript"/>
          <w:lang w:bidi="ar"/>
        </w:rPr>
        <w:t>bar</w:t>
      </w:r>
      <w:r>
        <w:rPr>
          <w:b/>
          <w:bCs/>
          <w:sz w:val="24"/>
          <w:lang w:bidi="ar"/>
        </w:rPr>
        <w:t>）计算</w:t>
      </w:r>
    </w:p>
    <w:p w14:paraId="735D11B1">
      <w:pPr>
        <w:spacing w:line="360" w:lineRule="auto"/>
        <w:ind w:firstLine="200"/>
        <w:rPr>
          <w:sz w:val="24"/>
        </w:rPr>
      </w:pPr>
      <w:r>
        <w:rPr>
          <w:sz w:val="24"/>
          <w:lang w:bidi="ar"/>
        </w:rPr>
        <w:t>无限长声屏障可按下式计算：</w:t>
      </w:r>
    </w:p>
    <w:p w14:paraId="371196C6">
      <w:pPr>
        <w:ind w:firstLine="1062"/>
        <w:jc w:val="center"/>
        <w:rPr>
          <w:sz w:val="24"/>
        </w:rPr>
      </w:pPr>
      <w:r>
        <w:rPr>
          <w:sz w:val="24"/>
          <w:lang w:bidi="ar"/>
        </w:rPr>
        <w:drawing>
          <wp:inline distT="0" distB="0" distL="0" distR="0">
            <wp:extent cx="2360930" cy="1187450"/>
            <wp:effectExtent l="0" t="0" r="127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360930" cy="1187450"/>
                    </a:xfrm>
                    <a:prstGeom prst="rect">
                      <a:avLst/>
                    </a:prstGeom>
                    <a:noFill/>
                    <a:ln>
                      <a:noFill/>
                    </a:ln>
                    <a:effectLst/>
                  </pic:spPr>
                </pic:pic>
              </a:graphicData>
            </a:graphic>
          </wp:inline>
        </w:drawing>
      </w:r>
    </w:p>
    <w:p w14:paraId="180A97DB">
      <w:pPr>
        <w:spacing w:line="360" w:lineRule="auto"/>
        <w:ind w:firstLine="480" w:firstLineChars="200"/>
        <w:rPr>
          <w:sz w:val="24"/>
        </w:rPr>
      </w:pPr>
      <w:r>
        <w:rPr>
          <w:sz w:val="24"/>
          <w:lang w:bidi="ar"/>
        </w:rPr>
        <w:t>式中，f</w:t>
      </w:r>
      <w:r>
        <w:rPr>
          <w:rFonts w:hint="eastAsia"/>
          <w:sz w:val="24"/>
          <w:lang w:bidi="ar"/>
        </w:rPr>
        <w:t>为</w:t>
      </w:r>
      <w:r>
        <w:rPr>
          <w:sz w:val="24"/>
          <w:lang w:bidi="ar"/>
        </w:rPr>
        <w:t>声波频率，Hz，公路中可取500计算A声级衰减量。C为声速，340m/s。</w:t>
      </w:r>
      <w:r>
        <w:rPr>
          <w:sz w:val="24"/>
          <w:lang w:bidi="ar"/>
        </w:rPr>
        <w:drawing>
          <wp:inline distT="0" distB="0" distL="0" distR="0">
            <wp:extent cx="143510" cy="184150"/>
            <wp:effectExtent l="0" t="0" r="8890" b="635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43510" cy="184150"/>
                    </a:xfrm>
                    <a:prstGeom prst="rect">
                      <a:avLst/>
                    </a:prstGeom>
                    <a:noFill/>
                    <a:ln>
                      <a:noFill/>
                    </a:ln>
                    <a:effectLst/>
                  </pic:spPr>
                </pic:pic>
              </a:graphicData>
            </a:graphic>
          </wp:inline>
        </w:drawing>
      </w:r>
      <w:r>
        <w:rPr>
          <w:sz w:val="24"/>
          <w:lang w:bidi="ar"/>
        </w:rPr>
        <w:t>为声程差，m。</w:t>
      </w:r>
    </w:p>
    <w:p w14:paraId="0153E774">
      <w:pPr>
        <w:widowControl/>
        <w:jc w:val="center"/>
        <w:rPr>
          <w:kern w:val="0"/>
          <w:szCs w:val="21"/>
        </w:rPr>
      </w:pPr>
      <w:r>
        <w:rPr>
          <w:kern w:val="0"/>
          <w:szCs w:val="21"/>
          <w:lang w:bidi="ar"/>
        </w:rPr>
        <w:fldChar w:fldCharType="begin"/>
      </w:r>
      <w:r>
        <w:instrText xml:space="preserve"> INCLUDEPICTURE "C:\\Documents%25252520and%25252520Settings\\Administrator\\Application%25252520Data\\Tencent\\Users\\282169695\\QQ\\WinTemp\\RichOle\\~~1%25252525DI0LT@1QHXYK79L%2525255bB9L.jpg" \* MERGEFORMAT </w:instrText>
      </w:r>
      <w:r>
        <w:rPr>
          <w:kern w:val="0"/>
          <w:szCs w:val="21"/>
          <w:lang w:bidi="ar"/>
        </w:rPr>
        <w:fldChar w:fldCharType="separate"/>
      </w:r>
      <w:r>
        <w:rPr>
          <w:kern w:val="0"/>
          <w:szCs w:val="21"/>
          <w:lang w:bidi="ar"/>
        </w:rPr>
        <w:fldChar w:fldCharType="begin"/>
      </w:r>
      <w:r>
        <w:rPr>
          <w:kern w:val="0"/>
          <w:szCs w:val="21"/>
          <w:lang w:bidi="ar"/>
        </w:rPr>
        <w:instrText xml:space="preserve"> INCLUDEPICTURE  "C:\\Documents%25252520and%25252520Settings\\Administrator\\Application%25252520Data\\Tencent\\Users\\282169695\\QQ\\WinTemp\\RichOle\\~~1%25252525DI0LT@1QHXYK79L%2525255bB9L.jpg" \* MERGEFORMATINET </w:instrText>
      </w:r>
      <w:r>
        <w:rPr>
          <w:kern w:val="0"/>
          <w:szCs w:val="21"/>
          <w:lang w:bidi="ar"/>
        </w:rPr>
        <w:fldChar w:fldCharType="separate"/>
      </w:r>
      <w:r>
        <w:rPr>
          <w:kern w:val="0"/>
          <w:szCs w:val="21"/>
          <w:lang w:bidi="ar"/>
        </w:rPr>
        <w:fldChar w:fldCharType="begin"/>
      </w:r>
      <w:r>
        <w:rPr>
          <w:kern w:val="0"/>
          <w:szCs w:val="21"/>
          <w:lang w:bidi="ar"/>
        </w:rPr>
        <w:instrText xml:space="preserve"> INCLUDEPICTURE  "C:\\Documents%25252520and%25252520Settings\\Administrator\\Application%25252520Data\\Tencent\\Users\\282169695\\QQ\\WinTemp\\RichOle\\~~1%25252525DI0LT@1QHXYK79L%2525255bB9L.jpg" \* MERGEFORMATINET </w:instrText>
      </w:r>
      <w:r>
        <w:rPr>
          <w:kern w:val="0"/>
          <w:szCs w:val="21"/>
          <w:lang w:bidi="ar"/>
        </w:rPr>
        <w:fldChar w:fldCharType="separate"/>
      </w:r>
      <w:r>
        <w:rPr>
          <w:kern w:val="0"/>
          <w:szCs w:val="21"/>
          <w:lang w:bidi="ar"/>
        </w:rPr>
        <w:fldChar w:fldCharType="begin"/>
      </w:r>
      <w:r>
        <w:rPr>
          <w:kern w:val="0"/>
          <w:szCs w:val="21"/>
          <w:lang w:bidi="ar"/>
        </w:rPr>
        <w:instrText xml:space="preserve"> INCLUDEPICTURE  "C:\\Documents%25252520and%25252520Settings\\Administrator\\Application%25252520Data\\Tencent\\Users\\282169695\\QQ\\WinTemp\\RichOle\\~~1%25252525DI0LT@1QHXYK79L%2525255bB9L.jpg" \* MERGEFORMATINET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INCLUDEPICTURE  "C:\\Documents%25252520and%25252520Settings\\Administrator\\Application%25252520Data\\Tencent\\Users\\282169695\\QQ\\WinTemp\\RichOle\\~~1%25252525DI0LT@1QHXYK79L%2525255bB9L.jpg" \* MERGEFORMATINET </w:instrText>
      </w:r>
      <w:r>
        <w:rPr>
          <w:kern w:val="0"/>
          <w:szCs w:val="21"/>
          <w:lang w:bidi="ar"/>
        </w:rPr>
        <w:fldChar w:fldCharType="separate"/>
      </w:r>
      <w:r>
        <w:rPr>
          <w:kern w:val="0"/>
          <w:szCs w:val="21"/>
          <w:lang w:bidi="ar"/>
        </w:rPr>
        <w:fldChar w:fldCharType="begin"/>
      </w:r>
      <w:r>
        <w:rPr>
          <w:kern w:val="0"/>
          <w:szCs w:val="21"/>
          <w:lang w:bidi="ar"/>
        </w:rPr>
        <w:instrText xml:space="preserve"> INCLUDEPICTURE  "C:\\Documents%25252520and%25252520Settings\\Administrator\\Application%25252520Data\\Tencent\\Users\\282169695\\QQ\\WinTemp\\RichOle\\~~1%25252525DI0LT@1QHXYK79L%2525255bB9L.jpg" \* MERGEFORMATINET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"D:\\1--桌面文件\\社溪路-申报\\第二次申报\\我的文档\\WeChat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"D:\\1--桌面文件\\社溪路-申报\\第二次申报\\我的文档\\WeChat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"D:\\1--桌面文件\\社溪路-申报\\我的文档\\WeChat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"E:\\hsien\\咨询部\\项目网报\\体育大道\\我的文档\\WeChat Files\\wxid_3l0sv4lkd72c22\\我的文档\\Documents%25252520and%25252520Settings\\Administrator\\Application%25252520Data\\Tencent\\Users\\282169695\\QQ\\WinTemp\\RichOle\\~~1%25252525DI0LT@1QHXYK79L%2525255bB9L.jpg"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C:\\Users\\Administrator\\Desktop\\体育大道\\我的文档\\WeChat%25252520Files\\wxid_3l0sv4lkd72c22\\我的文档\\Documents%2525252525252520and%2525252525252520Settings\\Administrator\\Application%2525252525252520Data\\Tencent\\Users\\282169695\\QQ\\WinTemp\\RichOle\\~~1%2525252525252525DI0LT@1QHXYK79L%252525252525255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1%2525252525252525252525252525252525DI0LT@1QHXYK79L%252525252525252525252525252525255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1%2525252525252525252525252525252525DI0LT@1QHXYK79L%252525252525252525252525252525255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1%2525252525252525252525252525252525DI0LT@1QHXYK79L%252525252525252525252525252525255bB9L.jpg" \* MERGEFORMATINET</w:instrText>
      </w:r>
      <w:r>
        <w:rPr>
          <w:kern w:val="0"/>
          <w:szCs w:val="21"/>
          <w:lang w:bidi="ar"/>
        </w:rPr>
        <w:instrText xml:space="preserve"> </w:instrText>
      </w:r>
      <w:r>
        <w:rPr>
          <w:kern w:val="0"/>
          <w:szCs w:val="21"/>
          <w:lang w:bidi="ar"/>
        </w:rPr>
        <w:fldChar w:fldCharType="separate"/>
      </w:r>
      <w:r>
        <w:rPr>
          <w:kern w:val="0"/>
          <w:szCs w:val="21"/>
          <w:lang w:bidi="ar"/>
        </w:rPr>
        <w:fldChar w:fldCharType="begin"/>
      </w:r>
      <w:r>
        <w:rPr>
          <w:kern w:val="0"/>
          <w:szCs w:val="21"/>
          <w:lang w:bidi="ar"/>
        </w:rPr>
        <w:instrText xml:space="preserve"> </w:instrText>
      </w:r>
      <w:r>
        <w:rPr>
          <w:rFonts w:hint="eastAsia"/>
          <w:kern w:val="0"/>
          <w:szCs w:val="21"/>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1%2525252525252525252525252525252525DI0LT@1QHXYK79L%252525252525252525252525252525255bB9L.jpg" \* MERGEFORMATINET</w:instrText>
      </w:r>
      <w:r>
        <w:rPr>
          <w:kern w:val="0"/>
          <w:szCs w:val="21"/>
          <w:lang w:bidi="ar"/>
        </w:rPr>
        <w:instrText xml:space="preserve"> </w:instrText>
      </w:r>
      <w:r>
        <w:rPr>
          <w:kern w:val="0"/>
          <w:szCs w:val="21"/>
          <w:lang w:bidi="ar"/>
        </w:rPr>
        <w:fldChar w:fldCharType="separate"/>
      </w:r>
      <w:r>
        <w:rPr>
          <w:kern w:val="0"/>
          <w:szCs w:val="21"/>
          <w:lang w:bidi="ar"/>
        </w:rPr>
        <w:pict>
          <v:shape id="_x0000_i1026" o:spt="75" type="#_x0000_t75" style="height:252pt;width:346pt;" filled="f" o:preferrelative="t" stroked="f" coordsize="21600,21600">
            <v:path/>
            <v:fill on="f" focussize="0,0"/>
            <v:stroke on="f" joinstyle="miter"/>
            <v:imagedata r:id="rId38" r:href="rId39" o:title=""/>
            <o:lock v:ext="edit" aspectratio="t"/>
            <w10:wrap type="none"/>
            <w10:anchorlock/>
          </v:shape>
        </w:pict>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r>
        <w:rPr>
          <w:kern w:val="0"/>
          <w:szCs w:val="21"/>
          <w:lang w:bidi="ar"/>
        </w:rPr>
        <w:fldChar w:fldCharType="end"/>
      </w:r>
    </w:p>
    <w:p w14:paraId="3BBD00CC">
      <w:pPr>
        <w:widowControl/>
        <w:spacing w:line="440" w:lineRule="exact"/>
        <w:jc w:val="center"/>
        <w:rPr>
          <w:b/>
          <w:kern w:val="0"/>
          <w:szCs w:val="21"/>
        </w:rPr>
      </w:pPr>
      <w:r>
        <w:rPr>
          <w:b/>
          <w:kern w:val="0"/>
          <w:szCs w:val="21"/>
          <w:lang w:bidi="ar"/>
        </w:rPr>
        <w:t>图4.2</w:t>
      </w:r>
      <w:r>
        <w:rPr>
          <w:rFonts w:hint="eastAsia"/>
          <w:b/>
          <w:kern w:val="0"/>
          <w:szCs w:val="21"/>
          <w:lang w:bidi="ar"/>
        </w:rPr>
        <w:t>-</w:t>
      </w:r>
      <w:r>
        <w:rPr>
          <w:b/>
          <w:kern w:val="0"/>
          <w:szCs w:val="21"/>
          <w:lang w:bidi="ar"/>
        </w:rPr>
        <w:t>2   有限长度的声屏障及线声源的修正图</w:t>
      </w:r>
    </w:p>
    <w:p w14:paraId="5CB2451D">
      <w:pPr>
        <w:autoSpaceDE w:val="0"/>
        <w:autoSpaceDN w:val="0"/>
        <w:adjustRightInd w:val="0"/>
        <w:spacing w:line="360" w:lineRule="auto"/>
        <w:ind w:firstLine="480" w:firstLineChars="200"/>
        <w:rPr>
          <w:kern w:val="0"/>
          <w:sz w:val="24"/>
          <w:lang w:bidi="ar"/>
        </w:rPr>
      </w:pPr>
      <w:r>
        <w:rPr>
          <w:kern w:val="0"/>
          <w:sz w:val="24"/>
          <w:lang w:bidi="ar"/>
        </w:rPr>
        <w:t>有限长声屏障计算：</w:t>
      </w:r>
    </w:p>
    <w:p w14:paraId="18990C85">
      <w:pPr>
        <w:autoSpaceDE w:val="0"/>
        <w:autoSpaceDN w:val="0"/>
        <w:adjustRightInd w:val="0"/>
        <w:spacing w:line="360" w:lineRule="auto"/>
        <w:ind w:firstLine="480" w:firstLineChars="200"/>
        <w:rPr>
          <w:kern w:val="0"/>
          <w:sz w:val="24"/>
        </w:rPr>
      </w:pPr>
      <w:r>
        <w:rPr>
          <w:kern w:val="0"/>
          <w:sz w:val="24"/>
          <w:lang w:bidi="ar"/>
        </w:rPr>
        <w:drawing>
          <wp:inline distT="0" distB="0" distL="0" distR="0">
            <wp:extent cx="3533775" cy="1114425"/>
            <wp:effectExtent l="0" t="0" r="0" b="9525"/>
            <wp:docPr id="106" name="图片 106"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文本&#10;&#10;描述已自动生成"/>
                    <pic:cNvPicPr>
                      <a:picLocks noChangeAspect="1"/>
                    </pic:cNvPicPr>
                  </pic:nvPicPr>
                  <pic:blipFill>
                    <a:blip r:embed="rId40"/>
                    <a:stretch>
                      <a:fillRect/>
                    </a:stretch>
                  </pic:blipFill>
                  <pic:spPr>
                    <a:xfrm>
                      <a:off x="0" y="0"/>
                      <a:ext cx="3534268" cy="1114581"/>
                    </a:xfrm>
                    <a:prstGeom prst="rect">
                      <a:avLst/>
                    </a:prstGeom>
                  </pic:spPr>
                </pic:pic>
              </a:graphicData>
            </a:graphic>
          </wp:inline>
        </w:drawing>
      </w:r>
    </w:p>
    <w:p w14:paraId="5CA2B667">
      <w:pPr>
        <w:autoSpaceDE w:val="0"/>
        <w:autoSpaceDN w:val="0"/>
        <w:adjustRightInd w:val="0"/>
        <w:spacing w:line="360" w:lineRule="auto"/>
        <w:ind w:firstLine="480" w:firstLineChars="200"/>
        <w:rPr>
          <w:kern w:val="0"/>
          <w:sz w:val="24"/>
        </w:rPr>
      </w:pPr>
      <w:r>
        <w:rPr>
          <w:rFonts w:hint="eastAsia"/>
          <w:iCs/>
          <w:kern w:val="0"/>
          <w:sz w:val="24"/>
          <w:lang w:bidi="ar"/>
        </w:rPr>
        <w:t>式中：</w:t>
      </w:r>
      <w:r>
        <w:rPr>
          <w:i/>
          <w:kern w:val="0"/>
          <w:sz w:val="24"/>
          <w:lang w:bidi="ar"/>
        </w:rPr>
        <w:t>A’</w:t>
      </w:r>
      <w:r>
        <w:rPr>
          <w:i/>
          <w:kern w:val="0"/>
          <w:sz w:val="24"/>
          <w:vertAlign w:val="subscript"/>
          <w:lang w:bidi="ar"/>
        </w:rPr>
        <w:t>bar</w:t>
      </w:r>
      <w:r>
        <w:rPr>
          <w:rFonts w:hint="eastAsia"/>
          <w:kern w:val="0"/>
          <w:sz w:val="24"/>
          <w:lang w:bidi="ar"/>
        </w:rPr>
        <w:t>——有限长声屏障引起的衰减，</w:t>
      </w:r>
      <w:r>
        <w:rPr>
          <w:kern w:val="0"/>
          <w:sz w:val="24"/>
          <w:lang w:bidi="ar"/>
        </w:rPr>
        <w:t>dB</w:t>
      </w:r>
      <w:r>
        <w:rPr>
          <w:rFonts w:hint="eastAsia"/>
          <w:kern w:val="0"/>
          <w:sz w:val="24"/>
          <w:lang w:bidi="ar"/>
        </w:rPr>
        <w:t>；β——受声点与声屏障两端连</w:t>
      </w:r>
      <w:r>
        <w:rPr>
          <w:kern w:val="0"/>
          <w:sz w:val="24"/>
          <w:lang w:bidi="ar"/>
        </w:rPr>
        <w:t>线的夹角，（°）</w:t>
      </w:r>
      <w:r>
        <w:rPr>
          <w:rFonts w:hint="eastAsia"/>
          <w:kern w:val="0"/>
          <w:sz w:val="24"/>
          <w:lang w:bidi="ar"/>
        </w:rPr>
        <w:t>；</w:t>
      </w:r>
      <w:r>
        <w:rPr>
          <w:kern w:val="0"/>
          <w:sz w:val="24"/>
          <w:lang w:bidi="ar"/>
        </w:rPr>
        <w:t>θ——受声点与现声源两端连线的夹角，（°）</w:t>
      </w:r>
      <w:r>
        <w:rPr>
          <w:rFonts w:hint="eastAsia"/>
          <w:kern w:val="0"/>
          <w:sz w:val="24"/>
          <w:lang w:bidi="ar"/>
        </w:rPr>
        <w:t>；</w:t>
      </w:r>
      <w:r>
        <w:rPr>
          <w:kern w:val="0"/>
          <w:sz w:val="24"/>
          <w:lang w:bidi="ar"/>
        </w:rPr>
        <w:t>A</w:t>
      </w:r>
      <w:r>
        <w:rPr>
          <w:i/>
          <w:iCs/>
          <w:kern w:val="0"/>
          <w:sz w:val="24"/>
          <w:vertAlign w:val="subscript"/>
          <w:lang w:bidi="ar"/>
        </w:rPr>
        <w:t>bar</w:t>
      </w:r>
      <w:r>
        <w:rPr>
          <w:kern w:val="0"/>
          <w:sz w:val="24"/>
          <w:lang w:bidi="ar"/>
        </w:rPr>
        <w:t>——</w:t>
      </w:r>
      <w:r>
        <w:rPr>
          <w:rFonts w:hint="eastAsia"/>
          <w:kern w:val="0"/>
          <w:sz w:val="24"/>
          <w:lang w:bidi="ar"/>
        </w:rPr>
        <w:t>无</w:t>
      </w:r>
      <w:r>
        <w:rPr>
          <w:kern w:val="0"/>
          <w:sz w:val="24"/>
          <w:lang w:bidi="ar"/>
        </w:rPr>
        <w:t>限长声屏障引起的衰减，dB；。</w:t>
      </w:r>
    </w:p>
    <w:p w14:paraId="37E7B05C">
      <w:pPr>
        <w:spacing w:line="360" w:lineRule="auto"/>
        <w:ind w:firstLine="480" w:firstLineChars="200"/>
        <w:rPr>
          <w:sz w:val="24"/>
          <w:lang w:bidi="ar"/>
        </w:rPr>
      </w:pPr>
      <w:r>
        <w:rPr>
          <w:rFonts w:hint="eastAsia"/>
          <w:sz w:val="24"/>
          <w:lang w:bidi="ar"/>
        </w:rPr>
        <w:t>②</w:t>
      </w:r>
      <w:r>
        <w:rPr>
          <w:sz w:val="24"/>
          <w:lang w:bidi="ar"/>
        </w:rPr>
        <w:t>大气吸收引起的衰减量</w:t>
      </w:r>
      <w:r>
        <w:rPr>
          <w:rFonts w:hint="eastAsia"/>
          <w:sz w:val="24"/>
          <w:lang w:bidi="ar"/>
        </w:rPr>
        <w:t>（A</w:t>
      </w:r>
      <w:r>
        <w:rPr>
          <w:sz w:val="24"/>
          <w:vertAlign w:val="subscript"/>
          <w:lang w:bidi="ar"/>
        </w:rPr>
        <w:t>atm</w:t>
      </w:r>
      <w:r>
        <w:rPr>
          <w:rFonts w:hint="eastAsia"/>
          <w:sz w:val="24"/>
          <w:lang w:bidi="ar"/>
        </w:rPr>
        <w:t>）</w:t>
      </w:r>
    </w:p>
    <w:p w14:paraId="78D01661">
      <w:pPr>
        <w:spacing w:line="360" w:lineRule="auto"/>
        <w:ind w:firstLine="480" w:firstLineChars="200"/>
        <w:rPr>
          <w:sz w:val="24"/>
        </w:rPr>
      </w:pPr>
      <w:r>
        <w:rPr>
          <w:rFonts w:hint="eastAsia"/>
          <w:sz w:val="24"/>
          <w:lang w:bidi="ar"/>
        </w:rPr>
        <w:t>大气吸收引起的衰减按下式计算:</w:t>
      </w:r>
    </w:p>
    <w:p w14:paraId="4946B69B">
      <w:pPr>
        <w:autoSpaceDE w:val="0"/>
        <w:autoSpaceDN w:val="0"/>
        <w:adjustRightInd w:val="0"/>
        <w:jc w:val="center"/>
        <w:rPr>
          <w:kern w:val="0"/>
          <w:sz w:val="24"/>
        </w:rPr>
      </w:pPr>
      <w:r>
        <w:rPr>
          <w:kern w:val="0"/>
          <w:sz w:val="24"/>
        </w:rPr>
        <w:drawing>
          <wp:inline distT="0" distB="0" distL="0" distR="0">
            <wp:extent cx="2009775" cy="866775"/>
            <wp:effectExtent l="0" t="0" r="9525" b="9525"/>
            <wp:docPr id="107" name="图片 107"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文本&#10;&#10;描述已自动生成"/>
                    <pic:cNvPicPr>
                      <a:picLocks noChangeAspect="1"/>
                    </pic:cNvPicPr>
                  </pic:nvPicPr>
                  <pic:blipFill>
                    <a:blip r:embed="rId41"/>
                    <a:stretch>
                      <a:fillRect/>
                    </a:stretch>
                  </pic:blipFill>
                  <pic:spPr>
                    <a:xfrm>
                      <a:off x="0" y="0"/>
                      <a:ext cx="2010056" cy="866896"/>
                    </a:xfrm>
                    <a:prstGeom prst="rect">
                      <a:avLst/>
                    </a:prstGeom>
                  </pic:spPr>
                </pic:pic>
              </a:graphicData>
            </a:graphic>
          </wp:inline>
        </w:drawing>
      </w:r>
    </w:p>
    <w:p w14:paraId="0371036E">
      <w:pPr>
        <w:spacing w:line="440" w:lineRule="exact"/>
        <w:rPr>
          <w:kern w:val="0"/>
          <w:szCs w:val="21"/>
          <w:lang w:bidi="ar"/>
        </w:rPr>
      </w:pPr>
      <w:r>
        <w:rPr>
          <w:rFonts w:hint="eastAsia"/>
          <w:kern w:val="0"/>
          <w:szCs w:val="21"/>
          <w:lang w:bidi="ar"/>
        </w:rPr>
        <w:t>式中：a</w:t>
      </w:r>
      <w:r>
        <w:rPr>
          <w:kern w:val="0"/>
          <w:szCs w:val="21"/>
          <w:lang w:bidi="ar"/>
        </w:rPr>
        <w:t>——为温度、适度和声波频率的函数，预测计算中一般根据建设项目所</w:t>
      </w:r>
      <w:r>
        <w:rPr>
          <w:rFonts w:hint="eastAsia"/>
          <w:kern w:val="0"/>
          <w:szCs w:val="21"/>
          <w:lang w:bidi="ar"/>
        </w:rPr>
        <w:t>处区域常年平均气温和湿度选择相应的大气吸收衰减系数，详见下表</w:t>
      </w:r>
      <w:r>
        <w:rPr>
          <w:kern w:val="0"/>
          <w:szCs w:val="21"/>
          <w:lang w:bidi="ar"/>
        </w:rPr>
        <w:t>。</w:t>
      </w:r>
    </w:p>
    <w:p w14:paraId="2A7C077B">
      <w:pPr>
        <w:spacing w:line="440" w:lineRule="exact"/>
        <w:ind w:firstLine="525" w:firstLineChars="250"/>
        <w:rPr>
          <w:kern w:val="0"/>
          <w:szCs w:val="21"/>
          <w:lang w:bidi="ar"/>
        </w:rPr>
      </w:pPr>
      <w:r>
        <w:rPr>
          <w:kern w:val="0"/>
          <w:szCs w:val="21"/>
          <w:lang w:bidi="ar"/>
        </w:rPr>
        <w:t>r——预测点距声源的距离；</w:t>
      </w:r>
    </w:p>
    <w:p w14:paraId="15B4B017">
      <w:pPr>
        <w:spacing w:line="440" w:lineRule="exact"/>
        <w:ind w:firstLine="525" w:firstLineChars="250"/>
        <w:rPr>
          <w:b/>
          <w:szCs w:val="21"/>
          <w:lang w:bidi="ar"/>
        </w:rPr>
      </w:pPr>
      <w:r>
        <w:rPr>
          <w:kern w:val="0"/>
          <w:szCs w:val="21"/>
          <w:lang w:bidi="ar"/>
        </w:rPr>
        <w:t>r0——参考位置距声源的距离</w:t>
      </w:r>
    </w:p>
    <w:p w14:paraId="1AACB500">
      <w:pPr>
        <w:spacing w:before="120" w:beforeLines="50" w:line="360" w:lineRule="auto"/>
        <w:jc w:val="center"/>
        <w:rPr>
          <w:b/>
          <w:bCs/>
          <w:kern w:val="0"/>
          <w:szCs w:val="21"/>
        </w:rPr>
      </w:pPr>
      <w:r>
        <w:rPr>
          <w:b/>
          <w:bCs/>
          <w:kern w:val="0"/>
          <w:szCs w:val="21"/>
        </w:rPr>
        <w:t xml:space="preserve">表4.2-2 </w:t>
      </w:r>
      <w:r>
        <w:rPr>
          <w:rFonts w:hint="eastAsia"/>
          <w:b/>
          <w:bCs/>
          <w:kern w:val="0"/>
          <w:szCs w:val="21"/>
        </w:rPr>
        <w:t>倍频带噪声的大气吸收衰减系数</w:t>
      </w:r>
      <w:r>
        <w:rPr>
          <w:b/>
          <w:bCs/>
          <w:kern w:val="0"/>
          <w:szCs w:val="21"/>
        </w:rPr>
        <w:t>a</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87"/>
        <w:gridCol w:w="2044"/>
        <w:gridCol w:w="881"/>
        <w:gridCol w:w="884"/>
        <w:gridCol w:w="884"/>
        <w:gridCol w:w="884"/>
        <w:gridCol w:w="884"/>
        <w:gridCol w:w="884"/>
        <w:gridCol w:w="884"/>
        <w:gridCol w:w="880"/>
      </w:tblGrid>
      <w:tr w14:paraId="5D38DE2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vMerge w:val="restart"/>
            <w:shd w:val="clear" w:color="auto" w:fill="auto"/>
            <w:tcMar>
              <w:top w:w="15" w:type="dxa"/>
              <w:left w:w="15" w:type="dxa"/>
              <w:bottom w:w="0" w:type="dxa"/>
              <w:right w:w="15" w:type="dxa"/>
            </w:tcMar>
            <w:vAlign w:val="center"/>
          </w:tcPr>
          <w:p w14:paraId="5F58CEF8">
            <w:pPr>
              <w:adjustRightInd w:val="0"/>
              <w:snapToGrid w:val="0"/>
              <w:jc w:val="center"/>
              <w:rPr>
                <w:kern w:val="0"/>
                <w:sz w:val="20"/>
                <w:szCs w:val="20"/>
              </w:rPr>
            </w:pPr>
            <w:r>
              <w:rPr>
                <w:rFonts w:ascii="宋体" w:hAnsi="宋体"/>
                <w:b/>
                <w:bCs/>
                <w:kern w:val="0"/>
                <w:szCs w:val="21"/>
              </w:rPr>
              <w:t>温度</w:t>
            </w:r>
            <w:r>
              <w:rPr>
                <w:b/>
                <w:bCs/>
                <w:kern w:val="0"/>
                <w:szCs w:val="21"/>
              </w:rPr>
              <w:t>/</w:t>
            </w:r>
            <w:r>
              <w:rPr>
                <w:rFonts w:ascii="宋体" w:hAnsi="宋体"/>
                <w:b/>
                <w:bCs/>
                <w:kern w:val="0"/>
                <w:szCs w:val="21"/>
              </w:rPr>
              <w:t>℃</w:t>
            </w:r>
          </w:p>
        </w:tc>
        <w:tc>
          <w:tcPr>
            <w:tcW w:w="974" w:type="pct"/>
            <w:vMerge w:val="restart"/>
            <w:shd w:val="clear" w:color="auto" w:fill="auto"/>
            <w:tcMar>
              <w:top w:w="15" w:type="dxa"/>
              <w:left w:w="15" w:type="dxa"/>
              <w:bottom w:w="0" w:type="dxa"/>
              <w:right w:w="15" w:type="dxa"/>
            </w:tcMar>
            <w:vAlign w:val="center"/>
          </w:tcPr>
          <w:p w14:paraId="450D3152">
            <w:pPr>
              <w:adjustRightInd w:val="0"/>
              <w:snapToGrid w:val="0"/>
              <w:jc w:val="center"/>
              <w:rPr>
                <w:kern w:val="0"/>
                <w:sz w:val="20"/>
                <w:szCs w:val="20"/>
              </w:rPr>
            </w:pPr>
            <w:r>
              <w:rPr>
                <w:rFonts w:ascii="宋体" w:hAnsi="宋体"/>
                <w:b/>
                <w:bCs/>
                <w:kern w:val="0"/>
                <w:szCs w:val="21"/>
              </w:rPr>
              <w:t>相对湿度</w:t>
            </w:r>
            <w:r>
              <w:rPr>
                <w:b/>
                <w:bCs/>
                <w:kern w:val="0"/>
                <w:szCs w:val="21"/>
              </w:rPr>
              <w:t>/%</w:t>
            </w:r>
          </w:p>
        </w:tc>
        <w:tc>
          <w:tcPr>
            <w:tcW w:w="3365" w:type="pct"/>
            <w:gridSpan w:val="8"/>
            <w:shd w:val="clear" w:color="auto" w:fill="auto"/>
            <w:tcMar>
              <w:top w:w="15" w:type="dxa"/>
              <w:left w:w="15" w:type="dxa"/>
              <w:bottom w:w="0" w:type="dxa"/>
              <w:right w:w="15" w:type="dxa"/>
            </w:tcMar>
            <w:vAlign w:val="center"/>
          </w:tcPr>
          <w:p w14:paraId="568AA613">
            <w:pPr>
              <w:adjustRightInd w:val="0"/>
              <w:snapToGrid w:val="0"/>
              <w:jc w:val="center"/>
              <w:rPr>
                <w:kern w:val="0"/>
                <w:sz w:val="20"/>
                <w:szCs w:val="20"/>
              </w:rPr>
            </w:pPr>
            <w:r>
              <w:rPr>
                <w:rFonts w:ascii="宋体" w:hAnsi="宋体"/>
                <w:b/>
                <w:bCs/>
                <w:kern w:val="0"/>
                <w:szCs w:val="21"/>
              </w:rPr>
              <w:t xml:space="preserve">大气吸收衰减系数a </w:t>
            </w:r>
            <w:r>
              <w:rPr>
                <w:b/>
                <w:bCs/>
                <w:kern w:val="0"/>
                <w:szCs w:val="21"/>
              </w:rPr>
              <w:t>/</w:t>
            </w:r>
            <w:r>
              <w:rPr>
                <w:rFonts w:ascii="宋体" w:hAnsi="宋体"/>
                <w:b/>
                <w:bCs/>
                <w:kern w:val="0"/>
                <w:szCs w:val="21"/>
              </w:rPr>
              <w:t>（</w:t>
            </w:r>
            <w:r>
              <w:rPr>
                <w:b/>
                <w:bCs/>
                <w:kern w:val="0"/>
                <w:szCs w:val="21"/>
              </w:rPr>
              <w:t>dB/km</w:t>
            </w:r>
            <w:r>
              <w:rPr>
                <w:rFonts w:ascii="宋体" w:hAnsi="宋体"/>
                <w:b/>
                <w:bCs/>
                <w:kern w:val="0"/>
                <w:szCs w:val="21"/>
              </w:rPr>
              <w:t>）</w:t>
            </w:r>
          </w:p>
        </w:tc>
      </w:tr>
      <w:tr w14:paraId="02D8DAC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vMerge w:val="continue"/>
            <w:shd w:val="clear" w:color="auto" w:fill="auto"/>
            <w:vAlign w:val="center"/>
          </w:tcPr>
          <w:p w14:paraId="6F370BF0">
            <w:pPr>
              <w:adjustRightInd w:val="0"/>
              <w:snapToGrid w:val="0"/>
              <w:jc w:val="center"/>
              <w:rPr>
                <w:kern w:val="0"/>
                <w:sz w:val="20"/>
                <w:szCs w:val="20"/>
              </w:rPr>
            </w:pPr>
          </w:p>
        </w:tc>
        <w:tc>
          <w:tcPr>
            <w:tcW w:w="974" w:type="pct"/>
            <w:vMerge w:val="continue"/>
            <w:shd w:val="clear" w:color="auto" w:fill="auto"/>
            <w:vAlign w:val="center"/>
          </w:tcPr>
          <w:p w14:paraId="5EDCF60B">
            <w:pPr>
              <w:adjustRightInd w:val="0"/>
              <w:snapToGrid w:val="0"/>
              <w:jc w:val="center"/>
              <w:rPr>
                <w:kern w:val="0"/>
                <w:sz w:val="20"/>
                <w:szCs w:val="20"/>
              </w:rPr>
            </w:pPr>
          </w:p>
        </w:tc>
        <w:tc>
          <w:tcPr>
            <w:tcW w:w="3365" w:type="pct"/>
            <w:gridSpan w:val="8"/>
            <w:shd w:val="clear" w:color="auto" w:fill="auto"/>
            <w:tcMar>
              <w:top w:w="15" w:type="dxa"/>
              <w:left w:w="15" w:type="dxa"/>
              <w:bottom w:w="0" w:type="dxa"/>
              <w:right w:w="15" w:type="dxa"/>
            </w:tcMar>
            <w:vAlign w:val="center"/>
          </w:tcPr>
          <w:p w14:paraId="4053E8A2">
            <w:pPr>
              <w:adjustRightInd w:val="0"/>
              <w:snapToGrid w:val="0"/>
              <w:jc w:val="center"/>
              <w:rPr>
                <w:kern w:val="0"/>
                <w:sz w:val="20"/>
                <w:szCs w:val="20"/>
              </w:rPr>
            </w:pPr>
            <w:r>
              <w:rPr>
                <w:rFonts w:ascii="宋体" w:hAnsi="宋体"/>
                <w:b/>
                <w:bCs/>
                <w:kern w:val="0"/>
                <w:szCs w:val="21"/>
              </w:rPr>
              <w:t>倍频带中心频率</w:t>
            </w:r>
            <w:r>
              <w:rPr>
                <w:b/>
                <w:bCs/>
                <w:kern w:val="0"/>
                <w:szCs w:val="21"/>
              </w:rPr>
              <w:t>Hz</w:t>
            </w:r>
          </w:p>
        </w:tc>
      </w:tr>
      <w:tr w14:paraId="36904F9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vMerge w:val="continue"/>
            <w:shd w:val="clear" w:color="auto" w:fill="auto"/>
            <w:vAlign w:val="center"/>
          </w:tcPr>
          <w:p w14:paraId="21CCF9BD">
            <w:pPr>
              <w:adjustRightInd w:val="0"/>
              <w:snapToGrid w:val="0"/>
              <w:jc w:val="center"/>
              <w:rPr>
                <w:kern w:val="0"/>
                <w:sz w:val="20"/>
                <w:szCs w:val="20"/>
              </w:rPr>
            </w:pPr>
          </w:p>
        </w:tc>
        <w:tc>
          <w:tcPr>
            <w:tcW w:w="974" w:type="pct"/>
            <w:vMerge w:val="continue"/>
            <w:shd w:val="clear" w:color="auto" w:fill="auto"/>
            <w:vAlign w:val="center"/>
          </w:tcPr>
          <w:p w14:paraId="363F85E1">
            <w:pPr>
              <w:adjustRightInd w:val="0"/>
              <w:snapToGrid w:val="0"/>
              <w:jc w:val="center"/>
              <w:rPr>
                <w:kern w:val="0"/>
                <w:sz w:val="20"/>
                <w:szCs w:val="20"/>
              </w:rPr>
            </w:pPr>
          </w:p>
        </w:tc>
        <w:tc>
          <w:tcPr>
            <w:tcW w:w="420" w:type="pct"/>
            <w:shd w:val="clear" w:color="auto" w:fill="auto"/>
            <w:noWrap/>
            <w:tcMar>
              <w:top w:w="15" w:type="dxa"/>
              <w:left w:w="15" w:type="dxa"/>
              <w:bottom w:w="0" w:type="dxa"/>
              <w:right w:w="15" w:type="dxa"/>
            </w:tcMar>
            <w:vAlign w:val="center"/>
          </w:tcPr>
          <w:p w14:paraId="524F40F4">
            <w:pPr>
              <w:adjustRightInd w:val="0"/>
              <w:snapToGrid w:val="0"/>
              <w:jc w:val="center"/>
              <w:rPr>
                <w:b/>
                <w:bCs/>
                <w:kern w:val="0"/>
                <w:szCs w:val="21"/>
              </w:rPr>
            </w:pPr>
            <w:r>
              <w:rPr>
                <w:b/>
                <w:bCs/>
                <w:kern w:val="0"/>
                <w:szCs w:val="21"/>
              </w:rPr>
              <w:t>63</w:t>
            </w:r>
          </w:p>
        </w:tc>
        <w:tc>
          <w:tcPr>
            <w:tcW w:w="421" w:type="pct"/>
            <w:shd w:val="clear" w:color="auto" w:fill="auto"/>
            <w:noWrap/>
            <w:tcMar>
              <w:top w:w="15" w:type="dxa"/>
              <w:left w:w="15" w:type="dxa"/>
              <w:bottom w:w="0" w:type="dxa"/>
              <w:right w:w="15" w:type="dxa"/>
            </w:tcMar>
            <w:vAlign w:val="center"/>
          </w:tcPr>
          <w:p w14:paraId="3C4BA255">
            <w:pPr>
              <w:adjustRightInd w:val="0"/>
              <w:snapToGrid w:val="0"/>
              <w:jc w:val="center"/>
              <w:rPr>
                <w:b/>
                <w:bCs/>
                <w:kern w:val="0"/>
                <w:szCs w:val="21"/>
              </w:rPr>
            </w:pPr>
            <w:r>
              <w:rPr>
                <w:b/>
                <w:bCs/>
                <w:kern w:val="0"/>
                <w:szCs w:val="21"/>
              </w:rPr>
              <w:t>125</w:t>
            </w:r>
          </w:p>
        </w:tc>
        <w:tc>
          <w:tcPr>
            <w:tcW w:w="421" w:type="pct"/>
            <w:shd w:val="clear" w:color="auto" w:fill="auto"/>
            <w:noWrap/>
            <w:tcMar>
              <w:top w:w="15" w:type="dxa"/>
              <w:left w:w="15" w:type="dxa"/>
              <w:bottom w:w="0" w:type="dxa"/>
              <w:right w:w="15" w:type="dxa"/>
            </w:tcMar>
            <w:vAlign w:val="center"/>
          </w:tcPr>
          <w:p w14:paraId="5D9F195E">
            <w:pPr>
              <w:adjustRightInd w:val="0"/>
              <w:snapToGrid w:val="0"/>
              <w:jc w:val="center"/>
              <w:rPr>
                <w:b/>
                <w:bCs/>
                <w:kern w:val="0"/>
                <w:szCs w:val="21"/>
              </w:rPr>
            </w:pPr>
            <w:r>
              <w:rPr>
                <w:b/>
                <w:bCs/>
                <w:kern w:val="0"/>
                <w:szCs w:val="21"/>
              </w:rPr>
              <w:t>250</w:t>
            </w:r>
          </w:p>
        </w:tc>
        <w:tc>
          <w:tcPr>
            <w:tcW w:w="421" w:type="pct"/>
            <w:shd w:val="clear" w:color="auto" w:fill="auto"/>
            <w:noWrap/>
            <w:tcMar>
              <w:top w:w="15" w:type="dxa"/>
              <w:left w:w="15" w:type="dxa"/>
              <w:bottom w:w="0" w:type="dxa"/>
              <w:right w:w="15" w:type="dxa"/>
            </w:tcMar>
            <w:vAlign w:val="center"/>
          </w:tcPr>
          <w:p w14:paraId="19E67D6B">
            <w:pPr>
              <w:adjustRightInd w:val="0"/>
              <w:snapToGrid w:val="0"/>
              <w:jc w:val="center"/>
              <w:rPr>
                <w:b/>
                <w:bCs/>
                <w:kern w:val="0"/>
                <w:szCs w:val="21"/>
              </w:rPr>
            </w:pPr>
            <w:r>
              <w:rPr>
                <w:b/>
                <w:bCs/>
                <w:kern w:val="0"/>
                <w:szCs w:val="21"/>
              </w:rPr>
              <w:t>500</w:t>
            </w:r>
          </w:p>
        </w:tc>
        <w:tc>
          <w:tcPr>
            <w:tcW w:w="421" w:type="pct"/>
            <w:shd w:val="clear" w:color="auto" w:fill="auto"/>
            <w:noWrap/>
            <w:tcMar>
              <w:top w:w="15" w:type="dxa"/>
              <w:left w:w="15" w:type="dxa"/>
              <w:bottom w:w="0" w:type="dxa"/>
              <w:right w:w="15" w:type="dxa"/>
            </w:tcMar>
            <w:vAlign w:val="center"/>
          </w:tcPr>
          <w:p w14:paraId="0B919892">
            <w:pPr>
              <w:adjustRightInd w:val="0"/>
              <w:snapToGrid w:val="0"/>
              <w:jc w:val="center"/>
              <w:rPr>
                <w:b/>
                <w:bCs/>
                <w:kern w:val="0"/>
                <w:szCs w:val="21"/>
              </w:rPr>
            </w:pPr>
            <w:r>
              <w:rPr>
                <w:b/>
                <w:bCs/>
                <w:kern w:val="0"/>
                <w:szCs w:val="21"/>
              </w:rPr>
              <w:t>1000</w:t>
            </w:r>
          </w:p>
        </w:tc>
        <w:tc>
          <w:tcPr>
            <w:tcW w:w="421" w:type="pct"/>
            <w:shd w:val="clear" w:color="auto" w:fill="auto"/>
            <w:noWrap/>
            <w:tcMar>
              <w:top w:w="15" w:type="dxa"/>
              <w:left w:w="15" w:type="dxa"/>
              <w:bottom w:w="0" w:type="dxa"/>
              <w:right w:w="15" w:type="dxa"/>
            </w:tcMar>
            <w:vAlign w:val="center"/>
          </w:tcPr>
          <w:p w14:paraId="687AD7E7">
            <w:pPr>
              <w:adjustRightInd w:val="0"/>
              <w:snapToGrid w:val="0"/>
              <w:jc w:val="center"/>
              <w:rPr>
                <w:b/>
                <w:bCs/>
                <w:kern w:val="0"/>
                <w:szCs w:val="21"/>
              </w:rPr>
            </w:pPr>
            <w:r>
              <w:rPr>
                <w:b/>
                <w:bCs/>
                <w:kern w:val="0"/>
                <w:szCs w:val="21"/>
              </w:rPr>
              <w:t>2000</w:t>
            </w:r>
          </w:p>
        </w:tc>
        <w:tc>
          <w:tcPr>
            <w:tcW w:w="421" w:type="pct"/>
            <w:shd w:val="clear" w:color="auto" w:fill="auto"/>
            <w:noWrap/>
            <w:tcMar>
              <w:top w:w="15" w:type="dxa"/>
              <w:left w:w="15" w:type="dxa"/>
              <w:bottom w:w="0" w:type="dxa"/>
              <w:right w:w="15" w:type="dxa"/>
            </w:tcMar>
            <w:vAlign w:val="center"/>
          </w:tcPr>
          <w:p w14:paraId="2E113E49">
            <w:pPr>
              <w:adjustRightInd w:val="0"/>
              <w:snapToGrid w:val="0"/>
              <w:jc w:val="center"/>
              <w:rPr>
                <w:b/>
                <w:bCs/>
                <w:kern w:val="0"/>
                <w:szCs w:val="21"/>
              </w:rPr>
            </w:pPr>
            <w:r>
              <w:rPr>
                <w:b/>
                <w:bCs/>
                <w:kern w:val="0"/>
                <w:szCs w:val="21"/>
              </w:rPr>
              <w:t>4000</w:t>
            </w:r>
          </w:p>
        </w:tc>
        <w:tc>
          <w:tcPr>
            <w:tcW w:w="420" w:type="pct"/>
            <w:shd w:val="clear" w:color="auto" w:fill="auto"/>
            <w:noWrap/>
            <w:tcMar>
              <w:top w:w="15" w:type="dxa"/>
              <w:left w:w="15" w:type="dxa"/>
              <w:bottom w:w="0" w:type="dxa"/>
              <w:right w:w="15" w:type="dxa"/>
            </w:tcMar>
            <w:vAlign w:val="center"/>
          </w:tcPr>
          <w:p w14:paraId="6571E6AD">
            <w:pPr>
              <w:adjustRightInd w:val="0"/>
              <w:snapToGrid w:val="0"/>
              <w:jc w:val="center"/>
              <w:rPr>
                <w:b/>
                <w:bCs/>
                <w:kern w:val="0"/>
                <w:szCs w:val="21"/>
              </w:rPr>
            </w:pPr>
            <w:r>
              <w:rPr>
                <w:b/>
                <w:bCs/>
                <w:kern w:val="0"/>
                <w:szCs w:val="21"/>
              </w:rPr>
              <w:t>8000</w:t>
            </w:r>
          </w:p>
        </w:tc>
      </w:tr>
      <w:tr w14:paraId="091EBE3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shd w:val="clear" w:color="auto" w:fill="auto"/>
            <w:noWrap/>
            <w:tcMar>
              <w:top w:w="15" w:type="dxa"/>
              <w:left w:w="15" w:type="dxa"/>
              <w:bottom w:w="0" w:type="dxa"/>
              <w:right w:w="15" w:type="dxa"/>
            </w:tcMar>
            <w:vAlign w:val="center"/>
          </w:tcPr>
          <w:p w14:paraId="2423C9DD">
            <w:pPr>
              <w:adjustRightInd w:val="0"/>
              <w:snapToGrid w:val="0"/>
              <w:jc w:val="center"/>
              <w:rPr>
                <w:kern w:val="0"/>
                <w:szCs w:val="21"/>
              </w:rPr>
            </w:pPr>
            <w:r>
              <w:rPr>
                <w:kern w:val="0"/>
                <w:szCs w:val="21"/>
              </w:rPr>
              <w:t>10</w:t>
            </w:r>
          </w:p>
        </w:tc>
        <w:tc>
          <w:tcPr>
            <w:tcW w:w="974" w:type="pct"/>
            <w:shd w:val="clear" w:color="auto" w:fill="auto"/>
            <w:noWrap/>
            <w:tcMar>
              <w:top w:w="15" w:type="dxa"/>
              <w:left w:w="15" w:type="dxa"/>
              <w:bottom w:w="0" w:type="dxa"/>
              <w:right w:w="15" w:type="dxa"/>
            </w:tcMar>
            <w:vAlign w:val="center"/>
          </w:tcPr>
          <w:p w14:paraId="77403F33">
            <w:pPr>
              <w:adjustRightInd w:val="0"/>
              <w:snapToGrid w:val="0"/>
              <w:jc w:val="center"/>
              <w:rPr>
                <w:kern w:val="0"/>
                <w:szCs w:val="21"/>
              </w:rPr>
            </w:pPr>
            <w:r>
              <w:rPr>
                <w:kern w:val="0"/>
                <w:szCs w:val="21"/>
              </w:rPr>
              <w:t>70</w:t>
            </w:r>
          </w:p>
        </w:tc>
        <w:tc>
          <w:tcPr>
            <w:tcW w:w="420" w:type="pct"/>
            <w:shd w:val="clear" w:color="auto" w:fill="auto"/>
            <w:noWrap/>
            <w:tcMar>
              <w:top w:w="15" w:type="dxa"/>
              <w:left w:w="15" w:type="dxa"/>
              <w:bottom w:w="0" w:type="dxa"/>
              <w:right w:w="15" w:type="dxa"/>
            </w:tcMar>
            <w:vAlign w:val="center"/>
          </w:tcPr>
          <w:p w14:paraId="7EC65AB0">
            <w:pPr>
              <w:adjustRightInd w:val="0"/>
              <w:snapToGrid w:val="0"/>
              <w:jc w:val="center"/>
              <w:rPr>
                <w:kern w:val="0"/>
                <w:szCs w:val="21"/>
              </w:rPr>
            </w:pPr>
            <w:r>
              <w:rPr>
                <w:kern w:val="0"/>
                <w:szCs w:val="21"/>
              </w:rPr>
              <w:t>0.1</w:t>
            </w:r>
          </w:p>
        </w:tc>
        <w:tc>
          <w:tcPr>
            <w:tcW w:w="421" w:type="pct"/>
            <w:shd w:val="clear" w:color="auto" w:fill="auto"/>
            <w:noWrap/>
            <w:tcMar>
              <w:top w:w="15" w:type="dxa"/>
              <w:left w:w="15" w:type="dxa"/>
              <w:bottom w:w="0" w:type="dxa"/>
              <w:right w:w="15" w:type="dxa"/>
            </w:tcMar>
            <w:vAlign w:val="center"/>
          </w:tcPr>
          <w:p w14:paraId="20A6A9F4">
            <w:pPr>
              <w:adjustRightInd w:val="0"/>
              <w:snapToGrid w:val="0"/>
              <w:jc w:val="center"/>
              <w:rPr>
                <w:kern w:val="0"/>
                <w:szCs w:val="21"/>
              </w:rPr>
            </w:pPr>
            <w:r>
              <w:rPr>
                <w:kern w:val="0"/>
                <w:szCs w:val="21"/>
              </w:rPr>
              <w:t>0.4</w:t>
            </w:r>
          </w:p>
        </w:tc>
        <w:tc>
          <w:tcPr>
            <w:tcW w:w="421" w:type="pct"/>
            <w:shd w:val="clear" w:color="auto" w:fill="auto"/>
            <w:noWrap/>
            <w:tcMar>
              <w:top w:w="15" w:type="dxa"/>
              <w:left w:w="15" w:type="dxa"/>
              <w:bottom w:w="0" w:type="dxa"/>
              <w:right w:w="15" w:type="dxa"/>
            </w:tcMar>
            <w:vAlign w:val="center"/>
          </w:tcPr>
          <w:p w14:paraId="3EA38C78">
            <w:pPr>
              <w:adjustRightInd w:val="0"/>
              <w:snapToGrid w:val="0"/>
              <w:jc w:val="center"/>
              <w:rPr>
                <w:kern w:val="0"/>
                <w:szCs w:val="21"/>
              </w:rPr>
            </w:pPr>
            <w:r>
              <w:rPr>
                <w:kern w:val="0"/>
                <w:szCs w:val="21"/>
              </w:rPr>
              <w:t>1.0</w:t>
            </w:r>
          </w:p>
        </w:tc>
        <w:tc>
          <w:tcPr>
            <w:tcW w:w="421" w:type="pct"/>
            <w:shd w:val="clear" w:color="auto" w:fill="auto"/>
            <w:noWrap/>
            <w:tcMar>
              <w:top w:w="15" w:type="dxa"/>
              <w:left w:w="15" w:type="dxa"/>
              <w:bottom w:w="0" w:type="dxa"/>
              <w:right w:w="15" w:type="dxa"/>
            </w:tcMar>
            <w:vAlign w:val="center"/>
          </w:tcPr>
          <w:p w14:paraId="5A06B6F9">
            <w:pPr>
              <w:adjustRightInd w:val="0"/>
              <w:snapToGrid w:val="0"/>
              <w:jc w:val="center"/>
              <w:rPr>
                <w:kern w:val="0"/>
                <w:szCs w:val="21"/>
              </w:rPr>
            </w:pPr>
            <w:r>
              <w:rPr>
                <w:kern w:val="0"/>
                <w:szCs w:val="21"/>
              </w:rPr>
              <w:t>1.9</w:t>
            </w:r>
          </w:p>
        </w:tc>
        <w:tc>
          <w:tcPr>
            <w:tcW w:w="421" w:type="pct"/>
            <w:shd w:val="clear" w:color="auto" w:fill="auto"/>
            <w:noWrap/>
            <w:tcMar>
              <w:top w:w="15" w:type="dxa"/>
              <w:left w:w="15" w:type="dxa"/>
              <w:bottom w:w="0" w:type="dxa"/>
              <w:right w:w="15" w:type="dxa"/>
            </w:tcMar>
            <w:vAlign w:val="center"/>
          </w:tcPr>
          <w:p w14:paraId="6311F1DD">
            <w:pPr>
              <w:adjustRightInd w:val="0"/>
              <w:snapToGrid w:val="0"/>
              <w:jc w:val="center"/>
              <w:rPr>
                <w:kern w:val="0"/>
                <w:szCs w:val="21"/>
              </w:rPr>
            </w:pPr>
            <w:r>
              <w:rPr>
                <w:kern w:val="0"/>
                <w:szCs w:val="21"/>
              </w:rPr>
              <w:t>3.7</w:t>
            </w:r>
          </w:p>
        </w:tc>
        <w:tc>
          <w:tcPr>
            <w:tcW w:w="421" w:type="pct"/>
            <w:shd w:val="clear" w:color="auto" w:fill="auto"/>
            <w:noWrap/>
            <w:tcMar>
              <w:top w:w="15" w:type="dxa"/>
              <w:left w:w="15" w:type="dxa"/>
              <w:bottom w:w="0" w:type="dxa"/>
              <w:right w:w="15" w:type="dxa"/>
            </w:tcMar>
            <w:vAlign w:val="center"/>
          </w:tcPr>
          <w:p w14:paraId="0D75F34C">
            <w:pPr>
              <w:adjustRightInd w:val="0"/>
              <w:snapToGrid w:val="0"/>
              <w:jc w:val="center"/>
              <w:rPr>
                <w:kern w:val="0"/>
                <w:szCs w:val="21"/>
              </w:rPr>
            </w:pPr>
            <w:r>
              <w:rPr>
                <w:kern w:val="0"/>
                <w:szCs w:val="21"/>
              </w:rPr>
              <w:t>9.7</w:t>
            </w:r>
          </w:p>
        </w:tc>
        <w:tc>
          <w:tcPr>
            <w:tcW w:w="421" w:type="pct"/>
            <w:shd w:val="clear" w:color="auto" w:fill="auto"/>
            <w:noWrap/>
            <w:tcMar>
              <w:top w:w="15" w:type="dxa"/>
              <w:left w:w="15" w:type="dxa"/>
              <w:bottom w:w="0" w:type="dxa"/>
              <w:right w:w="15" w:type="dxa"/>
            </w:tcMar>
            <w:vAlign w:val="center"/>
          </w:tcPr>
          <w:p w14:paraId="72134ADA">
            <w:pPr>
              <w:adjustRightInd w:val="0"/>
              <w:snapToGrid w:val="0"/>
              <w:jc w:val="center"/>
              <w:rPr>
                <w:kern w:val="0"/>
                <w:szCs w:val="21"/>
              </w:rPr>
            </w:pPr>
            <w:r>
              <w:rPr>
                <w:kern w:val="0"/>
                <w:szCs w:val="21"/>
              </w:rPr>
              <w:t>32.8</w:t>
            </w:r>
          </w:p>
        </w:tc>
        <w:tc>
          <w:tcPr>
            <w:tcW w:w="420" w:type="pct"/>
            <w:shd w:val="clear" w:color="auto" w:fill="auto"/>
            <w:noWrap/>
            <w:tcMar>
              <w:top w:w="15" w:type="dxa"/>
              <w:left w:w="15" w:type="dxa"/>
              <w:bottom w:w="0" w:type="dxa"/>
              <w:right w:w="15" w:type="dxa"/>
            </w:tcMar>
            <w:vAlign w:val="center"/>
          </w:tcPr>
          <w:p w14:paraId="78272910">
            <w:pPr>
              <w:adjustRightInd w:val="0"/>
              <w:snapToGrid w:val="0"/>
              <w:jc w:val="center"/>
              <w:rPr>
                <w:kern w:val="0"/>
                <w:szCs w:val="21"/>
              </w:rPr>
            </w:pPr>
            <w:r>
              <w:rPr>
                <w:kern w:val="0"/>
                <w:szCs w:val="21"/>
              </w:rPr>
              <w:t>117.0</w:t>
            </w:r>
          </w:p>
        </w:tc>
      </w:tr>
      <w:tr w14:paraId="0959912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shd w:val="clear" w:color="auto" w:fill="auto"/>
            <w:noWrap/>
            <w:tcMar>
              <w:top w:w="15" w:type="dxa"/>
              <w:left w:w="15" w:type="dxa"/>
              <w:bottom w:w="0" w:type="dxa"/>
              <w:right w:w="15" w:type="dxa"/>
            </w:tcMar>
            <w:vAlign w:val="center"/>
          </w:tcPr>
          <w:p w14:paraId="0B3B9233">
            <w:pPr>
              <w:adjustRightInd w:val="0"/>
              <w:snapToGrid w:val="0"/>
              <w:jc w:val="center"/>
              <w:rPr>
                <w:kern w:val="0"/>
                <w:szCs w:val="21"/>
              </w:rPr>
            </w:pPr>
            <w:r>
              <w:rPr>
                <w:kern w:val="0"/>
                <w:szCs w:val="21"/>
              </w:rPr>
              <w:t>20</w:t>
            </w:r>
          </w:p>
        </w:tc>
        <w:tc>
          <w:tcPr>
            <w:tcW w:w="974" w:type="pct"/>
            <w:shd w:val="clear" w:color="auto" w:fill="auto"/>
            <w:noWrap/>
            <w:tcMar>
              <w:top w:w="15" w:type="dxa"/>
              <w:left w:w="15" w:type="dxa"/>
              <w:bottom w:w="0" w:type="dxa"/>
              <w:right w:w="15" w:type="dxa"/>
            </w:tcMar>
            <w:vAlign w:val="center"/>
          </w:tcPr>
          <w:p w14:paraId="1C3476EC">
            <w:pPr>
              <w:adjustRightInd w:val="0"/>
              <w:snapToGrid w:val="0"/>
              <w:jc w:val="center"/>
              <w:rPr>
                <w:kern w:val="0"/>
                <w:szCs w:val="21"/>
              </w:rPr>
            </w:pPr>
            <w:r>
              <w:rPr>
                <w:kern w:val="0"/>
                <w:szCs w:val="21"/>
              </w:rPr>
              <w:t>70</w:t>
            </w:r>
          </w:p>
        </w:tc>
        <w:tc>
          <w:tcPr>
            <w:tcW w:w="420" w:type="pct"/>
            <w:shd w:val="clear" w:color="auto" w:fill="auto"/>
            <w:noWrap/>
            <w:tcMar>
              <w:top w:w="15" w:type="dxa"/>
              <w:left w:w="15" w:type="dxa"/>
              <w:bottom w:w="0" w:type="dxa"/>
              <w:right w:w="15" w:type="dxa"/>
            </w:tcMar>
            <w:vAlign w:val="center"/>
          </w:tcPr>
          <w:p w14:paraId="582EC3C1">
            <w:pPr>
              <w:adjustRightInd w:val="0"/>
              <w:snapToGrid w:val="0"/>
              <w:jc w:val="center"/>
              <w:rPr>
                <w:kern w:val="0"/>
                <w:szCs w:val="21"/>
              </w:rPr>
            </w:pPr>
            <w:r>
              <w:rPr>
                <w:kern w:val="0"/>
                <w:szCs w:val="21"/>
              </w:rPr>
              <w:t>0.1</w:t>
            </w:r>
          </w:p>
        </w:tc>
        <w:tc>
          <w:tcPr>
            <w:tcW w:w="421" w:type="pct"/>
            <w:shd w:val="clear" w:color="auto" w:fill="auto"/>
            <w:noWrap/>
            <w:tcMar>
              <w:top w:w="15" w:type="dxa"/>
              <w:left w:w="15" w:type="dxa"/>
              <w:bottom w:w="0" w:type="dxa"/>
              <w:right w:w="15" w:type="dxa"/>
            </w:tcMar>
            <w:vAlign w:val="center"/>
          </w:tcPr>
          <w:p w14:paraId="1CE4422B">
            <w:pPr>
              <w:adjustRightInd w:val="0"/>
              <w:snapToGrid w:val="0"/>
              <w:jc w:val="center"/>
              <w:rPr>
                <w:kern w:val="0"/>
                <w:szCs w:val="21"/>
              </w:rPr>
            </w:pPr>
            <w:r>
              <w:rPr>
                <w:kern w:val="0"/>
                <w:szCs w:val="21"/>
              </w:rPr>
              <w:t>0.3</w:t>
            </w:r>
          </w:p>
        </w:tc>
        <w:tc>
          <w:tcPr>
            <w:tcW w:w="421" w:type="pct"/>
            <w:shd w:val="clear" w:color="auto" w:fill="auto"/>
            <w:noWrap/>
            <w:tcMar>
              <w:top w:w="15" w:type="dxa"/>
              <w:left w:w="15" w:type="dxa"/>
              <w:bottom w:w="0" w:type="dxa"/>
              <w:right w:w="15" w:type="dxa"/>
            </w:tcMar>
            <w:vAlign w:val="center"/>
          </w:tcPr>
          <w:p w14:paraId="36A8FB9D">
            <w:pPr>
              <w:adjustRightInd w:val="0"/>
              <w:snapToGrid w:val="0"/>
              <w:jc w:val="center"/>
              <w:rPr>
                <w:kern w:val="0"/>
                <w:szCs w:val="21"/>
              </w:rPr>
            </w:pPr>
            <w:r>
              <w:rPr>
                <w:kern w:val="0"/>
                <w:szCs w:val="21"/>
              </w:rPr>
              <w:t>1.1</w:t>
            </w:r>
          </w:p>
        </w:tc>
        <w:tc>
          <w:tcPr>
            <w:tcW w:w="421" w:type="pct"/>
            <w:shd w:val="clear" w:color="auto" w:fill="auto"/>
            <w:noWrap/>
            <w:tcMar>
              <w:top w:w="15" w:type="dxa"/>
              <w:left w:w="15" w:type="dxa"/>
              <w:bottom w:w="0" w:type="dxa"/>
              <w:right w:w="15" w:type="dxa"/>
            </w:tcMar>
            <w:vAlign w:val="center"/>
          </w:tcPr>
          <w:p w14:paraId="6C1C0A82">
            <w:pPr>
              <w:adjustRightInd w:val="0"/>
              <w:snapToGrid w:val="0"/>
              <w:jc w:val="center"/>
              <w:rPr>
                <w:kern w:val="0"/>
                <w:szCs w:val="21"/>
              </w:rPr>
            </w:pPr>
            <w:r>
              <w:rPr>
                <w:kern w:val="0"/>
                <w:szCs w:val="21"/>
              </w:rPr>
              <w:t>2.8</w:t>
            </w:r>
          </w:p>
        </w:tc>
        <w:tc>
          <w:tcPr>
            <w:tcW w:w="421" w:type="pct"/>
            <w:shd w:val="clear" w:color="auto" w:fill="auto"/>
            <w:noWrap/>
            <w:tcMar>
              <w:top w:w="15" w:type="dxa"/>
              <w:left w:w="15" w:type="dxa"/>
              <w:bottom w:w="0" w:type="dxa"/>
              <w:right w:w="15" w:type="dxa"/>
            </w:tcMar>
            <w:vAlign w:val="center"/>
          </w:tcPr>
          <w:p w14:paraId="60C69050">
            <w:pPr>
              <w:adjustRightInd w:val="0"/>
              <w:snapToGrid w:val="0"/>
              <w:jc w:val="center"/>
              <w:rPr>
                <w:kern w:val="0"/>
                <w:szCs w:val="21"/>
              </w:rPr>
            </w:pPr>
            <w:r>
              <w:rPr>
                <w:kern w:val="0"/>
                <w:szCs w:val="21"/>
              </w:rPr>
              <w:t>5.0</w:t>
            </w:r>
          </w:p>
        </w:tc>
        <w:tc>
          <w:tcPr>
            <w:tcW w:w="421" w:type="pct"/>
            <w:shd w:val="clear" w:color="auto" w:fill="auto"/>
            <w:noWrap/>
            <w:tcMar>
              <w:top w:w="15" w:type="dxa"/>
              <w:left w:w="15" w:type="dxa"/>
              <w:bottom w:w="0" w:type="dxa"/>
              <w:right w:w="15" w:type="dxa"/>
            </w:tcMar>
            <w:vAlign w:val="center"/>
          </w:tcPr>
          <w:p w14:paraId="6BC3FEFD">
            <w:pPr>
              <w:adjustRightInd w:val="0"/>
              <w:snapToGrid w:val="0"/>
              <w:jc w:val="center"/>
              <w:rPr>
                <w:kern w:val="0"/>
                <w:szCs w:val="21"/>
              </w:rPr>
            </w:pPr>
            <w:r>
              <w:rPr>
                <w:kern w:val="0"/>
                <w:szCs w:val="21"/>
              </w:rPr>
              <w:t>9.0</w:t>
            </w:r>
          </w:p>
        </w:tc>
        <w:tc>
          <w:tcPr>
            <w:tcW w:w="421" w:type="pct"/>
            <w:shd w:val="clear" w:color="auto" w:fill="auto"/>
            <w:noWrap/>
            <w:tcMar>
              <w:top w:w="15" w:type="dxa"/>
              <w:left w:w="15" w:type="dxa"/>
              <w:bottom w:w="0" w:type="dxa"/>
              <w:right w:w="15" w:type="dxa"/>
            </w:tcMar>
            <w:vAlign w:val="center"/>
          </w:tcPr>
          <w:p w14:paraId="1F392104">
            <w:pPr>
              <w:adjustRightInd w:val="0"/>
              <w:snapToGrid w:val="0"/>
              <w:jc w:val="center"/>
              <w:rPr>
                <w:kern w:val="0"/>
                <w:szCs w:val="21"/>
              </w:rPr>
            </w:pPr>
            <w:r>
              <w:rPr>
                <w:kern w:val="0"/>
                <w:szCs w:val="21"/>
              </w:rPr>
              <w:t>22.9</w:t>
            </w:r>
          </w:p>
        </w:tc>
        <w:tc>
          <w:tcPr>
            <w:tcW w:w="420" w:type="pct"/>
            <w:shd w:val="clear" w:color="auto" w:fill="auto"/>
            <w:noWrap/>
            <w:tcMar>
              <w:top w:w="15" w:type="dxa"/>
              <w:left w:w="15" w:type="dxa"/>
              <w:bottom w:w="0" w:type="dxa"/>
              <w:right w:w="15" w:type="dxa"/>
            </w:tcMar>
            <w:vAlign w:val="center"/>
          </w:tcPr>
          <w:p w14:paraId="30000C24">
            <w:pPr>
              <w:adjustRightInd w:val="0"/>
              <w:snapToGrid w:val="0"/>
              <w:jc w:val="center"/>
              <w:rPr>
                <w:kern w:val="0"/>
                <w:szCs w:val="21"/>
              </w:rPr>
            </w:pPr>
            <w:r>
              <w:rPr>
                <w:kern w:val="0"/>
                <w:szCs w:val="21"/>
              </w:rPr>
              <w:t>76.6</w:t>
            </w:r>
          </w:p>
        </w:tc>
      </w:tr>
      <w:tr w14:paraId="56701C1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shd w:val="clear" w:color="auto" w:fill="auto"/>
            <w:noWrap/>
            <w:tcMar>
              <w:top w:w="15" w:type="dxa"/>
              <w:left w:w="15" w:type="dxa"/>
              <w:bottom w:w="0" w:type="dxa"/>
              <w:right w:w="15" w:type="dxa"/>
            </w:tcMar>
            <w:vAlign w:val="center"/>
          </w:tcPr>
          <w:p w14:paraId="73DFEE0F">
            <w:pPr>
              <w:adjustRightInd w:val="0"/>
              <w:snapToGrid w:val="0"/>
              <w:jc w:val="center"/>
              <w:rPr>
                <w:kern w:val="0"/>
                <w:szCs w:val="21"/>
              </w:rPr>
            </w:pPr>
            <w:r>
              <w:rPr>
                <w:kern w:val="0"/>
                <w:szCs w:val="21"/>
              </w:rPr>
              <w:t>30</w:t>
            </w:r>
          </w:p>
        </w:tc>
        <w:tc>
          <w:tcPr>
            <w:tcW w:w="974" w:type="pct"/>
            <w:shd w:val="clear" w:color="auto" w:fill="auto"/>
            <w:noWrap/>
            <w:tcMar>
              <w:top w:w="15" w:type="dxa"/>
              <w:left w:w="15" w:type="dxa"/>
              <w:bottom w:w="0" w:type="dxa"/>
              <w:right w:w="15" w:type="dxa"/>
            </w:tcMar>
            <w:vAlign w:val="center"/>
          </w:tcPr>
          <w:p w14:paraId="2C0664C8">
            <w:pPr>
              <w:adjustRightInd w:val="0"/>
              <w:snapToGrid w:val="0"/>
              <w:jc w:val="center"/>
              <w:rPr>
                <w:kern w:val="0"/>
                <w:szCs w:val="21"/>
              </w:rPr>
            </w:pPr>
            <w:r>
              <w:rPr>
                <w:kern w:val="0"/>
                <w:szCs w:val="21"/>
              </w:rPr>
              <w:t>70</w:t>
            </w:r>
          </w:p>
        </w:tc>
        <w:tc>
          <w:tcPr>
            <w:tcW w:w="420" w:type="pct"/>
            <w:shd w:val="clear" w:color="auto" w:fill="auto"/>
            <w:noWrap/>
            <w:tcMar>
              <w:top w:w="15" w:type="dxa"/>
              <w:left w:w="15" w:type="dxa"/>
              <w:bottom w:w="0" w:type="dxa"/>
              <w:right w:w="15" w:type="dxa"/>
            </w:tcMar>
            <w:vAlign w:val="center"/>
          </w:tcPr>
          <w:p w14:paraId="113DBFF3">
            <w:pPr>
              <w:adjustRightInd w:val="0"/>
              <w:snapToGrid w:val="0"/>
              <w:jc w:val="center"/>
              <w:rPr>
                <w:kern w:val="0"/>
                <w:szCs w:val="21"/>
              </w:rPr>
            </w:pPr>
            <w:r>
              <w:rPr>
                <w:kern w:val="0"/>
                <w:szCs w:val="21"/>
              </w:rPr>
              <w:t>0.1</w:t>
            </w:r>
          </w:p>
        </w:tc>
        <w:tc>
          <w:tcPr>
            <w:tcW w:w="421" w:type="pct"/>
            <w:shd w:val="clear" w:color="auto" w:fill="auto"/>
            <w:noWrap/>
            <w:tcMar>
              <w:top w:w="15" w:type="dxa"/>
              <w:left w:w="15" w:type="dxa"/>
              <w:bottom w:w="0" w:type="dxa"/>
              <w:right w:w="15" w:type="dxa"/>
            </w:tcMar>
            <w:vAlign w:val="center"/>
          </w:tcPr>
          <w:p w14:paraId="13246C38">
            <w:pPr>
              <w:adjustRightInd w:val="0"/>
              <w:snapToGrid w:val="0"/>
              <w:jc w:val="center"/>
              <w:rPr>
                <w:kern w:val="0"/>
                <w:szCs w:val="21"/>
              </w:rPr>
            </w:pPr>
            <w:r>
              <w:rPr>
                <w:kern w:val="0"/>
                <w:szCs w:val="21"/>
              </w:rPr>
              <w:t>0.3</w:t>
            </w:r>
          </w:p>
        </w:tc>
        <w:tc>
          <w:tcPr>
            <w:tcW w:w="421" w:type="pct"/>
            <w:shd w:val="clear" w:color="auto" w:fill="auto"/>
            <w:noWrap/>
            <w:tcMar>
              <w:top w:w="15" w:type="dxa"/>
              <w:left w:w="15" w:type="dxa"/>
              <w:bottom w:w="0" w:type="dxa"/>
              <w:right w:w="15" w:type="dxa"/>
            </w:tcMar>
            <w:vAlign w:val="center"/>
          </w:tcPr>
          <w:p w14:paraId="7232871F">
            <w:pPr>
              <w:adjustRightInd w:val="0"/>
              <w:snapToGrid w:val="0"/>
              <w:jc w:val="center"/>
              <w:rPr>
                <w:kern w:val="0"/>
                <w:szCs w:val="21"/>
              </w:rPr>
            </w:pPr>
            <w:r>
              <w:rPr>
                <w:kern w:val="0"/>
                <w:szCs w:val="21"/>
              </w:rPr>
              <w:t>1.0</w:t>
            </w:r>
          </w:p>
        </w:tc>
        <w:tc>
          <w:tcPr>
            <w:tcW w:w="421" w:type="pct"/>
            <w:shd w:val="clear" w:color="auto" w:fill="auto"/>
            <w:noWrap/>
            <w:tcMar>
              <w:top w:w="15" w:type="dxa"/>
              <w:left w:w="15" w:type="dxa"/>
              <w:bottom w:w="0" w:type="dxa"/>
              <w:right w:w="15" w:type="dxa"/>
            </w:tcMar>
            <w:vAlign w:val="center"/>
          </w:tcPr>
          <w:p w14:paraId="28C8FA0E">
            <w:pPr>
              <w:adjustRightInd w:val="0"/>
              <w:snapToGrid w:val="0"/>
              <w:jc w:val="center"/>
              <w:rPr>
                <w:kern w:val="0"/>
                <w:szCs w:val="21"/>
              </w:rPr>
            </w:pPr>
            <w:r>
              <w:rPr>
                <w:kern w:val="0"/>
                <w:szCs w:val="21"/>
              </w:rPr>
              <w:t>3.1</w:t>
            </w:r>
          </w:p>
        </w:tc>
        <w:tc>
          <w:tcPr>
            <w:tcW w:w="421" w:type="pct"/>
            <w:shd w:val="clear" w:color="auto" w:fill="auto"/>
            <w:noWrap/>
            <w:tcMar>
              <w:top w:w="15" w:type="dxa"/>
              <w:left w:w="15" w:type="dxa"/>
              <w:bottom w:w="0" w:type="dxa"/>
              <w:right w:w="15" w:type="dxa"/>
            </w:tcMar>
            <w:vAlign w:val="center"/>
          </w:tcPr>
          <w:p w14:paraId="6B8B6567">
            <w:pPr>
              <w:adjustRightInd w:val="0"/>
              <w:snapToGrid w:val="0"/>
              <w:jc w:val="center"/>
              <w:rPr>
                <w:kern w:val="0"/>
                <w:szCs w:val="21"/>
              </w:rPr>
            </w:pPr>
            <w:r>
              <w:rPr>
                <w:kern w:val="0"/>
                <w:szCs w:val="21"/>
              </w:rPr>
              <w:t>7.4</w:t>
            </w:r>
          </w:p>
        </w:tc>
        <w:tc>
          <w:tcPr>
            <w:tcW w:w="421" w:type="pct"/>
            <w:shd w:val="clear" w:color="auto" w:fill="auto"/>
            <w:noWrap/>
            <w:tcMar>
              <w:top w:w="15" w:type="dxa"/>
              <w:left w:w="15" w:type="dxa"/>
              <w:bottom w:w="0" w:type="dxa"/>
              <w:right w:w="15" w:type="dxa"/>
            </w:tcMar>
            <w:vAlign w:val="center"/>
          </w:tcPr>
          <w:p w14:paraId="12504D90">
            <w:pPr>
              <w:adjustRightInd w:val="0"/>
              <w:snapToGrid w:val="0"/>
              <w:jc w:val="center"/>
              <w:rPr>
                <w:kern w:val="0"/>
                <w:szCs w:val="21"/>
              </w:rPr>
            </w:pPr>
            <w:r>
              <w:rPr>
                <w:kern w:val="0"/>
                <w:szCs w:val="21"/>
              </w:rPr>
              <w:t>12.7</w:t>
            </w:r>
          </w:p>
        </w:tc>
        <w:tc>
          <w:tcPr>
            <w:tcW w:w="421" w:type="pct"/>
            <w:shd w:val="clear" w:color="auto" w:fill="auto"/>
            <w:noWrap/>
            <w:tcMar>
              <w:top w:w="15" w:type="dxa"/>
              <w:left w:w="15" w:type="dxa"/>
              <w:bottom w:w="0" w:type="dxa"/>
              <w:right w:w="15" w:type="dxa"/>
            </w:tcMar>
            <w:vAlign w:val="center"/>
          </w:tcPr>
          <w:p w14:paraId="6C469662">
            <w:pPr>
              <w:adjustRightInd w:val="0"/>
              <w:snapToGrid w:val="0"/>
              <w:jc w:val="center"/>
              <w:rPr>
                <w:kern w:val="0"/>
                <w:szCs w:val="21"/>
              </w:rPr>
            </w:pPr>
            <w:r>
              <w:rPr>
                <w:kern w:val="0"/>
                <w:szCs w:val="21"/>
              </w:rPr>
              <w:t>23.1</w:t>
            </w:r>
          </w:p>
        </w:tc>
        <w:tc>
          <w:tcPr>
            <w:tcW w:w="420" w:type="pct"/>
            <w:shd w:val="clear" w:color="auto" w:fill="auto"/>
            <w:noWrap/>
            <w:tcMar>
              <w:top w:w="15" w:type="dxa"/>
              <w:left w:w="15" w:type="dxa"/>
              <w:bottom w:w="0" w:type="dxa"/>
              <w:right w:w="15" w:type="dxa"/>
            </w:tcMar>
            <w:vAlign w:val="center"/>
          </w:tcPr>
          <w:p w14:paraId="1A52BE6B">
            <w:pPr>
              <w:adjustRightInd w:val="0"/>
              <w:snapToGrid w:val="0"/>
              <w:jc w:val="center"/>
              <w:rPr>
                <w:kern w:val="0"/>
                <w:szCs w:val="21"/>
              </w:rPr>
            </w:pPr>
            <w:r>
              <w:rPr>
                <w:kern w:val="0"/>
                <w:szCs w:val="21"/>
              </w:rPr>
              <w:t>59.3</w:t>
            </w:r>
          </w:p>
        </w:tc>
      </w:tr>
      <w:tr w14:paraId="32A2F2B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shd w:val="clear" w:color="auto" w:fill="auto"/>
            <w:noWrap/>
            <w:tcMar>
              <w:top w:w="15" w:type="dxa"/>
              <w:left w:w="15" w:type="dxa"/>
              <w:bottom w:w="0" w:type="dxa"/>
              <w:right w:w="15" w:type="dxa"/>
            </w:tcMar>
            <w:vAlign w:val="center"/>
          </w:tcPr>
          <w:p w14:paraId="2BAC4994">
            <w:pPr>
              <w:adjustRightInd w:val="0"/>
              <w:snapToGrid w:val="0"/>
              <w:jc w:val="center"/>
              <w:rPr>
                <w:kern w:val="0"/>
                <w:szCs w:val="21"/>
              </w:rPr>
            </w:pPr>
            <w:r>
              <w:rPr>
                <w:kern w:val="0"/>
                <w:szCs w:val="21"/>
              </w:rPr>
              <w:t>15</w:t>
            </w:r>
          </w:p>
        </w:tc>
        <w:tc>
          <w:tcPr>
            <w:tcW w:w="974" w:type="pct"/>
            <w:shd w:val="clear" w:color="auto" w:fill="auto"/>
            <w:noWrap/>
            <w:tcMar>
              <w:top w:w="15" w:type="dxa"/>
              <w:left w:w="15" w:type="dxa"/>
              <w:bottom w:w="0" w:type="dxa"/>
              <w:right w:w="15" w:type="dxa"/>
            </w:tcMar>
            <w:vAlign w:val="center"/>
          </w:tcPr>
          <w:p w14:paraId="7C5D898E">
            <w:pPr>
              <w:adjustRightInd w:val="0"/>
              <w:snapToGrid w:val="0"/>
              <w:jc w:val="center"/>
              <w:rPr>
                <w:kern w:val="0"/>
                <w:szCs w:val="21"/>
              </w:rPr>
            </w:pPr>
            <w:r>
              <w:rPr>
                <w:kern w:val="0"/>
                <w:szCs w:val="21"/>
              </w:rPr>
              <w:t>20</w:t>
            </w:r>
          </w:p>
        </w:tc>
        <w:tc>
          <w:tcPr>
            <w:tcW w:w="420" w:type="pct"/>
            <w:shd w:val="clear" w:color="auto" w:fill="auto"/>
            <w:noWrap/>
            <w:tcMar>
              <w:top w:w="15" w:type="dxa"/>
              <w:left w:w="15" w:type="dxa"/>
              <w:bottom w:w="0" w:type="dxa"/>
              <w:right w:w="15" w:type="dxa"/>
            </w:tcMar>
            <w:vAlign w:val="center"/>
          </w:tcPr>
          <w:p w14:paraId="6717EF30">
            <w:pPr>
              <w:adjustRightInd w:val="0"/>
              <w:snapToGrid w:val="0"/>
              <w:jc w:val="center"/>
              <w:rPr>
                <w:kern w:val="0"/>
                <w:szCs w:val="21"/>
              </w:rPr>
            </w:pPr>
            <w:r>
              <w:rPr>
                <w:kern w:val="0"/>
                <w:szCs w:val="21"/>
              </w:rPr>
              <w:t>0.3</w:t>
            </w:r>
          </w:p>
        </w:tc>
        <w:tc>
          <w:tcPr>
            <w:tcW w:w="421" w:type="pct"/>
            <w:shd w:val="clear" w:color="auto" w:fill="auto"/>
            <w:noWrap/>
            <w:tcMar>
              <w:top w:w="15" w:type="dxa"/>
              <w:left w:w="15" w:type="dxa"/>
              <w:bottom w:w="0" w:type="dxa"/>
              <w:right w:w="15" w:type="dxa"/>
            </w:tcMar>
            <w:vAlign w:val="center"/>
          </w:tcPr>
          <w:p w14:paraId="690B898A">
            <w:pPr>
              <w:adjustRightInd w:val="0"/>
              <w:snapToGrid w:val="0"/>
              <w:jc w:val="center"/>
              <w:rPr>
                <w:kern w:val="0"/>
                <w:szCs w:val="21"/>
              </w:rPr>
            </w:pPr>
            <w:r>
              <w:rPr>
                <w:kern w:val="0"/>
                <w:szCs w:val="21"/>
              </w:rPr>
              <w:t>0.6</w:t>
            </w:r>
          </w:p>
        </w:tc>
        <w:tc>
          <w:tcPr>
            <w:tcW w:w="421" w:type="pct"/>
            <w:shd w:val="clear" w:color="auto" w:fill="auto"/>
            <w:noWrap/>
            <w:tcMar>
              <w:top w:w="15" w:type="dxa"/>
              <w:left w:w="15" w:type="dxa"/>
              <w:bottom w:w="0" w:type="dxa"/>
              <w:right w:w="15" w:type="dxa"/>
            </w:tcMar>
            <w:vAlign w:val="center"/>
          </w:tcPr>
          <w:p w14:paraId="73337111">
            <w:pPr>
              <w:adjustRightInd w:val="0"/>
              <w:snapToGrid w:val="0"/>
              <w:jc w:val="center"/>
              <w:rPr>
                <w:kern w:val="0"/>
                <w:szCs w:val="21"/>
              </w:rPr>
            </w:pPr>
            <w:r>
              <w:rPr>
                <w:kern w:val="0"/>
                <w:szCs w:val="21"/>
              </w:rPr>
              <w:t>1.2</w:t>
            </w:r>
          </w:p>
        </w:tc>
        <w:tc>
          <w:tcPr>
            <w:tcW w:w="421" w:type="pct"/>
            <w:shd w:val="clear" w:color="auto" w:fill="auto"/>
            <w:noWrap/>
            <w:tcMar>
              <w:top w:w="15" w:type="dxa"/>
              <w:left w:w="15" w:type="dxa"/>
              <w:bottom w:w="0" w:type="dxa"/>
              <w:right w:w="15" w:type="dxa"/>
            </w:tcMar>
            <w:vAlign w:val="center"/>
          </w:tcPr>
          <w:p w14:paraId="6E228EEC">
            <w:pPr>
              <w:adjustRightInd w:val="0"/>
              <w:snapToGrid w:val="0"/>
              <w:jc w:val="center"/>
              <w:rPr>
                <w:kern w:val="0"/>
                <w:szCs w:val="21"/>
              </w:rPr>
            </w:pPr>
            <w:r>
              <w:rPr>
                <w:kern w:val="0"/>
                <w:szCs w:val="21"/>
              </w:rPr>
              <w:t>2.7</w:t>
            </w:r>
          </w:p>
        </w:tc>
        <w:tc>
          <w:tcPr>
            <w:tcW w:w="421" w:type="pct"/>
            <w:shd w:val="clear" w:color="auto" w:fill="auto"/>
            <w:noWrap/>
            <w:tcMar>
              <w:top w:w="15" w:type="dxa"/>
              <w:left w:w="15" w:type="dxa"/>
              <w:bottom w:w="0" w:type="dxa"/>
              <w:right w:w="15" w:type="dxa"/>
            </w:tcMar>
            <w:vAlign w:val="center"/>
          </w:tcPr>
          <w:p w14:paraId="10660CB6">
            <w:pPr>
              <w:adjustRightInd w:val="0"/>
              <w:snapToGrid w:val="0"/>
              <w:jc w:val="center"/>
              <w:rPr>
                <w:kern w:val="0"/>
                <w:szCs w:val="21"/>
              </w:rPr>
            </w:pPr>
            <w:r>
              <w:rPr>
                <w:kern w:val="0"/>
                <w:szCs w:val="21"/>
              </w:rPr>
              <w:t>8.2</w:t>
            </w:r>
          </w:p>
        </w:tc>
        <w:tc>
          <w:tcPr>
            <w:tcW w:w="421" w:type="pct"/>
            <w:shd w:val="clear" w:color="auto" w:fill="auto"/>
            <w:noWrap/>
            <w:tcMar>
              <w:top w:w="15" w:type="dxa"/>
              <w:left w:w="15" w:type="dxa"/>
              <w:bottom w:w="0" w:type="dxa"/>
              <w:right w:w="15" w:type="dxa"/>
            </w:tcMar>
            <w:vAlign w:val="center"/>
          </w:tcPr>
          <w:p w14:paraId="6ED7857A">
            <w:pPr>
              <w:adjustRightInd w:val="0"/>
              <w:snapToGrid w:val="0"/>
              <w:jc w:val="center"/>
              <w:rPr>
                <w:kern w:val="0"/>
                <w:szCs w:val="21"/>
              </w:rPr>
            </w:pPr>
            <w:r>
              <w:rPr>
                <w:kern w:val="0"/>
                <w:szCs w:val="21"/>
              </w:rPr>
              <w:t>28.2</w:t>
            </w:r>
          </w:p>
        </w:tc>
        <w:tc>
          <w:tcPr>
            <w:tcW w:w="421" w:type="pct"/>
            <w:shd w:val="clear" w:color="auto" w:fill="auto"/>
            <w:noWrap/>
            <w:tcMar>
              <w:top w:w="15" w:type="dxa"/>
              <w:left w:w="15" w:type="dxa"/>
              <w:bottom w:w="0" w:type="dxa"/>
              <w:right w:w="15" w:type="dxa"/>
            </w:tcMar>
            <w:vAlign w:val="center"/>
          </w:tcPr>
          <w:p w14:paraId="53AC1ACC">
            <w:pPr>
              <w:adjustRightInd w:val="0"/>
              <w:snapToGrid w:val="0"/>
              <w:jc w:val="center"/>
              <w:rPr>
                <w:kern w:val="0"/>
                <w:szCs w:val="21"/>
              </w:rPr>
            </w:pPr>
            <w:r>
              <w:rPr>
                <w:kern w:val="0"/>
                <w:szCs w:val="21"/>
              </w:rPr>
              <w:t>28.8</w:t>
            </w:r>
          </w:p>
        </w:tc>
        <w:tc>
          <w:tcPr>
            <w:tcW w:w="420" w:type="pct"/>
            <w:shd w:val="clear" w:color="auto" w:fill="auto"/>
            <w:noWrap/>
            <w:tcMar>
              <w:top w:w="15" w:type="dxa"/>
              <w:left w:w="15" w:type="dxa"/>
              <w:bottom w:w="0" w:type="dxa"/>
              <w:right w:w="15" w:type="dxa"/>
            </w:tcMar>
            <w:vAlign w:val="center"/>
          </w:tcPr>
          <w:p w14:paraId="1461FEB5">
            <w:pPr>
              <w:adjustRightInd w:val="0"/>
              <w:snapToGrid w:val="0"/>
              <w:jc w:val="center"/>
              <w:rPr>
                <w:kern w:val="0"/>
                <w:szCs w:val="21"/>
              </w:rPr>
            </w:pPr>
            <w:r>
              <w:rPr>
                <w:kern w:val="0"/>
                <w:szCs w:val="21"/>
              </w:rPr>
              <w:t>202.0</w:t>
            </w:r>
          </w:p>
        </w:tc>
      </w:tr>
      <w:tr w14:paraId="188CD63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shd w:val="clear" w:color="auto" w:fill="auto"/>
            <w:noWrap/>
            <w:tcMar>
              <w:top w:w="15" w:type="dxa"/>
              <w:left w:w="15" w:type="dxa"/>
              <w:bottom w:w="0" w:type="dxa"/>
              <w:right w:w="15" w:type="dxa"/>
            </w:tcMar>
            <w:vAlign w:val="center"/>
          </w:tcPr>
          <w:p w14:paraId="4B8DE14D">
            <w:pPr>
              <w:adjustRightInd w:val="0"/>
              <w:snapToGrid w:val="0"/>
              <w:jc w:val="center"/>
              <w:rPr>
                <w:kern w:val="0"/>
                <w:szCs w:val="21"/>
              </w:rPr>
            </w:pPr>
            <w:r>
              <w:rPr>
                <w:kern w:val="0"/>
                <w:szCs w:val="21"/>
              </w:rPr>
              <w:t>15</w:t>
            </w:r>
          </w:p>
        </w:tc>
        <w:tc>
          <w:tcPr>
            <w:tcW w:w="974" w:type="pct"/>
            <w:shd w:val="clear" w:color="auto" w:fill="auto"/>
            <w:noWrap/>
            <w:tcMar>
              <w:top w:w="15" w:type="dxa"/>
              <w:left w:w="15" w:type="dxa"/>
              <w:bottom w:w="0" w:type="dxa"/>
              <w:right w:w="15" w:type="dxa"/>
            </w:tcMar>
            <w:vAlign w:val="center"/>
          </w:tcPr>
          <w:p w14:paraId="29852DC5">
            <w:pPr>
              <w:adjustRightInd w:val="0"/>
              <w:snapToGrid w:val="0"/>
              <w:jc w:val="center"/>
              <w:rPr>
                <w:kern w:val="0"/>
                <w:szCs w:val="21"/>
              </w:rPr>
            </w:pPr>
            <w:r>
              <w:rPr>
                <w:kern w:val="0"/>
                <w:szCs w:val="21"/>
              </w:rPr>
              <w:t>50</w:t>
            </w:r>
          </w:p>
        </w:tc>
        <w:tc>
          <w:tcPr>
            <w:tcW w:w="420" w:type="pct"/>
            <w:shd w:val="clear" w:color="auto" w:fill="auto"/>
            <w:noWrap/>
            <w:tcMar>
              <w:top w:w="15" w:type="dxa"/>
              <w:left w:w="15" w:type="dxa"/>
              <w:bottom w:w="0" w:type="dxa"/>
              <w:right w:w="15" w:type="dxa"/>
            </w:tcMar>
            <w:vAlign w:val="center"/>
          </w:tcPr>
          <w:p w14:paraId="383F29BB">
            <w:pPr>
              <w:adjustRightInd w:val="0"/>
              <w:snapToGrid w:val="0"/>
              <w:jc w:val="center"/>
              <w:rPr>
                <w:kern w:val="0"/>
                <w:szCs w:val="21"/>
              </w:rPr>
            </w:pPr>
            <w:r>
              <w:rPr>
                <w:kern w:val="0"/>
                <w:szCs w:val="21"/>
              </w:rPr>
              <w:t>0.1</w:t>
            </w:r>
          </w:p>
        </w:tc>
        <w:tc>
          <w:tcPr>
            <w:tcW w:w="421" w:type="pct"/>
            <w:shd w:val="clear" w:color="auto" w:fill="auto"/>
            <w:noWrap/>
            <w:tcMar>
              <w:top w:w="15" w:type="dxa"/>
              <w:left w:w="15" w:type="dxa"/>
              <w:bottom w:w="0" w:type="dxa"/>
              <w:right w:w="15" w:type="dxa"/>
            </w:tcMar>
            <w:vAlign w:val="center"/>
          </w:tcPr>
          <w:p w14:paraId="5FD816C2">
            <w:pPr>
              <w:adjustRightInd w:val="0"/>
              <w:snapToGrid w:val="0"/>
              <w:jc w:val="center"/>
              <w:rPr>
                <w:kern w:val="0"/>
                <w:szCs w:val="21"/>
              </w:rPr>
            </w:pPr>
            <w:r>
              <w:rPr>
                <w:kern w:val="0"/>
                <w:szCs w:val="21"/>
              </w:rPr>
              <w:t>0.5</w:t>
            </w:r>
          </w:p>
        </w:tc>
        <w:tc>
          <w:tcPr>
            <w:tcW w:w="421" w:type="pct"/>
            <w:shd w:val="clear" w:color="auto" w:fill="auto"/>
            <w:noWrap/>
            <w:tcMar>
              <w:top w:w="15" w:type="dxa"/>
              <w:left w:w="15" w:type="dxa"/>
              <w:bottom w:w="0" w:type="dxa"/>
              <w:right w:w="15" w:type="dxa"/>
            </w:tcMar>
            <w:vAlign w:val="center"/>
          </w:tcPr>
          <w:p w14:paraId="73A24855">
            <w:pPr>
              <w:adjustRightInd w:val="0"/>
              <w:snapToGrid w:val="0"/>
              <w:jc w:val="center"/>
              <w:rPr>
                <w:kern w:val="0"/>
                <w:szCs w:val="21"/>
              </w:rPr>
            </w:pPr>
            <w:r>
              <w:rPr>
                <w:kern w:val="0"/>
                <w:szCs w:val="21"/>
              </w:rPr>
              <w:t>1.2</w:t>
            </w:r>
          </w:p>
        </w:tc>
        <w:tc>
          <w:tcPr>
            <w:tcW w:w="421" w:type="pct"/>
            <w:shd w:val="clear" w:color="auto" w:fill="auto"/>
            <w:noWrap/>
            <w:tcMar>
              <w:top w:w="15" w:type="dxa"/>
              <w:left w:w="15" w:type="dxa"/>
              <w:bottom w:w="0" w:type="dxa"/>
              <w:right w:w="15" w:type="dxa"/>
            </w:tcMar>
            <w:vAlign w:val="center"/>
          </w:tcPr>
          <w:p w14:paraId="52F62D57">
            <w:pPr>
              <w:adjustRightInd w:val="0"/>
              <w:snapToGrid w:val="0"/>
              <w:jc w:val="center"/>
              <w:rPr>
                <w:kern w:val="0"/>
                <w:szCs w:val="21"/>
              </w:rPr>
            </w:pPr>
            <w:r>
              <w:rPr>
                <w:kern w:val="0"/>
                <w:szCs w:val="21"/>
              </w:rPr>
              <w:t>2.2</w:t>
            </w:r>
          </w:p>
        </w:tc>
        <w:tc>
          <w:tcPr>
            <w:tcW w:w="421" w:type="pct"/>
            <w:shd w:val="clear" w:color="auto" w:fill="auto"/>
            <w:noWrap/>
            <w:tcMar>
              <w:top w:w="15" w:type="dxa"/>
              <w:left w:w="15" w:type="dxa"/>
              <w:bottom w:w="0" w:type="dxa"/>
              <w:right w:w="15" w:type="dxa"/>
            </w:tcMar>
            <w:vAlign w:val="center"/>
          </w:tcPr>
          <w:p w14:paraId="4B5AA9F1">
            <w:pPr>
              <w:adjustRightInd w:val="0"/>
              <w:snapToGrid w:val="0"/>
              <w:jc w:val="center"/>
              <w:rPr>
                <w:kern w:val="0"/>
                <w:szCs w:val="21"/>
              </w:rPr>
            </w:pPr>
            <w:r>
              <w:rPr>
                <w:kern w:val="0"/>
                <w:szCs w:val="21"/>
              </w:rPr>
              <w:t>4.2</w:t>
            </w:r>
          </w:p>
        </w:tc>
        <w:tc>
          <w:tcPr>
            <w:tcW w:w="421" w:type="pct"/>
            <w:shd w:val="clear" w:color="auto" w:fill="auto"/>
            <w:noWrap/>
            <w:tcMar>
              <w:top w:w="15" w:type="dxa"/>
              <w:left w:w="15" w:type="dxa"/>
              <w:bottom w:w="0" w:type="dxa"/>
              <w:right w:w="15" w:type="dxa"/>
            </w:tcMar>
            <w:vAlign w:val="center"/>
          </w:tcPr>
          <w:p w14:paraId="0A6CDC89">
            <w:pPr>
              <w:adjustRightInd w:val="0"/>
              <w:snapToGrid w:val="0"/>
              <w:jc w:val="center"/>
              <w:rPr>
                <w:kern w:val="0"/>
                <w:szCs w:val="21"/>
              </w:rPr>
            </w:pPr>
            <w:r>
              <w:rPr>
                <w:kern w:val="0"/>
                <w:szCs w:val="21"/>
              </w:rPr>
              <w:t>10.8</w:t>
            </w:r>
          </w:p>
        </w:tc>
        <w:tc>
          <w:tcPr>
            <w:tcW w:w="421" w:type="pct"/>
            <w:shd w:val="clear" w:color="auto" w:fill="auto"/>
            <w:noWrap/>
            <w:tcMar>
              <w:top w:w="15" w:type="dxa"/>
              <w:left w:w="15" w:type="dxa"/>
              <w:bottom w:w="0" w:type="dxa"/>
              <w:right w:w="15" w:type="dxa"/>
            </w:tcMar>
            <w:vAlign w:val="center"/>
          </w:tcPr>
          <w:p w14:paraId="031EB132">
            <w:pPr>
              <w:adjustRightInd w:val="0"/>
              <w:snapToGrid w:val="0"/>
              <w:jc w:val="center"/>
              <w:rPr>
                <w:kern w:val="0"/>
                <w:szCs w:val="21"/>
              </w:rPr>
            </w:pPr>
            <w:r>
              <w:rPr>
                <w:kern w:val="0"/>
                <w:szCs w:val="21"/>
              </w:rPr>
              <w:t>36.2</w:t>
            </w:r>
          </w:p>
        </w:tc>
        <w:tc>
          <w:tcPr>
            <w:tcW w:w="420" w:type="pct"/>
            <w:shd w:val="clear" w:color="auto" w:fill="auto"/>
            <w:noWrap/>
            <w:tcMar>
              <w:top w:w="15" w:type="dxa"/>
              <w:left w:w="15" w:type="dxa"/>
              <w:bottom w:w="0" w:type="dxa"/>
              <w:right w:w="15" w:type="dxa"/>
            </w:tcMar>
            <w:vAlign w:val="center"/>
          </w:tcPr>
          <w:p w14:paraId="4A34443F">
            <w:pPr>
              <w:adjustRightInd w:val="0"/>
              <w:snapToGrid w:val="0"/>
              <w:jc w:val="center"/>
              <w:rPr>
                <w:kern w:val="0"/>
                <w:szCs w:val="21"/>
              </w:rPr>
            </w:pPr>
            <w:r>
              <w:rPr>
                <w:kern w:val="0"/>
                <w:szCs w:val="21"/>
              </w:rPr>
              <w:t>129.0</w:t>
            </w:r>
          </w:p>
        </w:tc>
      </w:tr>
      <w:tr w14:paraId="3118CB3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61" w:type="pct"/>
            <w:shd w:val="clear" w:color="auto" w:fill="auto"/>
            <w:noWrap/>
            <w:tcMar>
              <w:top w:w="15" w:type="dxa"/>
              <w:left w:w="15" w:type="dxa"/>
              <w:bottom w:w="0" w:type="dxa"/>
              <w:right w:w="15" w:type="dxa"/>
            </w:tcMar>
            <w:vAlign w:val="center"/>
          </w:tcPr>
          <w:p w14:paraId="0631DBEC">
            <w:pPr>
              <w:adjustRightInd w:val="0"/>
              <w:snapToGrid w:val="0"/>
              <w:jc w:val="center"/>
              <w:rPr>
                <w:kern w:val="0"/>
                <w:szCs w:val="21"/>
              </w:rPr>
            </w:pPr>
            <w:r>
              <w:rPr>
                <w:kern w:val="0"/>
                <w:szCs w:val="21"/>
              </w:rPr>
              <w:t>15</w:t>
            </w:r>
          </w:p>
        </w:tc>
        <w:tc>
          <w:tcPr>
            <w:tcW w:w="974" w:type="pct"/>
            <w:shd w:val="clear" w:color="auto" w:fill="auto"/>
            <w:noWrap/>
            <w:tcMar>
              <w:top w:w="15" w:type="dxa"/>
              <w:left w:w="15" w:type="dxa"/>
              <w:bottom w:w="0" w:type="dxa"/>
              <w:right w:w="15" w:type="dxa"/>
            </w:tcMar>
            <w:vAlign w:val="center"/>
          </w:tcPr>
          <w:p w14:paraId="2478BB84">
            <w:pPr>
              <w:adjustRightInd w:val="0"/>
              <w:snapToGrid w:val="0"/>
              <w:jc w:val="center"/>
              <w:rPr>
                <w:kern w:val="0"/>
                <w:szCs w:val="21"/>
              </w:rPr>
            </w:pPr>
            <w:r>
              <w:rPr>
                <w:kern w:val="0"/>
                <w:szCs w:val="21"/>
              </w:rPr>
              <w:t>80</w:t>
            </w:r>
          </w:p>
        </w:tc>
        <w:tc>
          <w:tcPr>
            <w:tcW w:w="420" w:type="pct"/>
            <w:shd w:val="clear" w:color="auto" w:fill="auto"/>
            <w:noWrap/>
            <w:tcMar>
              <w:top w:w="15" w:type="dxa"/>
              <w:left w:w="15" w:type="dxa"/>
              <w:bottom w:w="0" w:type="dxa"/>
              <w:right w:w="15" w:type="dxa"/>
            </w:tcMar>
            <w:vAlign w:val="center"/>
          </w:tcPr>
          <w:p w14:paraId="7B8D09F0">
            <w:pPr>
              <w:adjustRightInd w:val="0"/>
              <w:snapToGrid w:val="0"/>
              <w:jc w:val="center"/>
              <w:rPr>
                <w:kern w:val="0"/>
                <w:szCs w:val="21"/>
              </w:rPr>
            </w:pPr>
            <w:r>
              <w:rPr>
                <w:kern w:val="0"/>
                <w:szCs w:val="21"/>
              </w:rPr>
              <w:t>0.1</w:t>
            </w:r>
          </w:p>
        </w:tc>
        <w:tc>
          <w:tcPr>
            <w:tcW w:w="421" w:type="pct"/>
            <w:shd w:val="clear" w:color="auto" w:fill="auto"/>
            <w:noWrap/>
            <w:tcMar>
              <w:top w:w="15" w:type="dxa"/>
              <w:left w:w="15" w:type="dxa"/>
              <w:bottom w:w="0" w:type="dxa"/>
              <w:right w:w="15" w:type="dxa"/>
            </w:tcMar>
            <w:vAlign w:val="center"/>
          </w:tcPr>
          <w:p w14:paraId="7FFD1BB0">
            <w:pPr>
              <w:adjustRightInd w:val="0"/>
              <w:snapToGrid w:val="0"/>
              <w:jc w:val="center"/>
              <w:rPr>
                <w:kern w:val="0"/>
                <w:szCs w:val="21"/>
              </w:rPr>
            </w:pPr>
            <w:r>
              <w:rPr>
                <w:kern w:val="0"/>
                <w:szCs w:val="21"/>
              </w:rPr>
              <w:t>0.3</w:t>
            </w:r>
          </w:p>
        </w:tc>
        <w:tc>
          <w:tcPr>
            <w:tcW w:w="421" w:type="pct"/>
            <w:shd w:val="clear" w:color="auto" w:fill="auto"/>
            <w:noWrap/>
            <w:tcMar>
              <w:top w:w="15" w:type="dxa"/>
              <w:left w:w="15" w:type="dxa"/>
              <w:bottom w:w="0" w:type="dxa"/>
              <w:right w:w="15" w:type="dxa"/>
            </w:tcMar>
            <w:vAlign w:val="center"/>
          </w:tcPr>
          <w:p w14:paraId="722B2B21">
            <w:pPr>
              <w:adjustRightInd w:val="0"/>
              <w:snapToGrid w:val="0"/>
              <w:jc w:val="center"/>
              <w:rPr>
                <w:kern w:val="0"/>
                <w:szCs w:val="21"/>
              </w:rPr>
            </w:pPr>
            <w:r>
              <w:rPr>
                <w:kern w:val="0"/>
                <w:szCs w:val="21"/>
              </w:rPr>
              <w:t>1.1</w:t>
            </w:r>
          </w:p>
        </w:tc>
        <w:tc>
          <w:tcPr>
            <w:tcW w:w="421" w:type="pct"/>
            <w:shd w:val="clear" w:color="auto" w:fill="auto"/>
            <w:noWrap/>
            <w:tcMar>
              <w:top w:w="15" w:type="dxa"/>
              <w:left w:w="15" w:type="dxa"/>
              <w:bottom w:w="0" w:type="dxa"/>
              <w:right w:w="15" w:type="dxa"/>
            </w:tcMar>
            <w:vAlign w:val="center"/>
          </w:tcPr>
          <w:p w14:paraId="09799ECD">
            <w:pPr>
              <w:adjustRightInd w:val="0"/>
              <w:snapToGrid w:val="0"/>
              <w:jc w:val="center"/>
              <w:rPr>
                <w:kern w:val="0"/>
                <w:szCs w:val="21"/>
              </w:rPr>
            </w:pPr>
            <w:r>
              <w:rPr>
                <w:kern w:val="0"/>
                <w:szCs w:val="21"/>
              </w:rPr>
              <w:t>2.4</w:t>
            </w:r>
          </w:p>
        </w:tc>
        <w:tc>
          <w:tcPr>
            <w:tcW w:w="421" w:type="pct"/>
            <w:shd w:val="clear" w:color="auto" w:fill="auto"/>
            <w:noWrap/>
            <w:tcMar>
              <w:top w:w="15" w:type="dxa"/>
              <w:left w:w="15" w:type="dxa"/>
              <w:bottom w:w="0" w:type="dxa"/>
              <w:right w:w="15" w:type="dxa"/>
            </w:tcMar>
            <w:vAlign w:val="center"/>
          </w:tcPr>
          <w:p w14:paraId="4A75D796">
            <w:pPr>
              <w:adjustRightInd w:val="0"/>
              <w:snapToGrid w:val="0"/>
              <w:jc w:val="center"/>
              <w:rPr>
                <w:kern w:val="0"/>
                <w:szCs w:val="21"/>
              </w:rPr>
            </w:pPr>
            <w:r>
              <w:rPr>
                <w:kern w:val="0"/>
                <w:szCs w:val="21"/>
              </w:rPr>
              <w:t>4.1</w:t>
            </w:r>
          </w:p>
        </w:tc>
        <w:tc>
          <w:tcPr>
            <w:tcW w:w="421" w:type="pct"/>
            <w:shd w:val="clear" w:color="auto" w:fill="auto"/>
            <w:noWrap/>
            <w:tcMar>
              <w:top w:w="15" w:type="dxa"/>
              <w:left w:w="15" w:type="dxa"/>
              <w:bottom w:w="0" w:type="dxa"/>
              <w:right w:w="15" w:type="dxa"/>
            </w:tcMar>
            <w:vAlign w:val="center"/>
          </w:tcPr>
          <w:p w14:paraId="720862FA">
            <w:pPr>
              <w:adjustRightInd w:val="0"/>
              <w:snapToGrid w:val="0"/>
              <w:jc w:val="center"/>
              <w:rPr>
                <w:kern w:val="0"/>
                <w:szCs w:val="21"/>
              </w:rPr>
            </w:pPr>
            <w:r>
              <w:rPr>
                <w:kern w:val="0"/>
                <w:szCs w:val="21"/>
              </w:rPr>
              <w:t>8.3</w:t>
            </w:r>
          </w:p>
        </w:tc>
        <w:tc>
          <w:tcPr>
            <w:tcW w:w="421" w:type="pct"/>
            <w:shd w:val="clear" w:color="auto" w:fill="auto"/>
            <w:noWrap/>
            <w:tcMar>
              <w:top w:w="15" w:type="dxa"/>
              <w:left w:w="15" w:type="dxa"/>
              <w:bottom w:w="0" w:type="dxa"/>
              <w:right w:w="15" w:type="dxa"/>
            </w:tcMar>
            <w:vAlign w:val="center"/>
          </w:tcPr>
          <w:p w14:paraId="432536AF">
            <w:pPr>
              <w:adjustRightInd w:val="0"/>
              <w:snapToGrid w:val="0"/>
              <w:jc w:val="center"/>
              <w:rPr>
                <w:kern w:val="0"/>
                <w:szCs w:val="21"/>
              </w:rPr>
            </w:pPr>
            <w:r>
              <w:rPr>
                <w:kern w:val="0"/>
                <w:szCs w:val="21"/>
              </w:rPr>
              <w:t>23.7</w:t>
            </w:r>
          </w:p>
        </w:tc>
        <w:tc>
          <w:tcPr>
            <w:tcW w:w="420" w:type="pct"/>
            <w:shd w:val="clear" w:color="auto" w:fill="auto"/>
            <w:noWrap/>
            <w:tcMar>
              <w:top w:w="15" w:type="dxa"/>
              <w:left w:w="15" w:type="dxa"/>
              <w:bottom w:w="0" w:type="dxa"/>
              <w:right w:w="15" w:type="dxa"/>
            </w:tcMar>
            <w:vAlign w:val="center"/>
          </w:tcPr>
          <w:p w14:paraId="09B2730C">
            <w:pPr>
              <w:adjustRightInd w:val="0"/>
              <w:snapToGrid w:val="0"/>
              <w:jc w:val="center"/>
              <w:rPr>
                <w:kern w:val="0"/>
                <w:szCs w:val="21"/>
              </w:rPr>
            </w:pPr>
            <w:r>
              <w:rPr>
                <w:kern w:val="0"/>
                <w:szCs w:val="21"/>
              </w:rPr>
              <w:t>82.8</w:t>
            </w:r>
          </w:p>
        </w:tc>
      </w:tr>
    </w:tbl>
    <w:p w14:paraId="00F055BF">
      <w:pPr>
        <w:spacing w:line="360" w:lineRule="auto"/>
        <w:ind w:firstLine="482" w:firstLineChars="200"/>
        <w:rPr>
          <w:b/>
          <w:bCs/>
          <w:sz w:val="24"/>
          <w:lang w:bidi="ar"/>
        </w:rPr>
      </w:pPr>
      <w:r>
        <w:rPr>
          <w:rFonts w:hint="eastAsia"/>
          <w:b/>
          <w:bCs/>
          <w:sz w:val="24"/>
          <w:lang w:bidi="ar"/>
        </w:rPr>
        <w:t>③</w:t>
      </w:r>
      <w:r>
        <w:rPr>
          <w:b/>
          <w:bCs/>
          <w:sz w:val="24"/>
          <w:lang w:bidi="ar"/>
        </w:rPr>
        <w:t>地面效应衰减量</w:t>
      </w:r>
      <w:r>
        <w:rPr>
          <w:rFonts w:hint="eastAsia"/>
          <w:b/>
          <w:bCs/>
          <w:sz w:val="24"/>
          <w:lang w:bidi="ar"/>
        </w:rPr>
        <w:t>（</w:t>
      </w:r>
      <w:bookmarkStart w:id="148" w:name="_Hlk117699423"/>
      <w:r>
        <w:rPr>
          <w:rFonts w:hint="eastAsia"/>
          <w:b/>
          <w:bCs/>
          <w:sz w:val="24"/>
          <w:lang w:bidi="ar"/>
        </w:rPr>
        <w:t>A</w:t>
      </w:r>
      <w:r>
        <w:rPr>
          <w:b/>
          <w:bCs/>
          <w:sz w:val="24"/>
          <w:vertAlign w:val="subscript"/>
          <w:lang w:bidi="ar"/>
        </w:rPr>
        <w:t>gr</w:t>
      </w:r>
      <w:bookmarkEnd w:id="148"/>
      <w:r>
        <w:rPr>
          <w:rFonts w:hint="eastAsia"/>
          <w:b/>
          <w:bCs/>
          <w:sz w:val="24"/>
          <w:lang w:bidi="ar"/>
        </w:rPr>
        <w:t>）</w:t>
      </w:r>
    </w:p>
    <w:p w14:paraId="732F6A0F">
      <w:pPr>
        <w:spacing w:line="360" w:lineRule="auto"/>
        <w:ind w:firstLine="480" w:firstLineChars="200"/>
        <w:rPr>
          <w:sz w:val="24"/>
        </w:rPr>
      </w:pPr>
      <w:r>
        <w:rPr>
          <w:sz w:val="24"/>
          <w:lang w:bidi="ar"/>
        </w:rPr>
        <w:t>地面类型分为：</w:t>
      </w:r>
    </w:p>
    <w:p w14:paraId="402165CB">
      <w:pPr>
        <w:spacing w:line="360" w:lineRule="auto"/>
        <w:ind w:firstLine="480" w:firstLineChars="200"/>
        <w:rPr>
          <w:sz w:val="24"/>
        </w:rPr>
      </w:pPr>
      <w:r>
        <w:rPr>
          <w:rFonts w:hint="eastAsia" w:ascii="宋体" w:hAnsi="宋体" w:cs="宋体"/>
          <w:sz w:val="24"/>
          <w:lang w:bidi="ar"/>
        </w:rPr>
        <w:t>a、</w:t>
      </w:r>
      <w:r>
        <w:rPr>
          <w:sz w:val="24"/>
          <w:lang w:bidi="ar"/>
        </w:rPr>
        <w:t>坚实地面，包括铺筑过的路面、水面、冰面以及夯实地面。</w:t>
      </w:r>
    </w:p>
    <w:p w14:paraId="55DED6FC">
      <w:pPr>
        <w:spacing w:line="360" w:lineRule="auto"/>
        <w:ind w:firstLine="480" w:firstLineChars="200"/>
        <w:rPr>
          <w:sz w:val="24"/>
        </w:rPr>
      </w:pPr>
      <w:r>
        <w:rPr>
          <w:rFonts w:ascii="宋体" w:hAnsi="宋体" w:cs="宋体"/>
          <w:sz w:val="24"/>
          <w:lang w:bidi="ar"/>
        </w:rPr>
        <w:t>b</w:t>
      </w:r>
      <w:r>
        <w:rPr>
          <w:rFonts w:hint="eastAsia" w:ascii="宋体" w:hAnsi="宋体" w:cs="宋体"/>
          <w:sz w:val="24"/>
          <w:lang w:bidi="ar"/>
        </w:rPr>
        <w:t>、</w:t>
      </w:r>
      <w:r>
        <w:rPr>
          <w:sz w:val="24"/>
          <w:lang w:bidi="ar"/>
        </w:rPr>
        <w:t>疏松地面，包括被草或其他植被覆盖的地面，以及农田等适合于植物生长的地面。</w:t>
      </w:r>
    </w:p>
    <w:p w14:paraId="1B65A7CE">
      <w:pPr>
        <w:spacing w:line="360" w:lineRule="auto"/>
        <w:ind w:firstLine="480" w:firstLineChars="200"/>
        <w:rPr>
          <w:sz w:val="24"/>
        </w:rPr>
      </w:pPr>
      <w:r>
        <w:rPr>
          <w:rFonts w:ascii="宋体" w:hAnsi="宋体" w:cs="宋体"/>
          <w:sz w:val="24"/>
          <w:lang w:bidi="ar"/>
        </w:rPr>
        <w:t>c</w:t>
      </w:r>
      <w:r>
        <w:rPr>
          <w:rFonts w:hint="eastAsia" w:ascii="宋体" w:hAnsi="宋体" w:cs="宋体"/>
          <w:sz w:val="24"/>
          <w:lang w:bidi="ar"/>
        </w:rPr>
        <w:t>、</w:t>
      </w:r>
      <w:r>
        <w:rPr>
          <w:sz w:val="24"/>
          <w:lang w:bidi="ar"/>
        </w:rPr>
        <w:t>混合地面，由坚实地面和疏松地面组成。</w:t>
      </w:r>
    </w:p>
    <w:p w14:paraId="2CEC82A7">
      <w:pPr>
        <w:spacing w:line="360" w:lineRule="auto"/>
        <w:ind w:firstLine="480" w:firstLineChars="200"/>
        <w:rPr>
          <w:sz w:val="24"/>
        </w:rPr>
      </w:pPr>
      <w:r>
        <w:rPr>
          <w:sz w:val="24"/>
          <w:lang w:bidi="ar"/>
        </w:rPr>
        <w:t>声波越过疏松地面传播时，或大部分为疏松地面的混合地面，在预测点仅计算A声级前提下，地面效应引起的倍频带衰减用下式计算。</w:t>
      </w:r>
    </w:p>
    <w:p w14:paraId="3801828B">
      <w:pPr>
        <w:jc w:val="center"/>
        <w:rPr>
          <w:sz w:val="24"/>
        </w:rPr>
      </w:pPr>
      <w:r>
        <w:rPr>
          <w:sz w:val="24"/>
          <w:lang w:bidi="ar"/>
        </w:rPr>
        <w:drawing>
          <wp:inline distT="0" distB="0" distL="0" distR="0">
            <wp:extent cx="2026920" cy="457200"/>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2026920" cy="457200"/>
                    </a:xfrm>
                    <a:prstGeom prst="rect">
                      <a:avLst/>
                    </a:prstGeom>
                    <a:noFill/>
                    <a:ln>
                      <a:noFill/>
                    </a:ln>
                    <a:effectLst/>
                  </pic:spPr>
                </pic:pic>
              </a:graphicData>
            </a:graphic>
          </wp:inline>
        </w:drawing>
      </w:r>
    </w:p>
    <w:p w14:paraId="0C38C48F">
      <w:pPr>
        <w:spacing w:line="360" w:lineRule="auto"/>
        <w:ind w:firstLine="480" w:firstLineChars="200"/>
        <w:rPr>
          <w:sz w:val="24"/>
        </w:rPr>
      </w:pPr>
      <w:r>
        <w:rPr>
          <w:sz w:val="24"/>
          <w:lang w:bidi="ar"/>
        </w:rPr>
        <w:t>式中：</w:t>
      </w:r>
    </w:p>
    <w:p w14:paraId="18B51BE4">
      <w:pPr>
        <w:spacing w:line="360" w:lineRule="auto"/>
        <w:ind w:firstLine="480" w:firstLineChars="200"/>
        <w:rPr>
          <w:sz w:val="24"/>
        </w:rPr>
      </w:pPr>
      <w:r>
        <w:rPr>
          <w:sz w:val="24"/>
          <w:lang w:bidi="ar"/>
        </w:rPr>
        <w:t>R——声源到预测点的距离，m；</w:t>
      </w:r>
    </w:p>
    <w:p w14:paraId="3DE49FB6">
      <w:pPr>
        <w:spacing w:line="360" w:lineRule="auto"/>
        <w:ind w:firstLine="480" w:firstLineChars="200"/>
        <w:rPr>
          <w:sz w:val="24"/>
        </w:rPr>
      </w:pPr>
      <w:r>
        <w:rPr>
          <w:sz w:val="24"/>
          <w:lang w:bidi="ar"/>
        </w:rPr>
        <w:t>h</w:t>
      </w:r>
      <w:r>
        <w:rPr>
          <w:sz w:val="24"/>
          <w:vertAlign w:val="subscript"/>
          <w:lang w:bidi="ar"/>
        </w:rPr>
        <w:t>m</w:t>
      </w:r>
      <w:r>
        <w:rPr>
          <w:sz w:val="24"/>
          <w:lang w:bidi="ar"/>
        </w:rPr>
        <w:t>——传播路径的平均离地高度，m；</w:t>
      </w:r>
    </w:p>
    <w:p w14:paraId="64442089">
      <w:pPr>
        <w:spacing w:line="360" w:lineRule="auto"/>
        <w:ind w:firstLine="480" w:firstLineChars="200"/>
        <w:rPr>
          <w:sz w:val="24"/>
        </w:rPr>
      </w:pPr>
      <w:r>
        <w:rPr>
          <w:sz w:val="24"/>
          <w:lang w:bidi="ar"/>
        </w:rPr>
        <w:t>按</w:t>
      </w:r>
      <w:r>
        <w:rPr>
          <w:rFonts w:hint="eastAsia"/>
          <w:sz w:val="24"/>
          <w:lang w:bidi="ar"/>
        </w:rPr>
        <w:t>下图</w:t>
      </w:r>
      <w:r>
        <w:rPr>
          <w:sz w:val="24"/>
          <w:lang w:bidi="ar"/>
        </w:rPr>
        <w:t>进行计算；h</w:t>
      </w:r>
      <w:r>
        <w:rPr>
          <w:sz w:val="24"/>
          <w:vertAlign w:val="subscript"/>
          <w:lang w:bidi="ar"/>
        </w:rPr>
        <w:t>m</w:t>
      </w:r>
      <w:r>
        <w:rPr>
          <w:sz w:val="24"/>
          <w:lang w:bidi="ar"/>
        </w:rPr>
        <w:t>=F/r；F：面积，m</w:t>
      </w:r>
      <w:r>
        <w:rPr>
          <w:sz w:val="24"/>
          <w:vertAlign w:val="superscript"/>
          <w:lang w:bidi="ar"/>
        </w:rPr>
        <w:t>2</w:t>
      </w:r>
      <w:r>
        <w:rPr>
          <w:sz w:val="24"/>
          <w:lang w:bidi="ar"/>
        </w:rPr>
        <w:t>；r，m；</w:t>
      </w:r>
    </w:p>
    <w:p w14:paraId="1E701534">
      <w:pPr>
        <w:spacing w:line="360" w:lineRule="auto"/>
        <w:ind w:firstLine="480" w:firstLineChars="200"/>
        <w:rPr>
          <w:sz w:val="24"/>
        </w:rPr>
      </w:pPr>
      <w:r>
        <w:rPr>
          <w:sz w:val="24"/>
          <w:lang w:bidi="ar"/>
        </w:rPr>
        <w:t>若</w:t>
      </w:r>
      <w:r>
        <w:rPr>
          <w:sz w:val="24"/>
          <w:lang w:bidi="ar"/>
        </w:rPr>
        <w:drawing>
          <wp:inline distT="0" distB="0" distL="0" distR="0">
            <wp:extent cx="313690" cy="211455"/>
            <wp:effectExtent l="0" t="0" r="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313690" cy="211455"/>
                    </a:xfrm>
                    <a:prstGeom prst="rect">
                      <a:avLst/>
                    </a:prstGeom>
                    <a:noFill/>
                    <a:ln>
                      <a:noFill/>
                    </a:ln>
                    <a:effectLst/>
                  </pic:spPr>
                </pic:pic>
              </a:graphicData>
            </a:graphic>
          </wp:inline>
        </w:drawing>
      </w:r>
      <w:r>
        <w:rPr>
          <w:sz w:val="24"/>
          <w:lang w:bidi="ar"/>
        </w:rPr>
        <w:t>计算出负值，则</w:t>
      </w:r>
      <w:r>
        <w:rPr>
          <w:sz w:val="24"/>
          <w:lang w:bidi="ar"/>
        </w:rPr>
        <w:drawing>
          <wp:inline distT="0" distB="0" distL="0" distR="0">
            <wp:extent cx="293370" cy="198120"/>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293370" cy="198120"/>
                    </a:xfrm>
                    <a:prstGeom prst="rect">
                      <a:avLst/>
                    </a:prstGeom>
                    <a:noFill/>
                    <a:ln>
                      <a:noFill/>
                    </a:ln>
                    <a:effectLst/>
                  </pic:spPr>
                </pic:pic>
              </a:graphicData>
            </a:graphic>
          </wp:inline>
        </w:drawing>
      </w:r>
      <w:r>
        <w:rPr>
          <w:sz w:val="24"/>
          <w:lang w:bidi="ar"/>
        </w:rPr>
        <w:t>用“0”代替。</w:t>
      </w:r>
    </w:p>
    <w:p w14:paraId="7613396E">
      <w:pPr>
        <w:spacing w:line="360" w:lineRule="auto"/>
        <w:ind w:firstLine="480" w:firstLineChars="200"/>
        <w:rPr>
          <w:sz w:val="24"/>
        </w:rPr>
      </w:pPr>
      <w:r>
        <w:rPr>
          <w:sz w:val="24"/>
          <w:lang w:bidi="ar"/>
        </w:rPr>
        <w:t>其他情况参照GB/T17247.2进行计算。</w:t>
      </w:r>
    </w:p>
    <w:p w14:paraId="12B41F7A">
      <w:pPr>
        <w:widowControl/>
        <w:jc w:val="center"/>
        <w:rPr>
          <w:kern w:val="0"/>
          <w:sz w:val="24"/>
        </w:rPr>
      </w:pPr>
      <w:r>
        <w:rPr>
          <w:kern w:val="0"/>
          <w:sz w:val="24"/>
          <w:lang w:bidi="ar"/>
        </w:rPr>
        <w:fldChar w:fldCharType="begin"/>
      </w:r>
      <w:r>
        <w:instrText xml:space="preserve"> INCLUDEPICTURE "C:\\Documents%25252520and%25252520Settings\\Administrator\\Application%25252520Data\\Tencent\\Users\\282169695\\QQ\\WinTemp\\RichOle\\M_V)S~%25252525%2525257d%25252525_H%25252560%25252525Z%25252525M@Y153IY.jpg" \* MERGEFORMAT </w:instrText>
      </w:r>
      <w:r>
        <w:rPr>
          <w:kern w:val="0"/>
          <w:sz w:val="24"/>
          <w:lang w:bidi="ar"/>
        </w:rPr>
        <w:fldChar w:fldCharType="separate"/>
      </w:r>
      <w:r>
        <w:rPr>
          <w:kern w:val="0"/>
          <w:sz w:val="24"/>
          <w:lang w:bidi="ar"/>
        </w:rPr>
        <w:fldChar w:fldCharType="begin"/>
      </w:r>
      <w:r>
        <w:rPr>
          <w:kern w:val="0"/>
          <w:sz w:val="24"/>
          <w:lang w:bidi="ar"/>
        </w:rPr>
        <w:instrText xml:space="preserve"> INCLUDEPICTURE  "C:\\Documents%25252520and%25252520Settings\\Administrator\\Application%25252520Data\\Tencent\\Users\\282169695\\QQ\\WinTemp\\RichOle\\M_V)S~%25252525%2525257d%25252525_H%25252560%25252525Z%25252525M@Y153IY.jpg" \* MERGEFORMATINET </w:instrText>
      </w:r>
      <w:r>
        <w:rPr>
          <w:kern w:val="0"/>
          <w:sz w:val="24"/>
          <w:lang w:bidi="ar"/>
        </w:rPr>
        <w:fldChar w:fldCharType="separate"/>
      </w:r>
      <w:r>
        <w:rPr>
          <w:kern w:val="0"/>
          <w:sz w:val="24"/>
          <w:lang w:bidi="ar"/>
        </w:rPr>
        <w:fldChar w:fldCharType="begin"/>
      </w:r>
      <w:r>
        <w:rPr>
          <w:kern w:val="0"/>
          <w:sz w:val="24"/>
          <w:lang w:bidi="ar"/>
        </w:rPr>
        <w:instrText xml:space="preserve"> INCLUDEPICTURE  "C:\\Documents%25252520and%25252520Settings\\Administrator\\Application%25252520Data\\Tencent\\Users\\282169695\\QQ\\WinTemp\\RichOle\\M_V)S~%25252525%2525257d%25252525_H%25252560%25252525Z%25252525M@Y153IY.jpg" \* MERGEFORMATINET </w:instrText>
      </w:r>
      <w:r>
        <w:rPr>
          <w:kern w:val="0"/>
          <w:sz w:val="24"/>
          <w:lang w:bidi="ar"/>
        </w:rPr>
        <w:fldChar w:fldCharType="separate"/>
      </w:r>
      <w:r>
        <w:rPr>
          <w:kern w:val="0"/>
          <w:sz w:val="24"/>
          <w:lang w:bidi="ar"/>
        </w:rPr>
        <w:fldChar w:fldCharType="begin"/>
      </w:r>
      <w:r>
        <w:rPr>
          <w:kern w:val="0"/>
          <w:sz w:val="24"/>
          <w:lang w:bidi="ar"/>
        </w:rPr>
        <w:instrText xml:space="preserve"> INCLUDEPICTURE  "C:\\Documents%25252520and%25252520Settings\\Administrator\\Application%25252520Data\\Tencent\\Users\\282169695\\QQ\\WinTemp\\RichOle\\M_V)S~%25252525%2525257d%25252525_H%25252560%25252525Z%25252525M@Y153IY.jpg" \* MERGEFORMATINET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INCLUDEPICTURE  "C:\\Documents%25252520and%25252520Settings\\Administrator\\Application%25252520Data\\Tencent\\Users\\282169695\\QQ\\WinTemp\\RichOle\\M_V)S~%25252525%2525257d%25252525_H%25252560%25252525Z%25252525M@Y153IY.jpg" \* MERGEFORMATINET </w:instrText>
      </w:r>
      <w:r>
        <w:rPr>
          <w:kern w:val="0"/>
          <w:sz w:val="24"/>
          <w:lang w:bidi="ar"/>
        </w:rPr>
        <w:fldChar w:fldCharType="separate"/>
      </w:r>
      <w:r>
        <w:rPr>
          <w:kern w:val="0"/>
          <w:sz w:val="24"/>
          <w:lang w:bidi="ar"/>
        </w:rPr>
        <w:fldChar w:fldCharType="begin"/>
      </w:r>
      <w:r>
        <w:rPr>
          <w:kern w:val="0"/>
          <w:sz w:val="24"/>
          <w:lang w:bidi="ar"/>
        </w:rPr>
        <w:instrText xml:space="preserve"> INCLUDEPICTURE  "C:\\Documents%25252520and%25252520Settings\\Administrator\\Application%25252520Data\\Tencent\\Users\\282169695\\QQ\\WinTemp\\RichOle\\M_V)S~%25252525%2525257d%25252525_H%25252560%25252525Z%25252525M@Y153IY.jpg" \* MERGEFORMATINET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"D:\\1--桌面文件\\社溪路-申报\\第二次申报\\我的文档\\WeChat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"D:\\1--桌面文件\\社溪路-申报\\第二次申报\\我的文档\\WeChat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"D:\\1--桌面文件\\社溪路-申报\\我的文档\\WeChat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"E:\\hsien\\咨询部\\项目网报\\体育大道\\我的文档\\WeChat Files\\wxid_3l0sv4lkd72c22\\我的文档\\Documents%25252520and%25252520Settings\\Administrator\\Application%25252520Data\\Tencent\\Users\\282169695\\QQ\\WinTemp\\RichOle\\M_V)S~%25252525%2525257d%25252525_H%25252560%25252525Z%25252525M@Y153IY.jpg"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C:\\Users\\Administrator\\Desktop\\体育大道\\我的文档\\WeChat%25252520Files\\wxid_3l0sv4lkd72c22\\我的文档\\Documents%2525252525252520and%2525252525252520Settings\\Administrator\\Application%2525252525252520Data\\Tencent\\Users\\282169695\\QQ\\WinTemp\\RichOle\\M_V)S~%2525252525252525%252525252525257d%2525252525252525_H%2525252525252560%2525252525252525Z%2525252525252525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M_V)S~%2525252525252525252525252525252525%252525252525252525252525252525257d%2525252525252525252525252525252525_H%2525252525252525252525252525252560%2525252525252525252525252525252525Z%2525252525252525252525252525252525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M_V)S~%2525252525252525252525252525252525%252525252525252525252525252525257d%2525252525252525252525252525252525_H%2525252525252525252525252525252560%2525252525252525252525252525252525Z%2525252525252525252525252525252525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M_V)S~%2525252525252525252525252525252525%252525252525252525252525252525257d%2525252525252525252525252525252525_H%2525252525252525252525252525252560%2525252525252525252525252525252525Z%2525252525252525252525252525252525M@Y153IY.jpg" \* MERGEFORMATINET</w:instrText>
      </w:r>
      <w:r>
        <w:rPr>
          <w:kern w:val="0"/>
          <w:sz w:val="24"/>
          <w:lang w:bidi="ar"/>
        </w:rPr>
        <w:instrText xml:space="preserve"> </w:instrText>
      </w:r>
      <w:r>
        <w:rPr>
          <w:kern w:val="0"/>
          <w:sz w:val="24"/>
          <w:lang w:bidi="ar"/>
        </w:rPr>
        <w:fldChar w:fldCharType="separate"/>
      </w:r>
      <w:r>
        <w:rPr>
          <w:kern w:val="0"/>
          <w:sz w:val="24"/>
          <w:lang w:bidi="ar"/>
        </w:rPr>
        <w:fldChar w:fldCharType="begin"/>
      </w:r>
      <w:r>
        <w:rPr>
          <w:kern w:val="0"/>
          <w:sz w:val="24"/>
          <w:lang w:bidi="ar"/>
        </w:rPr>
        <w:instrText xml:space="preserve"> </w:instrText>
      </w:r>
      <w:r>
        <w:rPr>
          <w:rFonts w:hint="eastAsia"/>
          <w:kern w:val="0"/>
          <w:sz w:val="24"/>
          <w:lang w:bidi="ar"/>
        </w:rPr>
        <w:instrText xml:space="preserve">INCLUDEPICTURE  "E:\\hsien\\咨询部\\项目网报\\体育大道\\我的文档\\WeChat%25252525252525252525252520Files\\wxid_3l0sv4lkd72c22\\我的文档\\Documents%2525252525252525252525252525252520and%2525252525252525252525252525252520Settings\\Administrator\\Application%2525252525252525252525252525252520Data\\Tencent\\Users\\282169695\\QQ\\WinTemp\\RichOle\\M_V)S~%2525252525252525252525252525252525%252525252525252525252525252525257d%2525252525252525252525252525252525_H%2525252525252525252525252525252560%2525252525252525252525252525252525Z%2525252525252525252525252525252525M@Y153IY.jpg" \* MERGEFORMATINET</w:instrText>
      </w:r>
      <w:r>
        <w:rPr>
          <w:kern w:val="0"/>
          <w:sz w:val="24"/>
          <w:lang w:bidi="ar"/>
        </w:rPr>
        <w:instrText xml:space="preserve"> </w:instrText>
      </w:r>
      <w:r>
        <w:rPr>
          <w:kern w:val="0"/>
          <w:sz w:val="24"/>
          <w:lang w:bidi="ar"/>
        </w:rPr>
        <w:fldChar w:fldCharType="separate"/>
      </w:r>
      <w:r>
        <w:rPr>
          <w:kern w:val="0"/>
          <w:sz w:val="24"/>
          <w:lang w:bidi="ar"/>
        </w:rPr>
        <w:pict>
          <v:shape id="_x0000_i1027" o:spt="75" type="#_x0000_t75" style="height:194pt;width:411pt;" filled="f" o:preferrelative="t" stroked="f" coordsize="21600,21600">
            <v:path/>
            <v:fill on="f" focussize="0,0"/>
            <v:stroke on="f" joinstyle="miter"/>
            <v:imagedata r:id="rId44" r:href="rId45" o:title=""/>
            <o:lock v:ext="edit" aspectratio="t"/>
            <w10:wrap type="none"/>
            <w10:anchorlock/>
          </v:shape>
        </w:pict>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r>
        <w:rPr>
          <w:kern w:val="0"/>
          <w:sz w:val="24"/>
          <w:lang w:bidi="ar"/>
        </w:rPr>
        <w:fldChar w:fldCharType="end"/>
      </w:r>
    </w:p>
    <w:p w14:paraId="23C15DA7">
      <w:pPr>
        <w:spacing w:line="520" w:lineRule="exact"/>
        <w:jc w:val="center"/>
        <w:rPr>
          <w:b/>
          <w:szCs w:val="21"/>
        </w:rPr>
      </w:pPr>
      <w:r>
        <w:rPr>
          <w:b/>
          <w:szCs w:val="21"/>
          <w:lang w:bidi="ar"/>
        </w:rPr>
        <w:t>图4.2-3 估算平均高度h</w:t>
      </w:r>
      <w:r>
        <w:rPr>
          <w:b/>
          <w:szCs w:val="21"/>
          <w:vertAlign w:val="subscript"/>
          <w:lang w:bidi="ar"/>
        </w:rPr>
        <w:t>m</w:t>
      </w:r>
      <w:r>
        <w:rPr>
          <w:b/>
          <w:szCs w:val="21"/>
          <w:lang w:bidi="ar"/>
        </w:rPr>
        <w:t>的方法</w:t>
      </w:r>
    </w:p>
    <w:p w14:paraId="6D2434BA">
      <w:pPr>
        <w:spacing w:line="360" w:lineRule="auto"/>
        <w:ind w:firstLine="482" w:firstLineChars="200"/>
        <w:rPr>
          <w:b/>
          <w:bCs/>
          <w:sz w:val="24"/>
        </w:rPr>
      </w:pPr>
      <w:r>
        <w:rPr>
          <w:rFonts w:hint="eastAsia"/>
          <w:b/>
          <w:bCs/>
          <w:sz w:val="24"/>
          <w:lang w:bidi="ar"/>
        </w:rPr>
        <w:t>④</w:t>
      </w:r>
      <w:r>
        <w:rPr>
          <w:b/>
          <w:bCs/>
          <w:sz w:val="24"/>
          <w:lang w:bidi="ar"/>
        </w:rPr>
        <w:t>其他多方面原因引起的衰减（A</w:t>
      </w:r>
      <w:r>
        <w:rPr>
          <w:b/>
          <w:bCs/>
          <w:sz w:val="24"/>
          <w:vertAlign w:val="subscript"/>
          <w:lang w:bidi="ar"/>
        </w:rPr>
        <w:t>misc</w:t>
      </w:r>
      <w:r>
        <w:rPr>
          <w:b/>
          <w:bCs/>
          <w:sz w:val="24"/>
          <w:lang w:bidi="ar"/>
        </w:rPr>
        <w:t>）</w:t>
      </w:r>
    </w:p>
    <w:p w14:paraId="38ACF980">
      <w:pPr>
        <w:spacing w:line="360" w:lineRule="auto"/>
        <w:ind w:firstLine="480" w:firstLineChars="200"/>
        <w:rPr>
          <w:sz w:val="24"/>
          <w:lang w:bidi="ar"/>
        </w:rPr>
      </w:pPr>
      <w:r>
        <w:rPr>
          <w:sz w:val="24"/>
          <w:lang w:bidi="ar"/>
        </w:rPr>
        <w:t>其他衰减包括通过工业场所的衰减；通过房屋群的衰减等。本项目不考虑自然条件（如风、温度梯度、雾）变化引起的附加修正。</w:t>
      </w:r>
      <w:r>
        <w:rPr>
          <w:rFonts w:hint="eastAsia"/>
          <w:sz w:val="24"/>
          <w:lang w:bidi="ar"/>
        </w:rPr>
        <w:t>工业场所的衰减、房屋群的衰减等可参照《声学</w:t>
      </w:r>
      <w:r>
        <w:rPr>
          <w:sz w:val="24"/>
          <w:lang w:bidi="ar"/>
        </w:rPr>
        <w:t>户外声传播的衰减第2部分：</w:t>
      </w:r>
      <w:r>
        <w:rPr>
          <w:rFonts w:hint="eastAsia"/>
          <w:sz w:val="24"/>
          <w:lang w:bidi="ar"/>
        </w:rPr>
        <w:t>一般计算方法》（</w:t>
      </w:r>
      <w:r>
        <w:rPr>
          <w:sz w:val="24"/>
          <w:lang w:bidi="ar"/>
        </w:rPr>
        <w:t>GB/T 17247.2-1998）进行计算</w:t>
      </w:r>
      <w:r>
        <w:rPr>
          <w:rFonts w:hint="eastAsia"/>
          <w:sz w:val="24"/>
          <w:lang w:bidi="ar"/>
        </w:rPr>
        <w:t>。</w:t>
      </w:r>
    </w:p>
    <w:p w14:paraId="77B286E6">
      <w:pPr>
        <w:spacing w:line="360" w:lineRule="auto"/>
        <w:ind w:firstLine="482" w:firstLineChars="200"/>
        <w:rPr>
          <w:b/>
          <w:bCs/>
          <w:sz w:val="24"/>
          <w:lang w:bidi="ar"/>
        </w:rPr>
      </w:pPr>
      <w:r>
        <w:rPr>
          <w:rFonts w:hint="eastAsia"/>
          <w:b/>
          <w:bCs/>
          <w:sz w:val="24"/>
          <w:lang w:bidi="ar"/>
        </w:rPr>
        <w:t>绿化林带噪声衰减计算（</w:t>
      </w:r>
      <w:r>
        <w:rPr>
          <w:b/>
          <w:bCs/>
          <w:sz w:val="24"/>
          <w:lang w:bidi="ar"/>
        </w:rPr>
        <w:t>A</w:t>
      </w:r>
      <w:r>
        <w:rPr>
          <w:b/>
          <w:bCs/>
          <w:sz w:val="24"/>
          <w:vertAlign w:val="subscript"/>
          <w:lang w:bidi="ar"/>
        </w:rPr>
        <w:t>fol</w:t>
      </w:r>
      <w:r>
        <w:rPr>
          <w:b/>
          <w:bCs/>
          <w:sz w:val="24"/>
          <w:lang w:bidi="ar"/>
        </w:rPr>
        <w:t>）</w:t>
      </w:r>
    </w:p>
    <w:p w14:paraId="612EC8AC">
      <w:pPr>
        <w:spacing w:line="360" w:lineRule="auto"/>
        <w:ind w:firstLine="480" w:firstLineChars="200"/>
        <w:rPr>
          <w:sz w:val="24"/>
          <w:lang w:bidi="ar"/>
        </w:rPr>
      </w:pPr>
      <w:r>
        <w:rPr>
          <w:rFonts w:hint="eastAsia"/>
          <w:sz w:val="24"/>
          <w:lang w:bidi="ar"/>
        </w:rPr>
        <w:t>绿化林带的附加衰减与树种、林带结构和密度等因素有关。在声源附近的绿化林带，或在预测点附近的绿化林带，或两者均有的情况都可以使声波衰减，详见下图。</w:t>
      </w:r>
    </w:p>
    <w:p w14:paraId="34C9AF53">
      <w:pPr>
        <w:spacing w:line="360" w:lineRule="auto"/>
        <w:jc w:val="center"/>
        <w:rPr>
          <w:sz w:val="24"/>
          <w:lang w:bidi="ar"/>
        </w:rPr>
      </w:pPr>
      <w:r>
        <w:rPr>
          <w:sz w:val="24"/>
          <w:lang w:bidi="ar"/>
        </w:rPr>
        <w:drawing>
          <wp:inline distT="0" distB="0" distL="0" distR="0">
            <wp:extent cx="6645910" cy="1438275"/>
            <wp:effectExtent l="0" t="0" r="2540" b="9525"/>
            <wp:docPr id="108" name="图片 10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文本&#10;&#10;中度可信度描述已自动生成"/>
                    <pic:cNvPicPr>
                      <a:picLocks noChangeAspect="1"/>
                    </pic:cNvPicPr>
                  </pic:nvPicPr>
                  <pic:blipFill>
                    <a:blip r:embed="rId46"/>
                    <a:stretch>
                      <a:fillRect/>
                    </a:stretch>
                  </pic:blipFill>
                  <pic:spPr>
                    <a:xfrm>
                      <a:off x="0" y="0"/>
                      <a:ext cx="6645910" cy="1438275"/>
                    </a:xfrm>
                    <a:prstGeom prst="rect">
                      <a:avLst/>
                    </a:prstGeom>
                  </pic:spPr>
                </pic:pic>
              </a:graphicData>
            </a:graphic>
          </wp:inline>
        </w:drawing>
      </w:r>
      <w:bookmarkStart w:id="149" w:name="_Hlk117700715"/>
      <w:r>
        <w:rPr>
          <w:rFonts w:hint="eastAsia"/>
          <w:b/>
          <w:bCs/>
          <w:szCs w:val="21"/>
          <w:lang w:bidi="ar"/>
        </w:rPr>
        <w:t>图</w:t>
      </w:r>
      <w:r>
        <w:rPr>
          <w:b/>
          <w:bCs/>
          <w:szCs w:val="21"/>
          <w:lang w:bidi="ar"/>
        </w:rPr>
        <w:t>4.2-4 通过树和灌木时噪声衰减示意图</w:t>
      </w:r>
      <w:bookmarkEnd w:id="149"/>
    </w:p>
    <w:p w14:paraId="41282229">
      <w:pPr>
        <w:spacing w:line="360" w:lineRule="auto"/>
        <w:ind w:firstLine="480" w:firstLineChars="200"/>
        <w:rPr>
          <w:sz w:val="24"/>
          <w:lang w:bidi="ar"/>
        </w:rPr>
      </w:pPr>
      <w:r>
        <w:rPr>
          <w:rFonts w:hint="eastAsia"/>
          <w:sz w:val="24"/>
          <w:lang w:bidi="ar"/>
        </w:rPr>
        <w:t>通过树叶传播噪声的噪声衰减随通过树叶传播距离</w:t>
      </w:r>
      <w:r>
        <w:rPr>
          <w:sz w:val="24"/>
          <w:lang w:bidi="ar"/>
        </w:rPr>
        <w:t>d</w:t>
      </w:r>
      <w:r>
        <w:rPr>
          <w:sz w:val="24"/>
          <w:vertAlign w:val="subscript"/>
          <w:lang w:bidi="ar"/>
        </w:rPr>
        <w:t>f</w:t>
      </w:r>
      <w:r>
        <w:rPr>
          <w:sz w:val="24"/>
          <w:lang w:bidi="ar"/>
        </w:rPr>
        <w:t>的增长而增加，其中</w:t>
      </w:r>
      <w:r>
        <w:rPr>
          <w:rFonts w:hint="eastAsia"/>
          <w:sz w:val="24"/>
          <w:lang w:bidi="ar"/>
        </w:rPr>
        <w:t>d</w:t>
      </w:r>
      <w:r>
        <w:rPr>
          <w:sz w:val="24"/>
          <w:vertAlign w:val="subscript"/>
          <w:lang w:bidi="ar"/>
        </w:rPr>
        <w:t>f</w:t>
      </w:r>
      <w:r>
        <w:rPr>
          <w:rFonts w:hint="eastAsia"/>
          <w:sz w:val="24"/>
          <w:lang w:bidi="ar"/>
        </w:rPr>
        <w:t>=</w:t>
      </w:r>
      <w:r>
        <w:rPr>
          <w:sz w:val="24"/>
          <w:lang w:bidi="ar"/>
        </w:rPr>
        <w:t>d1+d2</w:t>
      </w:r>
      <w:r>
        <w:rPr>
          <w:rFonts w:hint="eastAsia"/>
          <w:sz w:val="24"/>
          <w:lang w:bidi="ar"/>
        </w:rPr>
        <w:t>，为了计算d</w:t>
      </w:r>
      <w:r>
        <w:rPr>
          <w:sz w:val="24"/>
          <w:lang w:bidi="ar"/>
        </w:rPr>
        <w:t>1和d2，可假设弯曲路径的半径为5km。</w:t>
      </w:r>
    </w:p>
    <w:p w14:paraId="3BD4C104">
      <w:pPr>
        <w:spacing w:line="360" w:lineRule="auto"/>
        <w:ind w:firstLine="480" w:firstLineChars="200"/>
        <w:rPr>
          <w:sz w:val="24"/>
          <w:lang w:bidi="ar"/>
        </w:rPr>
      </w:pPr>
      <w:r>
        <w:rPr>
          <w:rFonts w:hint="eastAsia"/>
          <w:sz w:val="24"/>
          <w:lang w:bidi="ar"/>
        </w:rPr>
        <w:t>下表</w:t>
      </w:r>
      <w:r>
        <w:rPr>
          <w:sz w:val="24"/>
          <w:lang w:bidi="ar"/>
        </w:rPr>
        <w:t>中的第一行给出了通过总长度为10m到20m之间的密叶时，由密叶引起</w:t>
      </w:r>
      <w:r>
        <w:rPr>
          <w:rFonts w:hint="eastAsia"/>
          <w:sz w:val="24"/>
          <w:lang w:bidi="ar"/>
        </w:rPr>
        <w:t>的衰减；第二行为通过总长度</w:t>
      </w:r>
      <w:r>
        <w:rPr>
          <w:sz w:val="24"/>
          <w:lang w:bidi="ar"/>
        </w:rPr>
        <w:t>20m到200m之间密叶时的衰减系数；当通过密叶的路</w:t>
      </w:r>
      <w:r>
        <w:rPr>
          <w:rFonts w:hint="eastAsia"/>
          <w:sz w:val="24"/>
          <w:lang w:bidi="ar"/>
        </w:rPr>
        <w:t>径长度大于</w:t>
      </w:r>
      <w:r>
        <w:rPr>
          <w:sz w:val="24"/>
          <w:lang w:bidi="ar"/>
        </w:rPr>
        <w:t>200m时，可使用200m的衰减值</w:t>
      </w:r>
      <w:r>
        <w:rPr>
          <w:rFonts w:hint="eastAsia"/>
          <w:sz w:val="24"/>
          <w:lang w:bidi="ar"/>
        </w:rPr>
        <w:t>。</w:t>
      </w:r>
    </w:p>
    <w:p w14:paraId="65CD1A24">
      <w:pPr>
        <w:spacing w:line="360" w:lineRule="auto"/>
        <w:jc w:val="center"/>
        <w:rPr>
          <w:b/>
          <w:bCs/>
          <w:szCs w:val="21"/>
          <w:lang w:bidi="ar"/>
        </w:rPr>
      </w:pPr>
      <w:r>
        <w:rPr>
          <w:rFonts w:hint="eastAsia"/>
          <w:b/>
          <w:bCs/>
          <w:szCs w:val="21"/>
          <w:lang w:bidi="ar"/>
        </w:rPr>
        <w:t>表</w:t>
      </w:r>
      <w:r>
        <w:rPr>
          <w:b/>
          <w:bCs/>
          <w:szCs w:val="21"/>
          <w:lang w:bidi="ar"/>
        </w:rPr>
        <w:t>4.2-3</w:t>
      </w:r>
      <w:r>
        <w:rPr>
          <w:rFonts w:hint="eastAsia"/>
          <w:b/>
          <w:bCs/>
          <w:szCs w:val="21"/>
          <w:lang w:bidi="ar"/>
        </w:rPr>
        <w:t>倍频带噪声通过密叶传播时产生的衰减</w:t>
      </w:r>
    </w:p>
    <w:tbl>
      <w:tblPr>
        <w:tblStyle w:val="33"/>
        <w:tblW w:w="5000" w:type="pct"/>
        <w:jc w:val="center"/>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10"/>
        <w:gridCol w:w="1920"/>
        <w:gridCol w:w="712"/>
        <w:gridCol w:w="712"/>
        <w:gridCol w:w="712"/>
        <w:gridCol w:w="712"/>
        <w:gridCol w:w="804"/>
        <w:gridCol w:w="804"/>
        <w:gridCol w:w="804"/>
        <w:gridCol w:w="806"/>
      </w:tblGrid>
      <w:tr w14:paraId="0EB87A21">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PrEx>
        <w:trPr>
          <w:trHeight w:val="397" w:hRule="atLeast"/>
          <w:jc w:val="center"/>
        </w:trPr>
        <w:tc>
          <w:tcPr>
            <w:tcW w:w="1196" w:type="pct"/>
            <w:vMerge w:val="restart"/>
            <w:shd w:val="clear" w:color="auto" w:fill="auto"/>
            <w:tcMar>
              <w:top w:w="15" w:type="dxa"/>
              <w:left w:w="15" w:type="dxa"/>
              <w:bottom w:w="0" w:type="dxa"/>
              <w:right w:w="15" w:type="dxa"/>
            </w:tcMar>
            <w:vAlign w:val="center"/>
          </w:tcPr>
          <w:p w14:paraId="5E4D8487">
            <w:pPr>
              <w:widowControl/>
              <w:jc w:val="center"/>
              <w:rPr>
                <w:rFonts w:hint="eastAsia" w:ascii="宋体" w:hAnsi="宋体"/>
                <w:b/>
                <w:bCs/>
                <w:kern w:val="0"/>
                <w:szCs w:val="21"/>
              </w:rPr>
            </w:pPr>
            <w:r>
              <w:rPr>
                <w:rFonts w:ascii="宋体" w:hAnsi="宋体"/>
                <w:b/>
                <w:bCs/>
                <w:kern w:val="0"/>
                <w:szCs w:val="21"/>
              </w:rPr>
              <w:t>项目</w:t>
            </w:r>
          </w:p>
        </w:tc>
        <w:tc>
          <w:tcPr>
            <w:tcW w:w="915" w:type="pct"/>
            <w:vMerge w:val="restart"/>
            <w:shd w:val="clear" w:color="auto" w:fill="auto"/>
            <w:tcMar>
              <w:top w:w="15" w:type="dxa"/>
              <w:left w:w="15" w:type="dxa"/>
              <w:bottom w:w="0" w:type="dxa"/>
              <w:right w:w="15" w:type="dxa"/>
            </w:tcMar>
            <w:vAlign w:val="center"/>
          </w:tcPr>
          <w:p w14:paraId="6F664135">
            <w:pPr>
              <w:widowControl/>
              <w:jc w:val="left"/>
              <w:rPr>
                <w:kern w:val="0"/>
                <w:sz w:val="20"/>
                <w:szCs w:val="20"/>
              </w:rPr>
            </w:pPr>
            <w:r>
              <w:rPr>
                <w:rFonts w:ascii="宋体" w:hAnsi="宋体"/>
                <w:b/>
                <w:bCs/>
                <w:kern w:val="0"/>
                <w:szCs w:val="21"/>
              </w:rPr>
              <w:t>传播距离df</w:t>
            </w:r>
            <w:r>
              <w:rPr>
                <w:b/>
                <w:bCs/>
                <w:kern w:val="0"/>
                <w:szCs w:val="21"/>
              </w:rPr>
              <w:t>/m</w:t>
            </w:r>
          </w:p>
        </w:tc>
        <w:tc>
          <w:tcPr>
            <w:tcW w:w="2889" w:type="pct"/>
            <w:gridSpan w:val="8"/>
            <w:shd w:val="clear" w:color="auto" w:fill="auto"/>
            <w:tcMar>
              <w:top w:w="15" w:type="dxa"/>
              <w:left w:w="15" w:type="dxa"/>
              <w:bottom w:w="0" w:type="dxa"/>
              <w:right w:w="15" w:type="dxa"/>
            </w:tcMar>
            <w:vAlign w:val="center"/>
          </w:tcPr>
          <w:p w14:paraId="508CDC94">
            <w:pPr>
              <w:widowControl/>
              <w:jc w:val="center"/>
              <w:rPr>
                <w:kern w:val="0"/>
                <w:sz w:val="20"/>
                <w:szCs w:val="20"/>
              </w:rPr>
            </w:pPr>
            <w:r>
              <w:rPr>
                <w:rFonts w:ascii="宋体" w:hAnsi="宋体"/>
                <w:b/>
                <w:bCs/>
                <w:kern w:val="0"/>
                <w:szCs w:val="21"/>
              </w:rPr>
              <w:t>倍频带中心频率</w:t>
            </w:r>
            <w:r>
              <w:rPr>
                <w:b/>
                <w:bCs/>
                <w:kern w:val="0"/>
                <w:szCs w:val="21"/>
              </w:rPr>
              <w:t>/Hz</w:t>
            </w:r>
          </w:p>
        </w:tc>
      </w:tr>
      <w:tr w14:paraId="0A59F9BC">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196" w:type="pct"/>
            <w:vMerge w:val="continue"/>
            <w:vAlign w:val="center"/>
          </w:tcPr>
          <w:p w14:paraId="7ED9B026">
            <w:pPr>
              <w:widowControl/>
              <w:jc w:val="left"/>
              <w:rPr>
                <w:rFonts w:hint="eastAsia" w:ascii="宋体" w:hAnsi="宋体"/>
                <w:b/>
                <w:bCs/>
                <w:kern w:val="0"/>
                <w:szCs w:val="21"/>
              </w:rPr>
            </w:pPr>
          </w:p>
        </w:tc>
        <w:tc>
          <w:tcPr>
            <w:tcW w:w="915" w:type="pct"/>
            <w:vMerge w:val="continue"/>
            <w:vAlign w:val="center"/>
          </w:tcPr>
          <w:p w14:paraId="700B0102">
            <w:pPr>
              <w:widowControl/>
              <w:jc w:val="left"/>
              <w:rPr>
                <w:kern w:val="0"/>
                <w:sz w:val="20"/>
                <w:szCs w:val="20"/>
              </w:rPr>
            </w:pPr>
          </w:p>
        </w:tc>
        <w:tc>
          <w:tcPr>
            <w:tcW w:w="339" w:type="pct"/>
            <w:shd w:val="clear" w:color="auto" w:fill="auto"/>
            <w:noWrap/>
            <w:tcMar>
              <w:top w:w="15" w:type="dxa"/>
              <w:left w:w="15" w:type="dxa"/>
              <w:bottom w:w="0" w:type="dxa"/>
              <w:right w:w="15" w:type="dxa"/>
            </w:tcMar>
            <w:vAlign w:val="center"/>
          </w:tcPr>
          <w:p w14:paraId="78C87631">
            <w:pPr>
              <w:widowControl/>
              <w:jc w:val="center"/>
              <w:rPr>
                <w:b/>
                <w:bCs/>
                <w:kern w:val="0"/>
                <w:szCs w:val="21"/>
              </w:rPr>
            </w:pPr>
            <w:r>
              <w:rPr>
                <w:b/>
                <w:bCs/>
                <w:kern w:val="0"/>
                <w:szCs w:val="21"/>
              </w:rPr>
              <w:t>63</w:t>
            </w:r>
          </w:p>
        </w:tc>
        <w:tc>
          <w:tcPr>
            <w:tcW w:w="339" w:type="pct"/>
            <w:shd w:val="clear" w:color="auto" w:fill="auto"/>
            <w:noWrap/>
            <w:tcMar>
              <w:top w:w="15" w:type="dxa"/>
              <w:left w:w="15" w:type="dxa"/>
              <w:bottom w:w="0" w:type="dxa"/>
              <w:right w:w="15" w:type="dxa"/>
            </w:tcMar>
            <w:vAlign w:val="center"/>
          </w:tcPr>
          <w:p w14:paraId="1939A942">
            <w:pPr>
              <w:widowControl/>
              <w:jc w:val="center"/>
              <w:rPr>
                <w:b/>
                <w:bCs/>
                <w:kern w:val="0"/>
                <w:szCs w:val="21"/>
              </w:rPr>
            </w:pPr>
            <w:r>
              <w:rPr>
                <w:b/>
                <w:bCs/>
                <w:kern w:val="0"/>
                <w:szCs w:val="21"/>
              </w:rPr>
              <w:t>125</w:t>
            </w:r>
          </w:p>
        </w:tc>
        <w:tc>
          <w:tcPr>
            <w:tcW w:w="339" w:type="pct"/>
            <w:shd w:val="clear" w:color="auto" w:fill="auto"/>
            <w:noWrap/>
            <w:tcMar>
              <w:top w:w="15" w:type="dxa"/>
              <w:left w:w="15" w:type="dxa"/>
              <w:bottom w:w="0" w:type="dxa"/>
              <w:right w:w="15" w:type="dxa"/>
            </w:tcMar>
            <w:vAlign w:val="center"/>
          </w:tcPr>
          <w:p w14:paraId="58E5EBFE">
            <w:pPr>
              <w:widowControl/>
              <w:jc w:val="center"/>
              <w:rPr>
                <w:b/>
                <w:bCs/>
                <w:kern w:val="0"/>
                <w:szCs w:val="21"/>
              </w:rPr>
            </w:pPr>
            <w:r>
              <w:rPr>
                <w:b/>
                <w:bCs/>
                <w:kern w:val="0"/>
                <w:szCs w:val="21"/>
              </w:rPr>
              <w:t>250</w:t>
            </w:r>
          </w:p>
        </w:tc>
        <w:tc>
          <w:tcPr>
            <w:tcW w:w="339" w:type="pct"/>
            <w:shd w:val="clear" w:color="auto" w:fill="auto"/>
            <w:noWrap/>
            <w:tcMar>
              <w:top w:w="15" w:type="dxa"/>
              <w:left w:w="15" w:type="dxa"/>
              <w:bottom w:w="0" w:type="dxa"/>
              <w:right w:w="15" w:type="dxa"/>
            </w:tcMar>
            <w:vAlign w:val="center"/>
          </w:tcPr>
          <w:p w14:paraId="6F34A1C7">
            <w:pPr>
              <w:widowControl/>
              <w:jc w:val="center"/>
              <w:rPr>
                <w:b/>
                <w:bCs/>
                <w:kern w:val="0"/>
                <w:szCs w:val="21"/>
              </w:rPr>
            </w:pPr>
            <w:r>
              <w:rPr>
                <w:b/>
                <w:bCs/>
                <w:kern w:val="0"/>
                <w:szCs w:val="21"/>
              </w:rPr>
              <w:t>500</w:t>
            </w:r>
          </w:p>
        </w:tc>
        <w:tc>
          <w:tcPr>
            <w:tcW w:w="383" w:type="pct"/>
            <w:shd w:val="clear" w:color="auto" w:fill="auto"/>
            <w:noWrap/>
            <w:tcMar>
              <w:top w:w="15" w:type="dxa"/>
              <w:left w:w="15" w:type="dxa"/>
              <w:bottom w:w="0" w:type="dxa"/>
              <w:right w:w="15" w:type="dxa"/>
            </w:tcMar>
            <w:vAlign w:val="center"/>
          </w:tcPr>
          <w:p w14:paraId="1906B8D3">
            <w:pPr>
              <w:widowControl/>
              <w:jc w:val="center"/>
              <w:rPr>
                <w:b/>
                <w:bCs/>
                <w:kern w:val="0"/>
                <w:szCs w:val="21"/>
              </w:rPr>
            </w:pPr>
            <w:r>
              <w:rPr>
                <w:b/>
                <w:bCs/>
                <w:kern w:val="0"/>
                <w:szCs w:val="21"/>
              </w:rPr>
              <w:t>1000</w:t>
            </w:r>
          </w:p>
        </w:tc>
        <w:tc>
          <w:tcPr>
            <w:tcW w:w="383" w:type="pct"/>
            <w:shd w:val="clear" w:color="auto" w:fill="auto"/>
            <w:noWrap/>
            <w:tcMar>
              <w:top w:w="15" w:type="dxa"/>
              <w:left w:w="15" w:type="dxa"/>
              <w:bottom w:w="0" w:type="dxa"/>
              <w:right w:w="15" w:type="dxa"/>
            </w:tcMar>
            <w:vAlign w:val="center"/>
          </w:tcPr>
          <w:p w14:paraId="3A045E9A">
            <w:pPr>
              <w:widowControl/>
              <w:jc w:val="center"/>
              <w:rPr>
                <w:b/>
                <w:bCs/>
                <w:kern w:val="0"/>
                <w:szCs w:val="21"/>
              </w:rPr>
            </w:pPr>
            <w:r>
              <w:rPr>
                <w:b/>
                <w:bCs/>
                <w:kern w:val="0"/>
                <w:szCs w:val="21"/>
              </w:rPr>
              <w:t>2000</w:t>
            </w:r>
          </w:p>
        </w:tc>
        <w:tc>
          <w:tcPr>
            <w:tcW w:w="383" w:type="pct"/>
            <w:shd w:val="clear" w:color="auto" w:fill="auto"/>
            <w:noWrap/>
            <w:tcMar>
              <w:top w:w="15" w:type="dxa"/>
              <w:left w:w="15" w:type="dxa"/>
              <w:bottom w:w="0" w:type="dxa"/>
              <w:right w:w="15" w:type="dxa"/>
            </w:tcMar>
            <w:vAlign w:val="center"/>
          </w:tcPr>
          <w:p w14:paraId="2F7F05A0">
            <w:pPr>
              <w:widowControl/>
              <w:jc w:val="center"/>
              <w:rPr>
                <w:b/>
                <w:bCs/>
                <w:kern w:val="0"/>
                <w:szCs w:val="21"/>
              </w:rPr>
            </w:pPr>
            <w:r>
              <w:rPr>
                <w:b/>
                <w:bCs/>
                <w:kern w:val="0"/>
                <w:szCs w:val="21"/>
              </w:rPr>
              <w:t>4000</w:t>
            </w:r>
          </w:p>
        </w:tc>
        <w:tc>
          <w:tcPr>
            <w:tcW w:w="384" w:type="pct"/>
            <w:shd w:val="clear" w:color="auto" w:fill="auto"/>
            <w:noWrap/>
            <w:tcMar>
              <w:top w:w="15" w:type="dxa"/>
              <w:left w:w="15" w:type="dxa"/>
              <w:bottom w:w="0" w:type="dxa"/>
              <w:right w:w="15" w:type="dxa"/>
            </w:tcMar>
            <w:vAlign w:val="center"/>
          </w:tcPr>
          <w:p w14:paraId="3E5D023D">
            <w:pPr>
              <w:widowControl/>
              <w:jc w:val="center"/>
              <w:rPr>
                <w:b/>
                <w:bCs/>
                <w:kern w:val="0"/>
                <w:szCs w:val="21"/>
              </w:rPr>
            </w:pPr>
            <w:r>
              <w:rPr>
                <w:b/>
                <w:bCs/>
                <w:kern w:val="0"/>
                <w:szCs w:val="21"/>
              </w:rPr>
              <w:t>8000</w:t>
            </w:r>
          </w:p>
        </w:tc>
      </w:tr>
      <w:tr w14:paraId="2E0D159C">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196" w:type="pct"/>
            <w:shd w:val="clear" w:color="auto" w:fill="auto"/>
            <w:tcMar>
              <w:top w:w="15" w:type="dxa"/>
              <w:left w:w="15" w:type="dxa"/>
              <w:bottom w:w="0" w:type="dxa"/>
              <w:right w:w="15" w:type="dxa"/>
            </w:tcMar>
            <w:vAlign w:val="center"/>
          </w:tcPr>
          <w:p w14:paraId="6D1748DB">
            <w:pPr>
              <w:widowControl/>
              <w:jc w:val="center"/>
              <w:rPr>
                <w:kern w:val="0"/>
                <w:sz w:val="20"/>
                <w:szCs w:val="20"/>
              </w:rPr>
            </w:pPr>
            <w:r>
              <w:rPr>
                <w:rFonts w:ascii="宋体" w:hAnsi="宋体"/>
                <w:kern w:val="0"/>
                <w:szCs w:val="21"/>
              </w:rPr>
              <w:t>衰减</w:t>
            </w:r>
            <w:r>
              <w:rPr>
                <w:kern w:val="0"/>
                <w:szCs w:val="21"/>
              </w:rPr>
              <w:t>/dB</w:t>
            </w:r>
          </w:p>
        </w:tc>
        <w:tc>
          <w:tcPr>
            <w:tcW w:w="915" w:type="pct"/>
            <w:shd w:val="clear" w:color="auto" w:fill="auto"/>
            <w:tcMar>
              <w:top w:w="15" w:type="dxa"/>
              <w:left w:w="15" w:type="dxa"/>
              <w:bottom w:w="0" w:type="dxa"/>
              <w:right w:w="15" w:type="dxa"/>
            </w:tcMar>
            <w:vAlign w:val="center"/>
          </w:tcPr>
          <w:p w14:paraId="120C2188">
            <w:pPr>
              <w:widowControl/>
              <w:jc w:val="center"/>
              <w:rPr>
                <w:kern w:val="0"/>
                <w:sz w:val="20"/>
                <w:szCs w:val="20"/>
              </w:rPr>
            </w:pPr>
            <w:r>
              <w:rPr>
                <w:kern w:val="0"/>
                <w:szCs w:val="21"/>
              </w:rPr>
              <w:t>10</w:t>
            </w:r>
            <w:r>
              <w:rPr>
                <w:rFonts w:ascii="宋体" w:hAnsi="宋体"/>
                <w:kern w:val="0"/>
                <w:szCs w:val="21"/>
              </w:rPr>
              <w:t>≤df</w:t>
            </w:r>
            <w:r>
              <w:rPr>
                <w:kern w:val="0"/>
                <w:szCs w:val="21"/>
              </w:rPr>
              <w:t>&lt;20</w:t>
            </w:r>
          </w:p>
        </w:tc>
        <w:tc>
          <w:tcPr>
            <w:tcW w:w="339" w:type="pct"/>
            <w:shd w:val="clear" w:color="auto" w:fill="auto"/>
            <w:noWrap/>
            <w:tcMar>
              <w:top w:w="15" w:type="dxa"/>
              <w:left w:w="15" w:type="dxa"/>
              <w:bottom w:w="0" w:type="dxa"/>
              <w:right w:w="15" w:type="dxa"/>
            </w:tcMar>
            <w:vAlign w:val="center"/>
          </w:tcPr>
          <w:p w14:paraId="088F73CA">
            <w:pPr>
              <w:widowControl/>
              <w:jc w:val="center"/>
              <w:rPr>
                <w:kern w:val="0"/>
                <w:szCs w:val="21"/>
              </w:rPr>
            </w:pPr>
            <w:r>
              <w:rPr>
                <w:kern w:val="0"/>
                <w:szCs w:val="21"/>
              </w:rPr>
              <w:t>0</w:t>
            </w:r>
          </w:p>
        </w:tc>
        <w:tc>
          <w:tcPr>
            <w:tcW w:w="339" w:type="pct"/>
            <w:shd w:val="clear" w:color="auto" w:fill="auto"/>
            <w:noWrap/>
            <w:tcMar>
              <w:top w:w="15" w:type="dxa"/>
              <w:left w:w="15" w:type="dxa"/>
              <w:bottom w:w="0" w:type="dxa"/>
              <w:right w:w="15" w:type="dxa"/>
            </w:tcMar>
            <w:vAlign w:val="center"/>
          </w:tcPr>
          <w:p w14:paraId="1490F26C">
            <w:pPr>
              <w:widowControl/>
              <w:jc w:val="center"/>
              <w:rPr>
                <w:kern w:val="0"/>
                <w:szCs w:val="21"/>
              </w:rPr>
            </w:pPr>
            <w:r>
              <w:rPr>
                <w:kern w:val="0"/>
                <w:szCs w:val="21"/>
              </w:rPr>
              <w:t>0</w:t>
            </w:r>
          </w:p>
        </w:tc>
        <w:tc>
          <w:tcPr>
            <w:tcW w:w="339" w:type="pct"/>
            <w:shd w:val="clear" w:color="auto" w:fill="auto"/>
            <w:noWrap/>
            <w:tcMar>
              <w:top w:w="15" w:type="dxa"/>
              <w:left w:w="15" w:type="dxa"/>
              <w:bottom w:w="0" w:type="dxa"/>
              <w:right w:w="15" w:type="dxa"/>
            </w:tcMar>
            <w:vAlign w:val="center"/>
          </w:tcPr>
          <w:p w14:paraId="298AB824">
            <w:pPr>
              <w:widowControl/>
              <w:jc w:val="center"/>
              <w:rPr>
                <w:kern w:val="0"/>
                <w:szCs w:val="21"/>
              </w:rPr>
            </w:pPr>
            <w:r>
              <w:rPr>
                <w:kern w:val="0"/>
                <w:szCs w:val="21"/>
              </w:rPr>
              <w:t>1</w:t>
            </w:r>
          </w:p>
        </w:tc>
        <w:tc>
          <w:tcPr>
            <w:tcW w:w="339" w:type="pct"/>
            <w:shd w:val="clear" w:color="auto" w:fill="auto"/>
            <w:noWrap/>
            <w:tcMar>
              <w:top w:w="15" w:type="dxa"/>
              <w:left w:w="15" w:type="dxa"/>
              <w:bottom w:w="0" w:type="dxa"/>
              <w:right w:w="15" w:type="dxa"/>
            </w:tcMar>
            <w:vAlign w:val="center"/>
          </w:tcPr>
          <w:p w14:paraId="3CA79D14">
            <w:pPr>
              <w:widowControl/>
              <w:jc w:val="center"/>
              <w:rPr>
                <w:kern w:val="0"/>
                <w:szCs w:val="21"/>
              </w:rPr>
            </w:pPr>
            <w:r>
              <w:rPr>
                <w:kern w:val="0"/>
                <w:szCs w:val="21"/>
              </w:rPr>
              <w:t>1</w:t>
            </w:r>
          </w:p>
        </w:tc>
        <w:tc>
          <w:tcPr>
            <w:tcW w:w="383" w:type="pct"/>
            <w:shd w:val="clear" w:color="auto" w:fill="auto"/>
            <w:noWrap/>
            <w:tcMar>
              <w:top w:w="15" w:type="dxa"/>
              <w:left w:w="15" w:type="dxa"/>
              <w:bottom w:w="0" w:type="dxa"/>
              <w:right w:w="15" w:type="dxa"/>
            </w:tcMar>
            <w:vAlign w:val="center"/>
          </w:tcPr>
          <w:p w14:paraId="2BC20EF1">
            <w:pPr>
              <w:widowControl/>
              <w:jc w:val="center"/>
              <w:rPr>
                <w:kern w:val="0"/>
                <w:szCs w:val="21"/>
              </w:rPr>
            </w:pPr>
            <w:r>
              <w:rPr>
                <w:kern w:val="0"/>
                <w:szCs w:val="21"/>
              </w:rPr>
              <w:t>1</w:t>
            </w:r>
          </w:p>
        </w:tc>
        <w:tc>
          <w:tcPr>
            <w:tcW w:w="383" w:type="pct"/>
            <w:shd w:val="clear" w:color="auto" w:fill="auto"/>
            <w:noWrap/>
            <w:tcMar>
              <w:top w:w="15" w:type="dxa"/>
              <w:left w:w="15" w:type="dxa"/>
              <w:bottom w:w="0" w:type="dxa"/>
              <w:right w:w="15" w:type="dxa"/>
            </w:tcMar>
            <w:vAlign w:val="center"/>
          </w:tcPr>
          <w:p w14:paraId="0319A187">
            <w:pPr>
              <w:widowControl/>
              <w:jc w:val="center"/>
              <w:rPr>
                <w:kern w:val="0"/>
                <w:szCs w:val="21"/>
              </w:rPr>
            </w:pPr>
            <w:r>
              <w:rPr>
                <w:kern w:val="0"/>
                <w:szCs w:val="21"/>
              </w:rPr>
              <w:t>1</w:t>
            </w:r>
          </w:p>
        </w:tc>
        <w:tc>
          <w:tcPr>
            <w:tcW w:w="383" w:type="pct"/>
            <w:shd w:val="clear" w:color="auto" w:fill="auto"/>
            <w:noWrap/>
            <w:tcMar>
              <w:top w:w="15" w:type="dxa"/>
              <w:left w:w="15" w:type="dxa"/>
              <w:bottom w:w="0" w:type="dxa"/>
              <w:right w:w="15" w:type="dxa"/>
            </w:tcMar>
            <w:vAlign w:val="center"/>
          </w:tcPr>
          <w:p w14:paraId="5A9C1F98">
            <w:pPr>
              <w:widowControl/>
              <w:jc w:val="center"/>
              <w:rPr>
                <w:kern w:val="0"/>
                <w:szCs w:val="21"/>
              </w:rPr>
            </w:pPr>
            <w:r>
              <w:rPr>
                <w:kern w:val="0"/>
                <w:szCs w:val="21"/>
              </w:rPr>
              <w:t>2</w:t>
            </w:r>
          </w:p>
        </w:tc>
        <w:tc>
          <w:tcPr>
            <w:tcW w:w="384" w:type="pct"/>
            <w:shd w:val="clear" w:color="auto" w:fill="auto"/>
            <w:noWrap/>
            <w:tcMar>
              <w:top w:w="15" w:type="dxa"/>
              <w:left w:w="15" w:type="dxa"/>
              <w:bottom w:w="0" w:type="dxa"/>
              <w:right w:w="15" w:type="dxa"/>
            </w:tcMar>
            <w:vAlign w:val="center"/>
          </w:tcPr>
          <w:p w14:paraId="1F13C8F8">
            <w:pPr>
              <w:widowControl/>
              <w:jc w:val="center"/>
              <w:rPr>
                <w:kern w:val="0"/>
                <w:szCs w:val="21"/>
              </w:rPr>
            </w:pPr>
            <w:r>
              <w:rPr>
                <w:kern w:val="0"/>
                <w:szCs w:val="21"/>
              </w:rPr>
              <w:t>3</w:t>
            </w:r>
          </w:p>
        </w:tc>
      </w:tr>
      <w:tr w14:paraId="65829357">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196" w:type="pct"/>
            <w:shd w:val="clear" w:color="auto" w:fill="auto"/>
            <w:tcMar>
              <w:top w:w="15" w:type="dxa"/>
              <w:left w:w="15" w:type="dxa"/>
              <w:bottom w:w="0" w:type="dxa"/>
              <w:right w:w="15" w:type="dxa"/>
            </w:tcMar>
            <w:vAlign w:val="center"/>
          </w:tcPr>
          <w:p w14:paraId="5AD0421D">
            <w:pPr>
              <w:widowControl/>
              <w:jc w:val="center"/>
              <w:rPr>
                <w:kern w:val="0"/>
                <w:sz w:val="20"/>
                <w:szCs w:val="20"/>
              </w:rPr>
            </w:pPr>
            <w:r>
              <w:rPr>
                <w:rFonts w:ascii="宋体" w:hAnsi="宋体"/>
                <w:kern w:val="0"/>
                <w:szCs w:val="21"/>
              </w:rPr>
              <w:t>衰减系数</w:t>
            </w:r>
            <w:r>
              <w:rPr>
                <w:kern w:val="0"/>
                <w:szCs w:val="21"/>
              </w:rPr>
              <w:t>/</w:t>
            </w:r>
            <w:r>
              <w:rPr>
                <w:rFonts w:ascii="宋体" w:hAnsi="宋体"/>
                <w:kern w:val="0"/>
                <w:szCs w:val="21"/>
              </w:rPr>
              <w:t>（</w:t>
            </w:r>
            <w:r>
              <w:rPr>
                <w:kern w:val="0"/>
                <w:szCs w:val="21"/>
              </w:rPr>
              <w:t>dB/m</w:t>
            </w:r>
            <w:r>
              <w:rPr>
                <w:rFonts w:ascii="宋体" w:hAnsi="宋体"/>
                <w:kern w:val="0"/>
                <w:szCs w:val="21"/>
              </w:rPr>
              <w:t>）</w:t>
            </w:r>
          </w:p>
        </w:tc>
        <w:tc>
          <w:tcPr>
            <w:tcW w:w="915" w:type="pct"/>
            <w:shd w:val="clear" w:color="auto" w:fill="auto"/>
            <w:tcMar>
              <w:top w:w="15" w:type="dxa"/>
              <w:left w:w="15" w:type="dxa"/>
              <w:bottom w:w="0" w:type="dxa"/>
              <w:right w:w="15" w:type="dxa"/>
            </w:tcMar>
            <w:vAlign w:val="center"/>
          </w:tcPr>
          <w:p w14:paraId="29C06338">
            <w:pPr>
              <w:widowControl/>
              <w:jc w:val="center"/>
              <w:rPr>
                <w:kern w:val="0"/>
                <w:sz w:val="20"/>
                <w:szCs w:val="20"/>
              </w:rPr>
            </w:pPr>
            <w:r>
              <w:rPr>
                <w:kern w:val="0"/>
                <w:szCs w:val="21"/>
              </w:rPr>
              <w:t>20</w:t>
            </w:r>
            <w:r>
              <w:rPr>
                <w:rFonts w:ascii="宋体" w:hAnsi="宋体"/>
                <w:kern w:val="0"/>
                <w:szCs w:val="21"/>
              </w:rPr>
              <w:t>≤df</w:t>
            </w:r>
            <w:r>
              <w:rPr>
                <w:kern w:val="0"/>
                <w:szCs w:val="21"/>
              </w:rPr>
              <w:t>&lt;200</w:t>
            </w:r>
          </w:p>
        </w:tc>
        <w:tc>
          <w:tcPr>
            <w:tcW w:w="339" w:type="pct"/>
            <w:shd w:val="clear" w:color="auto" w:fill="auto"/>
            <w:noWrap/>
            <w:tcMar>
              <w:top w:w="15" w:type="dxa"/>
              <w:left w:w="15" w:type="dxa"/>
              <w:bottom w:w="0" w:type="dxa"/>
              <w:right w:w="15" w:type="dxa"/>
            </w:tcMar>
            <w:vAlign w:val="center"/>
          </w:tcPr>
          <w:p w14:paraId="3ABB9D45">
            <w:pPr>
              <w:widowControl/>
              <w:jc w:val="center"/>
              <w:rPr>
                <w:kern w:val="0"/>
                <w:szCs w:val="21"/>
              </w:rPr>
            </w:pPr>
            <w:r>
              <w:rPr>
                <w:kern w:val="0"/>
                <w:szCs w:val="21"/>
              </w:rPr>
              <w:t>0.02</w:t>
            </w:r>
          </w:p>
        </w:tc>
        <w:tc>
          <w:tcPr>
            <w:tcW w:w="339" w:type="pct"/>
            <w:shd w:val="clear" w:color="auto" w:fill="auto"/>
            <w:noWrap/>
            <w:tcMar>
              <w:top w:w="15" w:type="dxa"/>
              <w:left w:w="15" w:type="dxa"/>
              <w:bottom w:w="0" w:type="dxa"/>
              <w:right w:w="15" w:type="dxa"/>
            </w:tcMar>
            <w:vAlign w:val="center"/>
          </w:tcPr>
          <w:p w14:paraId="6F3C3A90">
            <w:pPr>
              <w:widowControl/>
              <w:jc w:val="center"/>
              <w:rPr>
                <w:kern w:val="0"/>
                <w:szCs w:val="21"/>
              </w:rPr>
            </w:pPr>
            <w:r>
              <w:rPr>
                <w:kern w:val="0"/>
                <w:szCs w:val="21"/>
              </w:rPr>
              <w:t>0.03</w:t>
            </w:r>
          </w:p>
        </w:tc>
        <w:tc>
          <w:tcPr>
            <w:tcW w:w="339" w:type="pct"/>
            <w:shd w:val="clear" w:color="auto" w:fill="auto"/>
            <w:noWrap/>
            <w:tcMar>
              <w:top w:w="15" w:type="dxa"/>
              <w:left w:w="15" w:type="dxa"/>
              <w:bottom w:w="0" w:type="dxa"/>
              <w:right w:w="15" w:type="dxa"/>
            </w:tcMar>
            <w:vAlign w:val="center"/>
          </w:tcPr>
          <w:p w14:paraId="7B0DB999">
            <w:pPr>
              <w:widowControl/>
              <w:jc w:val="center"/>
              <w:rPr>
                <w:kern w:val="0"/>
                <w:szCs w:val="21"/>
              </w:rPr>
            </w:pPr>
            <w:r>
              <w:rPr>
                <w:kern w:val="0"/>
                <w:szCs w:val="21"/>
              </w:rPr>
              <w:t>0.04</w:t>
            </w:r>
          </w:p>
        </w:tc>
        <w:tc>
          <w:tcPr>
            <w:tcW w:w="339" w:type="pct"/>
            <w:shd w:val="clear" w:color="auto" w:fill="auto"/>
            <w:noWrap/>
            <w:tcMar>
              <w:top w:w="15" w:type="dxa"/>
              <w:left w:w="15" w:type="dxa"/>
              <w:bottom w:w="0" w:type="dxa"/>
              <w:right w:w="15" w:type="dxa"/>
            </w:tcMar>
            <w:vAlign w:val="center"/>
          </w:tcPr>
          <w:p w14:paraId="65BE3ACB">
            <w:pPr>
              <w:widowControl/>
              <w:jc w:val="center"/>
              <w:rPr>
                <w:kern w:val="0"/>
                <w:szCs w:val="21"/>
              </w:rPr>
            </w:pPr>
            <w:r>
              <w:rPr>
                <w:kern w:val="0"/>
                <w:szCs w:val="21"/>
              </w:rPr>
              <w:t>0.05</w:t>
            </w:r>
          </w:p>
        </w:tc>
        <w:tc>
          <w:tcPr>
            <w:tcW w:w="383" w:type="pct"/>
            <w:shd w:val="clear" w:color="auto" w:fill="auto"/>
            <w:noWrap/>
            <w:tcMar>
              <w:top w:w="15" w:type="dxa"/>
              <w:left w:w="15" w:type="dxa"/>
              <w:bottom w:w="0" w:type="dxa"/>
              <w:right w:w="15" w:type="dxa"/>
            </w:tcMar>
            <w:vAlign w:val="center"/>
          </w:tcPr>
          <w:p w14:paraId="2B2E06C8">
            <w:pPr>
              <w:widowControl/>
              <w:jc w:val="center"/>
              <w:rPr>
                <w:kern w:val="0"/>
                <w:szCs w:val="21"/>
              </w:rPr>
            </w:pPr>
            <w:r>
              <w:rPr>
                <w:kern w:val="0"/>
                <w:szCs w:val="21"/>
              </w:rPr>
              <w:t>0.06</w:t>
            </w:r>
          </w:p>
        </w:tc>
        <w:tc>
          <w:tcPr>
            <w:tcW w:w="383" w:type="pct"/>
            <w:shd w:val="clear" w:color="auto" w:fill="auto"/>
            <w:noWrap/>
            <w:tcMar>
              <w:top w:w="15" w:type="dxa"/>
              <w:left w:w="15" w:type="dxa"/>
              <w:bottom w:w="0" w:type="dxa"/>
              <w:right w:w="15" w:type="dxa"/>
            </w:tcMar>
            <w:vAlign w:val="center"/>
          </w:tcPr>
          <w:p w14:paraId="2B8A03B9">
            <w:pPr>
              <w:widowControl/>
              <w:jc w:val="center"/>
              <w:rPr>
                <w:kern w:val="0"/>
                <w:szCs w:val="21"/>
              </w:rPr>
            </w:pPr>
            <w:r>
              <w:rPr>
                <w:kern w:val="0"/>
                <w:szCs w:val="21"/>
              </w:rPr>
              <w:t>0.08</w:t>
            </w:r>
          </w:p>
        </w:tc>
        <w:tc>
          <w:tcPr>
            <w:tcW w:w="383" w:type="pct"/>
            <w:shd w:val="clear" w:color="auto" w:fill="auto"/>
            <w:noWrap/>
            <w:tcMar>
              <w:top w:w="15" w:type="dxa"/>
              <w:left w:w="15" w:type="dxa"/>
              <w:bottom w:w="0" w:type="dxa"/>
              <w:right w:w="15" w:type="dxa"/>
            </w:tcMar>
            <w:vAlign w:val="center"/>
          </w:tcPr>
          <w:p w14:paraId="59B2F3F3">
            <w:pPr>
              <w:widowControl/>
              <w:jc w:val="center"/>
              <w:rPr>
                <w:kern w:val="0"/>
                <w:szCs w:val="21"/>
              </w:rPr>
            </w:pPr>
            <w:r>
              <w:rPr>
                <w:kern w:val="0"/>
                <w:szCs w:val="21"/>
              </w:rPr>
              <w:t>0.09</w:t>
            </w:r>
          </w:p>
        </w:tc>
        <w:tc>
          <w:tcPr>
            <w:tcW w:w="384" w:type="pct"/>
            <w:shd w:val="clear" w:color="auto" w:fill="auto"/>
            <w:noWrap/>
            <w:tcMar>
              <w:top w:w="15" w:type="dxa"/>
              <w:left w:w="15" w:type="dxa"/>
              <w:bottom w:w="0" w:type="dxa"/>
              <w:right w:w="15" w:type="dxa"/>
            </w:tcMar>
            <w:vAlign w:val="center"/>
          </w:tcPr>
          <w:p w14:paraId="28F6299D">
            <w:pPr>
              <w:widowControl/>
              <w:jc w:val="center"/>
              <w:rPr>
                <w:kern w:val="0"/>
                <w:szCs w:val="21"/>
              </w:rPr>
            </w:pPr>
            <w:r>
              <w:rPr>
                <w:kern w:val="0"/>
                <w:szCs w:val="21"/>
              </w:rPr>
              <w:t>0.12</w:t>
            </w:r>
          </w:p>
        </w:tc>
      </w:tr>
    </w:tbl>
    <w:p w14:paraId="765BB116">
      <w:pPr>
        <w:spacing w:line="360" w:lineRule="auto"/>
        <w:ind w:firstLine="482" w:firstLineChars="200"/>
        <w:rPr>
          <w:b/>
          <w:bCs/>
          <w:sz w:val="24"/>
          <w:lang w:bidi="ar"/>
        </w:rPr>
      </w:pPr>
    </w:p>
    <w:p w14:paraId="3344D2B3">
      <w:pPr>
        <w:spacing w:line="360" w:lineRule="auto"/>
        <w:ind w:firstLine="482" w:firstLineChars="200"/>
        <w:rPr>
          <w:b/>
          <w:bCs/>
          <w:sz w:val="24"/>
          <w:lang w:bidi="ar"/>
        </w:rPr>
      </w:pPr>
      <w:r>
        <w:rPr>
          <w:rFonts w:hint="eastAsia"/>
          <w:b/>
          <w:bCs/>
          <w:sz w:val="24"/>
          <w:lang w:bidi="ar"/>
        </w:rPr>
        <w:t>建筑群噪声衰减（</w:t>
      </w:r>
      <w:r>
        <w:rPr>
          <w:b/>
          <w:bCs/>
          <w:sz w:val="24"/>
          <w:lang w:bidi="ar"/>
        </w:rPr>
        <w:t>Ahous）</w:t>
      </w:r>
    </w:p>
    <w:p w14:paraId="20C108E0">
      <w:pPr>
        <w:spacing w:line="360" w:lineRule="auto"/>
        <w:ind w:firstLine="480" w:firstLineChars="200"/>
        <w:rPr>
          <w:sz w:val="24"/>
          <w:lang w:bidi="ar"/>
        </w:rPr>
      </w:pPr>
      <w:r>
        <w:rPr>
          <w:rFonts w:hint="eastAsia"/>
          <w:sz w:val="24"/>
          <w:lang w:bidi="ar"/>
        </w:rPr>
        <w:t>建筑群衰减</w:t>
      </w:r>
      <w:r>
        <w:rPr>
          <w:sz w:val="24"/>
          <w:lang w:bidi="ar"/>
        </w:rPr>
        <w:t>Ahous不超过10dB时，近似等效连续A声级按式估算。当从受声点可</w:t>
      </w:r>
      <w:r>
        <w:rPr>
          <w:rFonts w:hint="eastAsia"/>
          <w:sz w:val="24"/>
          <w:lang w:bidi="ar"/>
        </w:rPr>
        <w:t>直接观察到线路时，不考虑此项衰减。</w:t>
      </w:r>
    </w:p>
    <w:p w14:paraId="0B446664">
      <w:pPr>
        <w:spacing w:line="360" w:lineRule="auto"/>
        <w:jc w:val="center"/>
      </w:pPr>
      <w:r>
        <w:drawing>
          <wp:inline distT="0" distB="0" distL="0" distR="0">
            <wp:extent cx="1723390" cy="351790"/>
            <wp:effectExtent l="0" t="0" r="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pic:cNvPicPr>
                  </pic:nvPicPr>
                  <pic:blipFill>
                    <a:blip r:embed="rId47"/>
                    <a:stretch>
                      <a:fillRect/>
                    </a:stretch>
                  </pic:blipFill>
                  <pic:spPr>
                    <a:xfrm>
                      <a:off x="0" y="0"/>
                      <a:ext cx="1723810" cy="352381"/>
                    </a:xfrm>
                    <a:prstGeom prst="rect">
                      <a:avLst/>
                    </a:prstGeom>
                  </pic:spPr>
                </pic:pic>
              </a:graphicData>
            </a:graphic>
          </wp:inline>
        </w:drawing>
      </w:r>
    </w:p>
    <w:p w14:paraId="0CF13CD2">
      <w:pPr>
        <w:spacing w:line="360" w:lineRule="auto"/>
        <w:rPr>
          <w:sz w:val="24"/>
          <w:lang w:bidi="ar"/>
        </w:rPr>
      </w:pPr>
      <w:r>
        <w:rPr>
          <w:rFonts w:hint="eastAsia"/>
          <w:sz w:val="24"/>
          <w:lang w:bidi="ar"/>
        </w:rPr>
        <w:t>式中</w:t>
      </w:r>
      <w:r>
        <w:rPr>
          <w:sz w:val="24"/>
          <w:lang w:bidi="ar"/>
        </w:rPr>
        <w:t>Ahous,1按下式计算</w:t>
      </w:r>
    </w:p>
    <w:p w14:paraId="29BADE17">
      <w:pPr>
        <w:spacing w:line="360" w:lineRule="auto"/>
        <w:jc w:val="center"/>
        <w:rPr>
          <w:sz w:val="24"/>
          <w:lang w:bidi="ar"/>
        </w:rPr>
      </w:pPr>
      <w:r>
        <w:drawing>
          <wp:inline distT="0" distB="0" distL="0" distR="0">
            <wp:extent cx="1304290" cy="418465"/>
            <wp:effectExtent l="0" t="0" r="0" b="635"/>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pic:cNvPicPr>
                  </pic:nvPicPr>
                  <pic:blipFill>
                    <a:blip r:embed="rId48"/>
                    <a:stretch>
                      <a:fillRect/>
                    </a:stretch>
                  </pic:blipFill>
                  <pic:spPr>
                    <a:xfrm>
                      <a:off x="0" y="0"/>
                      <a:ext cx="1304762" cy="419048"/>
                    </a:xfrm>
                    <a:prstGeom prst="rect">
                      <a:avLst/>
                    </a:prstGeom>
                  </pic:spPr>
                </pic:pic>
              </a:graphicData>
            </a:graphic>
          </wp:inline>
        </w:drawing>
      </w:r>
    </w:p>
    <w:p w14:paraId="277E9B02">
      <w:pPr>
        <w:spacing w:line="360" w:lineRule="auto"/>
        <w:rPr>
          <w:sz w:val="24"/>
          <w:lang w:bidi="ar"/>
        </w:rPr>
      </w:pPr>
      <w:r>
        <w:rPr>
          <w:rFonts w:hint="eastAsia"/>
          <w:sz w:val="24"/>
          <w:lang w:bidi="ar"/>
        </w:rPr>
        <w:t>式中：</w:t>
      </w:r>
      <w:r>
        <w:rPr>
          <w:sz w:val="24"/>
          <w:lang w:bidi="ar"/>
        </w:rPr>
        <w:t>B——沿声传播路线上的建筑物的密度，等于建筑物总平面面积除以总地</w:t>
      </w:r>
      <w:r>
        <w:rPr>
          <w:rFonts w:hint="eastAsia"/>
          <w:sz w:val="24"/>
          <w:lang w:bidi="ar"/>
        </w:rPr>
        <w:t>面面积（包括建筑物所占面积）；</w:t>
      </w:r>
    </w:p>
    <w:p w14:paraId="4985ABEE">
      <w:pPr>
        <w:spacing w:line="360" w:lineRule="auto"/>
        <w:ind w:firstLine="720" w:firstLineChars="300"/>
        <w:rPr>
          <w:sz w:val="24"/>
          <w:lang w:bidi="ar"/>
        </w:rPr>
      </w:pPr>
      <w:r>
        <w:rPr>
          <w:sz w:val="24"/>
          <w:lang w:bidi="ar"/>
        </w:rPr>
        <w:t>db——通过建筑群的声传播路线长度，按式（A.28）计算，d1和d2如</w:t>
      </w:r>
      <w:r>
        <w:rPr>
          <w:rFonts w:hint="eastAsia"/>
          <w:sz w:val="24"/>
          <w:lang w:bidi="ar"/>
        </w:rPr>
        <w:t>下</w:t>
      </w:r>
      <w:r>
        <w:rPr>
          <w:sz w:val="24"/>
          <w:lang w:bidi="ar"/>
        </w:rPr>
        <w:t>图</w:t>
      </w:r>
      <w:r>
        <w:rPr>
          <w:rFonts w:hint="eastAsia"/>
          <w:sz w:val="24"/>
          <w:lang w:bidi="ar"/>
        </w:rPr>
        <w:t>。</w:t>
      </w:r>
    </w:p>
    <w:p w14:paraId="7CA9A9D7">
      <w:pPr>
        <w:spacing w:line="360" w:lineRule="auto"/>
        <w:jc w:val="center"/>
        <w:rPr>
          <w:sz w:val="24"/>
          <w:lang w:bidi="ar"/>
        </w:rPr>
      </w:pPr>
      <w:r>
        <w:rPr>
          <w:sz w:val="24"/>
          <w:lang w:bidi="ar"/>
        </w:rPr>
        <w:drawing>
          <wp:inline distT="0" distB="0" distL="0" distR="0">
            <wp:extent cx="5827395" cy="2206625"/>
            <wp:effectExtent l="0" t="0" r="1905" b="3175"/>
            <wp:docPr id="143" name="图片 14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图示&#10;&#10;描述已自动生成"/>
                    <pic:cNvPicPr>
                      <a:picLocks noChangeAspect="1"/>
                    </pic:cNvPicPr>
                  </pic:nvPicPr>
                  <pic:blipFill>
                    <a:blip r:embed="rId49"/>
                    <a:stretch>
                      <a:fillRect/>
                    </a:stretch>
                  </pic:blipFill>
                  <pic:spPr>
                    <a:xfrm>
                      <a:off x="0" y="0"/>
                      <a:ext cx="5837503" cy="2210956"/>
                    </a:xfrm>
                    <a:prstGeom prst="rect">
                      <a:avLst/>
                    </a:prstGeom>
                  </pic:spPr>
                </pic:pic>
              </a:graphicData>
            </a:graphic>
          </wp:inline>
        </w:drawing>
      </w:r>
    </w:p>
    <w:p w14:paraId="1B103BF8">
      <w:pPr>
        <w:spacing w:line="360" w:lineRule="auto"/>
        <w:jc w:val="center"/>
        <w:rPr>
          <w:b/>
          <w:bCs/>
          <w:sz w:val="24"/>
          <w:lang w:bidi="ar"/>
        </w:rPr>
      </w:pPr>
      <w:r>
        <w:rPr>
          <w:rFonts w:hint="eastAsia"/>
          <w:b/>
          <w:bCs/>
          <w:sz w:val="24"/>
          <w:lang w:bidi="ar"/>
        </w:rPr>
        <w:t>图</w:t>
      </w:r>
      <w:r>
        <w:rPr>
          <w:b/>
          <w:bCs/>
          <w:sz w:val="24"/>
          <w:lang w:bidi="ar"/>
        </w:rPr>
        <w:t xml:space="preserve">4.2-5 </w:t>
      </w:r>
      <w:r>
        <w:rPr>
          <w:rFonts w:hint="eastAsia"/>
          <w:b/>
          <w:bCs/>
          <w:sz w:val="24"/>
          <w:lang w:bidi="ar"/>
        </w:rPr>
        <w:t>建筑群中声传播途径示意图</w:t>
      </w:r>
    </w:p>
    <w:p w14:paraId="725508FE">
      <w:pPr>
        <w:spacing w:line="360" w:lineRule="auto"/>
        <w:ind w:firstLine="480" w:firstLineChars="200"/>
        <w:rPr>
          <w:sz w:val="24"/>
          <w:lang w:bidi="ar"/>
        </w:rPr>
      </w:pPr>
      <w:r>
        <w:rPr>
          <w:rFonts w:hint="eastAsia"/>
          <w:sz w:val="24"/>
          <w:lang w:bidi="ar"/>
        </w:rPr>
        <w:t>假如声源沿线附近有成排整齐排列的建筑物时，则可将附加项包括在内（假定这一项小于在同一位置上与建筑物平均高度等高的一个屏障插入损失）。</w:t>
      </w:r>
      <w:r>
        <w:rPr>
          <w:sz w:val="24"/>
          <w:lang w:bidi="ar"/>
        </w:rPr>
        <w:t>Ahous,2按下式</w:t>
      </w:r>
      <w:r>
        <w:rPr>
          <w:rFonts w:hint="eastAsia"/>
          <w:sz w:val="24"/>
          <w:lang w:bidi="ar"/>
        </w:rPr>
        <w:t>计算</w:t>
      </w:r>
    </w:p>
    <w:p w14:paraId="4587DFA8">
      <w:pPr>
        <w:spacing w:line="360" w:lineRule="auto"/>
        <w:jc w:val="center"/>
        <w:rPr>
          <w:sz w:val="24"/>
          <w:lang w:bidi="ar"/>
        </w:rPr>
      </w:pPr>
      <w:r>
        <w:rPr>
          <w:sz w:val="24"/>
          <w:lang w:bidi="ar"/>
        </w:rPr>
        <w:drawing>
          <wp:inline distT="0" distB="0" distL="0" distR="0">
            <wp:extent cx="2352675" cy="542925"/>
            <wp:effectExtent l="0" t="0" r="0" b="9525"/>
            <wp:docPr id="144" name="图片 144" descr="图片包含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图片包含 公司名称&#10;&#10;描述已自动生成"/>
                    <pic:cNvPicPr>
                      <a:picLocks noChangeAspect="1"/>
                    </pic:cNvPicPr>
                  </pic:nvPicPr>
                  <pic:blipFill>
                    <a:blip r:embed="rId50"/>
                    <a:stretch>
                      <a:fillRect/>
                    </a:stretch>
                  </pic:blipFill>
                  <pic:spPr>
                    <a:xfrm>
                      <a:off x="0" y="0"/>
                      <a:ext cx="2353003" cy="543001"/>
                    </a:xfrm>
                    <a:prstGeom prst="rect">
                      <a:avLst/>
                    </a:prstGeom>
                  </pic:spPr>
                </pic:pic>
              </a:graphicData>
            </a:graphic>
          </wp:inline>
        </w:drawing>
      </w:r>
    </w:p>
    <w:p w14:paraId="2850D4F9">
      <w:pPr>
        <w:spacing w:line="360" w:lineRule="auto"/>
        <w:ind w:firstLine="480" w:firstLineChars="200"/>
        <w:rPr>
          <w:sz w:val="24"/>
          <w:lang w:bidi="ar"/>
        </w:rPr>
      </w:pPr>
      <w:r>
        <w:rPr>
          <w:rFonts w:hint="eastAsia"/>
          <w:sz w:val="24"/>
          <w:lang w:bidi="ar"/>
        </w:rPr>
        <w:t>式中：</w:t>
      </w:r>
      <w:r>
        <w:rPr>
          <w:sz w:val="24"/>
          <w:lang w:bidi="ar"/>
        </w:rPr>
        <w:t>p——沿声源纵向分布的建筑物正面总长度除以对应的声源长度，其值小于</w:t>
      </w:r>
      <w:r>
        <w:rPr>
          <w:rFonts w:hint="eastAsia"/>
          <w:sz w:val="24"/>
          <w:lang w:bidi="ar"/>
        </w:rPr>
        <w:t>或等于</w:t>
      </w:r>
      <w:r>
        <w:rPr>
          <w:sz w:val="24"/>
          <w:lang w:bidi="ar"/>
        </w:rPr>
        <w:t>90%。</w:t>
      </w:r>
    </w:p>
    <w:p w14:paraId="43BF0BAD">
      <w:pPr>
        <w:spacing w:line="360" w:lineRule="auto"/>
        <w:ind w:firstLine="480" w:firstLineChars="200"/>
        <w:rPr>
          <w:sz w:val="24"/>
          <w:lang w:bidi="ar"/>
        </w:rPr>
      </w:pPr>
      <w:r>
        <w:rPr>
          <w:rFonts w:hint="eastAsia"/>
          <w:sz w:val="24"/>
          <w:lang w:bidi="ar"/>
        </w:rPr>
        <w:t>在进行预测计算时，建筑群衰减</w:t>
      </w:r>
      <w:r>
        <w:rPr>
          <w:sz w:val="24"/>
          <w:lang w:bidi="ar"/>
        </w:rPr>
        <w:t>Ahous与地面效应引起的衰减Agr通常只需考虑一</w:t>
      </w:r>
      <w:r>
        <w:rPr>
          <w:rFonts w:hint="eastAsia"/>
          <w:sz w:val="24"/>
          <w:lang w:bidi="ar"/>
        </w:rPr>
        <w:t>项最主要的衰减。对于通过建筑群的声传播，一般不考虑地面效应引起的衰减</w:t>
      </w:r>
      <w:r>
        <w:rPr>
          <w:sz w:val="24"/>
          <w:lang w:bidi="ar"/>
        </w:rPr>
        <w:t>Agr；</w:t>
      </w:r>
      <w:r>
        <w:rPr>
          <w:rFonts w:hint="eastAsia"/>
          <w:sz w:val="24"/>
          <w:lang w:bidi="ar"/>
        </w:rPr>
        <w:t>但地面效应引起的衰减</w:t>
      </w:r>
      <w:r>
        <w:rPr>
          <w:sz w:val="24"/>
          <w:lang w:bidi="ar"/>
        </w:rPr>
        <w:t>Agr（假定预测点与声源之间不存在建筑群时的计算结果）大</w:t>
      </w:r>
      <w:r>
        <w:rPr>
          <w:rFonts w:hint="eastAsia"/>
          <w:sz w:val="24"/>
          <w:lang w:bidi="ar"/>
        </w:rPr>
        <w:t>于建筑群衰减</w:t>
      </w:r>
      <w:r>
        <w:rPr>
          <w:sz w:val="24"/>
          <w:lang w:bidi="ar"/>
        </w:rPr>
        <w:t>Ahous时，则不考虑建筑群插入损失Ahous</w:t>
      </w:r>
      <w:bookmarkStart w:id="150" w:name="_Hlk117699896"/>
      <w:r>
        <w:rPr>
          <w:rFonts w:hint="eastAsia"/>
          <w:sz w:val="24"/>
          <w:lang w:bidi="ar"/>
        </w:rPr>
        <w:t>。</w:t>
      </w:r>
    </w:p>
    <w:bookmarkEnd w:id="150"/>
    <w:p w14:paraId="3F3F35E5">
      <w:pPr>
        <w:spacing w:line="360" w:lineRule="auto"/>
        <w:ind w:firstLine="482" w:firstLineChars="200"/>
        <w:rPr>
          <w:b/>
          <w:bCs/>
          <w:sz w:val="24"/>
        </w:rPr>
      </w:pPr>
      <w:r>
        <w:rPr>
          <w:rFonts w:ascii="宋体" w:hAnsi="宋体" w:cs="宋体"/>
          <w:b/>
          <w:bCs/>
          <w:sz w:val="24"/>
          <w:lang w:bidi="ar"/>
        </w:rPr>
        <w:t>3</w:t>
      </w:r>
      <w:r>
        <w:rPr>
          <w:rFonts w:hint="eastAsia" w:ascii="宋体" w:hAnsi="宋体" w:cs="宋体"/>
          <w:b/>
          <w:bCs/>
          <w:sz w:val="24"/>
          <w:lang w:bidi="ar"/>
        </w:rPr>
        <w:t>）</w:t>
      </w:r>
      <w:r>
        <w:rPr>
          <w:b/>
          <w:bCs/>
          <w:sz w:val="24"/>
          <w:lang w:bidi="ar"/>
        </w:rPr>
        <w:t>由反射等引起的修正量（</w:t>
      </w:r>
      <w:r>
        <w:rPr>
          <w:rFonts w:hint="eastAsia" w:ascii="宋体" w:hAnsi="宋体" w:cs="宋体"/>
          <w:b/>
          <w:bCs/>
          <w:sz w:val="24"/>
          <w:lang w:bidi="ar"/>
        </w:rPr>
        <w:t>⊿</w:t>
      </w:r>
      <w:r>
        <w:rPr>
          <w:b/>
          <w:bCs/>
          <w:sz w:val="24"/>
          <w:lang w:bidi="ar"/>
        </w:rPr>
        <w:t>L</w:t>
      </w:r>
      <w:r>
        <w:rPr>
          <w:b/>
          <w:bCs/>
          <w:sz w:val="24"/>
          <w:vertAlign w:val="subscript"/>
          <w:lang w:bidi="ar"/>
        </w:rPr>
        <w:t>3</w:t>
      </w:r>
      <w:r>
        <w:rPr>
          <w:b/>
          <w:bCs/>
          <w:sz w:val="24"/>
          <w:lang w:bidi="ar"/>
        </w:rPr>
        <w:t>）</w:t>
      </w:r>
    </w:p>
    <w:p w14:paraId="06A9BF2C">
      <w:pPr>
        <w:spacing w:line="360" w:lineRule="auto"/>
        <w:ind w:firstLine="480" w:firstLineChars="200"/>
        <w:rPr>
          <w:sz w:val="24"/>
        </w:rPr>
      </w:pPr>
      <w:r>
        <w:rPr>
          <w:sz w:val="24"/>
          <w:lang w:bidi="ar"/>
        </w:rPr>
        <w:t>（a）城市道路交叉路口噪声（影响）修正量</w:t>
      </w:r>
    </w:p>
    <w:p w14:paraId="1C5725B4">
      <w:pPr>
        <w:spacing w:line="360" w:lineRule="auto"/>
        <w:ind w:firstLine="480" w:firstLineChars="200"/>
        <w:rPr>
          <w:sz w:val="24"/>
        </w:rPr>
      </w:pPr>
      <w:r>
        <w:rPr>
          <w:sz w:val="24"/>
          <w:lang w:bidi="ar"/>
        </w:rPr>
        <w:t>交叉路口的噪声修正量（附加值）见表4.2-4。</w:t>
      </w:r>
    </w:p>
    <w:p w14:paraId="2A4CAD22">
      <w:pPr>
        <w:spacing w:before="120" w:beforeLines="50" w:line="360" w:lineRule="auto"/>
        <w:jc w:val="center"/>
        <w:rPr>
          <w:b/>
          <w:bCs/>
          <w:kern w:val="0"/>
          <w:szCs w:val="21"/>
        </w:rPr>
      </w:pPr>
    </w:p>
    <w:p w14:paraId="55DE07E6">
      <w:pPr>
        <w:spacing w:before="120" w:beforeLines="50" w:line="360" w:lineRule="auto"/>
        <w:jc w:val="center"/>
        <w:rPr>
          <w:b/>
          <w:bCs/>
          <w:kern w:val="0"/>
          <w:szCs w:val="21"/>
        </w:rPr>
      </w:pPr>
      <w:r>
        <w:rPr>
          <w:b/>
          <w:bCs/>
          <w:kern w:val="0"/>
          <w:szCs w:val="21"/>
        </w:rPr>
        <w:t>表4.2-4  交叉路口的噪声附加量</w:t>
      </w:r>
    </w:p>
    <w:tbl>
      <w:tblPr>
        <w:tblStyle w:val="33"/>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0"/>
        <w:gridCol w:w="2942"/>
      </w:tblGrid>
      <w:tr w14:paraId="6BA8BE9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2" w:type="pct"/>
            <w:shd w:val="clear" w:color="auto" w:fill="auto"/>
            <w:vAlign w:val="center"/>
          </w:tcPr>
          <w:p w14:paraId="2491BB32">
            <w:pPr>
              <w:adjustRightInd w:val="0"/>
              <w:snapToGrid w:val="0"/>
              <w:jc w:val="center"/>
              <w:rPr>
                <w:b/>
                <w:bCs/>
              </w:rPr>
            </w:pPr>
            <w:r>
              <w:rPr>
                <w:b/>
                <w:bCs/>
                <w:lang w:bidi="ar"/>
              </w:rPr>
              <w:t>受噪声影响点至最近快车道中轴线交叉点的距离（m）</w:t>
            </w:r>
          </w:p>
        </w:tc>
        <w:tc>
          <w:tcPr>
            <w:tcW w:w="1377" w:type="pct"/>
            <w:shd w:val="clear" w:color="auto" w:fill="auto"/>
            <w:vAlign w:val="center"/>
          </w:tcPr>
          <w:p w14:paraId="56652220">
            <w:pPr>
              <w:adjustRightInd w:val="0"/>
              <w:snapToGrid w:val="0"/>
              <w:jc w:val="center"/>
              <w:rPr>
                <w:b/>
                <w:bCs/>
              </w:rPr>
            </w:pPr>
            <w:r>
              <w:rPr>
                <w:b/>
                <w:bCs/>
                <w:lang w:bidi="ar"/>
              </w:rPr>
              <w:t>交叉路口（dB）</w:t>
            </w:r>
          </w:p>
        </w:tc>
      </w:tr>
      <w:tr w14:paraId="1C138C5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2" w:type="pct"/>
            <w:shd w:val="clear" w:color="auto" w:fill="auto"/>
            <w:vAlign w:val="center"/>
          </w:tcPr>
          <w:p w14:paraId="727F264B">
            <w:pPr>
              <w:adjustRightInd w:val="0"/>
              <w:snapToGrid w:val="0"/>
              <w:jc w:val="center"/>
            </w:pPr>
            <w:r>
              <w:rPr>
                <w:lang w:bidi="ar"/>
              </w:rPr>
              <w:t>≤40</w:t>
            </w:r>
          </w:p>
        </w:tc>
        <w:tc>
          <w:tcPr>
            <w:tcW w:w="1377" w:type="pct"/>
            <w:shd w:val="clear" w:color="auto" w:fill="auto"/>
            <w:vAlign w:val="center"/>
          </w:tcPr>
          <w:p w14:paraId="31C39D17">
            <w:pPr>
              <w:adjustRightInd w:val="0"/>
              <w:snapToGrid w:val="0"/>
              <w:jc w:val="center"/>
            </w:pPr>
            <w:r>
              <w:rPr>
                <w:lang w:bidi="ar"/>
              </w:rPr>
              <w:t>3</w:t>
            </w:r>
          </w:p>
        </w:tc>
      </w:tr>
      <w:tr w14:paraId="403E61C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2" w:type="pct"/>
            <w:shd w:val="clear" w:color="auto" w:fill="auto"/>
            <w:vAlign w:val="center"/>
          </w:tcPr>
          <w:p w14:paraId="3FF3841F">
            <w:pPr>
              <w:adjustRightInd w:val="0"/>
              <w:snapToGrid w:val="0"/>
              <w:jc w:val="center"/>
            </w:pPr>
            <w:r>
              <w:rPr>
                <w:lang w:bidi="ar"/>
              </w:rPr>
              <w:t>40＜D≤70</w:t>
            </w:r>
          </w:p>
        </w:tc>
        <w:tc>
          <w:tcPr>
            <w:tcW w:w="1377" w:type="pct"/>
            <w:shd w:val="clear" w:color="auto" w:fill="auto"/>
            <w:vAlign w:val="center"/>
          </w:tcPr>
          <w:p w14:paraId="2C6588D9">
            <w:pPr>
              <w:adjustRightInd w:val="0"/>
              <w:snapToGrid w:val="0"/>
              <w:jc w:val="center"/>
            </w:pPr>
            <w:r>
              <w:rPr>
                <w:lang w:bidi="ar"/>
              </w:rPr>
              <w:t>2</w:t>
            </w:r>
          </w:p>
        </w:tc>
      </w:tr>
      <w:tr w14:paraId="41AC21A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2" w:type="pct"/>
            <w:shd w:val="clear" w:color="auto" w:fill="auto"/>
            <w:vAlign w:val="center"/>
          </w:tcPr>
          <w:p w14:paraId="470ABCCA">
            <w:pPr>
              <w:adjustRightInd w:val="0"/>
              <w:snapToGrid w:val="0"/>
              <w:jc w:val="center"/>
            </w:pPr>
            <w:r>
              <w:rPr>
                <w:lang w:bidi="ar"/>
              </w:rPr>
              <w:t>70＜D≤100</w:t>
            </w:r>
          </w:p>
        </w:tc>
        <w:tc>
          <w:tcPr>
            <w:tcW w:w="1377" w:type="pct"/>
            <w:shd w:val="clear" w:color="auto" w:fill="auto"/>
            <w:vAlign w:val="center"/>
          </w:tcPr>
          <w:p w14:paraId="41BE9311">
            <w:pPr>
              <w:adjustRightInd w:val="0"/>
              <w:snapToGrid w:val="0"/>
              <w:jc w:val="center"/>
            </w:pPr>
            <w:r>
              <w:rPr>
                <w:lang w:bidi="ar"/>
              </w:rPr>
              <w:t>1</w:t>
            </w:r>
          </w:p>
        </w:tc>
      </w:tr>
      <w:tr w14:paraId="5FFD360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2" w:type="pct"/>
            <w:shd w:val="clear" w:color="auto" w:fill="auto"/>
            <w:vAlign w:val="center"/>
          </w:tcPr>
          <w:p w14:paraId="7AD04C80">
            <w:pPr>
              <w:adjustRightInd w:val="0"/>
              <w:snapToGrid w:val="0"/>
              <w:jc w:val="center"/>
            </w:pPr>
            <w:r>
              <w:rPr>
                <w:lang w:bidi="ar"/>
              </w:rPr>
              <w:t>＞100</w:t>
            </w:r>
          </w:p>
        </w:tc>
        <w:tc>
          <w:tcPr>
            <w:tcW w:w="1377" w:type="pct"/>
            <w:shd w:val="clear" w:color="auto" w:fill="auto"/>
            <w:vAlign w:val="center"/>
          </w:tcPr>
          <w:p w14:paraId="3CDC1B6F">
            <w:pPr>
              <w:adjustRightInd w:val="0"/>
              <w:snapToGrid w:val="0"/>
              <w:jc w:val="center"/>
            </w:pPr>
            <w:r>
              <w:rPr>
                <w:lang w:bidi="ar"/>
              </w:rPr>
              <w:t>0</w:t>
            </w:r>
          </w:p>
        </w:tc>
      </w:tr>
    </w:tbl>
    <w:p w14:paraId="6686F200">
      <w:pPr>
        <w:spacing w:line="360" w:lineRule="auto"/>
        <w:ind w:firstLine="480" w:firstLineChars="200"/>
        <w:rPr>
          <w:sz w:val="24"/>
        </w:rPr>
      </w:pPr>
      <w:r>
        <w:rPr>
          <w:sz w:val="24"/>
          <w:lang w:bidi="ar"/>
        </w:rPr>
        <w:t>（b）两侧建筑物的反射修正量</w:t>
      </w:r>
    </w:p>
    <w:p w14:paraId="2633FC5D">
      <w:pPr>
        <w:spacing w:line="360" w:lineRule="auto"/>
        <w:ind w:firstLine="480" w:firstLineChars="200"/>
        <w:rPr>
          <w:sz w:val="24"/>
        </w:rPr>
      </w:pPr>
      <w:r>
        <w:rPr>
          <w:sz w:val="24"/>
          <w:lang w:bidi="ar"/>
        </w:rPr>
        <w:t>地貌以及生源两侧建筑物反射影响因素的修正。当线路两侧建筑物间距小于总计算高度30%时，其反射声修正为：</w:t>
      </w:r>
    </w:p>
    <w:p w14:paraId="0F200661">
      <w:pPr>
        <w:spacing w:line="360" w:lineRule="auto"/>
        <w:ind w:firstLine="480" w:firstLineChars="200"/>
        <w:rPr>
          <w:sz w:val="24"/>
        </w:rPr>
      </w:pPr>
      <w:r>
        <w:rPr>
          <w:sz w:val="24"/>
          <w:lang w:bidi="ar"/>
        </w:rPr>
        <w:t>两侧建筑物是反射面时：</w:t>
      </w:r>
    </w:p>
    <w:p w14:paraId="65D6F337">
      <w:pPr>
        <w:spacing w:line="360" w:lineRule="auto"/>
        <w:ind w:firstLine="480" w:firstLineChars="200"/>
        <w:rPr>
          <w:sz w:val="24"/>
        </w:rPr>
      </w:pPr>
      <w:r>
        <w:rPr>
          <w:rFonts w:hint="eastAsia" w:ascii="宋体" w:hAnsi="宋体" w:cs="宋体"/>
          <w:sz w:val="24"/>
          <w:lang w:bidi="ar"/>
        </w:rPr>
        <w:t>⊿</w:t>
      </w:r>
      <w:r>
        <w:rPr>
          <w:sz w:val="24"/>
          <w:lang w:bidi="ar"/>
        </w:rPr>
        <w:t>L</w:t>
      </w:r>
      <w:r>
        <w:rPr>
          <w:sz w:val="24"/>
          <w:vertAlign w:val="subscript"/>
          <w:lang w:bidi="ar"/>
        </w:rPr>
        <w:t>反射</w:t>
      </w:r>
      <w:r>
        <w:rPr>
          <w:sz w:val="24"/>
          <w:lang w:bidi="ar"/>
        </w:rPr>
        <w:t>=4H</w:t>
      </w:r>
      <w:r>
        <w:rPr>
          <w:sz w:val="24"/>
          <w:vertAlign w:val="subscript"/>
          <w:lang w:bidi="ar"/>
        </w:rPr>
        <w:t>b</w:t>
      </w:r>
      <w:r>
        <w:rPr>
          <w:sz w:val="24"/>
          <w:lang w:bidi="ar"/>
        </w:rPr>
        <w:t>/w  ≤3.2dB</w:t>
      </w:r>
    </w:p>
    <w:p w14:paraId="3E90BBA1">
      <w:pPr>
        <w:spacing w:line="360" w:lineRule="auto"/>
        <w:ind w:firstLine="480" w:firstLineChars="200"/>
        <w:rPr>
          <w:sz w:val="24"/>
        </w:rPr>
      </w:pPr>
      <w:r>
        <w:rPr>
          <w:sz w:val="24"/>
          <w:lang w:bidi="ar"/>
        </w:rPr>
        <w:t>两侧建筑物是一般吸收性表面时：</w:t>
      </w:r>
    </w:p>
    <w:p w14:paraId="6C7AD0B9">
      <w:pPr>
        <w:spacing w:line="360" w:lineRule="auto"/>
        <w:ind w:firstLine="480" w:firstLineChars="200"/>
        <w:rPr>
          <w:sz w:val="24"/>
        </w:rPr>
      </w:pPr>
      <w:r>
        <w:rPr>
          <w:rFonts w:hint="eastAsia" w:ascii="宋体" w:hAnsi="宋体" w:cs="宋体"/>
          <w:sz w:val="24"/>
          <w:lang w:bidi="ar"/>
        </w:rPr>
        <w:t>⊿</w:t>
      </w:r>
      <w:r>
        <w:rPr>
          <w:sz w:val="24"/>
          <w:lang w:bidi="ar"/>
        </w:rPr>
        <w:t>L</w:t>
      </w:r>
      <w:r>
        <w:rPr>
          <w:sz w:val="24"/>
          <w:vertAlign w:val="subscript"/>
          <w:lang w:bidi="ar"/>
        </w:rPr>
        <w:t>反射</w:t>
      </w:r>
      <w:r>
        <w:rPr>
          <w:sz w:val="24"/>
          <w:lang w:bidi="ar"/>
        </w:rPr>
        <w:t>=2H</w:t>
      </w:r>
      <w:r>
        <w:rPr>
          <w:sz w:val="24"/>
          <w:vertAlign w:val="subscript"/>
          <w:lang w:bidi="ar"/>
        </w:rPr>
        <w:t>b</w:t>
      </w:r>
      <w:r>
        <w:rPr>
          <w:sz w:val="24"/>
          <w:lang w:bidi="ar"/>
        </w:rPr>
        <w:t>/w  ≤1.6dB</w:t>
      </w:r>
    </w:p>
    <w:p w14:paraId="665D8B1E">
      <w:pPr>
        <w:spacing w:line="360" w:lineRule="auto"/>
        <w:ind w:firstLine="480" w:firstLineChars="200"/>
        <w:rPr>
          <w:sz w:val="24"/>
        </w:rPr>
      </w:pPr>
      <w:r>
        <w:rPr>
          <w:sz w:val="24"/>
          <w:lang w:bidi="ar"/>
        </w:rPr>
        <w:t>两侧建筑物为全吸收表面时：</w:t>
      </w:r>
    </w:p>
    <w:p w14:paraId="76A66B5C">
      <w:pPr>
        <w:spacing w:line="360" w:lineRule="auto"/>
        <w:ind w:firstLine="480" w:firstLineChars="200"/>
        <w:rPr>
          <w:sz w:val="24"/>
        </w:rPr>
      </w:pPr>
      <w:r>
        <w:rPr>
          <w:rFonts w:hint="eastAsia" w:ascii="宋体" w:hAnsi="宋体" w:cs="宋体"/>
          <w:sz w:val="24"/>
          <w:lang w:bidi="ar"/>
        </w:rPr>
        <w:t>⊿</w:t>
      </w:r>
      <w:r>
        <w:rPr>
          <w:sz w:val="24"/>
          <w:lang w:bidi="ar"/>
        </w:rPr>
        <w:t>L</w:t>
      </w:r>
      <w:r>
        <w:rPr>
          <w:sz w:val="24"/>
          <w:vertAlign w:val="subscript"/>
          <w:lang w:bidi="ar"/>
        </w:rPr>
        <w:t>反射</w:t>
      </w:r>
      <w:r>
        <w:rPr>
          <w:sz w:val="24"/>
          <w:lang w:bidi="ar"/>
        </w:rPr>
        <w:t>≈0</w:t>
      </w:r>
    </w:p>
    <w:p w14:paraId="63DDE0E1">
      <w:pPr>
        <w:spacing w:line="360" w:lineRule="auto"/>
        <w:ind w:firstLine="480" w:firstLineChars="200"/>
        <w:rPr>
          <w:sz w:val="24"/>
        </w:rPr>
      </w:pPr>
      <w:r>
        <w:rPr>
          <w:sz w:val="24"/>
          <w:lang w:bidi="ar"/>
        </w:rPr>
        <w:t>式中：</w:t>
      </w:r>
    </w:p>
    <w:p w14:paraId="0DCF58E7">
      <w:pPr>
        <w:spacing w:line="360" w:lineRule="auto"/>
        <w:ind w:firstLine="480" w:firstLineChars="200"/>
        <w:rPr>
          <w:sz w:val="24"/>
        </w:rPr>
      </w:pPr>
      <w:r>
        <w:rPr>
          <w:sz w:val="24"/>
          <w:lang w:bidi="ar"/>
        </w:rPr>
        <w:t>W——线路两侧建筑物反射面的间距，m；</w:t>
      </w:r>
    </w:p>
    <w:p w14:paraId="3C469E22">
      <w:pPr>
        <w:spacing w:line="360" w:lineRule="auto"/>
        <w:ind w:firstLine="480" w:firstLineChars="200"/>
        <w:rPr>
          <w:sz w:val="24"/>
          <w:lang w:bidi="ar"/>
        </w:rPr>
      </w:pPr>
      <w:r>
        <w:rPr>
          <w:sz w:val="24"/>
          <w:lang w:bidi="ar"/>
        </w:rPr>
        <w:t>H</w:t>
      </w:r>
      <w:r>
        <w:rPr>
          <w:sz w:val="24"/>
          <w:vertAlign w:val="subscript"/>
          <w:lang w:bidi="ar"/>
        </w:rPr>
        <w:t>b</w:t>
      </w:r>
      <w:r>
        <w:rPr>
          <w:sz w:val="24"/>
          <w:lang w:bidi="ar"/>
        </w:rPr>
        <w:t>——构筑物的平均高度，h，取线路两侧较低一侧高度平均值代入计算，m。本项目不考虑两侧建筑物的反射修正量。</w:t>
      </w:r>
    </w:p>
    <w:p w14:paraId="4FDA6D62">
      <w:pPr>
        <w:spacing w:line="360" w:lineRule="auto"/>
        <w:ind w:firstLine="480" w:firstLineChars="200"/>
        <w:rPr>
          <w:sz w:val="24"/>
          <w:lang w:bidi="ar"/>
        </w:rPr>
      </w:pPr>
    </w:p>
    <w:p w14:paraId="1D53CDF2">
      <w:pPr>
        <w:spacing w:line="360" w:lineRule="auto"/>
        <w:ind w:firstLine="480" w:firstLineChars="200"/>
        <w:rPr>
          <w:sz w:val="24"/>
          <w:lang w:bidi="ar"/>
        </w:rPr>
        <w:sectPr>
          <w:pgSz w:w="11906" w:h="16838"/>
          <w:pgMar w:top="720" w:right="720" w:bottom="720" w:left="720" w:header="851" w:footer="567" w:gutter="0"/>
          <w:cols w:space="720" w:num="1"/>
          <w:docGrid w:linePitch="312" w:charSpace="0"/>
        </w:sectPr>
      </w:pPr>
    </w:p>
    <w:p w14:paraId="298999BB">
      <w:pPr>
        <w:spacing w:line="360" w:lineRule="auto"/>
        <w:ind w:firstLine="482" w:firstLineChars="200"/>
        <w:rPr>
          <w:b/>
          <w:bCs/>
          <w:sz w:val="24"/>
        </w:rPr>
      </w:pPr>
      <w:r>
        <w:rPr>
          <w:rFonts w:hint="eastAsia"/>
          <w:b/>
          <w:bCs/>
          <w:sz w:val="24"/>
          <w:lang w:bidi="ar"/>
        </w:rPr>
        <w:t>C、</w:t>
      </w:r>
      <w:r>
        <w:rPr>
          <w:b/>
          <w:bCs/>
          <w:sz w:val="24"/>
          <w:lang w:bidi="ar"/>
        </w:rPr>
        <w:t>本项目主要预测参数选定</w:t>
      </w:r>
    </w:p>
    <w:p w14:paraId="0AA84C4C">
      <w:pPr>
        <w:spacing w:line="360" w:lineRule="auto"/>
        <w:ind w:firstLine="482" w:firstLineChars="200"/>
        <w:rPr>
          <w:b/>
          <w:bCs/>
          <w:sz w:val="24"/>
          <w:lang w:bidi="ar"/>
        </w:rPr>
      </w:pPr>
      <w:r>
        <w:rPr>
          <w:rFonts w:hint="eastAsia"/>
          <w:b/>
          <w:bCs/>
          <w:sz w:val="24"/>
          <w:lang w:bidi="ar"/>
        </w:rPr>
        <w:t>（1）噪声预测参数选取</w:t>
      </w:r>
    </w:p>
    <w:p w14:paraId="35A45DF9">
      <w:pPr>
        <w:spacing w:line="360" w:lineRule="auto"/>
        <w:ind w:firstLine="480" w:firstLineChars="200"/>
        <w:rPr>
          <w:sz w:val="24"/>
        </w:rPr>
      </w:pPr>
      <w:r>
        <w:rPr>
          <w:sz w:val="24"/>
          <w:lang w:bidi="ar"/>
        </w:rPr>
        <w:t>根据项目设计文件，交通噪声预测主要参数选定见下表。</w:t>
      </w:r>
    </w:p>
    <w:p w14:paraId="216F021A">
      <w:pPr>
        <w:spacing w:before="120" w:beforeLines="50" w:line="360" w:lineRule="auto"/>
        <w:jc w:val="center"/>
        <w:rPr>
          <w:b/>
          <w:bCs/>
          <w:kern w:val="0"/>
          <w:szCs w:val="21"/>
        </w:rPr>
      </w:pPr>
      <w:r>
        <w:rPr>
          <w:b/>
          <w:bCs/>
          <w:kern w:val="0"/>
          <w:szCs w:val="21"/>
        </w:rPr>
        <w:t>表4.2-5  交通噪声预测主要参数</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803"/>
        <w:gridCol w:w="1128"/>
        <w:gridCol w:w="3455"/>
        <w:gridCol w:w="1675"/>
        <w:gridCol w:w="2784"/>
      </w:tblGrid>
      <w:tr w14:paraId="57F72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tcBorders>
              <w:top w:val="single" w:color="auto" w:sz="18" w:space="0"/>
            </w:tcBorders>
            <w:shd w:val="clear" w:color="auto" w:fill="auto"/>
            <w:vAlign w:val="center"/>
          </w:tcPr>
          <w:p w14:paraId="262A8992">
            <w:pPr>
              <w:jc w:val="center"/>
              <w:rPr>
                <w:b/>
                <w:bCs/>
                <w:kern w:val="0"/>
                <w:szCs w:val="21"/>
              </w:rPr>
            </w:pPr>
            <w:r>
              <w:rPr>
                <w:b/>
                <w:bCs/>
                <w:szCs w:val="21"/>
              </w:rPr>
              <w:t>序号</w:t>
            </w:r>
          </w:p>
        </w:tc>
        <w:tc>
          <w:tcPr>
            <w:tcW w:w="904" w:type="pct"/>
            <w:gridSpan w:val="2"/>
            <w:tcBorders>
              <w:top w:val="single" w:color="auto" w:sz="18" w:space="0"/>
            </w:tcBorders>
            <w:shd w:val="clear" w:color="auto" w:fill="auto"/>
            <w:vAlign w:val="center"/>
          </w:tcPr>
          <w:p w14:paraId="0FFB7ECE">
            <w:pPr>
              <w:jc w:val="center"/>
              <w:rPr>
                <w:b/>
                <w:bCs/>
                <w:kern w:val="0"/>
                <w:szCs w:val="21"/>
              </w:rPr>
            </w:pPr>
            <w:r>
              <w:rPr>
                <w:b/>
                <w:bCs/>
                <w:szCs w:val="21"/>
              </w:rPr>
              <w:t>参数</w:t>
            </w:r>
          </w:p>
        </w:tc>
        <w:tc>
          <w:tcPr>
            <w:tcW w:w="1617" w:type="pct"/>
            <w:tcBorders>
              <w:top w:val="single" w:color="auto" w:sz="18" w:space="0"/>
            </w:tcBorders>
            <w:shd w:val="clear" w:color="auto" w:fill="auto"/>
            <w:vAlign w:val="center"/>
          </w:tcPr>
          <w:p w14:paraId="52CBCD15">
            <w:pPr>
              <w:jc w:val="center"/>
              <w:rPr>
                <w:b/>
                <w:bCs/>
                <w:kern w:val="0"/>
                <w:szCs w:val="21"/>
              </w:rPr>
            </w:pPr>
            <w:r>
              <w:rPr>
                <w:b/>
                <w:bCs/>
                <w:szCs w:val="21"/>
              </w:rPr>
              <w:t>参数意义</w:t>
            </w:r>
          </w:p>
        </w:tc>
        <w:tc>
          <w:tcPr>
            <w:tcW w:w="784" w:type="pct"/>
            <w:tcBorders>
              <w:top w:val="single" w:color="auto" w:sz="18" w:space="0"/>
            </w:tcBorders>
            <w:shd w:val="clear" w:color="auto" w:fill="auto"/>
            <w:vAlign w:val="center"/>
          </w:tcPr>
          <w:p w14:paraId="186C2F14">
            <w:pPr>
              <w:jc w:val="center"/>
              <w:rPr>
                <w:b/>
                <w:bCs/>
                <w:kern w:val="0"/>
                <w:szCs w:val="21"/>
              </w:rPr>
            </w:pPr>
            <w:r>
              <w:rPr>
                <w:b/>
                <w:bCs/>
                <w:szCs w:val="21"/>
              </w:rPr>
              <w:t>选取值</w:t>
            </w:r>
          </w:p>
        </w:tc>
        <w:tc>
          <w:tcPr>
            <w:tcW w:w="1303" w:type="pct"/>
            <w:tcBorders>
              <w:top w:val="single" w:color="auto" w:sz="18" w:space="0"/>
            </w:tcBorders>
            <w:shd w:val="clear" w:color="auto" w:fill="auto"/>
            <w:vAlign w:val="center"/>
          </w:tcPr>
          <w:p w14:paraId="60158F2C">
            <w:pPr>
              <w:jc w:val="center"/>
              <w:rPr>
                <w:b/>
                <w:bCs/>
                <w:kern w:val="0"/>
                <w:szCs w:val="21"/>
              </w:rPr>
            </w:pPr>
            <w:r>
              <w:rPr>
                <w:b/>
                <w:bCs/>
                <w:szCs w:val="21"/>
              </w:rPr>
              <w:t>说明</w:t>
            </w:r>
          </w:p>
        </w:tc>
      </w:tr>
      <w:tr w14:paraId="11FE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shd w:val="clear" w:color="auto" w:fill="auto"/>
            <w:vAlign w:val="center"/>
          </w:tcPr>
          <w:p w14:paraId="42A9ECC8">
            <w:pPr>
              <w:jc w:val="center"/>
              <w:rPr>
                <w:bCs/>
                <w:kern w:val="0"/>
                <w:szCs w:val="21"/>
              </w:rPr>
            </w:pPr>
            <w:r>
              <w:rPr>
                <w:bCs/>
                <w:kern w:val="0"/>
                <w:szCs w:val="21"/>
              </w:rPr>
              <w:t>1</w:t>
            </w:r>
          </w:p>
        </w:tc>
        <w:tc>
          <w:tcPr>
            <w:tcW w:w="376" w:type="pct"/>
            <w:shd w:val="clear" w:color="auto" w:fill="auto"/>
            <w:vAlign w:val="center"/>
          </w:tcPr>
          <w:p w14:paraId="36C0FBD7">
            <w:pPr>
              <w:jc w:val="center"/>
              <w:rPr>
                <w:bCs/>
                <w:kern w:val="0"/>
                <w:szCs w:val="21"/>
              </w:rPr>
            </w:pPr>
            <w:r>
              <w:rPr>
                <w:szCs w:val="21"/>
              </w:rPr>
              <w:t>声源</w:t>
            </w:r>
          </w:p>
        </w:tc>
        <w:tc>
          <w:tcPr>
            <w:tcW w:w="528" w:type="pct"/>
            <w:shd w:val="clear" w:color="auto" w:fill="auto"/>
            <w:vAlign w:val="center"/>
          </w:tcPr>
          <w:p w14:paraId="1E62FE4A">
            <w:pPr>
              <w:jc w:val="center"/>
              <w:rPr>
                <w:bCs/>
                <w:kern w:val="0"/>
                <w:szCs w:val="21"/>
              </w:rPr>
            </w:pPr>
            <w:r>
              <w:rPr>
                <w:szCs w:val="21"/>
              </w:rPr>
              <w:t>噪声级</w:t>
            </w:r>
          </w:p>
        </w:tc>
        <w:tc>
          <w:tcPr>
            <w:tcW w:w="1617" w:type="pct"/>
            <w:shd w:val="clear" w:color="auto" w:fill="auto"/>
            <w:vAlign w:val="center"/>
          </w:tcPr>
          <w:p w14:paraId="2D40656C">
            <w:pPr>
              <w:jc w:val="center"/>
              <w:rPr>
                <w:bCs/>
                <w:kern w:val="0"/>
                <w:szCs w:val="21"/>
              </w:rPr>
            </w:pPr>
            <w:r>
              <w:rPr>
                <w:szCs w:val="21"/>
              </w:rPr>
              <w:t>第i类车的参考能量平均辐射声级 dB（A）</w:t>
            </w:r>
          </w:p>
        </w:tc>
        <w:tc>
          <w:tcPr>
            <w:tcW w:w="784" w:type="pct"/>
            <w:shd w:val="clear" w:color="auto" w:fill="auto"/>
            <w:vAlign w:val="center"/>
          </w:tcPr>
          <w:p w14:paraId="112B83F3">
            <w:pPr>
              <w:jc w:val="center"/>
              <w:rPr>
                <w:bCs/>
                <w:kern w:val="0"/>
                <w:szCs w:val="21"/>
              </w:rPr>
            </w:pPr>
            <w:r>
              <w:rPr>
                <w:szCs w:val="21"/>
              </w:rPr>
              <w:t>见表2.</w:t>
            </w:r>
            <w:r>
              <w:rPr>
                <w:rFonts w:hint="eastAsia"/>
                <w:szCs w:val="21"/>
              </w:rPr>
              <w:t>5</w:t>
            </w:r>
            <w:r>
              <w:rPr>
                <w:szCs w:val="21"/>
              </w:rPr>
              <w:t>-</w:t>
            </w:r>
            <w:r>
              <w:rPr>
                <w:rFonts w:hint="eastAsia"/>
                <w:szCs w:val="21"/>
              </w:rPr>
              <w:t>4</w:t>
            </w:r>
          </w:p>
        </w:tc>
        <w:tc>
          <w:tcPr>
            <w:tcW w:w="1303" w:type="pct"/>
            <w:shd w:val="clear" w:color="auto" w:fill="auto"/>
            <w:vAlign w:val="center"/>
          </w:tcPr>
          <w:p w14:paraId="742EBD06">
            <w:pPr>
              <w:jc w:val="center"/>
              <w:rPr>
                <w:bCs/>
                <w:kern w:val="0"/>
                <w:szCs w:val="21"/>
              </w:rPr>
            </w:pPr>
            <w:r>
              <w:rPr>
                <w:szCs w:val="21"/>
              </w:rPr>
              <w:t>第 i 型车在参照点（7.5m处）的平均辐射噪声级计算公式</w:t>
            </w:r>
          </w:p>
        </w:tc>
      </w:tr>
      <w:tr w14:paraId="36227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shd w:val="clear" w:color="auto" w:fill="auto"/>
            <w:vAlign w:val="center"/>
          </w:tcPr>
          <w:p w14:paraId="399231D3">
            <w:pPr>
              <w:jc w:val="center"/>
              <w:rPr>
                <w:bCs/>
                <w:kern w:val="0"/>
                <w:szCs w:val="21"/>
              </w:rPr>
            </w:pPr>
            <w:r>
              <w:rPr>
                <w:bCs/>
                <w:kern w:val="0"/>
                <w:szCs w:val="21"/>
              </w:rPr>
              <w:t>2</w:t>
            </w:r>
          </w:p>
        </w:tc>
        <w:tc>
          <w:tcPr>
            <w:tcW w:w="376" w:type="pct"/>
            <w:shd w:val="clear" w:color="auto" w:fill="auto"/>
            <w:vAlign w:val="center"/>
          </w:tcPr>
          <w:p w14:paraId="6AF8E220">
            <w:pPr>
              <w:jc w:val="center"/>
              <w:rPr>
                <w:bCs/>
                <w:kern w:val="0"/>
                <w:szCs w:val="21"/>
              </w:rPr>
            </w:pPr>
            <w:r>
              <w:rPr>
                <w:szCs w:val="21"/>
              </w:rPr>
              <w:t>声源</w:t>
            </w:r>
          </w:p>
        </w:tc>
        <w:tc>
          <w:tcPr>
            <w:tcW w:w="528" w:type="pct"/>
            <w:shd w:val="clear" w:color="auto" w:fill="auto"/>
            <w:vAlign w:val="center"/>
          </w:tcPr>
          <w:p w14:paraId="78F970A2">
            <w:pPr>
              <w:jc w:val="center"/>
              <w:rPr>
                <w:bCs/>
                <w:kern w:val="0"/>
                <w:szCs w:val="21"/>
              </w:rPr>
            </w:pPr>
            <w:r>
              <w:rPr>
                <w:szCs w:val="21"/>
              </w:rPr>
              <w:t>车流量</w:t>
            </w:r>
          </w:p>
        </w:tc>
        <w:tc>
          <w:tcPr>
            <w:tcW w:w="1617" w:type="pct"/>
            <w:shd w:val="clear" w:color="auto" w:fill="auto"/>
            <w:vAlign w:val="center"/>
          </w:tcPr>
          <w:p w14:paraId="560007D1">
            <w:pPr>
              <w:jc w:val="center"/>
              <w:rPr>
                <w:bCs/>
                <w:kern w:val="0"/>
                <w:szCs w:val="21"/>
              </w:rPr>
            </w:pPr>
            <w:r>
              <w:rPr>
                <w:szCs w:val="21"/>
              </w:rPr>
              <w:t>指定的时间T内通过某预测点的第i类车流量，辆/h见表2.3-4设计方案给出的近、中、远期昼间平均和夜间平均车流量（辆/h）预测计</w:t>
            </w:r>
          </w:p>
        </w:tc>
        <w:tc>
          <w:tcPr>
            <w:tcW w:w="784" w:type="pct"/>
            <w:shd w:val="clear" w:color="auto" w:fill="auto"/>
            <w:vAlign w:val="center"/>
          </w:tcPr>
          <w:p w14:paraId="2FC32580">
            <w:pPr>
              <w:jc w:val="center"/>
              <w:rPr>
                <w:bCs/>
                <w:kern w:val="0"/>
                <w:szCs w:val="21"/>
              </w:rPr>
            </w:pPr>
            <w:r>
              <w:rPr>
                <w:bCs/>
                <w:kern w:val="0"/>
                <w:szCs w:val="21"/>
              </w:rPr>
              <w:t>见表2.3-4</w:t>
            </w:r>
          </w:p>
        </w:tc>
        <w:tc>
          <w:tcPr>
            <w:tcW w:w="1303" w:type="pct"/>
            <w:shd w:val="clear" w:color="auto" w:fill="auto"/>
            <w:vAlign w:val="center"/>
          </w:tcPr>
          <w:p w14:paraId="502E3922">
            <w:pPr>
              <w:jc w:val="center"/>
              <w:rPr>
                <w:bCs/>
                <w:kern w:val="0"/>
                <w:szCs w:val="21"/>
              </w:rPr>
            </w:pPr>
            <w:r>
              <w:rPr>
                <w:szCs w:val="21"/>
              </w:rPr>
              <w:t>设计方案给出的近、中、远期昼间平均和夜间平均车流量（辆/h）预测计算</w:t>
            </w:r>
          </w:p>
        </w:tc>
      </w:tr>
      <w:tr w14:paraId="4BB1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restart"/>
            <w:shd w:val="clear" w:color="auto" w:fill="auto"/>
            <w:vAlign w:val="center"/>
          </w:tcPr>
          <w:p w14:paraId="2FCFABFD">
            <w:pPr>
              <w:jc w:val="center"/>
              <w:rPr>
                <w:bCs/>
                <w:kern w:val="0"/>
                <w:szCs w:val="21"/>
              </w:rPr>
            </w:pPr>
            <w:r>
              <w:rPr>
                <w:bCs/>
                <w:kern w:val="0"/>
                <w:szCs w:val="21"/>
              </w:rPr>
              <w:t>3</w:t>
            </w:r>
          </w:p>
        </w:tc>
        <w:tc>
          <w:tcPr>
            <w:tcW w:w="376" w:type="pct"/>
            <w:vMerge w:val="restart"/>
            <w:shd w:val="clear" w:color="auto" w:fill="auto"/>
            <w:vAlign w:val="center"/>
          </w:tcPr>
          <w:p w14:paraId="1E8F587F">
            <w:pPr>
              <w:jc w:val="center"/>
              <w:rPr>
                <w:bCs/>
                <w:kern w:val="0"/>
                <w:szCs w:val="21"/>
              </w:rPr>
            </w:pPr>
            <w:r>
              <w:rPr>
                <w:bCs/>
                <w:kern w:val="0"/>
                <w:szCs w:val="21"/>
              </w:rPr>
              <w:t>工程参数</w:t>
            </w:r>
          </w:p>
        </w:tc>
        <w:tc>
          <w:tcPr>
            <w:tcW w:w="528" w:type="pct"/>
            <w:shd w:val="clear" w:color="auto" w:fill="auto"/>
            <w:vAlign w:val="center"/>
          </w:tcPr>
          <w:p w14:paraId="39A3D3C4">
            <w:pPr>
              <w:jc w:val="center"/>
              <w:rPr>
                <w:bCs/>
                <w:kern w:val="0"/>
                <w:szCs w:val="21"/>
              </w:rPr>
            </w:pPr>
            <w:r>
              <w:rPr>
                <w:szCs w:val="21"/>
              </w:rPr>
              <w:t>车速</w:t>
            </w:r>
          </w:p>
        </w:tc>
        <w:tc>
          <w:tcPr>
            <w:tcW w:w="1617" w:type="pct"/>
            <w:shd w:val="clear" w:color="auto" w:fill="auto"/>
            <w:vAlign w:val="center"/>
          </w:tcPr>
          <w:p w14:paraId="37894DF3">
            <w:pPr>
              <w:jc w:val="center"/>
              <w:rPr>
                <w:bCs/>
                <w:kern w:val="0"/>
                <w:szCs w:val="21"/>
              </w:rPr>
            </w:pPr>
            <w:r>
              <w:rPr>
                <w:szCs w:val="21"/>
              </w:rPr>
              <w:t>第i类车的平均车速km/h</w:t>
            </w:r>
          </w:p>
        </w:tc>
        <w:tc>
          <w:tcPr>
            <w:tcW w:w="2087" w:type="pct"/>
            <w:gridSpan w:val="2"/>
            <w:shd w:val="clear" w:color="auto" w:fill="auto"/>
            <w:vAlign w:val="center"/>
          </w:tcPr>
          <w:p w14:paraId="69666941">
            <w:pPr>
              <w:jc w:val="center"/>
              <w:rPr>
                <w:bCs/>
                <w:kern w:val="0"/>
                <w:szCs w:val="21"/>
              </w:rPr>
            </w:pPr>
            <w:r>
              <w:rPr>
                <w:szCs w:val="21"/>
              </w:rPr>
              <w:t>项目为</w:t>
            </w:r>
            <w:r>
              <w:rPr>
                <w:rFonts w:hint="eastAsia"/>
                <w:szCs w:val="21"/>
              </w:rPr>
              <w:t>城市主干路</w:t>
            </w:r>
            <w:r>
              <w:rPr>
                <w:szCs w:val="21"/>
              </w:rPr>
              <w:t>，设计车速</w:t>
            </w:r>
            <w:r>
              <w:rPr>
                <w:rFonts w:hint="eastAsia"/>
                <w:szCs w:val="21"/>
              </w:rPr>
              <w:t>60</w:t>
            </w:r>
            <w:r>
              <w:rPr>
                <w:szCs w:val="21"/>
              </w:rPr>
              <w:t>km/h</w:t>
            </w:r>
            <w:r>
              <w:rPr>
                <w:rFonts w:hint="eastAsia"/>
                <w:szCs w:val="21"/>
              </w:rPr>
              <w:t>，平均车速见表2.5-2</w:t>
            </w:r>
          </w:p>
        </w:tc>
      </w:tr>
      <w:tr w14:paraId="1756A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36930707">
            <w:pPr>
              <w:jc w:val="center"/>
              <w:rPr>
                <w:bCs/>
                <w:kern w:val="0"/>
                <w:szCs w:val="21"/>
              </w:rPr>
            </w:pPr>
          </w:p>
        </w:tc>
        <w:tc>
          <w:tcPr>
            <w:tcW w:w="376" w:type="pct"/>
            <w:vMerge w:val="continue"/>
            <w:shd w:val="clear" w:color="auto" w:fill="auto"/>
            <w:vAlign w:val="center"/>
          </w:tcPr>
          <w:p w14:paraId="1B6E4224">
            <w:pPr>
              <w:jc w:val="center"/>
              <w:rPr>
                <w:bCs/>
                <w:kern w:val="0"/>
                <w:szCs w:val="21"/>
              </w:rPr>
            </w:pPr>
          </w:p>
        </w:tc>
        <w:tc>
          <w:tcPr>
            <w:tcW w:w="528" w:type="pct"/>
            <w:vMerge w:val="restart"/>
            <w:shd w:val="clear" w:color="auto" w:fill="auto"/>
            <w:vAlign w:val="center"/>
          </w:tcPr>
          <w:p w14:paraId="3E25A975">
            <w:pPr>
              <w:jc w:val="center"/>
              <w:rPr>
                <w:bCs/>
                <w:kern w:val="0"/>
                <w:szCs w:val="21"/>
              </w:rPr>
            </w:pPr>
            <w:r>
              <w:rPr>
                <w:szCs w:val="21"/>
              </w:rPr>
              <w:t>时间</w:t>
            </w:r>
          </w:p>
        </w:tc>
        <w:tc>
          <w:tcPr>
            <w:tcW w:w="1617" w:type="pct"/>
            <w:shd w:val="clear" w:color="auto" w:fill="auto"/>
            <w:vAlign w:val="center"/>
          </w:tcPr>
          <w:p w14:paraId="57665290">
            <w:pPr>
              <w:jc w:val="center"/>
              <w:rPr>
                <w:bCs/>
                <w:kern w:val="0"/>
                <w:szCs w:val="21"/>
              </w:rPr>
            </w:pPr>
            <w:r>
              <w:rPr>
                <w:szCs w:val="21"/>
              </w:rPr>
              <w:t>计算等效声级的时间</w:t>
            </w:r>
          </w:p>
        </w:tc>
        <w:tc>
          <w:tcPr>
            <w:tcW w:w="784" w:type="pct"/>
            <w:shd w:val="clear" w:color="auto" w:fill="auto"/>
            <w:vAlign w:val="center"/>
          </w:tcPr>
          <w:p w14:paraId="511EE44B">
            <w:pPr>
              <w:jc w:val="center"/>
              <w:rPr>
                <w:bCs/>
                <w:kern w:val="0"/>
                <w:szCs w:val="21"/>
              </w:rPr>
            </w:pPr>
            <w:r>
              <w:rPr>
                <w:szCs w:val="21"/>
              </w:rPr>
              <w:t>1</w:t>
            </w:r>
          </w:p>
        </w:tc>
        <w:tc>
          <w:tcPr>
            <w:tcW w:w="1303" w:type="pct"/>
            <w:shd w:val="clear" w:color="auto" w:fill="auto"/>
            <w:vAlign w:val="center"/>
          </w:tcPr>
          <w:p w14:paraId="1FE73E6C">
            <w:pPr>
              <w:jc w:val="center"/>
              <w:rPr>
                <w:bCs/>
                <w:kern w:val="0"/>
                <w:szCs w:val="21"/>
              </w:rPr>
            </w:pPr>
            <w:r>
              <w:rPr>
                <w:szCs w:val="21"/>
              </w:rPr>
              <w:t>预测模式要求</w:t>
            </w:r>
          </w:p>
        </w:tc>
      </w:tr>
      <w:tr w14:paraId="24C03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75713E7F">
            <w:pPr>
              <w:jc w:val="center"/>
              <w:rPr>
                <w:bCs/>
                <w:kern w:val="0"/>
                <w:szCs w:val="21"/>
              </w:rPr>
            </w:pPr>
          </w:p>
        </w:tc>
        <w:tc>
          <w:tcPr>
            <w:tcW w:w="376" w:type="pct"/>
            <w:vMerge w:val="continue"/>
            <w:shd w:val="clear" w:color="auto" w:fill="auto"/>
            <w:vAlign w:val="center"/>
          </w:tcPr>
          <w:p w14:paraId="6896BB36">
            <w:pPr>
              <w:jc w:val="center"/>
              <w:rPr>
                <w:bCs/>
                <w:kern w:val="0"/>
                <w:szCs w:val="21"/>
              </w:rPr>
            </w:pPr>
          </w:p>
        </w:tc>
        <w:tc>
          <w:tcPr>
            <w:tcW w:w="528" w:type="pct"/>
            <w:vMerge w:val="continue"/>
            <w:shd w:val="clear" w:color="auto" w:fill="auto"/>
            <w:vAlign w:val="center"/>
          </w:tcPr>
          <w:p w14:paraId="12F55E91">
            <w:pPr>
              <w:jc w:val="center"/>
              <w:rPr>
                <w:bCs/>
                <w:kern w:val="0"/>
                <w:szCs w:val="21"/>
              </w:rPr>
            </w:pPr>
          </w:p>
        </w:tc>
        <w:tc>
          <w:tcPr>
            <w:tcW w:w="1617" w:type="pct"/>
            <w:shd w:val="clear" w:color="auto" w:fill="auto"/>
            <w:vAlign w:val="center"/>
          </w:tcPr>
          <w:p w14:paraId="1743D362">
            <w:pPr>
              <w:jc w:val="center"/>
              <w:rPr>
                <w:bCs/>
                <w:kern w:val="0"/>
                <w:szCs w:val="21"/>
              </w:rPr>
            </w:pPr>
            <w:r>
              <w:rPr>
                <w:szCs w:val="21"/>
              </w:rPr>
              <w:t>昼夜时间</w:t>
            </w:r>
          </w:p>
        </w:tc>
        <w:tc>
          <w:tcPr>
            <w:tcW w:w="2087" w:type="pct"/>
            <w:gridSpan w:val="2"/>
            <w:shd w:val="clear" w:color="auto" w:fill="auto"/>
            <w:vAlign w:val="center"/>
          </w:tcPr>
          <w:p w14:paraId="07AF76E5">
            <w:pPr>
              <w:jc w:val="center"/>
              <w:rPr>
                <w:bCs/>
                <w:kern w:val="0"/>
                <w:szCs w:val="21"/>
              </w:rPr>
            </w:pPr>
            <w:r>
              <w:rPr>
                <w:szCs w:val="21"/>
              </w:rPr>
              <w:t>昼间</w:t>
            </w:r>
            <w:r>
              <w:rPr>
                <w:rFonts w:hint="eastAsia"/>
                <w:szCs w:val="21"/>
              </w:rPr>
              <w:t>6</w:t>
            </w:r>
            <w:r>
              <w:rPr>
                <w:szCs w:val="21"/>
              </w:rPr>
              <w:t>:00～2</w:t>
            </w:r>
            <w:r>
              <w:rPr>
                <w:rFonts w:hint="eastAsia"/>
                <w:szCs w:val="21"/>
              </w:rPr>
              <w:t>2</w:t>
            </w:r>
            <w:r>
              <w:rPr>
                <w:szCs w:val="21"/>
              </w:rPr>
              <w:t>:00，夜间 2</w:t>
            </w:r>
            <w:r>
              <w:rPr>
                <w:rFonts w:hint="eastAsia"/>
                <w:szCs w:val="21"/>
              </w:rPr>
              <w:t>2</w:t>
            </w:r>
            <w:r>
              <w:rPr>
                <w:szCs w:val="21"/>
              </w:rPr>
              <w:t>:00～</w:t>
            </w:r>
            <w:r>
              <w:rPr>
                <w:rFonts w:hint="eastAsia"/>
                <w:szCs w:val="21"/>
              </w:rPr>
              <w:t>6</w:t>
            </w:r>
            <w:r>
              <w:rPr>
                <w:szCs w:val="21"/>
              </w:rPr>
              <w:t>:00</w:t>
            </w:r>
          </w:p>
        </w:tc>
      </w:tr>
      <w:tr w14:paraId="79B7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51C024F5">
            <w:pPr>
              <w:jc w:val="center"/>
              <w:rPr>
                <w:bCs/>
                <w:kern w:val="0"/>
                <w:szCs w:val="21"/>
              </w:rPr>
            </w:pPr>
          </w:p>
        </w:tc>
        <w:tc>
          <w:tcPr>
            <w:tcW w:w="376" w:type="pct"/>
            <w:vMerge w:val="continue"/>
            <w:shd w:val="clear" w:color="auto" w:fill="auto"/>
            <w:vAlign w:val="center"/>
          </w:tcPr>
          <w:p w14:paraId="3521B17F">
            <w:pPr>
              <w:jc w:val="center"/>
              <w:rPr>
                <w:bCs/>
                <w:kern w:val="0"/>
                <w:szCs w:val="21"/>
              </w:rPr>
            </w:pPr>
          </w:p>
        </w:tc>
        <w:tc>
          <w:tcPr>
            <w:tcW w:w="528" w:type="pct"/>
            <w:vMerge w:val="restart"/>
            <w:shd w:val="clear" w:color="auto" w:fill="auto"/>
            <w:vAlign w:val="center"/>
          </w:tcPr>
          <w:p w14:paraId="21273FEF">
            <w:pPr>
              <w:jc w:val="center"/>
              <w:rPr>
                <w:bCs/>
                <w:kern w:val="0"/>
                <w:szCs w:val="21"/>
              </w:rPr>
            </w:pPr>
            <w:r>
              <w:rPr>
                <w:szCs w:val="21"/>
              </w:rPr>
              <w:t>修正量及衰减量</w:t>
            </w:r>
          </w:p>
        </w:tc>
        <w:tc>
          <w:tcPr>
            <w:tcW w:w="1617" w:type="pct"/>
            <w:shd w:val="clear" w:color="auto" w:fill="auto"/>
            <w:vAlign w:val="center"/>
          </w:tcPr>
          <w:p w14:paraId="3DC64937">
            <w:pPr>
              <w:jc w:val="center"/>
              <w:rPr>
                <w:bCs/>
                <w:kern w:val="0"/>
                <w:szCs w:val="21"/>
              </w:rPr>
            </w:pPr>
            <w:r>
              <w:rPr>
                <w:szCs w:val="21"/>
              </w:rPr>
              <w:t>纵坡修正量dB（A）</w:t>
            </w:r>
          </w:p>
        </w:tc>
        <w:tc>
          <w:tcPr>
            <w:tcW w:w="784" w:type="pct"/>
            <w:shd w:val="clear" w:color="auto" w:fill="auto"/>
            <w:vAlign w:val="center"/>
          </w:tcPr>
          <w:p w14:paraId="200519FE">
            <w:pPr>
              <w:jc w:val="center"/>
              <w:rPr>
                <w:bCs/>
                <w:kern w:val="0"/>
                <w:szCs w:val="21"/>
              </w:rPr>
            </w:pPr>
            <w:r>
              <w:rPr>
                <w:rFonts w:hint="eastAsia"/>
                <w:bCs/>
                <w:kern w:val="0"/>
                <w:szCs w:val="21"/>
              </w:rPr>
              <w:t>大型车取1.47</w:t>
            </w:r>
          </w:p>
          <w:p w14:paraId="27291480">
            <w:pPr>
              <w:jc w:val="center"/>
              <w:rPr>
                <w:bCs/>
                <w:kern w:val="0"/>
                <w:szCs w:val="21"/>
              </w:rPr>
            </w:pPr>
            <w:r>
              <w:rPr>
                <w:rFonts w:hint="eastAsia"/>
                <w:bCs/>
                <w:kern w:val="0"/>
                <w:szCs w:val="21"/>
              </w:rPr>
              <w:t>中型车取1.1</w:t>
            </w:r>
          </w:p>
          <w:p w14:paraId="25F021DC">
            <w:pPr>
              <w:jc w:val="center"/>
              <w:rPr>
                <w:bCs/>
                <w:kern w:val="0"/>
                <w:szCs w:val="21"/>
              </w:rPr>
            </w:pPr>
            <w:r>
              <w:rPr>
                <w:rFonts w:hint="eastAsia"/>
                <w:bCs/>
                <w:kern w:val="0"/>
                <w:szCs w:val="21"/>
              </w:rPr>
              <w:t>小型车取0.75</w:t>
            </w:r>
          </w:p>
        </w:tc>
        <w:tc>
          <w:tcPr>
            <w:tcW w:w="1303" w:type="pct"/>
            <w:shd w:val="clear" w:color="auto" w:fill="auto"/>
            <w:vAlign w:val="center"/>
          </w:tcPr>
          <w:p w14:paraId="1A4B57B4">
            <w:pPr>
              <w:jc w:val="center"/>
              <w:rPr>
                <w:bCs/>
                <w:kern w:val="0"/>
                <w:szCs w:val="21"/>
              </w:rPr>
            </w:pPr>
            <w:r>
              <w:rPr>
                <w:szCs w:val="21"/>
              </w:rPr>
              <w:t>纵坡坡度为</w:t>
            </w:r>
            <w:r>
              <w:rPr>
                <w:rFonts w:hint="eastAsia"/>
                <w:szCs w:val="21"/>
              </w:rPr>
              <w:t>1.5</w:t>
            </w:r>
            <w:r>
              <w:rPr>
                <w:szCs w:val="21"/>
              </w:rPr>
              <w:t>%</w:t>
            </w:r>
          </w:p>
        </w:tc>
      </w:tr>
      <w:tr w14:paraId="216D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3739849A">
            <w:pPr>
              <w:jc w:val="center"/>
              <w:rPr>
                <w:bCs/>
                <w:kern w:val="0"/>
                <w:szCs w:val="21"/>
              </w:rPr>
            </w:pPr>
          </w:p>
        </w:tc>
        <w:tc>
          <w:tcPr>
            <w:tcW w:w="376" w:type="pct"/>
            <w:vMerge w:val="continue"/>
            <w:shd w:val="clear" w:color="auto" w:fill="auto"/>
            <w:vAlign w:val="center"/>
          </w:tcPr>
          <w:p w14:paraId="2B04F926">
            <w:pPr>
              <w:jc w:val="center"/>
              <w:rPr>
                <w:bCs/>
                <w:kern w:val="0"/>
                <w:szCs w:val="21"/>
              </w:rPr>
            </w:pPr>
          </w:p>
        </w:tc>
        <w:tc>
          <w:tcPr>
            <w:tcW w:w="528" w:type="pct"/>
            <w:vMerge w:val="continue"/>
            <w:shd w:val="clear" w:color="auto" w:fill="auto"/>
            <w:vAlign w:val="center"/>
          </w:tcPr>
          <w:p w14:paraId="5BAD6EC1">
            <w:pPr>
              <w:jc w:val="center"/>
              <w:rPr>
                <w:bCs/>
                <w:kern w:val="0"/>
                <w:szCs w:val="21"/>
              </w:rPr>
            </w:pPr>
          </w:p>
        </w:tc>
        <w:tc>
          <w:tcPr>
            <w:tcW w:w="1617" w:type="pct"/>
            <w:shd w:val="clear" w:color="auto" w:fill="auto"/>
            <w:vAlign w:val="center"/>
          </w:tcPr>
          <w:p w14:paraId="37D580E0">
            <w:pPr>
              <w:jc w:val="center"/>
              <w:rPr>
                <w:bCs/>
                <w:kern w:val="0"/>
                <w:szCs w:val="21"/>
              </w:rPr>
            </w:pPr>
            <w:r>
              <w:rPr>
                <w:szCs w:val="21"/>
              </w:rPr>
              <w:t>路面修正量dB（A）</w:t>
            </w:r>
          </w:p>
        </w:tc>
        <w:tc>
          <w:tcPr>
            <w:tcW w:w="784" w:type="pct"/>
            <w:shd w:val="clear" w:color="auto" w:fill="auto"/>
            <w:vAlign w:val="center"/>
          </w:tcPr>
          <w:p w14:paraId="5748AF1A">
            <w:pPr>
              <w:jc w:val="center"/>
              <w:rPr>
                <w:bCs/>
                <w:kern w:val="0"/>
                <w:szCs w:val="21"/>
              </w:rPr>
            </w:pPr>
            <w:r>
              <w:rPr>
                <w:bCs/>
                <w:kern w:val="0"/>
                <w:szCs w:val="21"/>
              </w:rPr>
              <w:t>0</w:t>
            </w:r>
          </w:p>
        </w:tc>
        <w:tc>
          <w:tcPr>
            <w:tcW w:w="1303" w:type="pct"/>
            <w:shd w:val="clear" w:color="auto" w:fill="auto"/>
            <w:vAlign w:val="center"/>
          </w:tcPr>
          <w:p w14:paraId="2D9DDB72">
            <w:pPr>
              <w:jc w:val="center"/>
              <w:rPr>
                <w:bCs/>
                <w:kern w:val="0"/>
                <w:szCs w:val="21"/>
              </w:rPr>
            </w:pPr>
            <w:r>
              <w:rPr>
                <w:rFonts w:hint="eastAsia"/>
                <w:szCs w:val="21"/>
              </w:rPr>
              <w:t>沥青</w:t>
            </w:r>
            <w:r>
              <w:rPr>
                <w:szCs w:val="21"/>
              </w:rPr>
              <w:t>混凝土路面取0</w:t>
            </w:r>
          </w:p>
        </w:tc>
      </w:tr>
      <w:tr w14:paraId="762CF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7CC1B752">
            <w:pPr>
              <w:jc w:val="center"/>
              <w:rPr>
                <w:bCs/>
                <w:kern w:val="0"/>
                <w:szCs w:val="21"/>
              </w:rPr>
            </w:pPr>
          </w:p>
        </w:tc>
        <w:tc>
          <w:tcPr>
            <w:tcW w:w="376" w:type="pct"/>
            <w:vMerge w:val="continue"/>
            <w:shd w:val="clear" w:color="auto" w:fill="auto"/>
            <w:vAlign w:val="center"/>
          </w:tcPr>
          <w:p w14:paraId="3FF4475E">
            <w:pPr>
              <w:jc w:val="center"/>
              <w:rPr>
                <w:bCs/>
                <w:kern w:val="0"/>
                <w:szCs w:val="21"/>
              </w:rPr>
            </w:pPr>
          </w:p>
        </w:tc>
        <w:tc>
          <w:tcPr>
            <w:tcW w:w="528" w:type="pct"/>
            <w:vMerge w:val="continue"/>
            <w:shd w:val="clear" w:color="auto" w:fill="auto"/>
            <w:vAlign w:val="center"/>
          </w:tcPr>
          <w:p w14:paraId="5380FAC2">
            <w:pPr>
              <w:jc w:val="center"/>
              <w:rPr>
                <w:bCs/>
                <w:kern w:val="0"/>
                <w:szCs w:val="21"/>
              </w:rPr>
            </w:pPr>
          </w:p>
        </w:tc>
        <w:tc>
          <w:tcPr>
            <w:tcW w:w="1617" w:type="pct"/>
            <w:shd w:val="clear" w:color="auto" w:fill="auto"/>
            <w:vAlign w:val="center"/>
          </w:tcPr>
          <w:p w14:paraId="4EE7E760">
            <w:pPr>
              <w:jc w:val="center"/>
              <w:rPr>
                <w:bCs/>
                <w:kern w:val="0"/>
                <w:szCs w:val="21"/>
              </w:rPr>
            </w:pPr>
            <w:r>
              <w:rPr>
                <w:szCs w:val="21"/>
              </w:rPr>
              <w:t>房屋</w:t>
            </w:r>
            <w:r>
              <w:rPr>
                <w:rFonts w:hint="eastAsia"/>
                <w:szCs w:val="21"/>
              </w:rPr>
              <w:t>遮挡产生的</w:t>
            </w:r>
            <w:r>
              <w:rPr>
                <w:szCs w:val="21"/>
              </w:rPr>
              <w:t>衰减量dB（A）</w:t>
            </w:r>
          </w:p>
        </w:tc>
        <w:tc>
          <w:tcPr>
            <w:tcW w:w="784" w:type="pct"/>
            <w:shd w:val="clear" w:color="auto" w:fill="auto"/>
            <w:vAlign w:val="center"/>
          </w:tcPr>
          <w:p w14:paraId="5AE90E84">
            <w:pPr>
              <w:jc w:val="center"/>
              <w:rPr>
                <w:szCs w:val="21"/>
              </w:rPr>
            </w:pPr>
            <w:r>
              <w:rPr>
                <w:szCs w:val="21"/>
              </w:rPr>
              <w:t>预测时考虑</w:t>
            </w:r>
          </w:p>
        </w:tc>
        <w:tc>
          <w:tcPr>
            <w:tcW w:w="1303" w:type="pct"/>
            <w:shd w:val="clear" w:color="auto" w:fill="auto"/>
            <w:vAlign w:val="center"/>
          </w:tcPr>
          <w:p w14:paraId="2ECD325D">
            <w:pPr>
              <w:jc w:val="center"/>
              <w:rPr>
                <w:bCs/>
                <w:kern w:val="0"/>
                <w:szCs w:val="21"/>
              </w:rPr>
            </w:pPr>
            <w:r>
              <w:rPr>
                <w:szCs w:val="21"/>
              </w:rPr>
              <w:t>第一排敏感建筑物为 0，后排建筑衰减量取 3～5dB（A）</w:t>
            </w:r>
          </w:p>
        </w:tc>
      </w:tr>
      <w:tr w14:paraId="54D8F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12A3B065">
            <w:pPr>
              <w:jc w:val="center"/>
              <w:rPr>
                <w:bCs/>
                <w:kern w:val="0"/>
                <w:szCs w:val="21"/>
              </w:rPr>
            </w:pPr>
          </w:p>
        </w:tc>
        <w:tc>
          <w:tcPr>
            <w:tcW w:w="376" w:type="pct"/>
            <w:vMerge w:val="continue"/>
            <w:shd w:val="clear" w:color="auto" w:fill="auto"/>
            <w:vAlign w:val="center"/>
          </w:tcPr>
          <w:p w14:paraId="7EDF7FE9">
            <w:pPr>
              <w:jc w:val="center"/>
              <w:rPr>
                <w:bCs/>
                <w:kern w:val="0"/>
                <w:szCs w:val="21"/>
              </w:rPr>
            </w:pPr>
          </w:p>
        </w:tc>
        <w:tc>
          <w:tcPr>
            <w:tcW w:w="528" w:type="pct"/>
            <w:vMerge w:val="continue"/>
            <w:shd w:val="clear" w:color="auto" w:fill="auto"/>
            <w:vAlign w:val="center"/>
          </w:tcPr>
          <w:p w14:paraId="7EE4687C">
            <w:pPr>
              <w:jc w:val="center"/>
              <w:rPr>
                <w:bCs/>
                <w:kern w:val="0"/>
                <w:szCs w:val="21"/>
              </w:rPr>
            </w:pPr>
          </w:p>
        </w:tc>
        <w:tc>
          <w:tcPr>
            <w:tcW w:w="1617" w:type="pct"/>
            <w:shd w:val="clear" w:color="auto" w:fill="auto"/>
            <w:vAlign w:val="center"/>
          </w:tcPr>
          <w:p w14:paraId="35FFBF14">
            <w:pPr>
              <w:jc w:val="center"/>
              <w:rPr>
                <w:bCs/>
                <w:kern w:val="0"/>
                <w:szCs w:val="21"/>
              </w:rPr>
            </w:pPr>
            <w:r>
              <w:rPr>
                <w:szCs w:val="21"/>
              </w:rPr>
              <w:t>空气吸收衰减dB（A）</w:t>
            </w:r>
          </w:p>
        </w:tc>
        <w:tc>
          <w:tcPr>
            <w:tcW w:w="784" w:type="pct"/>
            <w:shd w:val="clear" w:color="auto" w:fill="auto"/>
            <w:vAlign w:val="center"/>
          </w:tcPr>
          <w:p w14:paraId="7ED6E27F">
            <w:pPr>
              <w:jc w:val="center"/>
              <w:rPr>
                <w:bCs/>
                <w:kern w:val="0"/>
                <w:szCs w:val="21"/>
              </w:rPr>
            </w:pPr>
            <w:r>
              <w:rPr>
                <w:szCs w:val="21"/>
              </w:rPr>
              <w:t>预测时考虑</w:t>
            </w:r>
          </w:p>
        </w:tc>
        <w:tc>
          <w:tcPr>
            <w:tcW w:w="1303" w:type="pct"/>
            <w:shd w:val="clear" w:color="auto" w:fill="auto"/>
            <w:vAlign w:val="center"/>
          </w:tcPr>
          <w:p w14:paraId="3C7426FF">
            <w:pPr>
              <w:jc w:val="center"/>
              <w:rPr>
                <w:bCs/>
                <w:kern w:val="0"/>
                <w:szCs w:val="21"/>
              </w:rPr>
            </w:pPr>
            <w:r>
              <w:rPr>
                <w:szCs w:val="21"/>
              </w:rPr>
              <w:t>常年平均温度 23.0℃，湿度7</w:t>
            </w:r>
            <w:r>
              <w:rPr>
                <w:rFonts w:hint="eastAsia"/>
                <w:szCs w:val="21"/>
              </w:rPr>
              <w:t>9.9</w:t>
            </w:r>
            <w:r>
              <w:rPr>
                <w:szCs w:val="21"/>
              </w:rPr>
              <w:t>%，1个标准大气压</w:t>
            </w:r>
          </w:p>
        </w:tc>
      </w:tr>
      <w:tr w14:paraId="5930D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shd w:val="clear" w:color="auto" w:fill="auto"/>
            <w:vAlign w:val="center"/>
          </w:tcPr>
          <w:p w14:paraId="79603460">
            <w:pPr>
              <w:jc w:val="center"/>
              <w:rPr>
                <w:bCs/>
                <w:kern w:val="0"/>
                <w:szCs w:val="21"/>
              </w:rPr>
            </w:pPr>
          </w:p>
        </w:tc>
        <w:tc>
          <w:tcPr>
            <w:tcW w:w="376" w:type="pct"/>
            <w:vMerge w:val="continue"/>
            <w:shd w:val="clear" w:color="auto" w:fill="auto"/>
            <w:vAlign w:val="center"/>
          </w:tcPr>
          <w:p w14:paraId="260B3585">
            <w:pPr>
              <w:jc w:val="center"/>
              <w:rPr>
                <w:bCs/>
                <w:kern w:val="0"/>
                <w:szCs w:val="21"/>
              </w:rPr>
            </w:pPr>
          </w:p>
        </w:tc>
        <w:tc>
          <w:tcPr>
            <w:tcW w:w="528" w:type="pct"/>
            <w:vMerge w:val="continue"/>
            <w:shd w:val="clear" w:color="auto" w:fill="auto"/>
            <w:vAlign w:val="center"/>
          </w:tcPr>
          <w:p w14:paraId="70AD4BD0">
            <w:pPr>
              <w:jc w:val="center"/>
              <w:rPr>
                <w:bCs/>
                <w:kern w:val="0"/>
                <w:szCs w:val="21"/>
              </w:rPr>
            </w:pPr>
          </w:p>
        </w:tc>
        <w:tc>
          <w:tcPr>
            <w:tcW w:w="1617" w:type="pct"/>
            <w:shd w:val="clear" w:color="auto" w:fill="auto"/>
            <w:vAlign w:val="center"/>
          </w:tcPr>
          <w:p w14:paraId="185272AD">
            <w:pPr>
              <w:jc w:val="center"/>
              <w:rPr>
                <w:szCs w:val="21"/>
              </w:rPr>
            </w:pPr>
            <w:r>
              <w:rPr>
                <w:szCs w:val="21"/>
              </w:rPr>
              <w:t>地面</w:t>
            </w:r>
            <w:r>
              <w:rPr>
                <w:rFonts w:hint="eastAsia"/>
                <w:szCs w:val="21"/>
              </w:rPr>
              <w:t>效应引起的</w:t>
            </w:r>
            <w:r>
              <w:rPr>
                <w:szCs w:val="21"/>
              </w:rPr>
              <w:t>衰减dB（A）</w:t>
            </w:r>
          </w:p>
        </w:tc>
        <w:tc>
          <w:tcPr>
            <w:tcW w:w="784" w:type="pct"/>
            <w:shd w:val="clear" w:color="auto" w:fill="auto"/>
            <w:vAlign w:val="center"/>
          </w:tcPr>
          <w:p w14:paraId="667219B1">
            <w:pPr>
              <w:jc w:val="center"/>
              <w:rPr>
                <w:bCs/>
                <w:kern w:val="0"/>
                <w:szCs w:val="21"/>
              </w:rPr>
            </w:pPr>
            <w:r>
              <w:rPr>
                <w:szCs w:val="21"/>
              </w:rPr>
              <w:t>预测时考虑</w:t>
            </w:r>
          </w:p>
        </w:tc>
        <w:tc>
          <w:tcPr>
            <w:tcW w:w="1303" w:type="pct"/>
            <w:shd w:val="clear" w:color="auto" w:fill="auto"/>
            <w:vAlign w:val="center"/>
          </w:tcPr>
          <w:p w14:paraId="4E6357B2">
            <w:pPr>
              <w:jc w:val="center"/>
              <w:rPr>
                <w:bCs/>
                <w:kern w:val="0"/>
                <w:szCs w:val="21"/>
              </w:rPr>
            </w:pPr>
            <w:r>
              <w:rPr>
                <w:szCs w:val="21"/>
              </w:rPr>
              <w:t>按导则公式计算，取 0～0.2</w:t>
            </w:r>
          </w:p>
        </w:tc>
      </w:tr>
      <w:tr w14:paraId="58468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2" w:type="pct"/>
            <w:vMerge w:val="continue"/>
            <w:tcBorders>
              <w:bottom w:val="single" w:color="auto" w:sz="18" w:space="0"/>
            </w:tcBorders>
            <w:shd w:val="clear" w:color="auto" w:fill="auto"/>
            <w:vAlign w:val="center"/>
          </w:tcPr>
          <w:p w14:paraId="7A9BD981">
            <w:pPr>
              <w:jc w:val="center"/>
              <w:rPr>
                <w:bCs/>
                <w:kern w:val="0"/>
                <w:szCs w:val="21"/>
              </w:rPr>
            </w:pPr>
          </w:p>
        </w:tc>
        <w:tc>
          <w:tcPr>
            <w:tcW w:w="376" w:type="pct"/>
            <w:vMerge w:val="continue"/>
            <w:tcBorders>
              <w:bottom w:val="single" w:color="auto" w:sz="18" w:space="0"/>
            </w:tcBorders>
            <w:shd w:val="clear" w:color="auto" w:fill="auto"/>
            <w:vAlign w:val="center"/>
          </w:tcPr>
          <w:p w14:paraId="6E9EDD8C">
            <w:pPr>
              <w:jc w:val="center"/>
              <w:rPr>
                <w:bCs/>
                <w:kern w:val="0"/>
                <w:szCs w:val="21"/>
              </w:rPr>
            </w:pPr>
          </w:p>
        </w:tc>
        <w:tc>
          <w:tcPr>
            <w:tcW w:w="528" w:type="pct"/>
            <w:vMerge w:val="continue"/>
            <w:tcBorders>
              <w:bottom w:val="single" w:color="auto" w:sz="18" w:space="0"/>
            </w:tcBorders>
            <w:shd w:val="clear" w:color="auto" w:fill="auto"/>
            <w:vAlign w:val="center"/>
          </w:tcPr>
          <w:p w14:paraId="514B41C5">
            <w:pPr>
              <w:jc w:val="center"/>
              <w:rPr>
                <w:bCs/>
                <w:kern w:val="0"/>
                <w:szCs w:val="21"/>
              </w:rPr>
            </w:pPr>
          </w:p>
        </w:tc>
        <w:tc>
          <w:tcPr>
            <w:tcW w:w="1617" w:type="pct"/>
            <w:tcBorders>
              <w:bottom w:val="single" w:color="auto" w:sz="18" w:space="0"/>
            </w:tcBorders>
            <w:shd w:val="clear" w:color="auto" w:fill="auto"/>
            <w:vAlign w:val="center"/>
          </w:tcPr>
          <w:p w14:paraId="42CC161B">
            <w:pPr>
              <w:jc w:val="center"/>
              <w:rPr>
                <w:bCs/>
                <w:kern w:val="0"/>
                <w:szCs w:val="21"/>
              </w:rPr>
            </w:pPr>
            <w:r>
              <w:rPr>
                <w:rFonts w:hint="eastAsia"/>
                <w:szCs w:val="21"/>
              </w:rPr>
              <w:t>绿化带引起的</w:t>
            </w:r>
            <w:r>
              <w:rPr>
                <w:szCs w:val="21"/>
              </w:rPr>
              <w:t>衰减量dB（A）</w:t>
            </w:r>
          </w:p>
        </w:tc>
        <w:tc>
          <w:tcPr>
            <w:tcW w:w="784" w:type="pct"/>
            <w:tcBorders>
              <w:bottom w:val="single" w:color="auto" w:sz="18" w:space="0"/>
            </w:tcBorders>
            <w:shd w:val="clear" w:color="auto" w:fill="auto"/>
            <w:vAlign w:val="center"/>
          </w:tcPr>
          <w:p w14:paraId="52C8F748">
            <w:pPr>
              <w:jc w:val="center"/>
              <w:rPr>
                <w:bCs/>
                <w:kern w:val="0"/>
                <w:szCs w:val="21"/>
              </w:rPr>
            </w:pPr>
            <w:r>
              <w:rPr>
                <w:szCs w:val="21"/>
              </w:rPr>
              <w:t>预测时考虑</w:t>
            </w:r>
          </w:p>
        </w:tc>
        <w:tc>
          <w:tcPr>
            <w:tcW w:w="1303" w:type="pct"/>
            <w:tcBorders>
              <w:bottom w:val="single" w:color="auto" w:sz="18" w:space="0"/>
            </w:tcBorders>
            <w:shd w:val="clear" w:color="auto" w:fill="auto"/>
            <w:vAlign w:val="center"/>
          </w:tcPr>
          <w:p w14:paraId="54CDEA62">
            <w:pPr>
              <w:jc w:val="center"/>
              <w:rPr>
                <w:bCs/>
                <w:kern w:val="0"/>
                <w:szCs w:val="21"/>
              </w:rPr>
            </w:pPr>
            <w:r>
              <w:rPr>
                <w:rFonts w:hint="eastAsia"/>
                <w:szCs w:val="21"/>
              </w:rPr>
              <w:t>本项目传播距离</w:t>
            </w:r>
            <w:r>
              <w:rPr>
                <w:szCs w:val="21"/>
              </w:rPr>
              <w:t>10≤df&lt;20</w:t>
            </w:r>
          </w:p>
        </w:tc>
      </w:tr>
    </w:tbl>
    <w:p w14:paraId="0EA50CCB">
      <w:pPr>
        <w:spacing w:line="520" w:lineRule="exact"/>
        <w:ind w:firstLine="482" w:firstLineChars="200"/>
        <w:rPr>
          <w:b/>
          <w:sz w:val="24"/>
          <w:lang w:bidi="ar"/>
        </w:rPr>
      </w:pPr>
      <w:r>
        <w:rPr>
          <w:rFonts w:hint="eastAsia"/>
          <w:b/>
          <w:sz w:val="24"/>
          <w:lang w:bidi="ar"/>
        </w:rPr>
        <w:t>（2）参数输入清单截图</w:t>
      </w:r>
    </w:p>
    <w:p w14:paraId="142573D8">
      <w:pPr>
        <w:jc w:val="center"/>
      </w:pPr>
      <w:r>
        <w:drawing>
          <wp:inline distT="0" distB="0" distL="0" distR="0">
            <wp:extent cx="4646295" cy="2874010"/>
            <wp:effectExtent l="57150" t="57150" r="97155" b="97790"/>
            <wp:docPr id="2129070535"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070535" name="图片 1" descr="图形用户界面, 应用程序&#10;&#10;描述已自动生成"/>
                    <pic:cNvPicPr>
                      <a:picLocks noChangeAspect="1"/>
                    </pic:cNvPicPr>
                  </pic:nvPicPr>
                  <pic:blipFill>
                    <a:blip r:embed="rId51"/>
                    <a:stretch>
                      <a:fillRect/>
                    </a:stretch>
                  </pic:blipFill>
                  <pic:spPr>
                    <a:xfrm>
                      <a:off x="0" y="0"/>
                      <a:ext cx="4669830" cy="2888469"/>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7454A527">
      <w:pPr>
        <w:jc w:val="center"/>
      </w:pPr>
      <w:r>
        <w:t xml:space="preserve"> </w:t>
      </w:r>
      <w:r>
        <w:rPr>
          <w:b/>
          <w:szCs w:val="21"/>
          <w:lang w:bidi="ar"/>
        </w:rPr>
        <w:t xml:space="preserve">图4.2-6  </w:t>
      </w:r>
      <w:r>
        <w:rPr>
          <w:rFonts w:hint="eastAsia"/>
          <w:b/>
          <w:szCs w:val="21"/>
          <w:lang w:bidi="ar"/>
        </w:rPr>
        <w:t>软件</w:t>
      </w:r>
      <w:r>
        <w:rPr>
          <w:b/>
          <w:szCs w:val="21"/>
          <w:lang w:bidi="ar"/>
        </w:rPr>
        <w:t>参数选取及输入截图</w:t>
      </w:r>
      <w:r>
        <w:rPr>
          <w:rFonts w:hint="eastAsia"/>
          <w:b/>
          <w:szCs w:val="21"/>
          <w:lang w:bidi="ar"/>
        </w:rPr>
        <w:t>-1</w:t>
      </w:r>
      <w:r>
        <w:drawing>
          <wp:inline distT="0" distB="0" distL="0" distR="0">
            <wp:extent cx="6645910" cy="2129155"/>
            <wp:effectExtent l="57150" t="57150" r="97790" b="99695"/>
            <wp:docPr id="111284139"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84139" name="图片 1" descr="表格&#10;&#10;描述已自动生成"/>
                    <pic:cNvPicPr>
                      <a:picLocks noChangeAspect="1"/>
                    </pic:cNvPicPr>
                  </pic:nvPicPr>
                  <pic:blipFill>
                    <a:blip r:embed="rId52"/>
                    <a:stretch>
                      <a:fillRect/>
                    </a:stretch>
                  </pic:blipFill>
                  <pic:spPr>
                    <a:xfrm>
                      <a:off x="0" y="0"/>
                      <a:ext cx="6645910" cy="212915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7E313439">
      <w:pPr>
        <w:jc w:val="center"/>
        <w:rPr>
          <w:b/>
          <w:szCs w:val="21"/>
          <w:lang w:bidi="ar"/>
        </w:rPr>
      </w:pPr>
      <w:r>
        <w:rPr>
          <w:b/>
          <w:szCs w:val="21"/>
          <w:lang w:bidi="ar"/>
        </w:rPr>
        <w:t>图4.2-</w:t>
      </w:r>
      <w:r>
        <w:rPr>
          <w:rFonts w:hint="eastAsia"/>
          <w:b/>
          <w:szCs w:val="21"/>
          <w:lang w:bidi="ar"/>
        </w:rPr>
        <w:t>7</w:t>
      </w:r>
      <w:r>
        <w:rPr>
          <w:b/>
          <w:szCs w:val="21"/>
          <w:lang w:bidi="ar"/>
        </w:rPr>
        <w:t xml:space="preserve">  </w:t>
      </w:r>
      <w:r>
        <w:rPr>
          <w:rFonts w:hint="eastAsia"/>
          <w:b/>
          <w:szCs w:val="21"/>
          <w:lang w:bidi="ar"/>
        </w:rPr>
        <w:t>软件</w:t>
      </w:r>
      <w:r>
        <w:rPr>
          <w:b/>
          <w:szCs w:val="21"/>
          <w:lang w:bidi="ar"/>
        </w:rPr>
        <w:t>参数选取及输入截图</w:t>
      </w:r>
      <w:r>
        <w:rPr>
          <w:rFonts w:hint="eastAsia"/>
          <w:b/>
          <w:szCs w:val="21"/>
          <w:lang w:bidi="ar"/>
        </w:rPr>
        <w:t>-2</w:t>
      </w:r>
    </w:p>
    <w:p w14:paraId="40B93EB7">
      <w:pPr>
        <w:jc w:val="center"/>
      </w:pPr>
      <w:r>
        <w:drawing>
          <wp:inline distT="0" distB="0" distL="114300" distR="114300">
            <wp:extent cx="5803265" cy="3968115"/>
            <wp:effectExtent l="28575" t="28575" r="35560" b="4191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53"/>
                    <a:stretch>
                      <a:fillRect/>
                    </a:stretch>
                  </pic:blipFill>
                  <pic:spPr>
                    <a:xfrm>
                      <a:off x="0" y="0"/>
                      <a:ext cx="5803265" cy="3968115"/>
                    </a:xfrm>
                    <a:prstGeom prst="rect">
                      <a:avLst/>
                    </a:prstGeom>
                    <a:noFill/>
                    <a:ln w="28575">
                      <a:solidFill>
                        <a:schemeClr val="tx1"/>
                      </a:solidFill>
                    </a:ln>
                  </pic:spPr>
                </pic:pic>
              </a:graphicData>
            </a:graphic>
          </wp:inline>
        </w:drawing>
      </w:r>
    </w:p>
    <w:p w14:paraId="73C31843">
      <w:pPr>
        <w:jc w:val="center"/>
        <w:rPr>
          <w:b/>
          <w:szCs w:val="21"/>
          <w:lang w:bidi="ar"/>
        </w:rPr>
      </w:pPr>
      <w:r>
        <w:rPr>
          <w:b/>
          <w:szCs w:val="21"/>
          <w:lang w:bidi="ar"/>
        </w:rPr>
        <w:t>图4.2-</w:t>
      </w:r>
      <w:r>
        <w:rPr>
          <w:rFonts w:hint="eastAsia"/>
          <w:b/>
          <w:szCs w:val="21"/>
          <w:lang w:bidi="ar"/>
        </w:rPr>
        <w:t>7</w:t>
      </w:r>
      <w:r>
        <w:rPr>
          <w:b/>
          <w:szCs w:val="21"/>
          <w:lang w:bidi="ar"/>
        </w:rPr>
        <w:t xml:space="preserve">  </w:t>
      </w:r>
      <w:r>
        <w:rPr>
          <w:rFonts w:hint="eastAsia"/>
          <w:b/>
          <w:szCs w:val="21"/>
          <w:lang w:bidi="ar"/>
        </w:rPr>
        <w:t>软件</w:t>
      </w:r>
      <w:r>
        <w:rPr>
          <w:b/>
          <w:szCs w:val="21"/>
          <w:lang w:bidi="ar"/>
        </w:rPr>
        <w:t>参数选取及输入截图</w:t>
      </w:r>
      <w:r>
        <w:rPr>
          <w:rFonts w:hint="eastAsia"/>
          <w:b/>
          <w:szCs w:val="21"/>
          <w:lang w:bidi="ar"/>
        </w:rPr>
        <w:t>-3</w:t>
      </w:r>
    </w:p>
    <w:p w14:paraId="5B568D8F">
      <w:pPr>
        <w:jc w:val="center"/>
      </w:pPr>
      <w:r>
        <w:drawing>
          <wp:inline distT="0" distB="0" distL="114300" distR="114300">
            <wp:extent cx="2937510" cy="2383790"/>
            <wp:effectExtent l="28575" t="28575" r="43815" b="4508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54"/>
                    <a:stretch>
                      <a:fillRect/>
                    </a:stretch>
                  </pic:blipFill>
                  <pic:spPr>
                    <a:xfrm>
                      <a:off x="0" y="0"/>
                      <a:ext cx="2937510" cy="2383790"/>
                    </a:xfrm>
                    <a:prstGeom prst="rect">
                      <a:avLst/>
                    </a:prstGeom>
                    <a:noFill/>
                    <a:ln w="28575">
                      <a:solidFill>
                        <a:schemeClr val="tx1"/>
                      </a:solidFill>
                    </a:ln>
                  </pic:spPr>
                </pic:pic>
              </a:graphicData>
            </a:graphic>
          </wp:inline>
        </w:drawing>
      </w:r>
    </w:p>
    <w:p w14:paraId="05FF15AB">
      <w:pPr>
        <w:jc w:val="center"/>
        <w:rPr>
          <w:b/>
          <w:szCs w:val="21"/>
          <w:lang w:bidi="ar"/>
        </w:rPr>
      </w:pPr>
      <w:r>
        <w:rPr>
          <w:b/>
          <w:szCs w:val="21"/>
          <w:lang w:bidi="ar"/>
        </w:rPr>
        <w:t>图4.2-</w:t>
      </w:r>
      <w:r>
        <w:rPr>
          <w:rFonts w:hint="eastAsia"/>
          <w:b/>
          <w:szCs w:val="21"/>
          <w:lang w:bidi="ar"/>
        </w:rPr>
        <w:t>8</w:t>
      </w:r>
      <w:r>
        <w:rPr>
          <w:b/>
          <w:szCs w:val="21"/>
          <w:lang w:bidi="ar"/>
        </w:rPr>
        <w:t xml:space="preserve">  </w:t>
      </w:r>
      <w:r>
        <w:rPr>
          <w:rFonts w:hint="eastAsia"/>
          <w:b/>
          <w:szCs w:val="21"/>
          <w:lang w:bidi="ar"/>
        </w:rPr>
        <w:t>软件</w:t>
      </w:r>
      <w:r>
        <w:rPr>
          <w:b/>
          <w:szCs w:val="21"/>
          <w:lang w:bidi="ar"/>
        </w:rPr>
        <w:t>参数选取及输入截图</w:t>
      </w:r>
      <w:r>
        <w:rPr>
          <w:rFonts w:hint="eastAsia"/>
          <w:b/>
          <w:szCs w:val="21"/>
          <w:lang w:bidi="ar"/>
        </w:rPr>
        <w:t>-4</w:t>
      </w:r>
    </w:p>
    <w:p w14:paraId="085CD274">
      <w:pPr>
        <w:jc w:val="center"/>
      </w:pPr>
    </w:p>
    <w:p w14:paraId="61B8BF63">
      <w:pPr>
        <w:jc w:val="center"/>
        <w:rPr>
          <w:b/>
          <w:szCs w:val="21"/>
          <w:lang w:bidi="ar"/>
        </w:rPr>
      </w:pPr>
      <w:bookmarkStart w:id="151" w:name="_Hlk117952301"/>
      <w:r>
        <w:drawing>
          <wp:inline distT="0" distB="0" distL="0" distR="0">
            <wp:extent cx="6645910" cy="3745865"/>
            <wp:effectExtent l="57150" t="57150" r="97790" b="102235"/>
            <wp:docPr id="587390675"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390675" name="图片 1" descr="表格&#10;&#10;描述已自动生成"/>
                    <pic:cNvPicPr>
                      <a:picLocks noChangeAspect="1"/>
                    </pic:cNvPicPr>
                  </pic:nvPicPr>
                  <pic:blipFill>
                    <a:blip r:embed="rId55"/>
                    <a:stretch>
                      <a:fillRect/>
                    </a:stretch>
                  </pic:blipFill>
                  <pic:spPr>
                    <a:xfrm>
                      <a:off x="0" y="0"/>
                      <a:ext cx="6645910" cy="374586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6F1E97A4">
      <w:pPr>
        <w:jc w:val="center"/>
      </w:pPr>
      <w:r>
        <w:rPr>
          <w:b/>
          <w:szCs w:val="21"/>
          <w:lang w:bidi="ar"/>
        </w:rPr>
        <w:t>图4.2-</w:t>
      </w:r>
      <w:r>
        <w:rPr>
          <w:rFonts w:hint="eastAsia"/>
          <w:b/>
          <w:szCs w:val="21"/>
          <w:lang w:bidi="ar"/>
        </w:rPr>
        <w:t>9</w:t>
      </w:r>
      <w:r>
        <w:rPr>
          <w:b/>
          <w:szCs w:val="21"/>
          <w:lang w:bidi="ar"/>
        </w:rPr>
        <w:t xml:space="preserve">  </w:t>
      </w:r>
      <w:r>
        <w:rPr>
          <w:rFonts w:hint="eastAsia"/>
          <w:b/>
          <w:szCs w:val="21"/>
          <w:lang w:bidi="ar"/>
        </w:rPr>
        <w:t>软件</w:t>
      </w:r>
      <w:r>
        <w:rPr>
          <w:b/>
          <w:szCs w:val="21"/>
          <w:lang w:bidi="ar"/>
        </w:rPr>
        <w:t>参数选取及输入截图</w:t>
      </w:r>
    </w:p>
    <w:p w14:paraId="1A9B3D0E">
      <w:pPr>
        <w:jc w:val="center"/>
        <w:rPr>
          <w:b/>
          <w:szCs w:val="21"/>
          <w:lang w:bidi="ar"/>
        </w:rPr>
      </w:pPr>
    </w:p>
    <w:p w14:paraId="2241E90C">
      <w:pPr>
        <w:jc w:val="center"/>
        <w:rPr>
          <w:b/>
          <w:szCs w:val="21"/>
          <w:lang w:bidi="ar"/>
        </w:rPr>
      </w:pPr>
      <w:r>
        <w:drawing>
          <wp:inline distT="0" distB="0" distL="0" distR="0">
            <wp:extent cx="6645910" cy="3722370"/>
            <wp:effectExtent l="57150" t="57150" r="97790" b="87630"/>
            <wp:docPr id="2001259178" name="图片 1" descr="图片包含 桌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259178" name="图片 1" descr="图片包含 桌子&#10;&#10;描述已自动生成"/>
                    <pic:cNvPicPr>
                      <a:picLocks noChangeAspect="1"/>
                    </pic:cNvPicPr>
                  </pic:nvPicPr>
                  <pic:blipFill>
                    <a:blip r:embed="rId56"/>
                    <a:stretch>
                      <a:fillRect/>
                    </a:stretch>
                  </pic:blipFill>
                  <pic:spPr>
                    <a:xfrm>
                      <a:off x="0" y="0"/>
                      <a:ext cx="6645910" cy="3722370"/>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68887897">
      <w:pPr>
        <w:jc w:val="center"/>
      </w:pPr>
      <w:r>
        <w:rPr>
          <w:b/>
          <w:szCs w:val="21"/>
          <w:lang w:bidi="ar"/>
        </w:rPr>
        <w:t>图4.2-</w:t>
      </w:r>
      <w:r>
        <w:rPr>
          <w:rFonts w:hint="eastAsia"/>
          <w:b/>
          <w:szCs w:val="21"/>
          <w:lang w:bidi="ar"/>
        </w:rPr>
        <w:t>10</w:t>
      </w:r>
      <w:r>
        <w:rPr>
          <w:b/>
          <w:szCs w:val="21"/>
          <w:lang w:bidi="ar"/>
        </w:rPr>
        <w:t xml:space="preserve">  </w:t>
      </w:r>
      <w:r>
        <w:rPr>
          <w:rFonts w:hint="eastAsia"/>
          <w:b/>
          <w:szCs w:val="21"/>
          <w:lang w:bidi="ar"/>
        </w:rPr>
        <w:t>软件建模3D模型图</w:t>
      </w:r>
    </w:p>
    <w:bookmarkEnd w:id="151"/>
    <w:p w14:paraId="21B2CB1C">
      <w:pPr>
        <w:spacing w:line="360" w:lineRule="auto"/>
        <w:ind w:firstLine="482" w:firstLineChars="200"/>
        <w:rPr>
          <w:b/>
          <w:sz w:val="24"/>
        </w:rPr>
      </w:pPr>
      <w:r>
        <w:rPr>
          <w:rFonts w:hint="eastAsia"/>
          <w:b/>
          <w:sz w:val="24"/>
          <w:lang w:bidi="ar"/>
        </w:rPr>
        <w:t>4.2.1</w:t>
      </w:r>
      <w:r>
        <w:rPr>
          <w:b/>
          <w:sz w:val="24"/>
          <w:lang w:bidi="ar"/>
        </w:rPr>
        <w:t>预测结果及评价</w:t>
      </w:r>
    </w:p>
    <w:p w14:paraId="76D8B700">
      <w:pPr>
        <w:spacing w:line="360" w:lineRule="auto"/>
        <w:ind w:firstLine="482" w:firstLineChars="200"/>
        <w:rPr>
          <w:b/>
          <w:bCs/>
          <w:sz w:val="24"/>
          <w:lang w:bidi="ar"/>
        </w:rPr>
      </w:pPr>
      <w:bookmarkStart w:id="152" w:name="_Hlk117847082"/>
      <w:r>
        <w:rPr>
          <w:b/>
          <w:bCs/>
          <w:sz w:val="24"/>
          <w:lang w:bidi="ar"/>
        </w:rPr>
        <w:t>4.2.1.1水平声场分布预测</w:t>
      </w:r>
    </w:p>
    <w:bookmarkEnd w:id="152"/>
    <w:p w14:paraId="59BBF181">
      <w:pPr>
        <w:spacing w:line="360" w:lineRule="auto"/>
        <w:ind w:firstLine="482" w:firstLineChars="200"/>
        <w:rPr>
          <w:b/>
          <w:bCs/>
          <w:sz w:val="24"/>
          <w:lang w:bidi="ar"/>
        </w:rPr>
      </w:pPr>
      <w:bookmarkStart w:id="153" w:name="_Hlk117846086"/>
      <w:r>
        <w:rPr>
          <w:b/>
          <w:bCs/>
          <w:sz w:val="24"/>
          <w:lang w:bidi="ar"/>
        </w:rPr>
        <w:t>（1）水平声场衰减规律</w:t>
      </w:r>
    </w:p>
    <w:bookmarkEnd w:id="153"/>
    <w:p w14:paraId="190970CA">
      <w:pPr>
        <w:spacing w:line="360" w:lineRule="auto"/>
        <w:ind w:firstLine="480" w:firstLineChars="200"/>
        <w:rPr>
          <w:sz w:val="24"/>
          <w:lang w:bidi="ar"/>
        </w:rPr>
      </w:pPr>
      <w:r>
        <w:rPr>
          <w:sz w:val="24"/>
          <w:lang w:bidi="ar"/>
        </w:rPr>
        <w:t>本评价对主要路段在各特征年昼间、夜间进行水平方向上的噪声贡献值衰减情况预测，预测点高度为路面上方1.2m，预测过程考虑距离衰减、大气吸收衰减、地面效应衰减（部分路段），同时考虑纵坡修正、路面修正</w:t>
      </w:r>
      <w:r>
        <w:rPr>
          <w:rFonts w:hint="eastAsia"/>
          <w:sz w:val="24"/>
          <w:lang w:bidi="ar"/>
        </w:rPr>
        <w:t>、建筑物遮挡</w:t>
      </w:r>
      <w:r>
        <w:rPr>
          <w:sz w:val="24"/>
          <w:lang w:bidi="ar"/>
        </w:rPr>
        <w:t>的影响，不考虑本项目外道路现状噪声的叠加影响。</w:t>
      </w:r>
      <w:r>
        <w:rPr>
          <w:rFonts w:hint="eastAsia"/>
          <w:sz w:val="24"/>
          <w:lang w:bidi="ar"/>
        </w:rPr>
        <w:t>预测结果详见下表。</w:t>
      </w:r>
    </w:p>
    <w:p w14:paraId="325225F4">
      <w:pPr>
        <w:spacing w:line="360" w:lineRule="auto"/>
        <w:jc w:val="center"/>
        <w:rPr>
          <w:b/>
          <w:szCs w:val="21"/>
          <w:lang w:bidi="ar"/>
        </w:rPr>
      </w:pPr>
      <w:bookmarkStart w:id="154" w:name="_Hlk117932945"/>
      <w:r>
        <w:rPr>
          <w:b/>
          <w:szCs w:val="21"/>
          <w:lang w:bidi="ar"/>
        </w:rPr>
        <w:t>表4.2-6  项目</w:t>
      </w:r>
      <w:r>
        <w:rPr>
          <w:rFonts w:hint="eastAsia"/>
          <w:b/>
          <w:szCs w:val="21"/>
          <w:lang w:bidi="ar"/>
        </w:rPr>
        <w:t>体育大道东延段水平声场不同距离交通噪声贡献值</w:t>
      </w:r>
      <w:r>
        <w:rPr>
          <w:b/>
          <w:szCs w:val="21"/>
          <w:lang w:bidi="ar"/>
        </w:rPr>
        <w:t xml:space="preserve">  单位：dB（A）</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6"/>
        <w:gridCol w:w="1517"/>
        <w:gridCol w:w="1519"/>
        <w:gridCol w:w="1517"/>
        <w:gridCol w:w="1519"/>
        <w:gridCol w:w="1517"/>
        <w:gridCol w:w="1517"/>
      </w:tblGrid>
      <w:tr w14:paraId="3E3F7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38" w:type="pct"/>
            <w:vMerge w:val="restart"/>
            <w:tcBorders>
              <w:top w:val="single" w:color="auto" w:sz="18" w:space="0"/>
            </w:tcBorders>
            <w:shd w:val="clear" w:color="auto" w:fill="auto"/>
            <w:vAlign w:val="center"/>
          </w:tcPr>
          <w:p w14:paraId="559F25AD">
            <w:pPr>
              <w:jc w:val="center"/>
              <w:rPr>
                <w:b/>
                <w:szCs w:val="21"/>
                <w:lang w:bidi="ar"/>
              </w:rPr>
            </w:pPr>
            <w:r>
              <w:rPr>
                <w:b/>
                <w:szCs w:val="21"/>
                <w:lang w:bidi="ar"/>
              </w:rPr>
              <w:t>距道路中心线/m</w:t>
            </w:r>
          </w:p>
        </w:tc>
        <w:tc>
          <w:tcPr>
            <w:tcW w:w="1421" w:type="pct"/>
            <w:gridSpan w:val="2"/>
            <w:tcBorders>
              <w:top w:val="single" w:color="auto" w:sz="18" w:space="0"/>
            </w:tcBorders>
            <w:shd w:val="clear" w:color="auto" w:fill="auto"/>
            <w:vAlign w:val="center"/>
          </w:tcPr>
          <w:p w14:paraId="5F3E899F">
            <w:pPr>
              <w:jc w:val="center"/>
              <w:rPr>
                <w:b/>
                <w:szCs w:val="21"/>
                <w:lang w:bidi="ar"/>
              </w:rPr>
            </w:pPr>
            <w:r>
              <w:rPr>
                <w:b/>
                <w:szCs w:val="21"/>
                <w:lang w:bidi="ar"/>
              </w:rPr>
              <w:t>近期（2026年）</w:t>
            </w:r>
          </w:p>
        </w:tc>
        <w:tc>
          <w:tcPr>
            <w:tcW w:w="1421" w:type="pct"/>
            <w:gridSpan w:val="2"/>
            <w:tcBorders>
              <w:top w:val="single" w:color="auto" w:sz="18" w:space="0"/>
            </w:tcBorders>
            <w:shd w:val="clear" w:color="auto" w:fill="auto"/>
            <w:vAlign w:val="center"/>
          </w:tcPr>
          <w:p w14:paraId="5C04E0C0">
            <w:pPr>
              <w:jc w:val="center"/>
              <w:rPr>
                <w:b/>
                <w:szCs w:val="21"/>
                <w:lang w:bidi="ar"/>
              </w:rPr>
            </w:pPr>
            <w:r>
              <w:rPr>
                <w:b/>
                <w:szCs w:val="21"/>
                <w:lang w:bidi="ar"/>
              </w:rPr>
              <w:t>中期（2032年）</w:t>
            </w:r>
          </w:p>
        </w:tc>
        <w:tc>
          <w:tcPr>
            <w:tcW w:w="1420" w:type="pct"/>
            <w:gridSpan w:val="2"/>
            <w:tcBorders>
              <w:top w:val="single" w:color="auto" w:sz="18" w:space="0"/>
            </w:tcBorders>
            <w:shd w:val="clear" w:color="auto" w:fill="auto"/>
            <w:vAlign w:val="center"/>
          </w:tcPr>
          <w:p w14:paraId="00901F02">
            <w:pPr>
              <w:jc w:val="center"/>
              <w:rPr>
                <w:b/>
                <w:szCs w:val="21"/>
                <w:lang w:bidi="ar"/>
              </w:rPr>
            </w:pPr>
            <w:r>
              <w:rPr>
                <w:b/>
                <w:szCs w:val="21"/>
                <w:lang w:bidi="ar"/>
              </w:rPr>
              <w:t>远期（2040年）</w:t>
            </w:r>
          </w:p>
        </w:tc>
      </w:tr>
      <w:tr w14:paraId="1AED0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vMerge w:val="continue"/>
            <w:shd w:val="clear" w:color="auto" w:fill="auto"/>
            <w:vAlign w:val="center"/>
          </w:tcPr>
          <w:p w14:paraId="3EADB4AA">
            <w:pPr>
              <w:jc w:val="center"/>
              <w:rPr>
                <w:b/>
                <w:szCs w:val="21"/>
                <w:lang w:bidi="ar"/>
              </w:rPr>
            </w:pPr>
          </w:p>
        </w:tc>
        <w:tc>
          <w:tcPr>
            <w:tcW w:w="710" w:type="pct"/>
            <w:shd w:val="clear" w:color="auto" w:fill="auto"/>
            <w:vAlign w:val="center"/>
          </w:tcPr>
          <w:p w14:paraId="45B5D0E9">
            <w:pPr>
              <w:jc w:val="center"/>
              <w:rPr>
                <w:b/>
                <w:szCs w:val="21"/>
                <w:lang w:bidi="ar"/>
              </w:rPr>
            </w:pPr>
            <w:r>
              <w:rPr>
                <w:b/>
                <w:szCs w:val="21"/>
                <w:lang w:bidi="ar"/>
              </w:rPr>
              <w:t>昼间</w:t>
            </w:r>
          </w:p>
        </w:tc>
        <w:tc>
          <w:tcPr>
            <w:tcW w:w="711" w:type="pct"/>
            <w:shd w:val="clear" w:color="auto" w:fill="auto"/>
            <w:vAlign w:val="center"/>
          </w:tcPr>
          <w:p w14:paraId="3B243EBA">
            <w:pPr>
              <w:jc w:val="center"/>
              <w:rPr>
                <w:b/>
                <w:szCs w:val="21"/>
                <w:lang w:bidi="ar"/>
              </w:rPr>
            </w:pPr>
            <w:r>
              <w:rPr>
                <w:b/>
                <w:szCs w:val="21"/>
                <w:lang w:bidi="ar"/>
              </w:rPr>
              <w:t>夜间</w:t>
            </w:r>
          </w:p>
        </w:tc>
        <w:tc>
          <w:tcPr>
            <w:tcW w:w="710" w:type="pct"/>
            <w:shd w:val="clear" w:color="auto" w:fill="auto"/>
            <w:vAlign w:val="center"/>
          </w:tcPr>
          <w:p w14:paraId="019E5A4D">
            <w:pPr>
              <w:jc w:val="center"/>
              <w:rPr>
                <w:b/>
                <w:szCs w:val="21"/>
                <w:lang w:bidi="ar"/>
              </w:rPr>
            </w:pPr>
            <w:r>
              <w:rPr>
                <w:b/>
                <w:szCs w:val="21"/>
                <w:lang w:bidi="ar"/>
              </w:rPr>
              <w:t>昼间</w:t>
            </w:r>
          </w:p>
        </w:tc>
        <w:tc>
          <w:tcPr>
            <w:tcW w:w="711" w:type="pct"/>
            <w:shd w:val="clear" w:color="auto" w:fill="auto"/>
            <w:vAlign w:val="center"/>
          </w:tcPr>
          <w:p w14:paraId="51D77F3C">
            <w:pPr>
              <w:jc w:val="center"/>
              <w:rPr>
                <w:b/>
                <w:szCs w:val="21"/>
                <w:lang w:bidi="ar"/>
              </w:rPr>
            </w:pPr>
            <w:r>
              <w:rPr>
                <w:b/>
                <w:szCs w:val="21"/>
                <w:lang w:bidi="ar"/>
              </w:rPr>
              <w:t>夜间</w:t>
            </w:r>
          </w:p>
        </w:tc>
        <w:tc>
          <w:tcPr>
            <w:tcW w:w="710" w:type="pct"/>
            <w:shd w:val="clear" w:color="auto" w:fill="auto"/>
            <w:vAlign w:val="center"/>
          </w:tcPr>
          <w:p w14:paraId="3C214861">
            <w:pPr>
              <w:jc w:val="center"/>
              <w:rPr>
                <w:b/>
                <w:szCs w:val="21"/>
                <w:lang w:bidi="ar"/>
              </w:rPr>
            </w:pPr>
            <w:r>
              <w:rPr>
                <w:b/>
                <w:szCs w:val="21"/>
                <w:lang w:bidi="ar"/>
              </w:rPr>
              <w:t>昼间</w:t>
            </w:r>
          </w:p>
        </w:tc>
        <w:tc>
          <w:tcPr>
            <w:tcW w:w="710" w:type="pct"/>
            <w:shd w:val="clear" w:color="auto" w:fill="auto"/>
            <w:vAlign w:val="center"/>
          </w:tcPr>
          <w:p w14:paraId="15BAD138">
            <w:pPr>
              <w:jc w:val="center"/>
              <w:rPr>
                <w:b/>
                <w:szCs w:val="21"/>
                <w:lang w:bidi="ar"/>
              </w:rPr>
            </w:pPr>
            <w:r>
              <w:rPr>
                <w:b/>
                <w:szCs w:val="21"/>
                <w:lang w:bidi="ar"/>
              </w:rPr>
              <w:t>夜间</w:t>
            </w:r>
          </w:p>
        </w:tc>
      </w:tr>
      <w:tr w14:paraId="12DE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433A95F4">
            <w:pPr>
              <w:jc w:val="center"/>
              <w:rPr>
                <w:szCs w:val="21"/>
              </w:rPr>
            </w:pPr>
            <w:r>
              <w:rPr>
                <w:rFonts w:hint="eastAsia"/>
                <w:szCs w:val="21"/>
              </w:rPr>
              <w:t>10</w:t>
            </w:r>
          </w:p>
        </w:tc>
        <w:tc>
          <w:tcPr>
            <w:tcW w:w="710" w:type="pct"/>
            <w:shd w:val="clear" w:color="auto" w:fill="auto"/>
            <w:vAlign w:val="center"/>
          </w:tcPr>
          <w:p w14:paraId="53583FD9">
            <w:pPr>
              <w:jc w:val="center"/>
              <w:rPr>
                <w:szCs w:val="21"/>
              </w:rPr>
            </w:pPr>
            <w:r>
              <w:rPr>
                <w:rFonts w:hint="eastAsia"/>
                <w:szCs w:val="21"/>
              </w:rPr>
              <w:t xml:space="preserve">76 </w:t>
            </w:r>
          </w:p>
        </w:tc>
        <w:tc>
          <w:tcPr>
            <w:tcW w:w="711" w:type="pct"/>
            <w:shd w:val="clear" w:color="auto" w:fill="auto"/>
            <w:vAlign w:val="center"/>
          </w:tcPr>
          <w:p w14:paraId="2ADEE933">
            <w:pPr>
              <w:jc w:val="center"/>
              <w:rPr>
                <w:szCs w:val="21"/>
              </w:rPr>
            </w:pPr>
            <w:r>
              <w:rPr>
                <w:rFonts w:hint="eastAsia"/>
                <w:szCs w:val="21"/>
              </w:rPr>
              <w:t xml:space="preserve">69 </w:t>
            </w:r>
          </w:p>
        </w:tc>
        <w:tc>
          <w:tcPr>
            <w:tcW w:w="710" w:type="pct"/>
            <w:shd w:val="clear" w:color="auto" w:fill="auto"/>
            <w:vAlign w:val="center"/>
          </w:tcPr>
          <w:p w14:paraId="40793905">
            <w:pPr>
              <w:jc w:val="center"/>
              <w:rPr>
                <w:szCs w:val="21"/>
              </w:rPr>
            </w:pPr>
            <w:r>
              <w:rPr>
                <w:rFonts w:hint="eastAsia"/>
                <w:szCs w:val="21"/>
              </w:rPr>
              <w:t xml:space="preserve">77 </w:t>
            </w:r>
          </w:p>
        </w:tc>
        <w:tc>
          <w:tcPr>
            <w:tcW w:w="711" w:type="pct"/>
            <w:shd w:val="clear" w:color="auto" w:fill="auto"/>
            <w:vAlign w:val="center"/>
          </w:tcPr>
          <w:p w14:paraId="3570CD7F">
            <w:pPr>
              <w:jc w:val="center"/>
              <w:rPr>
                <w:szCs w:val="21"/>
              </w:rPr>
            </w:pPr>
            <w:r>
              <w:rPr>
                <w:rFonts w:hint="eastAsia"/>
                <w:szCs w:val="21"/>
              </w:rPr>
              <w:t xml:space="preserve">71 </w:t>
            </w:r>
          </w:p>
        </w:tc>
        <w:tc>
          <w:tcPr>
            <w:tcW w:w="710" w:type="pct"/>
            <w:shd w:val="clear" w:color="auto" w:fill="auto"/>
            <w:vAlign w:val="center"/>
          </w:tcPr>
          <w:p w14:paraId="4E9A938B">
            <w:pPr>
              <w:jc w:val="center"/>
              <w:rPr>
                <w:szCs w:val="21"/>
              </w:rPr>
            </w:pPr>
            <w:r>
              <w:rPr>
                <w:rFonts w:hint="eastAsia"/>
                <w:szCs w:val="21"/>
              </w:rPr>
              <w:t xml:space="preserve">79 </w:t>
            </w:r>
          </w:p>
        </w:tc>
        <w:tc>
          <w:tcPr>
            <w:tcW w:w="710" w:type="pct"/>
            <w:shd w:val="clear" w:color="auto" w:fill="auto"/>
            <w:vAlign w:val="center"/>
          </w:tcPr>
          <w:p w14:paraId="1DAEF3BF">
            <w:pPr>
              <w:jc w:val="center"/>
              <w:rPr>
                <w:szCs w:val="21"/>
              </w:rPr>
            </w:pPr>
            <w:r>
              <w:rPr>
                <w:rFonts w:hint="eastAsia"/>
                <w:szCs w:val="21"/>
              </w:rPr>
              <w:t xml:space="preserve">72 </w:t>
            </w:r>
          </w:p>
        </w:tc>
      </w:tr>
      <w:tr w14:paraId="29596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06830B29">
            <w:pPr>
              <w:jc w:val="center"/>
              <w:rPr>
                <w:szCs w:val="21"/>
              </w:rPr>
            </w:pPr>
            <w:r>
              <w:rPr>
                <w:rFonts w:hint="eastAsia"/>
                <w:szCs w:val="21"/>
              </w:rPr>
              <w:t>20</w:t>
            </w:r>
          </w:p>
        </w:tc>
        <w:tc>
          <w:tcPr>
            <w:tcW w:w="710" w:type="pct"/>
            <w:shd w:val="clear" w:color="auto" w:fill="auto"/>
            <w:vAlign w:val="center"/>
          </w:tcPr>
          <w:p w14:paraId="6435D092">
            <w:pPr>
              <w:jc w:val="center"/>
              <w:rPr>
                <w:szCs w:val="21"/>
              </w:rPr>
            </w:pPr>
            <w:r>
              <w:rPr>
                <w:rFonts w:hint="eastAsia"/>
                <w:szCs w:val="21"/>
              </w:rPr>
              <w:t xml:space="preserve">71 </w:t>
            </w:r>
          </w:p>
        </w:tc>
        <w:tc>
          <w:tcPr>
            <w:tcW w:w="711" w:type="pct"/>
            <w:shd w:val="clear" w:color="auto" w:fill="auto"/>
            <w:vAlign w:val="center"/>
          </w:tcPr>
          <w:p w14:paraId="145D8E93">
            <w:pPr>
              <w:jc w:val="center"/>
              <w:rPr>
                <w:szCs w:val="21"/>
              </w:rPr>
            </w:pPr>
            <w:r>
              <w:rPr>
                <w:rFonts w:hint="eastAsia"/>
                <w:szCs w:val="21"/>
              </w:rPr>
              <w:t xml:space="preserve">63 </w:t>
            </w:r>
          </w:p>
        </w:tc>
        <w:tc>
          <w:tcPr>
            <w:tcW w:w="710" w:type="pct"/>
            <w:shd w:val="clear" w:color="auto" w:fill="auto"/>
            <w:vAlign w:val="center"/>
          </w:tcPr>
          <w:p w14:paraId="0DBC7AD7">
            <w:pPr>
              <w:jc w:val="center"/>
              <w:rPr>
                <w:szCs w:val="21"/>
              </w:rPr>
            </w:pPr>
            <w:r>
              <w:rPr>
                <w:rFonts w:hint="eastAsia"/>
                <w:szCs w:val="21"/>
              </w:rPr>
              <w:t xml:space="preserve">73 </w:t>
            </w:r>
          </w:p>
        </w:tc>
        <w:tc>
          <w:tcPr>
            <w:tcW w:w="711" w:type="pct"/>
            <w:shd w:val="clear" w:color="auto" w:fill="auto"/>
            <w:vAlign w:val="center"/>
          </w:tcPr>
          <w:p w14:paraId="307BFAF8">
            <w:pPr>
              <w:jc w:val="center"/>
              <w:rPr>
                <w:szCs w:val="21"/>
              </w:rPr>
            </w:pPr>
            <w:r>
              <w:rPr>
                <w:rFonts w:hint="eastAsia"/>
                <w:szCs w:val="21"/>
              </w:rPr>
              <w:t xml:space="preserve">66 </w:t>
            </w:r>
          </w:p>
        </w:tc>
        <w:tc>
          <w:tcPr>
            <w:tcW w:w="710" w:type="pct"/>
            <w:shd w:val="clear" w:color="auto" w:fill="auto"/>
            <w:vAlign w:val="center"/>
          </w:tcPr>
          <w:p w14:paraId="214FBCD3">
            <w:pPr>
              <w:jc w:val="center"/>
              <w:rPr>
                <w:szCs w:val="21"/>
              </w:rPr>
            </w:pPr>
            <w:r>
              <w:rPr>
                <w:rFonts w:hint="eastAsia"/>
                <w:szCs w:val="21"/>
              </w:rPr>
              <w:t xml:space="preserve">74 </w:t>
            </w:r>
          </w:p>
        </w:tc>
        <w:tc>
          <w:tcPr>
            <w:tcW w:w="710" w:type="pct"/>
            <w:shd w:val="clear" w:color="auto" w:fill="auto"/>
            <w:vAlign w:val="center"/>
          </w:tcPr>
          <w:p w14:paraId="3FD0C29B">
            <w:pPr>
              <w:jc w:val="center"/>
              <w:rPr>
                <w:szCs w:val="21"/>
              </w:rPr>
            </w:pPr>
            <w:r>
              <w:rPr>
                <w:rFonts w:hint="eastAsia"/>
                <w:szCs w:val="21"/>
              </w:rPr>
              <w:t xml:space="preserve">68 </w:t>
            </w:r>
          </w:p>
        </w:tc>
      </w:tr>
      <w:tr w14:paraId="278B7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0CBD4B59">
            <w:pPr>
              <w:jc w:val="center"/>
              <w:rPr>
                <w:szCs w:val="21"/>
              </w:rPr>
            </w:pPr>
            <w:r>
              <w:rPr>
                <w:rFonts w:hint="eastAsia"/>
                <w:szCs w:val="21"/>
              </w:rPr>
              <w:t>30</w:t>
            </w:r>
          </w:p>
        </w:tc>
        <w:tc>
          <w:tcPr>
            <w:tcW w:w="710" w:type="pct"/>
            <w:shd w:val="clear" w:color="auto" w:fill="auto"/>
            <w:vAlign w:val="center"/>
          </w:tcPr>
          <w:p w14:paraId="75C0C200">
            <w:pPr>
              <w:jc w:val="center"/>
              <w:rPr>
                <w:szCs w:val="21"/>
              </w:rPr>
            </w:pPr>
            <w:r>
              <w:rPr>
                <w:rFonts w:hint="eastAsia"/>
                <w:szCs w:val="21"/>
              </w:rPr>
              <w:t xml:space="preserve">69 </w:t>
            </w:r>
          </w:p>
        </w:tc>
        <w:tc>
          <w:tcPr>
            <w:tcW w:w="711" w:type="pct"/>
            <w:shd w:val="clear" w:color="auto" w:fill="auto"/>
            <w:vAlign w:val="center"/>
          </w:tcPr>
          <w:p w14:paraId="3A4DA7B3">
            <w:pPr>
              <w:jc w:val="center"/>
              <w:rPr>
                <w:szCs w:val="21"/>
              </w:rPr>
            </w:pPr>
            <w:r>
              <w:rPr>
                <w:rFonts w:hint="eastAsia"/>
                <w:szCs w:val="21"/>
              </w:rPr>
              <w:t xml:space="preserve">59 </w:t>
            </w:r>
          </w:p>
        </w:tc>
        <w:tc>
          <w:tcPr>
            <w:tcW w:w="710" w:type="pct"/>
            <w:shd w:val="clear" w:color="auto" w:fill="auto"/>
            <w:vAlign w:val="center"/>
          </w:tcPr>
          <w:p w14:paraId="69870151">
            <w:pPr>
              <w:jc w:val="center"/>
              <w:rPr>
                <w:szCs w:val="21"/>
              </w:rPr>
            </w:pPr>
            <w:r>
              <w:rPr>
                <w:rFonts w:hint="eastAsia"/>
                <w:szCs w:val="21"/>
              </w:rPr>
              <w:t xml:space="preserve">70 </w:t>
            </w:r>
          </w:p>
        </w:tc>
        <w:tc>
          <w:tcPr>
            <w:tcW w:w="711" w:type="pct"/>
            <w:shd w:val="clear" w:color="auto" w:fill="auto"/>
            <w:vAlign w:val="center"/>
          </w:tcPr>
          <w:p w14:paraId="3B0E83C9">
            <w:pPr>
              <w:jc w:val="center"/>
              <w:rPr>
                <w:szCs w:val="21"/>
              </w:rPr>
            </w:pPr>
            <w:r>
              <w:rPr>
                <w:rFonts w:hint="eastAsia"/>
                <w:szCs w:val="21"/>
              </w:rPr>
              <w:t xml:space="preserve">64 </w:t>
            </w:r>
          </w:p>
        </w:tc>
        <w:tc>
          <w:tcPr>
            <w:tcW w:w="710" w:type="pct"/>
            <w:shd w:val="clear" w:color="auto" w:fill="auto"/>
            <w:vAlign w:val="center"/>
          </w:tcPr>
          <w:p w14:paraId="50594A4D">
            <w:pPr>
              <w:jc w:val="center"/>
              <w:rPr>
                <w:szCs w:val="21"/>
              </w:rPr>
            </w:pPr>
            <w:r>
              <w:rPr>
                <w:rFonts w:hint="eastAsia"/>
                <w:szCs w:val="21"/>
              </w:rPr>
              <w:t xml:space="preserve">72 </w:t>
            </w:r>
          </w:p>
        </w:tc>
        <w:tc>
          <w:tcPr>
            <w:tcW w:w="710" w:type="pct"/>
            <w:shd w:val="clear" w:color="auto" w:fill="auto"/>
            <w:vAlign w:val="center"/>
          </w:tcPr>
          <w:p w14:paraId="5C0CCCF1">
            <w:pPr>
              <w:jc w:val="center"/>
              <w:rPr>
                <w:szCs w:val="21"/>
              </w:rPr>
            </w:pPr>
            <w:r>
              <w:rPr>
                <w:rFonts w:hint="eastAsia"/>
                <w:szCs w:val="21"/>
              </w:rPr>
              <w:t xml:space="preserve">65 </w:t>
            </w:r>
          </w:p>
        </w:tc>
      </w:tr>
      <w:tr w14:paraId="0ED44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247EB3B7">
            <w:pPr>
              <w:jc w:val="center"/>
              <w:rPr>
                <w:szCs w:val="21"/>
              </w:rPr>
            </w:pPr>
            <w:r>
              <w:rPr>
                <w:rFonts w:hint="eastAsia"/>
                <w:szCs w:val="21"/>
              </w:rPr>
              <w:t>40</w:t>
            </w:r>
          </w:p>
        </w:tc>
        <w:tc>
          <w:tcPr>
            <w:tcW w:w="710" w:type="pct"/>
            <w:shd w:val="clear" w:color="auto" w:fill="auto"/>
            <w:vAlign w:val="center"/>
          </w:tcPr>
          <w:p w14:paraId="5F1707B7">
            <w:pPr>
              <w:jc w:val="center"/>
              <w:rPr>
                <w:szCs w:val="21"/>
              </w:rPr>
            </w:pPr>
            <w:r>
              <w:rPr>
                <w:rFonts w:hint="eastAsia"/>
                <w:szCs w:val="21"/>
              </w:rPr>
              <w:t xml:space="preserve">67 </w:t>
            </w:r>
          </w:p>
        </w:tc>
        <w:tc>
          <w:tcPr>
            <w:tcW w:w="711" w:type="pct"/>
            <w:shd w:val="clear" w:color="auto" w:fill="auto"/>
            <w:vAlign w:val="center"/>
          </w:tcPr>
          <w:p w14:paraId="4BB84A06">
            <w:pPr>
              <w:jc w:val="center"/>
              <w:rPr>
                <w:szCs w:val="21"/>
              </w:rPr>
            </w:pPr>
            <w:r>
              <w:rPr>
                <w:rFonts w:hint="eastAsia"/>
                <w:szCs w:val="21"/>
              </w:rPr>
              <w:t xml:space="preserve">57 </w:t>
            </w:r>
          </w:p>
        </w:tc>
        <w:tc>
          <w:tcPr>
            <w:tcW w:w="710" w:type="pct"/>
            <w:shd w:val="clear" w:color="auto" w:fill="auto"/>
            <w:vAlign w:val="center"/>
          </w:tcPr>
          <w:p w14:paraId="38C77FFE">
            <w:pPr>
              <w:jc w:val="center"/>
              <w:rPr>
                <w:szCs w:val="21"/>
              </w:rPr>
            </w:pPr>
            <w:r>
              <w:rPr>
                <w:rFonts w:hint="eastAsia"/>
                <w:szCs w:val="21"/>
              </w:rPr>
              <w:t xml:space="preserve">69 </w:t>
            </w:r>
          </w:p>
        </w:tc>
        <w:tc>
          <w:tcPr>
            <w:tcW w:w="711" w:type="pct"/>
            <w:shd w:val="clear" w:color="auto" w:fill="auto"/>
            <w:vAlign w:val="center"/>
          </w:tcPr>
          <w:p w14:paraId="677937B9">
            <w:pPr>
              <w:jc w:val="center"/>
              <w:rPr>
                <w:szCs w:val="21"/>
              </w:rPr>
            </w:pPr>
            <w:r>
              <w:rPr>
                <w:rFonts w:hint="eastAsia"/>
                <w:szCs w:val="21"/>
              </w:rPr>
              <w:t xml:space="preserve">62 </w:t>
            </w:r>
          </w:p>
        </w:tc>
        <w:tc>
          <w:tcPr>
            <w:tcW w:w="710" w:type="pct"/>
            <w:shd w:val="clear" w:color="auto" w:fill="auto"/>
            <w:vAlign w:val="center"/>
          </w:tcPr>
          <w:p w14:paraId="07762F34">
            <w:pPr>
              <w:jc w:val="center"/>
              <w:rPr>
                <w:szCs w:val="21"/>
              </w:rPr>
            </w:pPr>
            <w:r>
              <w:rPr>
                <w:rFonts w:hint="eastAsia"/>
                <w:szCs w:val="21"/>
              </w:rPr>
              <w:t xml:space="preserve">70 </w:t>
            </w:r>
          </w:p>
        </w:tc>
        <w:tc>
          <w:tcPr>
            <w:tcW w:w="710" w:type="pct"/>
            <w:shd w:val="clear" w:color="auto" w:fill="auto"/>
            <w:vAlign w:val="center"/>
          </w:tcPr>
          <w:p w14:paraId="4A953194">
            <w:pPr>
              <w:jc w:val="center"/>
              <w:rPr>
                <w:szCs w:val="21"/>
              </w:rPr>
            </w:pPr>
            <w:r>
              <w:rPr>
                <w:rFonts w:hint="eastAsia"/>
                <w:szCs w:val="21"/>
              </w:rPr>
              <w:t xml:space="preserve">64 </w:t>
            </w:r>
          </w:p>
        </w:tc>
      </w:tr>
      <w:tr w14:paraId="6B4CD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0979E56A">
            <w:pPr>
              <w:jc w:val="center"/>
              <w:rPr>
                <w:szCs w:val="21"/>
              </w:rPr>
            </w:pPr>
            <w:r>
              <w:rPr>
                <w:rFonts w:hint="eastAsia"/>
                <w:szCs w:val="21"/>
              </w:rPr>
              <w:t>50</w:t>
            </w:r>
          </w:p>
        </w:tc>
        <w:tc>
          <w:tcPr>
            <w:tcW w:w="710" w:type="pct"/>
            <w:shd w:val="clear" w:color="auto" w:fill="auto"/>
            <w:vAlign w:val="center"/>
          </w:tcPr>
          <w:p w14:paraId="6B89B148">
            <w:pPr>
              <w:jc w:val="center"/>
              <w:rPr>
                <w:szCs w:val="21"/>
              </w:rPr>
            </w:pPr>
            <w:r>
              <w:rPr>
                <w:rFonts w:hint="eastAsia"/>
                <w:szCs w:val="21"/>
              </w:rPr>
              <w:t xml:space="preserve">66 </w:t>
            </w:r>
          </w:p>
        </w:tc>
        <w:tc>
          <w:tcPr>
            <w:tcW w:w="711" w:type="pct"/>
            <w:shd w:val="clear" w:color="auto" w:fill="auto"/>
            <w:vAlign w:val="center"/>
          </w:tcPr>
          <w:p w14:paraId="35B4BE28">
            <w:pPr>
              <w:jc w:val="center"/>
              <w:rPr>
                <w:szCs w:val="21"/>
              </w:rPr>
            </w:pPr>
            <w:r>
              <w:rPr>
                <w:rFonts w:hint="eastAsia"/>
                <w:szCs w:val="21"/>
              </w:rPr>
              <w:t xml:space="preserve">55 </w:t>
            </w:r>
          </w:p>
        </w:tc>
        <w:tc>
          <w:tcPr>
            <w:tcW w:w="710" w:type="pct"/>
            <w:shd w:val="clear" w:color="auto" w:fill="auto"/>
            <w:vAlign w:val="center"/>
          </w:tcPr>
          <w:p w14:paraId="7C2DB8C6">
            <w:pPr>
              <w:jc w:val="center"/>
              <w:rPr>
                <w:szCs w:val="21"/>
              </w:rPr>
            </w:pPr>
            <w:r>
              <w:rPr>
                <w:rFonts w:hint="eastAsia"/>
                <w:szCs w:val="21"/>
              </w:rPr>
              <w:t xml:space="preserve">67 </w:t>
            </w:r>
          </w:p>
        </w:tc>
        <w:tc>
          <w:tcPr>
            <w:tcW w:w="711" w:type="pct"/>
            <w:shd w:val="clear" w:color="auto" w:fill="auto"/>
            <w:vAlign w:val="center"/>
          </w:tcPr>
          <w:p w14:paraId="1768D0CC">
            <w:pPr>
              <w:jc w:val="center"/>
              <w:rPr>
                <w:szCs w:val="21"/>
              </w:rPr>
            </w:pPr>
            <w:r>
              <w:rPr>
                <w:rFonts w:hint="eastAsia"/>
                <w:szCs w:val="21"/>
              </w:rPr>
              <w:t xml:space="preserve">61 </w:t>
            </w:r>
          </w:p>
        </w:tc>
        <w:tc>
          <w:tcPr>
            <w:tcW w:w="710" w:type="pct"/>
            <w:shd w:val="clear" w:color="auto" w:fill="auto"/>
            <w:vAlign w:val="center"/>
          </w:tcPr>
          <w:p w14:paraId="2D7B5D5E">
            <w:pPr>
              <w:jc w:val="center"/>
              <w:rPr>
                <w:szCs w:val="21"/>
              </w:rPr>
            </w:pPr>
            <w:r>
              <w:rPr>
                <w:rFonts w:hint="eastAsia"/>
                <w:szCs w:val="21"/>
              </w:rPr>
              <w:t xml:space="preserve">69 </w:t>
            </w:r>
          </w:p>
        </w:tc>
        <w:tc>
          <w:tcPr>
            <w:tcW w:w="710" w:type="pct"/>
            <w:shd w:val="clear" w:color="auto" w:fill="auto"/>
            <w:vAlign w:val="center"/>
          </w:tcPr>
          <w:p w14:paraId="514C2991">
            <w:pPr>
              <w:jc w:val="center"/>
              <w:rPr>
                <w:szCs w:val="21"/>
              </w:rPr>
            </w:pPr>
            <w:r>
              <w:rPr>
                <w:rFonts w:hint="eastAsia"/>
                <w:szCs w:val="21"/>
              </w:rPr>
              <w:t xml:space="preserve">63 </w:t>
            </w:r>
          </w:p>
        </w:tc>
      </w:tr>
      <w:tr w14:paraId="5ACD6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4072352C">
            <w:pPr>
              <w:jc w:val="center"/>
              <w:rPr>
                <w:szCs w:val="21"/>
              </w:rPr>
            </w:pPr>
            <w:r>
              <w:rPr>
                <w:rFonts w:hint="eastAsia"/>
                <w:szCs w:val="21"/>
              </w:rPr>
              <w:t>60</w:t>
            </w:r>
          </w:p>
        </w:tc>
        <w:tc>
          <w:tcPr>
            <w:tcW w:w="710" w:type="pct"/>
            <w:shd w:val="clear" w:color="auto" w:fill="auto"/>
            <w:vAlign w:val="center"/>
          </w:tcPr>
          <w:p w14:paraId="08FD1B02">
            <w:pPr>
              <w:jc w:val="center"/>
              <w:rPr>
                <w:szCs w:val="21"/>
              </w:rPr>
            </w:pPr>
            <w:r>
              <w:rPr>
                <w:rFonts w:hint="eastAsia"/>
                <w:szCs w:val="21"/>
              </w:rPr>
              <w:t xml:space="preserve">65 </w:t>
            </w:r>
          </w:p>
        </w:tc>
        <w:tc>
          <w:tcPr>
            <w:tcW w:w="711" w:type="pct"/>
            <w:shd w:val="clear" w:color="auto" w:fill="auto"/>
            <w:vAlign w:val="center"/>
          </w:tcPr>
          <w:p w14:paraId="50C4208C">
            <w:pPr>
              <w:jc w:val="center"/>
              <w:rPr>
                <w:szCs w:val="21"/>
              </w:rPr>
            </w:pPr>
            <w:r>
              <w:rPr>
                <w:rFonts w:hint="eastAsia"/>
                <w:szCs w:val="21"/>
              </w:rPr>
              <w:t xml:space="preserve">54 </w:t>
            </w:r>
          </w:p>
        </w:tc>
        <w:tc>
          <w:tcPr>
            <w:tcW w:w="710" w:type="pct"/>
            <w:shd w:val="clear" w:color="auto" w:fill="auto"/>
            <w:vAlign w:val="center"/>
          </w:tcPr>
          <w:p w14:paraId="0238EDCA">
            <w:pPr>
              <w:jc w:val="center"/>
              <w:rPr>
                <w:szCs w:val="21"/>
              </w:rPr>
            </w:pPr>
            <w:r>
              <w:rPr>
                <w:rFonts w:hint="eastAsia"/>
                <w:szCs w:val="21"/>
              </w:rPr>
              <w:t xml:space="preserve">66 </w:t>
            </w:r>
          </w:p>
        </w:tc>
        <w:tc>
          <w:tcPr>
            <w:tcW w:w="711" w:type="pct"/>
            <w:shd w:val="clear" w:color="auto" w:fill="auto"/>
            <w:vAlign w:val="center"/>
          </w:tcPr>
          <w:p w14:paraId="5C7FB822">
            <w:pPr>
              <w:jc w:val="center"/>
              <w:rPr>
                <w:szCs w:val="21"/>
              </w:rPr>
            </w:pPr>
            <w:r>
              <w:rPr>
                <w:rFonts w:hint="eastAsia"/>
                <w:szCs w:val="21"/>
              </w:rPr>
              <w:t xml:space="preserve">60 </w:t>
            </w:r>
          </w:p>
        </w:tc>
        <w:tc>
          <w:tcPr>
            <w:tcW w:w="710" w:type="pct"/>
            <w:shd w:val="clear" w:color="auto" w:fill="auto"/>
            <w:vAlign w:val="center"/>
          </w:tcPr>
          <w:p w14:paraId="369D36E0">
            <w:pPr>
              <w:jc w:val="center"/>
              <w:rPr>
                <w:szCs w:val="21"/>
              </w:rPr>
            </w:pPr>
            <w:r>
              <w:rPr>
                <w:rFonts w:hint="eastAsia"/>
                <w:szCs w:val="21"/>
              </w:rPr>
              <w:t xml:space="preserve">68 </w:t>
            </w:r>
          </w:p>
        </w:tc>
        <w:tc>
          <w:tcPr>
            <w:tcW w:w="710" w:type="pct"/>
            <w:shd w:val="clear" w:color="auto" w:fill="auto"/>
            <w:vAlign w:val="center"/>
          </w:tcPr>
          <w:p w14:paraId="2BC4C785">
            <w:pPr>
              <w:jc w:val="center"/>
              <w:rPr>
                <w:szCs w:val="21"/>
              </w:rPr>
            </w:pPr>
            <w:r>
              <w:rPr>
                <w:rFonts w:hint="eastAsia"/>
                <w:szCs w:val="21"/>
              </w:rPr>
              <w:t xml:space="preserve">61 </w:t>
            </w:r>
          </w:p>
        </w:tc>
      </w:tr>
      <w:tr w14:paraId="2834F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38534B7F">
            <w:pPr>
              <w:jc w:val="center"/>
              <w:rPr>
                <w:szCs w:val="21"/>
              </w:rPr>
            </w:pPr>
            <w:r>
              <w:rPr>
                <w:rFonts w:hint="eastAsia"/>
                <w:szCs w:val="21"/>
              </w:rPr>
              <w:t>70</w:t>
            </w:r>
          </w:p>
        </w:tc>
        <w:tc>
          <w:tcPr>
            <w:tcW w:w="710" w:type="pct"/>
            <w:shd w:val="clear" w:color="auto" w:fill="auto"/>
            <w:vAlign w:val="center"/>
          </w:tcPr>
          <w:p w14:paraId="245F9CE3">
            <w:pPr>
              <w:jc w:val="center"/>
              <w:rPr>
                <w:szCs w:val="21"/>
              </w:rPr>
            </w:pPr>
            <w:r>
              <w:rPr>
                <w:rFonts w:hint="eastAsia"/>
                <w:szCs w:val="21"/>
              </w:rPr>
              <w:t xml:space="preserve">63 </w:t>
            </w:r>
          </w:p>
        </w:tc>
        <w:tc>
          <w:tcPr>
            <w:tcW w:w="711" w:type="pct"/>
            <w:shd w:val="clear" w:color="auto" w:fill="auto"/>
            <w:vAlign w:val="center"/>
          </w:tcPr>
          <w:p w14:paraId="16FB59BF">
            <w:pPr>
              <w:jc w:val="center"/>
              <w:rPr>
                <w:szCs w:val="21"/>
              </w:rPr>
            </w:pPr>
            <w:r>
              <w:rPr>
                <w:rFonts w:hint="eastAsia"/>
                <w:szCs w:val="21"/>
              </w:rPr>
              <w:t xml:space="preserve">52 </w:t>
            </w:r>
          </w:p>
        </w:tc>
        <w:tc>
          <w:tcPr>
            <w:tcW w:w="710" w:type="pct"/>
            <w:shd w:val="clear" w:color="auto" w:fill="auto"/>
            <w:vAlign w:val="center"/>
          </w:tcPr>
          <w:p w14:paraId="5FDA896D">
            <w:pPr>
              <w:jc w:val="center"/>
              <w:rPr>
                <w:szCs w:val="21"/>
              </w:rPr>
            </w:pPr>
            <w:r>
              <w:rPr>
                <w:rFonts w:hint="eastAsia"/>
                <w:szCs w:val="21"/>
              </w:rPr>
              <w:t xml:space="preserve">65 </w:t>
            </w:r>
          </w:p>
        </w:tc>
        <w:tc>
          <w:tcPr>
            <w:tcW w:w="711" w:type="pct"/>
            <w:shd w:val="clear" w:color="auto" w:fill="auto"/>
            <w:vAlign w:val="center"/>
          </w:tcPr>
          <w:p w14:paraId="14D87E3C">
            <w:pPr>
              <w:jc w:val="center"/>
              <w:rPr>
                <w:szCs w:val="21"/>
              </w:rPr>
            </w:pPr>
            <w:r>
              <w:rPr>
                <w:rFonts w:hint="eastAsia"/>
                <w:szCs w:val="21"/>
              </w:rPr>
              <w:t xml:space="preserve">58 </w:t>
            </w:r>
          </w:p>
        </w:tc>
        <w:tc>
          <w:tcPr>
            <w:tcW w:w="710" w:type="pct"/>
            <w:shd w:val="clear" w:color="auto" w:fill="auto"/>
            <w:vAlign w:val="center"/>
          </w:tcPr>
          <w:p w14:paraId="6DF273A6">
            <w:pPr>
              <w:jc w:val="center"/>
              <w:rPr>
                <w:szCs w:val="21"/>
              </w:rPr>
            </w:pPr>
            <w:r>
              <w:rPr>
                <w:rFonts w:hint="eastAsia"/>
                <w:szCs w:val="21"/>
              </w:rPr>
              <w:t xml:space="preserve">67 </w:t>
            </w:r>
          </w:p>
        </w:tc>
        <w:tc>
          <w:tcPr>
            <w:tcW w:w="710" w:type="pct"/>
            <w:shd w:val="clear" w:color="auto" w:fill="auto"/>
            <w:vAlign w:val="center"/>
          </w:tcPr>
          <w:p w14:paraId="033F3788">
            <w:pPr>
              <w:jc w:val="center"/>
              <w:rPr>
                <w:szCs w:val="21"/>
              </w:rPr>
            </w:pPr>
            <w:r>
              <w:rPr>
                <w:rFonts w:hint="eastAsia"/>
                <w:szCs w:val="21"/>
              </w:rPr>
              <w:t xml:space="preserve">60 </w:t>
            </w:r>
          </w:p>
        </w:tc>
      </w:tr>
      <w:tr w14:paraId="3CA68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3871771F">
            <w:pPr>
              <w:jc w:val="center"/>
              <w:rPr>
                <w:szCs w:val="21"/>
              </w:rPr>
            </w:pPr>
            <w:r>
              <w:rPr>
                <w:rFonts w:hint="eastAsia"/>
                <w:szCs w:val="21"/>
              </w:rPr>
              <w:t>80</w:t>
            </w:r>
          </w:p>
        </w:tc>
        <w:tc>
          <w:tcPr>
            <w:tcW w:w="710" w:type="pct"/>
            <w:shd w:val="clear" w:color="auto" w:fill="auto"/>
            <w:vAlign w:val="center"/>
          </w:tcPr>
          <w:p w14:paraId="1E52AF1E">
            <w:pPr>
              <w:jc w:val="center"/>
              <w:rPr>
                <w:szCs w:val="21"/>
              </w:rPr>
            </w:pPr>
            <w:r>
              <w:rPr>
                <w:rFonts w:hint="eastAsia"/>
                <w:szCs w:val="21"/>
              </w:rPr>
              <w:t xml:space="preserve">62 </w:t>
            </w:r>
          </w:p>
        </w:tc>
        <w:tc>
          <w:tcPr>
            <w:tcW w:w="711" w:type="pct"/>
            <w:shd w:val="clear" w:color="auto" w:fill="auto"/>
            <w:vAlign w:val="center"/>
          </w:tcPr>
          <w:p w14:paraId="1F48AE1A">
            <w:pPr>
              <w:jc w:val="center"/>
              <w:rPr>
                <w:szCs w:val="21"/>
              </w:rPr>
            </w:pPr>
            <w:r>
              <w:rPr>
                <w:rFonts w:hint="eastAsia"/>
                <w:szCs w:val="21"/>
              </w:rPr>
              <w:t xml:space="preserve">51 </w:t>
            </w:r>
          </w:p>
        </w:tc>
        <w:tc>
          <w:tcPr>
            <w:tcW w:w="710" w:type="pct"/>
            <w:shd w:val="clear" w:color="auto" w:fill="auto"/>
            <w:vAlign w:val="center"/>
          </w:tcPr>
          <w:p w14:paraId="425E410B">
            <w:pPr>
              <w:jc w:val="center"/>
              <w:rPr>
                <w:szCs w:val="21"/>
              </w:rPr>
            </w:pPr>
            <w:r>
              <w:rPr>
                <w:rFonts w:hint="eastAsia"/>
                <w:szCs w:val="21"/>
              </w:rPr>
              <w:t xml:space="preserve">64 </w:t>
            </w:r>
          </w:p>
        </w:tc>
        <w:tc>
          <w:tcPr>
            <w:tcW w:w="711" w:type="pct"/>
            <w:shd w:val="clear" w:color="auto" w:fill="auto"/>
            <w:vAlign w:val="center"/>
          </w:tcPr>
          <w:p w14:paraId="03DFB718">
            <w:pPr>
              <w:jc w:val="center"/>
              <w:rPr>
                <w:szCs w:val="21"/>
              </w:rPr>
            </w:pPr>
            <w:r>
              <w:rPr>
                <w:rFonts w:hint="eastAsia"/>
                <w:szCs w:val="21"/>
              </w:rPr>
              <w:t xml:space="preserve">57 </w:t>
            </w:r>
          </w:p>
        </w:tc>
        <w:tc>
          <w:tcPr>
            <w:tcW w:w="710" w:type="pct"/>
            <w:shd w:val="clear" w:color="auto" w:fill="auto"/>
            <w:vAlign w:val="center"/>
          </w:tcPr>
          <w:p w14:paraId="339AC173">
            <w:pPr>
              <w:jc w:val="center"/>
              <w:rPr>
                <w:szCs w:val="21"/>
              </w:rPr>
            </w:pPr>
            <w:r>
              <w:rPr>
                <w:rFonts w:hint="eastAsia"/>
                <w:szCs w:val="21"/>
              </w:rPr>
              <w:t xml:space="preserve">66 </w:t>
            </w:r>
          </w:p>
        </w:tc>
        <w:tc>
          <w:tcPr>
            <w:tcW w:w="710" w:type="pct"/>
            <w:shd w:val="clear" w:color="auto" w:fill="auto"/>
            <w:vAlign w:val="center"/>
          </w:tcPr>
          <w:p w14:paraId="7AF9081C">
            <w:pPr>
              <w:jc w:val="center"/>
              <w:rPr>
                <w:szCs w:val="21"/>
              </w:rPr>
            </w:pPr>
            <w:r>
              <w:rPr>
                <w:rFonts w:hint="eastAsia"/>
                <w:szCs w:val="21"/>
              </w:rPr>
              <w:t xml:space="preserve">59 </w:t>
            </w:r>
          </w:p>
        </w:tc>
      </w:tr>
      <w:tr w14:paraId="68FD0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48AE59F4">
            <w:pPr>
              <w:jc w:val="center"/>
              <w:rPr>
                <w:szCs w:val="21"/>
              </w:rPr>
            </w:pPr>
            <w:r>
              <w:rPr>
                <w:rFonts w:hint="eastAsia"/>
                <w:szCs w:val="21"/>
              </w:rPr>
              <w:t>90</w:t>
            </w:r>
          </w:p>
        </w:tc>
        <w:tc>
          <w:tcPr>
            <w:tcW w:w="710" w:type="pct"/>
            <w:shd w:val="clear" w:color="auto" w:fill="auto"/>
            <w:vAlign w:val="center"/>
          </w:tcPr>
          <w:p w14:paraId="6EF7437E">
            <w:pPr>
              <w:jc w:val="center"/>
              <w:rPr>
                <w:szCs w:val="21"/>
              </w:rPr>
            </w:pPr>
            <w:r>
              <w:rPr>
                <w:rFonts w:hint="eastAsia"/>
                <w:szCs w:val="21"/>
              </w:rPr>
              <w:t xml:space="preserve">62 </w:t>
            </w:r>
          </w:p>
        </w:tc>
        <w:tc>
          <w:tcPr>
            <w:tcW w:w="711" w:type="pct"/>
            <w:shd w:val="clear" w:color="auto" w:fill="auto"/>
            <w:vAlign w:val="center"/>
          </w:tcPr>
          <w:p w14:paraId="523DBB51">
            <w:pPr>
              <w:jc w:val="center"/>
              <w:rPr>
                <w:szCs w:val="21"/>
              </w:rPr>
            </w:pPr>
            <w:r>
              <w:rPr>
                <w:rFonts w:hint="eastAsia"/>
                <w:szCs w:val="21"/>
              </w:rPr>
              <w:t xml:space="preserve">50 </w:t>
            </w:r>
          </w:p>
        </w:tc>
        <w:tc>
          <w:tcPr>
            <w:tcW w:w="710" w:type="pct"/>
            <w:shd w:val="clear" w:color="auto" w:fill="auto"/>
            <w:vAlign w:val="center"/>
          </w:tcPr>
          <w:p w14:paraId="09CAEE3B">
            <w:pPr>
              <w:jc w:val="center"/>
              <w:rPr>
                <w:szCs w:val="21"/>
              </w:rPr>
            </w:pPr>
            <w:r>
              <w:rPr>
                <w:rFonts w:hint="eastAsia"/>
                <w:szCs w:val="21"/>
              </w:rPr>
              <w:t xml:space="preserve">63 </w:t>
            </w:r>
          </w:p>
        </w:tc>
        <w:tc>
          <w:tcPr>
            <w:tcW w:w="711" w:type="pct"/>
            <w:shd w:val="clear" w:color="auto" w:fill="auto"/>
            <w:vAlign w:val="center"/>
          </w:tcPr>
          <w:p w14:paraId="0A5A8690">
            <w:pPr>
              <w:jc w:val="center"/>
              <w:rPr>
                <w:szCs w:val="21"/>
              </w:rPr>
            </w:pPr>
            <w:r>
              <w:rPr>
                <w:rFonts w:hint="eastAsia"/>
                <w:szCs w:val="21"/>
              </w:rPr>
              <w:t xml:space="preserve">57 </w:t>
            </w:r>
          </w:p>
        </w:tc>
        <w:tc>
          <w:tcPr>
            <w:tcW w:w="710" w:type="pct"/>
            <w:shd w:val="clear" w:color="auto" w:fill="auto"/>
            <w:vAlign w:val="center"/>
          </w:tcPr>
          <w:p w14:paraId="30831455">
            <w:pPr>
              <w:jc w:val="center"/>
              <w:rPr>
                <w:szCs w:val="21"/>
              </w:rPr>
            </w:pPr>
            <w:r>
              <w:rPr>
                <w:rFonts w:hint="eastAsia"/>
                <w:szCs w:val="21"/>
              </w:rPr>
              <w:t xml:space="preserve">65 </w:t>
            </w:r>
          </w:p>
        </w:tc>
        <w:tc>
          <w:tcPr>
            <w:tcW w:w="710" w:type="pct"/>
            <w:shd w:val="clear" w:color="auto" w:fill="auto"/>
            <w:vAlign w:val="center"/>
          </w:tcPr>
          <w:p w14:paraId="11F5A763">
            <w:pPr>
              <w:jc w:val="center"/>
              <w:rPr>
                <w:szCs w:val="21"/>
              </w:rPr>
            </w:pPr>
            <w:r>
              <w:rPr>
                <w:rFonts w:hint="eastAsia"/>
                <w:szCs w:val="21"/>
              </w:rPr>
              <w:t xml:space="preserve">58 </w:t>
            </w:r>
          </w:p>
        </w:tc>
      </w:tr>
      <w:tr w14:paraId="2B5D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23777338">
            <w:pPr>
              <w:jc w:val="center"/>
              <w:rPr>
                <w:szCs w:val="21"/>
              </w:rPr>
            </w:pPr>
            <w:r>
              <w:rPr>
                <w:rFonts w:hint="eastAsia"/>
                <w:szCs w:val="21"/>
              </w:rPr>
              <w:t>100</w:t>
            </w:r>
          </w:p>
        </w:tc>
        <w:tc>
          <w:tcPr>
            <w:tcW w:w="710" w:type="pct"/>
            <w:shd w:val="clear" w:color="auto" w:fill="auto"/>
            <w:vAlign w:val="center"/>
          </w:tcPr>
          <w:p w14:paraId="62744008">
            <w:pPr>
              <w:jc w:val="center"/>
              <w:rPr>
                <w:szCs w:val="21"/>
              </w:rPr>
            </w:pPr>
            <w:r>
              <w:rPr>
                <w:rFonts w:hint="eastAsia"/>
                <w:szCs w:val="21"/>
              </w:rPr>
              <w:t xml:space="preserve">61 </w:t>
            </w:r>
          </w:p>
        </w:tc>
        <w:tc>
          <w:tcPr>
            <w:tcW w:w="711" w:type="pct"/>
            <w:shd w:val="clear" w:color="auto" w:fill="auto"/>
            <w:vAlign w:val="center"/>
          </w:tcPr>
          <w:p w14:paraId="4D250B37">
            <w:pPr>
              <w:jc w:val="center"/>
              <w:rPr>
                <w:szCs w:val="21"/>
              </w:rPr>
            </w:pPr>
            <w:r>
              <w:rPr>
                <w:rFonts w:hint="eastAsia"/>
                <w:szCs w:val="21"/>
              </w:rPr>
              <w:t xml:space="preserve">49 </w:t>
            </w:r>
          </w:p>
        </w:tc>
        <w:tc>
          <w:tcPr>
            <w:tcW w:w="710" w:type="pct"/>
            <w:shd w:val="clear" w:color="auto" w:fill="auto"/>
            <w:vAlign w:val="center"/>
          </w:tcPr>
          <w:p w14:paraId="621ADEFB">
            <w:pPr>
              <w:jc w:val="center"/>
              <w:rPr>
                <w:szCs w:val="21"/>
              </w:rPr>
            </w:pPr>
            <w:r>
              <w:rPr>
                <w:rFonts w:hint="eastAsia"/>
                <w:szCs w:val="21"/>
              </w:rPr>
              <w:t xml:space="preserve">62 </w:t>
            </w:r>
          </w:p>
        </w:tc>
        <w:tc>
          <w:tcPr>
            <w:tcW w:w="711" w:type="pct"/>
            <w:shd w:val="clear" w:color="auto" w:fill="auto"/>
            <w:vAlign w:val="center"/>
          </w:tcPr>
          <w:p w14:paraId="50ADD0FC">
            <w:pPr>
              <w:jc w:val="center"/>
              <w:rPr>
                <w:szCs w:val="21"/>
              </w:rPr>
            </w:pPr>
            <w:r>
              <w:rPr>
                <w:rFonts w:hint="eastAsia"/>
                <w:szCs w:val="21"/>
              </w:rPr>
              <w:t xml:space="preserve">56 </w:t>
            </w:r>
          </w:p>
        </w:tc>
        <w:tc>
          <w:tcPr>
            <w:tcW w:w="710" w:type="pct"/>
            <w:shd w:val="clear" w:color="auto" w:fill="auto"/>
            <w:vAlign w:val="center"/>
          </w:tcPr>
          <w:p w14:paraId="2BA6DB77">
            <w:pPr>
              <w:jc w:val="center"/>
              <w:rPr>
                <w:szCs w:val="21"/>
              </w:rPr>
            </w:pPr>
            <w:r>
              <w:rPr>
                <w:rFonts w:hint="eastAsia"/>
                <w:szCs w:val="21"/>
              </w:rPr>
              <w:t xml:space="preserve">64 </w:t>
            </w:r>
          </w:p>
        </w:tc>
        <w:tc>
          <w:tcPr>
            <w:tcW w:w="710" w:type="pct"/>
            <w:shd w:val="clear" w:color="auto" w:fill="auto"/>
            <w:vAlign w:val="center"/>
          </w:tcPr>
          <w:p w14:paraId="7945B8B4">
            <w:pPr>
              <w:jc w:val="center"/>
              <w:rPr>
                <w:szCs w:val="21"/>
              </w:rPr>
            </w:pPr>
            <w:r>
              <w:rPr>
                <w:rFonts w:hint="eastAsia"/>
                <w:szCs w:val="21"/>
              </w:rPr>
              <w:t xml:space="preserve">58 </w:t>
            </w:r>
          </w:p>
        </w:tc>
      </w:tr>
      <w:tr w14:paraId="6F3CF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6AF65CE8">
            <w:pPr>
              <w:jc w:val="center"/>
              <w:rPr>
                <w:szCs w:val="21"/>
              </w:rPr>
            </w:pPr>
            <w:r>
              <w:rPr>
                <w:rFonts w:hint="eastAsia"/>
                <w:szCs w:val="21"/>
              </w:rPr>
              <w:t>110</w:t>
            </w:r>
          </w:p>
        </w:tc>
        <w:tc>
          <w:tcPr>
            <w:tcW w:w="710" w:type="pct"/>
            <w:shd w:val="clear" w:color="auto" w:fill="auto"/>
            <w:vAlign w:val="center"/>
          </w:tcPr>
          <w:p w14:paraId="41A3D981">
            <w:pPr>
              <w:jc w:val="center"/>
              <w:rPr>
                <w:szCs w:val="21"/>
              </w:rPr>
            </w:pPr>
            <w:r>
              <w:rPr>
                <w:rFonts w:hint="eastAsia"/>
                <w:szCs w:val="21"/>
              </w:rPr>
              <w:t xml:space="preserve">60 </w:t>
            </w:r>
          </w:p>
        </w:tc>
        <w:tc>
          <w:tcPr>
            <w:tcW w:w="711" w:type="pct"/>
            <w:shd w:val="clear" w:color="auto" w:fill="auto"/>
            <w:vAlign w:val="center"/>
          </w:tcPr>
          <w:p w14:paraId="6B77A1C7">
            <w:pPr>
              <w:jc w:val="center"/>
              <w:rPr>
                <w:szCs w:val="21"/>
              </w:rPr>
            </w:pPr>
            <w:r>
              <w:rPr>
                <w:rFonts w:hint="eastAsia"/>
                <w:szCs w:val="21"/>
              </w:rPr>
              <w:t xml:space="preserve">48 </w:t>
            </w:r>
          </w:p>
        </w:tc>
        <w:tc>
          <w:tcPr>
            <w:tcW w:w="710" w:type="pct"/>
            <w:shd w:val="clear" w:color="auto" w:fill="auto"/>
            <w:vAlign w:val="center"/>
          </w:tcPr>
          <w:p w14:paraId="30C1F17C">
            <w:pPr>
              <w:jc w:val="center"/>
              <w:rPr>
                <w:szCs w:val="21"/>
              </w:rPr>
            </w:pPr>
            <w:r>
              <w:rPr>
                <w:rFonts w:hint="eastAsia"/>
                <w:szCs w:val="21"/>
              </w:rPr>
              <w:t xml:space="preserve">62 </w:t>
            </w:r>
          </w:p>
        </w:tc>
        <w:tc>
          <w:tcPr>
            <w:tcW w:w="711" w:type="pct"/>
            <w:shd w:val="clear" w:color="auto" w:fill="auto"/>
            <w:vAlign w:val="center"/>
          </w:tcPr>
          <w:p w14:paraId="0FA26D97">
            <w:pPr>
              <w:jc w:val="center"/>
              <w:rPr>
                <w:szCs w:val="21"/>
              </w:rPr>
            </w:pPr>
            <w:r>
              <w:rPr>
                <w:rFonts w:hint="eastAsia"/>
                <w:szCs w:val="21"/>
              </w:rPr>
              <w:t xml:space="preserve">55 </w:t>
            </w:r>
          </w:p>
        </w:tc>
        <w:tc>
          <w:tcPr>
            <w:tcW w:w="710" w:type="pct"/>
            <w:shd w:val="clear" w:color="auto" w:fill="auto"/>
            <w:vAlign w:val="center"/>
          </w:tcPr>
          <w:p w14:paraId="36489F76">
            <w:pPr>
              <w:jc w:val="center"/>
              <w:rPr>
                <w:szCs w:val="21"/>
              </w:rPr>
            </w:pPr>
            <w:r>
              <w:rPr>
                <w:rFonts w:hint="eastAsia"/>
                <w:szCs w:val="21"/>
              </w:rPr>
              <w:t xml:space="preserve">63 </w:t>
            </w:r>
          </w:p>
        </w:tc>
        <w:tc>
          <w:tcPr>
            <w:tcW w:w="710" w:type="pct"/>
            <w:shd w:val="clear" w:color="auto" w:fill="auto"/>
            <w:vAlign w:val="center"/>
          </w:tcPr>
          <w:p w14:paraId="402BCF39">
            <w:pPr>
              <w:jc w:val="center"/>
              <w:rPr>
                <w:szCs w:val="21"/>
              </w:rPr>
            </w:pPr>
            <w:r>
              <w:rPr>
                <w:rFonts w:hint="eastAsia"/>
                <w:szCs w:val="21"/>
              </w:rPr>
              <w:t xml:space="preserve">57 </w:t>
            </w:r>
          </w:p>
        </w:tc>
      </w:tr>
      <w:tr w14:paraId="4B87C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38" w:type="pct"/>
            <w:shd w:val="clear" w:color="auto" w:fill="auto"/>
            <w:vAlign w:val="center"/>
          </w:tcPr>
          <w:p w14:paraId="300244A3">
            <w:pPr>
              <w:jc w:val="center"/>
              <w:rPr>
                <w:szCs w:val="21"/>
              </w:rPr>
            </w:pPr>
            <w:r>
              <w:rPr>
                <w:rFonts w:hint="eastAsia"/>
                <w:szCs w:val="21"/>
              </w:rPr>
              <w:t>120</w:t>
            </w:r>
          </w:p>
        </w:tc>
        <w:tc>
          <w:tcPr>
            <w:tcW w:w="710" w:type="pct"/>
            <w:shd w:val="clear" w:color="auto" w:fill="auto"/>
            <w:vAlign w:val="center"/>
          </w:tcPr>
          <w:p w14:paraId="4F4D5675">
            <w:pPr>
              <w:jc w:val="center"/>
              <w:rPr>
                <w:szCs w:val="21"/>
              </w:rPr>
            </w:pPr>
            <w:r>
              <w:rPr>
                <w:rFonts w:hint="eastAsia"/>
                <w:szCs w:val="21"/>
              </w:rPr>
              <w:t xml:space="preserve">59 </w:t>
            </w:r>
          </w:p>
        </w:tc>
        <w:tc>
          <w:tcPr>
            <w:tcW w:w="711" w:type="pct"/>
            <w:shd w:val="clear" w:color="auto" w:fill="auto"/>
            <w:vAlign w:val="center"/>
          </w:tcPr>
          <w:p w14:paraId="7CE0CCF2">
            <w:pPr>
              <w:jc w:val="center"/>
              <w:rPr>
                <w:szCs w:val="21"/>
              </w:rPr>
            </w:pPr>
            <w:r>
              <w:rPr>
                <w:rFonts w:hint="eastAsia"/>
                <w:szCs w:val="21"/>
              </w:rPr>
              <w:t xml:space="preserve">47 </w:t>
            </w:r>
          </w:p>
        </w:tc>
        <w:tc>
          <w:tcPr>
            <w:tcW w:w="710" w:type="pct"/>
            <w:shd w:val="clear" w:color="auto" w:fill="auto"/>
            <w:vAlign w:val="center"/>
          </w:tcPr>
          <w:p w14:paraId="3CABBDE7">
            <w:pPr>
              <w:jc w:val="center"/>
              <w:rPr>
                <w:szCs w:val="21"/>
              </w:rPr>
            </w:pPr>
            <w:r>
              <w:rPr>
                <w:rFonts w:hint="eastAsia"/>
                <w:szCs w:val="21"/>
              </w:rPr>
              <w:t xml:space="preserve">61 </w:t>
            </w:r>
          </w:p>
        </w:tc>
        <w:tc>
          <w:tcPr>
            <w:tcW w:w="711" w:type="pct"/>
            <w:shd w:val="clear" w:color="auto" w:fill="auto"/>
            <w:vAlign w:val="center"/>
          </w:tcPr>
          <w:p w14:paraId="64395400">
            <w:pPr>
              <w:jc w:val="center"/>
              <w:rPr>
                <w:szCs w:val="21"/>
              </w:rPr>
            </w:pPr>
            <w:r>
              <w:rPr>
                <w:rFonts w:hint="eastAsia"/>
                <w:szCs w:val="21"/>
              </w:rPr>
              <w:t xml:space="preserve">54 </w:t>
            </w:r>
          </w:p>
        </w:tc>
        <w:tc>
          <w:tcPr>
            <w:tcW w:w="710" w:type="pct"/>
            <w:shd w:val="clear" w:color="auto" w:fill="auto"/>
            <w:vAlign w:val="center"/>
          </w:tcPr>
          <w:p w14:paraId="4CFC173E">
            <w:pPr>
              <w:jc w:val="center"/>
              <w:rPr>
                <w:szCs w:val="21"/>
              </w:rPr>
            </w:pPr>
            <w:r>
              <w:rPr>
                <w:rFonts w:hint="eastAsia"/>
                <w:szCs w:val="21"/>
              </w:rPr>
              <w:t xml:space="preserve">63 </w:t>
            </w:r>
          </w:p>
        </w:tc>
        <w:tc>
          <w:tcPr>
            <w:tcW w:w="710" w:type="pct"/>
            <w:shd w:val="clear" w:color="auto" w:fill="auto"/>
            <w:vAlign w:val="center"/>
          </w:tcPr>
          <w:p w14:paraId="10DD83F7">
            <w:pPr>
              <w:jc w:val="center"/>
              <w:rPr>
                <w:szCs w:val="21"/>
              </w:rPr>
            </w:pPr>
            <w:r>
              <w:rPr>
                <w:rFonts w:hint="eastAsia"/>
                <w:szCs w:val="21"/>
              </w:rPr>
              <w:t xml:space="preserve">56 </w:t>
            </w:r>
          </w:p>
        </w:tc>
      </w:tr>
      <w:tr w14:paraId="5F47F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38" w:type="pct"/>
            <w:shd w:val="clear" w:color="auto" w:fill="auto"/>
            <w:vAlign w:val="center"/>
          </w:tcPr>
          <w:p w14:paraId="389A295C">
            <w:pPr>
              <w:jc w:val="center"/>
              <w:rPr>
                <w:szCs w:val="21"/>
              </w:rPr>
            </w:pPr>
            <w:r>
              <w:rPr>
                <w:rFonts w:hint="eastAsia"/>
                <w:szCs w:val="21"/>
              </w:rPr>
              <w:t>130</w:t>
            </w:r>
          </w:p>
        </w:tc>
        <w:tc>
          <w:tcPr>
            <w:tcW w:w="710" w:type="pct"/>
            <w:shd w:val="clear" w:color="auto" w:fill="auto"/>
            <w:vAlign w:val="center"/>
          </w:tcPr>
          <w:p w14:paraId="19879639">
            <w:pPr>
              <w:jc w:val="center"/>
              <w:rPr>
                <w:szCs w:val="21"/>
              </w:rPr>
            </w:pPr>
            <w:r>
              <w:rPr>
                <w:rFonts w:hint="eastAsia"/>
                <w:szCs w:val="21"/>
              </w:rPr>
              <w:t xml:space="preserve">59 </w:t>
            </w:r>
          </w:p>
        </w:tc>
        <w:tc>
          <w:tcPr>
            <w:tcW w:w="711" w:type="pct"/>
            <w:shd w:val="clear" w:color="auto" w:fill="auto"/>
            <w:vAlign w:val="center"/>
          </w:tcPr>
          <w:p w14:paraId="54CAE1B9">
            <w:pPr>
              <w:jc w:val="center"/>
              <w:rPr>
                <w:szCs w:val="21"/>
              </w:rPr>
            </w:pPr>
            <w:r>
              <w:rPr>
                <w:rFonts w:hint="eastAsia"/>
                <w:szCs w:val="21"/>
              </w:rPr>
              <w:t xml:space="preserve">46 </w:t>
            </w:r>
          </w:p>
        </w:tc>
        <w:tc>
          <w:tcPr>
            <w:tcW w:w="710" w:type="pct"/>
            <w:shd w:val="clear" w:color="auto" w:fill="auto"/>
            <w:vAlign w:val="center"/>
          </w:tcPr>
          <w:p w14:paraId="29E24664">
            <w:pPr>
              <w:jc w:val="center"/>
              <w:rPr>
                <w:szCs w:val="21"/>
              </w:rPr>
            </w:pPr>
            <w:r>
              <w:rPr>
                <w:rFonts w:hint="eastAsia"/>
                <w:szCs w:val="21"/>
              </w:rPr>
              <w:t xml:space="preserve">60 </w:t>
            </w:r>
          </w:p>
        </w:tc>
        <w:tc>
          <w:tcPr>
            <w:tcW w:w="711" w:type="pct"/>
            <w:shd w:val="clear" w:color="auto" w:fill="auto"/>
            <w:vAlign w:val="center"/>
          </w:tcPr>
          <w:p w14:paraId="36CBE9B1">
            <w:pPr>
              <w:jc w:val="center"/>
              <w:rPr>
                <w:szCs w:val="21"/>
              </w:rPr>
            </w:pPr>
            <w:r>
              <w:rPr>
                <w:rFonts w:hint="eastAsia"/>
                <w:szCs w:val="21"/>
              </w:rPr>
              <w:t xml:space="preserve">54 </w:t>
            </w:r>
          </w:p>
        </w:tc>
        <w:tc>
          <w:tcPr>
            <w:tcW w:w="710" w:type="pct"/>
            <w:shd w:val="clear" w:color="auto" w:fill="auto"/>
            <w:vAlign w:val="center"/>
          </w:tcPr>
          <w:p w14:paraId="36652659">
            <w:pPr>
              <w:jc w:val="center"/>
              <w:rPr>
                <w:szCs w:val="21"/>
              </w:rPr>
            </w:pPr>
            <w:r>
              <w:rPr>
                <w:rFonts w:hint="eastAsia"/>
                <w:szCs w:val="21"/>
              </w:rPr>
              <w:t xml:space="preserve">62 </w:t>
            </w:r>
          </w:p>
        </w:tc>
        <w:tc>
          <w:tcPr>
            <w:tcW w:w="710" w:type="pct"/>
            <w:shd w:val="clear" w:color="auto" w:fill="auto"/>
            <w:vAlign w:val="center"/>
          </w:tcPr>
          <w:p w14:paraId="3C05630A">
            <w:pPr>
              <w:jc w:val="center"/>
              <w:rPr>
                <w:szCs w:val="21"/>
              </w:rPr>
            </w:pPr>
            <w:r>
              <w:rPr>
                <w:rFonts w:hint="eastAsia"/>
                <w:szCs w:val="21"/>
              </w:rPr>
              <w:t xml:space="preserve">55 </w:t>
            </w:r>
          </w:p>
        </w:tc>
      </w:tr>
      <w:tr w14:paraId="15BA7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373B3F90">
            <w:pPr>
              <w:jc w:val="center"/>
              <w:rPr>
                <w:szCs w:val="21"/>
              </w:rPr>
            </w:pPr>
            <w:r>
              <w:rPr>
                <w:rFonts w:hint="eastAsia"/>
                <w:szCs w:val="21"/>
              </w:rPr>
              <w:t>140</w:t>
            </w:r>
          </w:p>
        </w:tc>
        <w:tc>
          <w:tcPr>
            <w:tcW w:w="710" w:type="pct"/>
            <w:shd w:val="clear" w:color="auto" w:fill="auto"/>
            <w:vAlign w:val="center"/>
          </w:tcPr>
          <w:p w14:paraId="69BA881E">
            <w:pPr>
              <w:jc w:val="center"/>
              <w:rPr>
                <w:szCs w:val="21"/>
              </w:rPr>
            </w:pPr>
            <w:r>
              <w:rPr>
                <w:rFonts w:hint="eastAsia"/>
                <w:szCs w:val="21"/>
              </w:rPr>
              <w:t xml:space="preserve">58 </w:t>
            </w:r>
          </w:p>
        </w:tc>
        <w:tc>
          <w:tcPr>
            <w:tcW w:w="711" w:type="pct"/>
            <w:shd w:val="clear" w:color="auto" w:fill="auto"/>
            <w:vAlign w:val="center"/>
          </w:tcPr>
          <w:p w14:paraId="7F5D3ECF">
            <w:pPr>
              <w:jc w:val="center"/>
              <w:rPr>
                <w:szCs w:val="21"/>
              </w:rPr>
            </w:pPr>
            <w:r>
              <w:rPr>
                <w:rFonts w:hint="eastAsia"/>
                <w:szCs w:val="21"/>
              </w:rPr>
              <w:t xml:space="preserve">45 </w:t>
            </w:r>
          </w:p>
        </w:tc>
        <w:tc>
          <w:tcPr>
            <w:tcW w:w="710" w:type="pct"/>
            <w:shd w:val="clear" w:color="auto" w:fill="auto"/>
            <w:vAlign w:val="center"/>
          </w:tcPr>
          <w:p w14:paraId="3ED51A06">
            <w:pPr>
              <w:jc w:val="center"/>
              <w:rPr>
                <w:szCs w:val="21"/>
              </w:rPr>
            </w:pPr>
            <w:r>
              <w:rPr>
                <w:rFonts w:hint="eastAsia"/>
                <w:szCs w:val="21"/>
              </w:rPr>
              <w:t xml:space="preserve">60 </w:t>
            </w:r>
          </w:p>
        </w:tc>
        <w:tc>
          <w:tcPr>
            <w:tcW w:w="711" w:type="pct"/>
            <w:shd w:val="clear" w:color="auto" w:fill="auto"/>
            <w:vAlign w:val="center"/>
          </w:tcPr>
          <w:p w14:paraId="7231BD1D">
            <w:pPr>
              <w:jc w:val="center"/>
              <w:rPr>
                <w:szCs w:val="21"/>
              </w:rPr>
            </w:pPr>
            <w:r>
              <w:rPr>
                <w:rFonts w:hint="eastAsia"/>
                <w:szCs w:val="21"/>
              </w:rPr>
              <w:t xml:space="preserve">53 </w:t>
            </w:r>
          </w:p>
        </w:tc>
        <w:tc>
          <w:tcPr>
            <w:tcW w:w="710" w:type="pct"/>
            <w:shd w:val="clear" w:color="auto" w:fill="auto"/>
            <w:vAlign w:val="center"/>
          </w:tcPr>
          <w:p w14:paraId="7A459BA1">
            <w:pPr>
              <w:jc w:val="center"/>
              <w:rPr>
                <w:szCs w:val="21"/>
              </w:rPr>
            </w:pPr>
            <w:r>
              <w:rPr>
                <w:rFonts w:hint="eastAsia"/>
                <w:szCs w:val="21"/>
              </w:rPr>
              <w:t xml:space="preserve">61 </w:t>
            </w:r>
          </w:p>
        </w:tc>
        <w:tc>
          <w:tcPr>
            <w:tcW w:w="710" w:type="pct"/>
            <w:shd w:val="clear" w:color="auto" w:fill="auto"/>
            <w:vAlign w:val="center"/>
          </w:tcPr>
          <w:p w14:paraId="015AB2BB">
            <w:pPr>
              <w:jc w:val="center"/>
              <w:rPr>
                <w:szCs w:val="21"/>
              </w:rPr>
            </w:pPr>
            <w:r>
              <w:rPr>
                <w:rFonts w:hint="eastAsia"/>
                <w:szCs w:val="21"/>
              </w:rPr>
              <w:t xml:space="preserve">55 </w:t>
            </w:r>
          </w:p>
        </w:tc>
      </w:tr>
      <w:tr w14:paraId="589BB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04AFC061">
            <w:pPr>
              <w:jc w:val="center"/>
              <w:rPr>
                <w:szCs w:val="21"/>
              </w:rPr>
            </w:pPr>
            <w:r>
              <w:rPr>
                <w:rFonts w:hint="eastAsia"/>
                <w:szCs w:val="21"/>
              </w:rPr>
              <w:t>150</w:t>
            </w:r>
          </w:p>
        </w:tc>
        <w:tc>
          <w:tcPr>
            <w:tcW w:w="710" w:type="pct"/>
            <w:shd w:val="clear" w:color="auto" w:fill="auto"/>
            <w:vAlign w:val="center"/>
          </w:tcPr>
          <w:p w14:paraId="69763081">
            <w:pPr>
              <w:jc w:val="center"/>
              <w:rPr>
                <w:szCs w:val="21"/>
              </w:rPr>
            </w:pPr>
            <w:r>
              <w:rPr>
                <w:rFonts w:hint="eastAsia"/>
                <w:szCs w:val="21"/>
              </w:rPr>
              <w:t xml:space="preserve">58 </w:t>
            </w:r>
          </w:p>
        </w:tc>
        <w:tc>
          <w:tcPr>
            <w:tcW w:w="711" w:type="pct"/>
            <w:shd w:val="clear" w:color="auto" w:fill="auto"/>
            <w:vAlign w:val="center"/>
          </w:tcPr>
          <w:p w14:paraId="16759B9C">
            <w:pPr>
              <w:jc w:val="center"/>
              <w:rPr>
                <w:szCs w:val="21"/>
              </w:rPr>
            </w:pPr>
            <w:r>
              <w:rPr>
                <w:rFonts w:hint="eastAsia"/>
                <w:szCs w:val="21"/>
              </w:rPr>
              <w:t xml:space="preserve">44 </w:t>
            </w:r>
          </w:p>
        </w:tc>
        <w:tc>
          <w:tcPr>
            <w:tcW w:w="710" w:type="pct"/>
            <w:shd w:val="clear" w:color="auto" w:fill="auto"/>
            <w:vAlign w:val="center"/>
          </w:tcPr>
          <w:p w14:paraId="0F91BDA0">
            <w:pPr>
              <w:jc w:val="center"/>
              <w:rPr>
                <w:szCs w:val="21"/>
              </w:rPr>
            </w:pPr>
            <w:r>
              <w:rPr>
                <w:rFonts w:hint="eastAsia"/>
                <w:szCs w:val="21"/>
              </w:rPr>
              <w:t xml:space="preserve">59 </w:t>
            </w:r>
          </w:p>
        </w:tc>
        <w:tc>
          <w:tcPr>
            <w:tcW w:w="711" w:type="pct"/>
            <w:shd w:val="clear" w:color="auto" w:fill="auto"/>
            <w:vAlign w:val="center"/>
          </w:tcPr>
          <w:p w14:paraId="09B45116">
            <w:pPr>
              <w:jc w:val="center"/>
              <w:rPr>
                <w:szCs w:val="21"/>
              </w:rPr>
            </w:pPr>
            <w:r>
              <w:rPr>
                <w:rFonts w:hint="eastAsia"/>
                <w:szCs w:val="21"/>
              </w:rPr>
              <w:t xml:space="preserve">53 </w:t>
            </w:r>
          </w:p>
        </w:tc>
        <w:tc>
          <w:tcPr>
            <w:tcW w:w="710" w:type="pct"/>
            <w:shd w:val="clear" w:color="auto" w:fill="auto"/>
            <w:vAlign w:val="center"/>
          </w:tcPr>
          <w:p w14:paraId="58FFEF65">
            <w:pPr>
              <w:jc w:val="center"/>
              <w:rPr>
                <w:szCs w:val="21"/>
              </w:rPr>
            </w:pPr>
            <w:r>
              <w:rPr>
                <w:rFonts w:hint="eastAsia"/>
                <w:szCs w:val="21"/>
              </w:rPr>
              <w:t xml:space="preserve">61 </w:t>
            </w:r>
          </w:p>
        </w:tc>
        <w:tc>
          <w:tcPr>
            <w:tcW w:w="710" w:type="pct"/>
            <w:shd w:val="clear" w:color="auto" w:fill="auto"/>
            <w:vAlign w:val="center"/>
          </w:tcPr>
          <w:p w14:paraId="23A5038F">
            <w:pPr>
              <w:jc w:val="center"/>
              <w:rPr>
                <w:szCs w:val="21"/>
              </w:rPr>
            </w:pPr>
            <w:r>
              <w:rPr>
                <w:rFonts w:hint="eastAsia"/>
                <w:szCs w:val="21"/>
              </w:rPr>
              <w:t xml:space="preserve">54 </w:t>
            </w:r>
          </w:p>
        </w:tc>
      </w:tr>
      <w:tr w14:paraId="74440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367D7D36">
            <w:pPr>
              <w:jc w:val="center"/>
              <w:rPr>
                <w:szCs w:val="21"/>
              </w:rPr>
            </w:pPr>
            <w:r>
              <w:rPr>
                <w:rFonts w:hint="eastAsia"/>
                <w:szCs w:val="21"/>
              </w:rPr>
              <w:t>160</w:t>
            </w:r>
          </w:p>
        </w:tc>
        <w:tc>
          <w:tcPr>
            <w:tcW w:w="710" w:type="pct"/>
            <w:shd w:val="clear" w:color="auto" w:fill="auto"/>
            <w:vAlign w:val="center"/>
          </w:tcPr>
          <w:p w14:paraId="457BACA4">
            <w:pPr>
              <w:jc w:val="center"/>
              <w:rPr>
                <w:szCs w:val="21"/>
              </w:rPr>
            </w:pPr>
            <w:r>
              <w:rPr>
                <w:rFonts w:hint="eastAsia"/>
                <w:szCs w:val="21"/>
              </w:rPr>
              <w:t xml:space="preserve">57 </w:t>
            </w:r>
          </w:p>
        </w:tc>
        <w:tc>
          <w:tcPr>
            <w:tcW w:w="711" w:type="pct"/>
            <w:shd w:val="clear" w:color="auto" w:fill="auto"/>
            <w:vAlign w:val="center"/>
          </w:tcPr>
          <w:p w14:paraId="7F9681AA">
            <w:pPr>
              <w:jc w:val="center"/>
              <w:rPr>
                <w:szCs w:val="21"/>
              </w:rPr>
            </w:pPr>
            <w:r>
              <w:rPr>
                <w:rFonts w:hint="eastAsia"/>
                <w:szCs w:val="21"/>
              </w:rPr>
              <w:t xml:space="preserve">44 </w:t>
            </w:r>
          </w:p>
        </w:tc>
        <w:tc>
          <w:tcPr>
            <w:tcW w:w="710" w:type="pct"/>
            <w:shd w:val="clear" w:color="auto" w:fill="auto"/>
            <w:vAlign w:val="center"/>
          </w:tcPr>
          <w:p w14:paraId="533B6F88">
            <w:pPr>
              <w:jc w:val="center"/>
              <w:rPr>
                <w:szCs w:val="21"/>
              </w:rPr>
            </w:pPr>
            <w:r>
              <w:rPr>
                <w:rFonts w:hint="eastAsia"/>
                <w:szCs w:val="21"/>
              </w:rPr>
              <w:t xml:space="preserve">59 </w:t>
            </w:r>
          </w:p>
        </w:tc>
        <w:tc>
          <w:tcPr>
            <w:tcW w:w="711" w:type="pct"/>
            <w:shd w:val="clear" w:color="auto" w:fill="auto"/>
            <w:vAlign w:val="center"/>
          </w:tcPr>
          <w:p w14:paraId="49A3DCB8">
            <w:pPr>
              <w:jc w:val="center"/>
              <w:rPr>
                <w:szCs w:val="21"/>
              </w:rPr>
            </w:pPr>
            <w:r>
              <w:rPr>
                <w:rFonts w:hint="eastAsia"/>
                <w:szCs w:val="21"/>
              </w:rPr>
              <w:t xml:space="preserve">52 </w:t>
            </w:r>
          </w:p>
        </w:tc>
        <w:tc>
          <w:tcPr>
            <w:tcW w:w="710" w:type="pct"/>
            <w:shd w:val="clear" w:color="auto" w:fill="auto"/>
            <w:vAlign w:val="center"/>
          </w:tcPr>
          <w:p w14:paraId="2B510C08">
            <w:pPr>
              <w:jc w:val="center"/>
              <w:rPr>
                <w:szCs w:val="21"/>
              </w:rPr>
            </w:pPr>
            <w:r>
              <w:rPr>
                <w:rFonts w:hint="eastAsia"/>
                <w:szCs w:val="21"/>
              </w:rPr>
              <w:t xml:space="preserve">60 </w:t>
            </w:r>
          </w:p>
        </w:tc>
        <w:tc>
          <w:tcPr>
            <w:tcW w:w="710" w:type="pct"/>
            <w:shd w:val="clear" w:color="auto" w:fill="auto"/>
            <w:vAlign w:val="center"/>
          </w:tcPr>
          <w:p w14:paraId="5009C856">
            <w:pPr>
              <w:jc w:val="center"/>
              <w:rPr>
                <w:szCs w:val="21"/>
              </w:rPr>
            </w:pPr>
            <w:r>
              <w:rPr>
                <w:rFonts w:hint="eastAsia"/>
                <w:szCs w:val="21"/>
              </w:rPr>
              <w:t xml:space="preserve">54 </w:t>
            </w:r>
          </w:p>
        </w:tc>
      </w:tr>
      <w:tr w14:paraId="6BDC6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5E2CB1FB">
            <w:pPr>
              <w:jc w:val="center"/>
              <w:rPr>
                <w:szCs w:val="21"/>
              </w:rPr>
            </w:pPr>
            <w:r>
              <w:rPr>
                <w:rFonts w:hint="eastAsia"/>
                <w:szCs w:val="21"/>
              </w:rPr>
              <w:t>170</w:t>
            </w:r>
          </w:p>
        </w:tc>
        <w:tc>
          <w:tcPr>
            <w:tcW w:w="710" w:type="pct"/>
            <w:shd w:val="clear" w:color="auto" w:fill="auto"/>
            <w:vAlign w:val="center"/>
          </w:tcPr>
          <w:p w14:paraId="7CA0DC03">
            <w:pPr>
              <w:jc w:val="center"/>
              <w:rPr>
                <w:szCs w:val="21"/>
              </w:rPr>
            </w:pPr>
            <w:r>
              <w:rPr>
                <w:rFonts w:hint="eastAsia"/>
                <w:szCs w:val="21"/>
              </w:rPr>
              <w:t xml:space="preserve">57 </w:t>
            </w:r>
          </w:p>
        </w:tc>
        <w:tc>
          <w:tcPr>
            <w:tcW w:w="711" w:type="pct"/>
            <w:shd w:val="clear" w:color="auto" w:fill="auto"/>
            <w:vAlign w:val="center"/>
          </w:tcPr>
          <w:p w14:paraId="30848A03">
            <w:pPr>
              <w:jc w:val="center"/>
              <w:rPr>
                <w:szCs w:val="21"/>
              </w:rPr>
            </w:pPr>
            <w:r>
              <w:rPr>
                <w:rFonts w:hint="eastAsia"/>
                <w:szCs w:val="21"/>
              </w:rPr>
              <w:t xml:space="preserve">43 </w:t>
            </w:r>
          </w:p>
        </w:tc>
        <w:tc>
          <w:tcPr>
            <w:tcW w:w="710" w:type="pct"/>
            <w:shd w:val="clear" w:color="auto" w:fill="auto"/>
            <w:vAlign w:val="center"/>
          </w:tcPr>
          <w:p w14:paraId="034E1E50">
            <w:pPr>
              <w:jc w:val="center"/>
              <w:rPr>
                <w:szCs w:val="21"/>
              </w:rPr>
            </w:pPr>
            <w:r>
              <w:rPr>
                <w:rFonts w:hint="eastAsia"/>
                <w:szCs w:val="21"/>
              </w:rPr>
              <w:t xml:space="preserve">58 </w:t>
            </w:r>
          </w:p>
        </w:tc>
        <w:tc>
          <w:tcPr>
            <w:tcW w:w="711" w:type="pct"/>
            <w:shd w:val="clear" w:color="auto" w:fill="auto"/>
            <w:vAlign w:val="center"/>
          </w:tcPr>
          <w:p w14:paraId="2D806B4F">
            <w:pPr>
              <w:jc w:val="center"/>
              <w:rPr>
                <w:szCs w:val="21"/>
              </w:rPr>
            </w:pPr>
            <w:r>
              <w:rPr>
                <w:rFonts w:hint="eastAsia"/>
                <w:szCs w:val="21"/>
              </w:rPr>
              <w:t xml:space="preserve">52 </w:t>
            </w:r>
          </w:p>
        </w:tc>
        <w:tc>
          <w:tcPr>
            <w:tcW w:w="710" w:type="pct"/>
            <w:shd w:val="clear" w:color="auto" w:fill="auto"/>
            <w:vAlign w:val="center"/>
          </w:tcPr>
          <w:p w14:paraId="7CFFD0D0">
            <w:pPr>
              <w:jc w:val="center"/>
              <w:rPr>
                <w:szCs w:val="21"/>
              </w:rPr>
            </w:pPr>
            <w:r>
              <w:rPr>
                <w:rFonts w:hint="eastAsia"/>
                <w:szCs w:val="21"/>
              </w:rPr>
              <w:t xml:space="preserve">60 </w:t>
            </w:r>
          </w:p>
        </w:tc>
        <w:tc>
          <w:tcPr>
            <w:tcW w:w="710" w:type="pct"/>
            <w:shd w:val="clear" w:color="auto" w:fill="auto"/>
            <w:vAlign w:val="center"/>
          </w:tcPr>
          <w:p w14:paraId="5060C465">
            <w:pPr>
              <w:jc w:val="center"/>
              <w:rPr>
                <w:szCs w:val="21"/>
              </w:rPr>
            </w:pPr>
            <w:r>
              <w:rPr>
                <w:rFonts w:hint="eastAsia"/>
                <w:szCs w:val="21"/>
              </w:rPr>
              <w:t xml:space="preserve">53 </w:t>
            </w:r>
          </w:p>
        </w:tc>
      </w:tr>
      <w:tr w14:paraId="59184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5438EE0F">
            <w:pPr>
              <w:jc w:val="center"/>
              <w:rPr>
                <w:szCs w:val="21"/>
              </w:rPr>
            </w:pPr>
            <w:r>
              <w:rPr>
                <w:rFonts w:hint="eastAsia"/>
                <w:szCs w:val="21"/>
              </w:rPr>
              <w:t>180</w:t>
            </w:r>
          </w:p>
        </w:tc>
        <w:tc>
          <w:tcPr>
            <w:tcW w:w="710" w:type="pct"/>
            <w:shd w:val="clear" w:color="auto" w:fill="auto"/>
            <w:vAlign w:val="center"/>
          </w:tcPr>
          <w:p w14:paraId="6F7F10A5">
            <w:pPr>
              <w:jc w:val="center"/>
              <w:rPr>
                <w:szCs w:val="21"/>
              </w:rPr>
            </w:pPr>
            <w:r>
              <w:rPr>
                <w:rFonts w:hint="eastAsia"/>
                <w:szCs w:val="21"/>
              </w:rPr>
              <w:t xml:space="preserve">56 </w:t>
            </w:r>
          </w:p>
        </w:tc>
        <w:tc>
          <w:tcPr>
            <w:tcW w:w="711" w:type="pct"/>
            <w:shd w:val="clear" w:color="auto" w:fill="auto"/>
            <w:vAlign w:val="center"/>
          </w:tcPr>
          <w:p w14:paraId="0FC5043E">
            <w:pPr>
              <w:jc w:val="center"/>
              <w:rPr>
                <w:szCs w:val="21"/>
              </w:rPr>
            </w:pPr>
            <w:r>
              <w:rPr>
                <w:rFonts w:hint="eastAsia"/>
                <w:szCs w:val="21"/>
              </w:rPr>
              <w:t xml:space="preserve">43 </w:t>
            </w:r>
          </w:p>
        </w:tc>
        <w:tc>
          <w:tcPr>
            <w:tcW w:w="710" w:type="pct"/>
            <w:shd w:val="clear" w:color="auto" w:fill="auto"/>
            <w:vAlign w:val="center"/>
          </w:tcPr>
          <w:p w14:paraId="70521A5A">
            <w:pPr>
              <w:jc w:val="center"/>
              <w:rPr>
                <w:szCs w:val="21"/>
              </w:rPr>
            </w:pPr>
            <w:r>
              <w:rPr>
                <w:rFonts w:hint="eastAsia"/>
                <w:szCs w:val="21"/>
              </w:rPr>
              <w:t xml:space="preserve">58 </w:t>
            </w:r>
          </w:p>
        </w:tc>
        <w:tc>
          <w:tcPr>
            <w:tcW w:w="711" w:type="pct"/>
            <w:shd w:val="clear" w:color="auto" w:fill="auto"/>
            <w:vAlign w:val="center"/>
          </w:tcPr>
          <w:p w14:paraId="385B4DF9">
            <w:pPr>
              <w:jc w:val="center"/>
              <w:rPr>
                <w:szCs w:val="21"/>
              </w:rPr>
            </w:pPr>
            <w:r>
              <w:rPr>
                <w:rFonts w:hint="eastAsia"/>
                <w:szCs w:val="21"/>
              </w:rPr>
              <w:t xml:space="preserve">51 </w:t>
            </w:r>
          </w:p>
        </w:tc>
        <w:tc>
          <w:tcPr>
            <w:tcW w:w="710" w:type="pct"/>
            <w:shd w:val="clear" w:color="auto" w:fill="auto"/>
            <w:vAlign w:val="center"/>
          </w:tcPr>
          <w:p w14:paraId="053F9203">
            <w:pPr>
              <w:jc w:val="center"/>
              <w:rPr>
                <w:szCs w:val="21"/>
              </w:rPr>
            </w:pPr>
            <w:r>
              <w:rPr>
                <w:rFonts w:hint="eastAsia"/>
                <w:szCs w:val="21"/>
              </w:rPr>
              <w:t xml:space="preserve">59 </w:t>
            </w:r>
          </w:p>
        </w:tc>
        <w:tc>
          <w:tcPr>
            <w:tcW w:w="710" w:type="pct"/>
            <w:shd w:val="clear" w:color="auto" w:fill="auto"/>
            <w:vAlign w:val="center"/>
          </w:tcPr>
          <w:p w14:paraId="55A548F3">
            <w:pPr>
              <w:jc w:val="center"/>
              <w:rPr>
                <w:szCs w:val="21"/>
              </w:rPr>
            </w:pPr>
            <w:r>
              <w:rPr>
                <w:rFonts w:hint="eastAsia"/>
                <w:szCs w:val="21"/>
              </w:rPr>
              <w:t xml:space="preserve">53 </w:t>
            </w:r>
          </w:p>
        </w:tc>
      </w:tr>
      <w:tr w14:paraId="51F50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79C1CA1E">
            <w:pPr>
              <w:jc w:val="center"/>
              <w:rPr>
                <w:szCs w:val="21"/>
              </w:rPr>
            </w:pPr>
            <w:r>
              <w:rPr>
                <w:rFonts w:hint="eastAsia"/>
                <w:szCs w:val="21"/>
              </w:rPr>
              <w:t>190</w:t>
            </w:r>
          </w:p>
        </w:tc>
        <w:tc>
          <w:tcPr>
            <w:tcW w:w="710" w:type="pct"/>
            <w:shd w:val="clear" w:color="auto" w:fill="auto"/>
            <w:vAlign w:val="center"/>
          </w:tcPr>
          <w:p w14:paraId="1CD363CA">
            <w:pPr>
              <w:jc w:val="center"/>
              <w:rPr>
                <w:szCs w:val="21"/>
              </w:rPr>
            </w:pPr>
            <w:r>
              <w:rPr>
                <w:rFonts w:hint="eastAsia"/>
                <w:szCs w:val="21"/>
              </w:rPr>
              <w:t xml:space="preserve">56 </w:t>
            </w:r>
          </w:p>
        </w:tc>
        <w:tc>
          <w:tcPr>
            <w:tcW w:w="711" w:type="pct"/>
            <w:shd w:val="clear" w:color="auto" w:fill="auto"/>
            <w:vAlign w:val="center"/>
          </w:tcPr>
          <w:p w14:paraId="359B3570">
            <w:pPr>
              <w:jc w:val="center"/>
              <w:rPr>
                <w:szCs w:val="21"/>
              </w:rPr>
            </w:pPr>
            <w:r>
              <w:rPr>
                <w:rFonts w:hint="eastAsia"/>
                <w:szCs w:val="21"/>
              </w:rPr>
              <w:t xml:space="preserve">42 </w:t>
            </w:r>
          </w:p>
        </w:tc>
        <w:tc>
          <w:tcPr>
            <w:tcW w:w="710" w:type="pct"/>
            <w:shd w:val="clear" w:color="auto" w:fill="auto"/>
            <w:vAlign w:val="center"/>
          </w:tcPr>
          <w:p w14:paraId="33BCE54F">
            <w:pPr>
              <w:jc w:val="center"/>
              <w:rPr>
                <w:szCs w:val="21"/>
              </w:rPr>
            </w:pPr>
            <w:r>
              <w:rPr>
                <w:rFonts w:hint="eastAsia"/>
                <w:szCs w:val="21"/>
              </w:rPr>
              <w:t xml:space="preserve">57 </w:t>
            </w:r>
          </w:p>
        </w:tc>
        <w:tc>
          <w:tcPr>
            <w:tcW w:w="711" w:type="pct"/>
            <w:shd w:val="clear" w:color="auto" w:fill="auto"/>
            <w:vAlign w:val="center"/>
          </w:tcPr>
          <w:p w14:paraId="066D54A5">
            <w:pPr>
              <w:jc w:val="center"/>
              <w:rPr>
                <w:szCs w:val="21"/>
              </w:rPr>
            </w:pPr>
            <w:r>
              <w:rPr>
                <w:rFonts w:hint="eastAsia"/>
                <w:szCs w:val="21"/>
              </w:rPr>
              <w:t xml:space="preserve">51 </w:t>
            </w:r>
          </w:p>
        </w:tc>
        <w:tc>
          <w:tcPr>
            <w:tcW w:w="710" w:type="pct"/>
            <w:shd w:val="clear" w:color="auto" w:fill="auto"/>
            <w:vAlign w:val="center"/>
          </w:tcPr>
          <w:p w14:paraId="4D9C3842">
            <w:pPr>
              <w:jc w:val="center"/>
              <w:rPr>
                <w:szCs w:val="21"/>
              </w:rPr>
            </w:pPr>
            <w:r>
              <w:rPr>
                <w:rFonts w:hint="eastAsia"/>
                <w:szCs w:val="21"/>
              </w:rPr>
              <w:t xml:space="preserve">59 </w:t>
            </w:r>
          </w:p>
        </w:tc>
        <w:tc>
          <w:tcPr>
            <w:tcW w:w="710" w:type="pct"/>
            <w:shd w:val="clear" w:color="auto" w:fill="auto"/>
            <w:vAlign w:val="center"/>
          </w:tcPr>
          <w:p w14:paraId="13753EF0">
            <w:pPr>
              <w:jc w:val="center"/>
              <w:rPr>
                <w:szCs w:val="21"/>
              </w:rPr>
            </w:pPr>
            <w:r>
              <w:rPr>
                <w:rFonts w:hint="eastAsia"/>
                <w:szCs w:val="21"/>
              </w:rPr>
              <w:t xml:space="preserve">52 </w:t>
            </w:r>
          </w:p>
        </w:tc>
      </w:tr>
      <w:tr w14:paraId="758CC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7AD321D8">
            <w:pPr>
              <w:jc w:val="center"/>
              <w:rPr>
                <w:szCs w:val="21"/>
              </w:rPr>
            </w:pPr>
            <w:r>
              <w:rPr>
                <w:rFonts w:hint="eastAsia"/>
                <w:szCs w:val="21"/>
              </w:rPr>
              <w:t>200</w:t>
            </w:r>
          </w:p>
        </w:tc>
        <w:tc>
          <w:tcPr>
            <w:tcW w:w="710" w:type="pct"/>
            <w:shd w:val="clear" w:color="auto" w:fill="auto"/>
            <w:vAlign w:val="center"/>
          </w:tcPr>
          <w:p w14:paraId="46E2ED4C">
            <w:pPr>
              <w:jc w:val="center"/>
              <w:rPr>
                <w:szCs w:val="21"/>
              </w:rPr>
            </w:pPr>
            <w:r>
              <w:rPr>
                <w:rFonts w:hint="eastAsia"/>
                <w:szCs w:val="21"/>
              </w:rPr>
              <w:t xml:space="preserve">55 </w:t>
            </w:r>
          </w:p>
        </w:tc>
        <w:tc>
          <w:tcPr>
            <w:tcW w:w="711" w:type="pct"/>
            <w:shd w:val="clear" w:color="auto" w:fill="auto"/>
            <w:vAlign w:val="center"/>
          </w:tcPr>
          <w:p w14:paraId="434F701B">
            <w:pPr>
              <w:jc w:val="center"/>
              <w:rPr>
                <w:szCs w:val="21"/>
              </w:rPr>
            </w:pPr>
            <w:r>
              <w:rPr>
                <w:rFonts w:hint="eastAsia"/>
                <w:szCs w:val="21"/>
              </w:rPr>
              <w:t xml:space="preserve">41 </w:t>
            </w:r>
          </w:p>
        </w:tc>
        <w:tc>
          <w:tcPr>
            <w:tcW w:w="710" w:type="pct"/>
            <w:shd w:val="clear" w:color="auto" w:fill="auto"/>
            <w:vAlign w:val="center"/>
          </w:tcPr>
          <w:p w14:paraId="307BA883">
            <w:pPr>
              <w:jc w:val="center"/>
              <w:rPr>
                <w:szCs w:val="21"/>
              </w:rPr>
            </w:pPr>
            <w:r>
              <w:rPr>
                <w:rFonts w:hint="eastAsia"/>
                <w:szCs w:val="21"/>
              </w:rPr>
              <w:t xml:space="preserve">57 </w:t>
            </w:r>
          </w:p>
        </w:tc>
        <w:tc>
          <w:tcPr>
            <w:tcW w:w="711" w:type="pct"/>
            <w:shd w:val="clear" w:color="auto" w:fill="auto"/>
            <w:vAlign w:val="center"/>
          </w:tcPr>
          <w:p w14:paraId="5B20FE73">
            <w:pPr>
              <w:jc w:val="center"/>
              <w:rPr>
                <w:szCs w:val="21"/>
              </w:rPr>
            </w:pPr>
            <w:r>
              <w:rPr>
                <w:rFonts w:hint="eastAsia"/>
                <w:szCs w:val="21"/>
              </w:rPr>
              <w:t xml:space="preserve">50 </w:t>
            </w:r>
          </w:p>
        </w:tc>
        <w:tc>
          <w:tcPr>
            <w:tcW w:w="710" w:type="pct"/>
            <w:shd w:val="clear" w:color="auto" w:fill="auto"/>
            <w:vAlign w:val="center"/>
          </w:tcPr>
          <w:p w14:paraId="4901C105">
            <w:pPr>
              <w:jc w:val="center"/>
              <w:rPr>
                <w:szCs w:val="21"/>
              </w:rPr>
            </w:pPr>
            <w:r>
              <w:rPr>
                <w:rFonts w:hint="eastAsia"/>
                <w:szCs w:val="21"/>
              </w:rPr>
              <w:t xml:space="preserve">58 </w:t>
            </w:r>
          </w:p>
        </w:tc>
        <w:tc>
          <w:tcPr>
            <w:tcW w:w="710" w:type="pct"/>
            <w:shd w:val="clear" w:color="auto" w:fill="auto"/>
            <w:vAlign w:val="center"/>
          </w:tcPr>
          <w:p w14:paraId="2C921CDB">
            <w:pPr>
              <w:jc w:val="center"/>
              <w:rPr>
                <w:szCs w:val="21"/>
              </w:rPr>
            </w:pPr>
            <w:r>
              <w:rPr>
                <w:rFonts w:hint="eastAsia"/>
                <w:szCs w:val="21"/>
              </w:rPr>
              <w:t xml:space="preserve">52 </w:t>
            </w:r>
          </w:p>
        </w:tc>
      </w:tr>
      <w:tr w14:paraId="668B0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5C36319D">
            <w:pPr>
              <w:jc w:val="center"/>
              <w:rPr>
                <w:szCs w:val="21"/>
              </w:rPr>
            </w:pPr>
            <w:r>
              <w:rPr>
                <w:rFonts w:hint="eastAsia"/>
                <w:szCs w:val="21"/>
              </w:rPr>
              <w:t>210</w:t>
            </w:r>
          </w:p>
        </w:tc>
        <w:tc>
          <w:tcPr>
            <w:tcW w:w="710" w:type="pct"/>
            <w:shd w:val="clear" w:color="auto" w:fill="auto"/>
            <w:vAlign w:val="center"/>
          </w:tcPr>
          <w:p w14:paraId="1E6D5E42">
            <w:pPr>
              <w:jc w:val="center"/>
              <w:rPr>
                <w:szCs w:val="21"/>
              </w:rPr>
            </w:pPr>
            <w:r>
              <w:rPr>
                <w:rFonts w:hint="eastAsia"/>
                <w:szCs w:val="21"/>
              </w:rPr>
              <w:t xml:space="preserve">55 </w:t>
            </w:r>
          </w:p>
        </w:tc>
        <w:tc>
          <w:tcPr>
            <w:tcW w:w="711" w:type="pct"/>
            <w:shd w:val="clear" w:color="auto" w:fill="auto"/>
            <w:vAlign w:val="center"/>
          </w:tcPr>
          <w:p w14:paraId="5C0F69FD">
            <w:pPr>
              <w:jc w:val="center"/>
              <w:rPr>
                <w:szCs w:val="21"/>
              </w:rPr>
            </w:pPr>
            <w:r>
              <w:rPr>
                <w:rFonts w:hint="eastAsia"/>
                <w:szCs w:val="21"/>
              </w:rPr>
              <w:t xml:space="preserve">41 </w:t>
            </w:r>
          </w:p>
        </w:tc>
        <w:tc>
          <w:tcPr>
            <w:tcW w:w="710" w:type="pct"/>
            <w:shd w:val="clear" w:color="auto" w:fill="auto"/>
            <w:vAlign w:val="center"/>
          </w:tcPr>
          <w:p w14:paraId="52E44BB3">
            <w:pPr>
              <w:jc w:val="center"/>
              <w:rPr>
                <w:szCs w:val="21"/>
              </w:rPr>
            </w:pPr>
            <w:r>
              <w:rPr>
                <w:rFonts w:hint="eastAsia"/>
                <w:szCs w:val="21"/>
              </w:rPr>
              <w:t xml:space="preserve">56 </w:t>
            </w:r>
          </w:p>
        </w:tc>
        <w:tc>
          <w:tcPr>
            <w:tcW w:w="711" w:type="pct"/>
            <w:shd w:val="clear" w:color="auto" w:fill="auto"/>
            <w:vAlign w:val="center"/>
          </w:tcPr>
          <w:p w14:paraId="32A4B1EC">
            <w:pPr>
              <w:jc w:val="center"/>
              <w:rPr>
                <w:szCs w:val="21"/>
              </w:rPr>
            </w:pPr>
            <w:r>
              <w:rPr>
                <w:rFonts w:hint="eastAsia"/>
                <w:szCs w:val="21"/>
              </w:rPr>
              <w:t xml:space="preserve">50 </w:t>
            </w:r>
          </w:p>
        </w:tc>
        <w:tc>
          <w:tcPr>
            <w:tcW w:w="710" w:type="pct"/>
            <w:shd w:val="clear" w:color="auto" w:fill="auto"/>
            <w:vAlign w:val="center"/>
          </w:tcPr>
          <w:p w14:paraId="2D6329BB">
            <w:pPr>
              <w:jc w:val="center"/>
              <w:rPr>
                <w:szCs w:val="21"/>
              </w:rPr>
            </w:pPr>
            <w:r>
              <w:rPr>
                <w:rFonts w:hint="eastAsia"/>
                <w:szCs w:val="21"/>
              </w:rPr>
              <w:t xml:space="preserve">58 </w:t>
            </w:r>
          </w:p>
        </w:tc>
        <w:tc>
          <w:tcPr>
            <w:tcW w:w="710" w:type="pct"/>
            <w:shd w:val="clear" w:color="auto" w:fill="auto"/>
            <w:vAlign w:val="center"/>
          </w:tcPr>
          <w:p w14:paraId="23FD46D3">
            <w:pPr>
              <w:jc w:val="center"/>
              <w:rPr>
                <w:szCs w:val="21"/>
              </w:rPr>
            </w:pPr>
            <w:r>
              <w:rPr>
                <w:rFonts w:hint="eastAsia"/>
                <w:szCs w:val="21"/>
              </w:rPr>
              <w:t xml:space="preserve">52 </w:t>
            </w:r>
          </w:p>
        </w:tc>
      </w:tr>
      <w:tr w14:paraId="7BEC0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087F8519">
            <w:pPr>
              <w:jc w:val="center"/>
              <w:rPr>
                <w:szCs w:val="21"/>
              </w:rPr>
            </w:pPr>
            <w:r>
              <w:rPr>
                <w:rFonts w:hint="eastAsia"/>
                <w:szCs w:val="21"/>
              </w:rPr>
              <w:t>220</w:t>
            </w:r>
          </w:p>
        </w:tc>
        <w:tc>
          <w:tcPr>
            <w:tcW w:w="710" w:type="pct"/>
            <w:shd w:val="clear" w:color="auto" w:fill="auto"/>
            <w:vAlign w:val="center"/>
          </w:tcPr>
          <w:p w14:paraId="730795BC">
            <w:pPr>
              <w:jc w:val="center"/>
              <w:rPr>
                <w:szCs w:val="21"/>
              </w:rPr>
            </w:pPr>
            <w:r>
              <w:rPr>
                <w:rFonts w:hint="eastAsia"/>
                <w:szCs w:val="21"/>
              </w:rPr>
              <w:t xml:space="preserve">54 </w:t>
            </w:r>
          </w:p>
        </w:tc>
        <w:tc>
          <w:tcPr>
            <w:tcW w:w="711" w:type="pct"/>
            <w:shd w:val="clear" w:color="auto" w:fill="auto"/>
            <w:vAlign w:val="center"/>
          </w:tcPr>
          <w:p w14:paraId="1FCBED71">
            <w:pPr>
              <w:jc w:val="center"/>
              <w:rPr>
                <w:szCs w:val="21"/>
              </w:rPr>
            </w:pPr>
            <w:r>
              <w:rPr>
                <w:rFonts w:hint="eastAsia"/>
                <w:szCs w:val="21"/>
              </w:rPr>
              <w:t xml:space="preserve">40 </w:t>
            </w:r>
          </w:p>
        </w:tc>
        <w:tc>
          <w:tcPr>
            <w:tcW w:w="710" w:type="pct"/>
            <w:shd w:val="clear" w:color="auto" w:fill="auto"/>
            <w:vAlign w:val="center"/>
          </w:tcPr>
          <w:p w14:paraId="2F964E59">
            <w:pPr>
              <w:jc w:val="center"/>
              <w:rPr>
                <w:szCs w:val="21"/>
              </w:rPr>
            </w:pPr>
            <w:r>
              <w:rPr>
                <w:rFonts w:hint="eastAsia"/>
                <w:szCs w:val="21"/>
              </w:rPr>
              <w:t xml:space="preserve">56 </w:t>
            </w:r>
          </w:p>
        </w:tc>
        <w:tc>
          <w:tcPr>
            <w:tcW w:w="711" w:type="pct"/>
            <w:shd w:val="clear" w:color="auto" w:fill="auto"/>
            <w:vAlign w:val="center"/>
          </w:tcPr>
          <w:p w14:paraId="6B566A63">
            <w:pPr>
              <w:jc w:val="center"/>
              <w:rPr>
                <w:szCs w:val="21"/>
              </w:rPr>
            </w:pPr>
            <w:r>
              <w:rPr>
                <w:rFonts w:hint="eastAsia"/>
                <w:szCs w:val="21"/>
              </w:rPr>
              <w:t xml:space="preserve">49 </w:t>
            </w:r>
          </w:p>
        </w:tc>
        <w:tc>
          <w:tcPr>
            <w:tcW w:w="710" w:type="pct"/>
            <w:shd w:val="clear" w:color="auto" w:fill="auto"/>
            <w:vAlign w:val="center"/>
          </w:tcPr>
          <w:p w14:paraId="5DD38BB7">
            <w:pPr>
              <w:jc w:val="center"/>
              <w:rPr>
                <w:szCs w:val="21"/>
              </w:rPr>
            </w:pPr>
            <w:r>
              <w:rPr>
                <w:rFonts w:hint="eastAsia"/>
                <w:szCs w:val="21"/>
              </w:rPr>
              <w:t xml:space="preserve">58 </w:t>
            </w:r>
          </w:p>
        </w:tc>
        <w:tc>
          <w:tcPr>
            <w:tcW w:w="710" w:type="pct"/>
            <w:shd w:val="clear" w:color="auto" w:fill="auto"/>
            <w:vAlign w:val="center"/>
          </w:tcPr>
          <w:p w14:paraId="4EF80FAA">
            <w:pPr>
              <w:jc w:val="center"/>
              <w:rPr>
                <w:szCs w:val="21"/>
              </w:rPr>
            </w:pPr>
            <w:r>
              <w:rPr>
                <w:rFonts w:hint="eastAsia"/>
                <w:szCs w:val="21"/>
              </w:rPr>
              <w:t xml:space="preserve">51 </w:t>
            </w:r>
          </w:p>
        </w:tc>
      </w:tr>
      <w:tr w14:paraId="48002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333E0387">
            <w:pPr>
              <w:jc w:val="center"/>
              <w:rPr>
                <w:szCs w:val="21"/>
              </w:rPr>
            </w:pPr>
            <w:r>
              <w:rPr>
                <w:rFonts w:hint="eastAsia"/>
                <w:szCs w:val="21"/>
              </w:rPr>
              <w:t>230</w:t>
            </w:r>
          </w:p>
        </w:tc>
        <w:tc>
          <w:tcPr>
            <w:tcW w:w="710" w:type="pct"/>
            <w:shd w:val="clear" w:color="auto" w:fill="auto"/>
            <w:vAlign w:val="center"/>
          </w:tcPr>
          <w:p w14:paraId="4728C216">
            <w:pPr>
              <w:jc w:val="center"/>
              <w:rPr>
                <w:szCs w:val="21"/>
              </w:rPr>
            </w:pPr>
            <w:r>
              <w:rPr>
                <w:rFonts w:hint="eastAsia"/>
                <w:szCs w:val="21"/>
              </w:rPr>
              <w:t xml:space="preserve">54 </w:t>
            </w:r>
          </w:p>
        </w:tc>
        <w:tc>
          <w:tcPr>
            <w:tcW w:w="711" w:type="pct"/>
            <w:shd w:val="clear" w:color="auto" w:fill="auto"/>
            <w:vAlign w:val="center"/>
          </w:tcPr>
          <w:p w14:paraId="16159EAC">
            <w:pPr>
              <w:jc w:val="center"/>
              <w:rPr>
                <w:szCs w:val="21"/>
              </w:rPr>
            </w:pPr>
            <w:r>
              <w:rPr>
                <w:rFonts w:hint="eastAsia"/>
                <w:szCs w:val="21"/>
              </w:rPr>
              <w:t xml:space="preserve">40 </w:t>
            </w:r>
          </w:p>
        </w:tc>
        <w:tc>
          <w:tcPr>
            <w:tcW w:w="710" w:type="pct"/>
            <w:shd w:val="clear" w:color="auto" w:fill="auto"/>
            <w:vAlign w:val="center"/>
          </w:tcPr>
          <w:p w14:paraId="60F3BAC4">
            <w:pPr>
              <w:jc w:val="center"/>
              <w:rPr>
                <w:szCs w:val="21"/>
              </w:rPr>
            </w:pPr>
            <w:r>
              <w:rPr>
                <w:rFonts w:hint="eastAsia"/>
                <w:szCs w:val="21"/>
              </w:rPr>
              <w:t xml:space="preserve">56 </w:t>
            </w:r>
          </w:p>
        </w:tc>
        <w:tc>
          <w:tcPr>
            <w:tcW w:w="711" w:type="pct"/>
            <w:shd w:val="clear" w:color="auto" w:fill="auto"/>
            <w:vAlign w:val="center"/>
          </w:tcPr>
          <w:p w14:paraId="57C80B7D">
            <w:pPr>
              <w:jc w:val="center"/>
              <w:rPr>
                <w:szCs w:val="21"/>
              </w:rPr>
            </w:pPr>
            <w:r>
              <w:rPr>
                <w:rFonts w:hint="eastAsia"/>
                <w:szCs w:val="21"/>
              </w:rPr>
              <w:t xml:space="preserve">49 </w:t>
            </w:r>
          </w:p>
        </w:tc>
        <w:tc>
          <w:tcPr>
            <w:tcW w:w="710" w:type="pct"/>
            <w:shd w:val="clear" w:color="auto" w:fill="auto"/>
            <w:vAlign w:val="center"/>
          </w:tcPr>
          <w:p w14:paraId="64819407">
            <w:pPr>
              <w:jc w:val="center"/>
              <w:rPr>
                <w:szCs w:val="21"/>
              </w:rPr>
            </w:pPr>
            <w:r>
              <w:rPr>
                <w:rFonts w:hint="eastAsia"/>
                <w:szCs w:val="21"/>
              </w:rPr>
              <w:t xml:space="preserve">57 </w:t>
            </w:r>
          </w:p>
        </w:tc>
        <w:tc>
          <w:tcPr>
            <w:tcW w:w="710" w:type="pct"/>
            <w:shd w:val="clear" w:color="auto" w:fill="auto"/>
            <w:vAlign w:val="center"/>
          </w:tcPr>
          <w:p w14:paraId="69FD1BEE">
            <w:pPr>
              <w:jc w:val="center"/>
              <w:rPr>
                <w:szCs w:val="21"/>
              </w:rPr>
            </w:pPr>
            <w:r>
              <w:rPr>
                <w:rFonts w:hint="eastAsia"/>
                <w:szCs w:val="21"/>
              </w:rPr>
              <w:t>50</w:t>
            </w:r>
          </w:p>
        </w:tc>
      </w:tr>
      <w:tr w14:paraId="72986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shd w:val="clear" w:color="auto" w:fill="auto"/>
            <w:vAlign w:val="center"/>
          </w:tcPr>
          <w:p w14:paraId="022759A7">
            <w:pPr>
              <w:jc w:val="center"/>
              <w:rPr>
                <w:szCs w:val="21"/>
              </w:rPr>
            </w:pPr>
            <w:r>
              <w:rPr>
                <w:rFonts w:hint="eastAsia"/>
                <w:szCs w:val="21"/>
              </w:rPr>
              <w:t>240</w:t>
            </w:r>
          </w:p>
        </w:tc>
        <w:tc>
          <w:tcPr>
            <w:tcW w:w="710" w:type="pct"/>
            <w:shd w:val="clear" w:color="auto" w:fill="auto"/>
            <w:vAlign w:val="center"/>
          </w:tcPr>
          <w:p w14:paraId="472024E6">
            <w:pPr>
              <w:jc w:val="center"/>
              <w:rPr>
                <w:szCs w:val="21"/>
              </w:rPr>
            </w:pPr>
            <w:r>
              <w:rPr>
                <w:rFonts w:hint="eastAsia"/>
                <w:szCs w:val="21"/>
              </w:rPr>
              <w:t xml:space="preserve">54 </w:t>
            </w:r>
          </w:p>
        </w:tc>
        <w:tc>
          <w:tcPr>
            <w:tcW w:w="711" w:type="pct"/>
            <w:shd w:val="clear" w:color="auto" w:fill="auto"/>
            <w:vAlign w:val="center"/>
          </w:tcPr>
          <w:p w14:paraId="025A76F2">
            <w:pPr>
              <w:jc w:val="center"/>
              <w:rPr>
                <w:szCs w:val="21"/>
              </w:rPr>
            </w:pPr>
            <w:r>
              <w:rPr>
                <w:rFonts w:hint="eastAsia"/>
                <w:szCs w:val="21"/>
              </w:rPr>
              <w:t xml:space="preserve">39 </w:t>
            </w:r>
          </w:p>
        </w:tc>
        <w:tc>
          <w:tcPr>
            <w:tcW w:w="710" w:type="pct"/>
            <w:shd w:val="clear" w:color="auto" w:fill="auto"/>
            <w:vAlign w:val="center"/>
          </w:tcPr>
          <w:p w14:paraId="339AFD1F">
            <w:pPr>
              <w:jc w:val="center"/>
              <w:rPr>
                <w:szCs w:val="21"/>
              </w:rPr>
            </w:pPr>
            <w:r>
              <w:rPr>
                <w:rFonts w:hint="eastAsia"/>
                <w:szCs w:val="21"/>
              </w:rPr>
              <w:t xml:space="preserve">55 </w:t>
            </w:r>
          </w:p>
        </w:tc>
        <w:tc>
          <w:tcPr>
            <w:tcW w:w="711" w:type="pct"/>
            <w:shd w:val="clear" w:color="auto" w:fill="auto"/>
            <w:vAlign w:val="center"/>
          </w:tcPr>
          <w:p w14:paraId="531A86C0">
            <w:pPr>
              <w:jc w:val="center"/>
              <w:rPr>
                <w:szCs w:val="21"/>
              </w:rPr>
            </w:pPr>
            <w:r>
              <w:rPr>
                <w:rFonts w:hint="eastAsia"/>
                <w:szCs w:val="21"/>
              </w:rPr>
              <w:t xml:space="preserve">49 </w:t>
            </w:r>
          </w:p>
        </w:tc>
        <w:tc>
          <w:tcPr>
            <w:tcW w:w="710" w:type="pct"/>
            <w:shd w:val="clear" w:color="auto" w:fill="auto"/>
            <w:vAlign w:val="center"/>
          </w:tcPr>
          <w:p w14:paraId="4EDAB1E8">
            <w:pPr>
              <w:jc w:val="center"/>
              <w:rPr>
                <w:szCs w:val="21"/>
              </w:rPr>
            </w:pPr>
            <w:r>
              <w:rPr>
                <w:rFonts w:hint="eastAsia"/>
                <w:szCs w:val="21"/>
              </w:rPr>
              <w:t xml:space="preserve">57 </w:t>
            </w:r>
          </w:p>
        </w:tc>
        <w:tc>
          <w:tcPr>
            <w:tcW w:w="710" w:type="pct"/>
            <w:shd w:val="clear" w:color="auto" w:fill="auto"/>
            <w:vAlign w:val="center"/>
          </w:tcPr>
          <w:p w14:paraId="473D1991">
            <w:pPr>
              <w:jc w:val="center"/>
              <w:rPr>
                <w:szCs w:val="21"/>
              </w:rPr>
            </w:pPr>
            <w:r>
              <w:rPr>
                <w:rFonts w:hint="eastAsia"/>
                <w:szCs w:val="21"/>
              </w:rPr>
              <w:t xml:space="preserve">50 </w:t>
            </w:r>
          </w:p>
        </w:tc>
      </w:tr>
      <w:tr w14:paraId="3672C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8" w:type="pct"/>
            <w:tcBorders>
              <w:bottom w:val="single" w:color="auto" w:sz="18" w:space="0"/>
            </w:tcBorders>
            <w:shd w:val="clear" w:color="auto" w:fill="auto"/>
            <w:vAlign w:val="center"/>
          </w:tcPr>
          <w:p w14:paraId="32B581E1">
            <w:pPr>
              <w:jc w:val="center"/>
              <w:rPr>
                <w:szCs w:val="21"/>
              </w:rPr>
            </w:pPr>
            <w:r>
              <w:rPr>
                <w:rFonts w:hint="eastAsia"/>
                <w:szCs w:val="21"/>
              </w:rPr>
              <w:t>250</w:t>
            </w:r>
          </w:p>
        </w:tc>
        <w:tc>
          <w:tcPr>
            <w:tcW w:w="710" w:type="pct"/>
            <w:tcBorders>
              <w:bottom w:val="single" w:color="auto" w:sz="18" w:space="0"/>
            </w:tcBorders>
            <w:shd w:val="clear" w:color="auto" w:fill="auto"/>
            <w:vAlign w:val="center"/>
          </w:tcPr>
          <w:p w14:paraId="08AB98AC">
            <w:pPr>
              <w:jc w:val="center"/>
              <w:rPr>
                <w:szCs w:val="21"/>
              </w:rPr>
            </w:pPr>
            <w:r>
              <w:rPr>
                <w:rFonts w:hint="eastAsia"/>
                <w:szCs w:val="21"/>
              </w:rPr>
              <w:t xml:space="preserve">53 </w:t>
            </w:r>
          </w:p>
        </w:tc>
        <w:tc>
          <w:tcPr>
            <w:tcW w:w="711" w:type="pct"/>
            <w:tcBorders>
              <w:bottom w:val="single" w:color="auto" w:sz="18" w:space="0"/>
            </w:tcBorders>
            <w:shd w:val="clear" w:color="auto" w:fill="auto"/>
            <w:vAlign w:val="center"/>
          </w:tcPr>
          <w:p w14:paraId="06E89468">
            <w:pPr>
              <w:jc w:val="center"/>
              <w:rPr>
                <w:szCs w:val="21"/>
              </w:rPr>
            </w:pPr>
            <w:r>
              <w:rPr>
                <w:rFonts w:hint="eastAsia"/>
                <w:szCs w:val="21"/>
              </w:rPr>
              <w:t xml:space="preserve">39 </w:t>
            </w:r>
          </w:p>
        </w:tc>
        <w:tc>
          <w:tcPr>
            <w:tcW w:w="710" w:type="pct"/>
            <w:tcBorders>
              <w:bottom w:val="single" w:color="auto" w:sz="18" w:space="0"/>
            </w:tcBorders>
            <w:shd w:val="clear" w:color="auto" w:fill="auto"/>
            <w:vAlign w:val="center"/>
          </w:tcPr>
          <w:p w14:paraId="33D62D7A">
            <w:pPr>
              <w:jc w:val="center"/>
              <w:rPr>
                <w:szCs w:val="21"/>
              </w:rPr>
            </w:pPr>
            <w:r>
              <w:rPr>
                <w:rFonts w:hint="eastAsia"/>
                <w:szCs w:val="21"/>
              </w:rPr>
              <w:t xml:space="preserve">55 </w:t>
            </w:r>
          </w:p>
        </w:tc>
        <w:tc>
          <w:tcPr>
            <w:tcW w:w="711" w:type="pct"/>
            <w:tcBorders>
              <w:bottom w:val="single" w:color="auto" w:sz="18" w:space="0"/>
            </w:tcBorders>
            <w:shd w:val="clear" w:color="auto" w:fill="auto"/>
            <w:vAlign w:val="center"/>
          </w:tcPr>
          <w:p w14:paraId="2A04D9B1">
            <w:pPr>
              <w:jc w:val="center"/>
              <w:rPr>
                <w:szCs w:val="21"/>
              </w:rPr>
            </w:pPr>
            <w:r>
              <w:rPr>
                <w:rFonts w:hint="eastAsia"/>
                <w:szCs w:val="21"/>
              </w:rPr>
              <w:t xml:space="preserve">48 </w:t>
            </w:r>
          </w:p>
        </w:tc>
        <w:tc>
          <w:tcPr>
            <w:tcW w:w="710" w:type="pct"/>
            <w:tcBorders>
              <w:bottom w:val="single" w:color="auto" w:sz="18" w:space="0"/>
            </w:tcBorders>
            <w:shd w:val="clear" w:color="auto" w:fill="auto"/>
            <w:vAlign w:val="center"/>
          </w:tcPr>
          <w:p w14:paraId="3A1FEF9B">
            <w:pPr>
              <w:jc w:val="center"/>
              <w:rPr>
                <w:szCs w:val="21"/>
              </w:rPr>
            </w:pPr>
            <w:r>
              <w:rPr>
                <w:rFonts w:hint="eastAsia"/>
                <w:szCs w:val="21"/>
              </w:rPr>
              <w:t xml:space="preserve">57 </w:t>
            </w:r>
          </w:p>
        </w:tc>
        <w:tc>
          <w:tcPr>
            <w:tcW w:w="710" w:type="pct"/>
            <w:tcBorders>
              <w:bottom w:val="single" w:color="auto" w:sz="18" w:space="0"/>
            </w:tcBorders>
            <w:shd w:val="clear" w:color="auto" w:fill="auto"/>
            <w:vAlign w:val="center"/>
          </w:tcPr>
          <w:p w14:paraId="7332DE67">
            <w:pPr>
              <w:jc w:val="center"/>
              <w:rPr>
                <w:szCs w:val="21"/>
              </w:rPr>
            </w:pPr>
            <w:r>
              <w:rPr>
                <w:rFonts w:hint="eastAsia"/>
                <w:szCs w:val="21"/>
              </w:rPr>
              <w:t xml:space="preserve">50 </w:t>
            </w:r>
          </w:p>
        </w:tc>
      </w:tr>
      <w:bookmarkEnd w:id="154"/>
    </w:tbl>
    <w:p w14:paraId="01E1FD9E">
      <w:pPr>
        <w:jc w:val="center"/>
        <w:rPr>
          <w:b/>
          <w:bCs/>
          <w:sz w:val="24"/>
          <w:lang w:bidi="ar"/>
        </w:rPr>
      </w:pPr>
      <w:r>
        <w:drawing>
          <wp:inline distT="0" distB="0" distL="0" distR="0">
            <wp:extent cx="6101080" cy="3977005"/>
            <wp:effectExtent l="57150" t="57150" r="90170" b="99695"/>
            <wp:docPr id="213750798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507989" name="图片 1" descr="图表, 直方图&#10;&#10;描述已自动生成"/>
                    <pic:cNvPicPr>
                      <a:picLocks noChangeAspect="1"/>
                    </pic:cNvPicPr>
                  </pic:nvPicPr>
                  <pic:blipFill>
                    <a:blip r:embed="rId57"/>
                    <a:stretch>
                      <a:fillRect/>
                    </a:stretch>
                  </pic:blipFill>
                  <pic:spPr>
                    <a:xfrm>
                      <a:off x="0" y="0"/>
                      <a:ext cx="6111069" cy="3983398"/>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23D32208">
      <w:pPr>
        <w:spacing w:line="500" w:lineRule="exact"/>
        <w:ind w:firstLine="422" w:firstLineChars="200"/>
        <w:jc w:val="center"/>
        <w:rPr>
          <w:b/>
          <w:bCs/>
          <w:sz w:val="24"/>
          <w:lang w:bidi="ar"/>
        </w:rPr>
      </w:pPr>
      <w:r>
        <w:rPr>
          <w:b/>
          <w:szCs w:val="21"/>
          <w:lang w:bidi="ar"/>
        </w:rPr>
        <w:t>图4.2-</w:t>
      </w:r>
      <w:r>
        <w:rPr>
          <w:rFonts w:hint="eastAsia"/>
          <w:b/>
          <w:szCs w:val="21"/>
          <w:lang w:bidi="ar"/>
        </w:rPr>
        <w:t>10</w:t>
      </w:r>
      <w:r>
        <w:rPr>
          <w:b/>
          <w:szCs w:val="21"/>
          <w:lang w:bidi="ar"/>
        </w:rPr>
        <w:t xml:space="preserve">  </w:t>
      </w:r>
      <w:r>
        <w:rPr>
          <w:rFonts w:hint="eastAsia"/>
          <w:b/>
          <w:szCs w:val="21"/>
          <w:lang w:bidi="ar"/>
        </w:rPr>
        <w:t>本项目交通噪声衰减分布曲线图</w:t>
      </w:r>
    </w:p>
    <w:p w14:paraId="6E9009A3">
      <w:pPr>
        <w:spacing w:line="500" w:lineRule="exact"/>
        <w:ind w:firstLine="482" w:firstLineChars="200"/>
        <w:rPr>
          <w:b/>
          <w:bCs/>
          <w:sz w:val="24"/>
          <w:lang w:bidi="ar"/>
        </w:rPr>
      </w:pPr>
    </w:p>
    <w:p w14:paraId="26E4C1F6">
      <w:pPr>
        <w:spacing w:line="500" w:lineRule="exact"/>
        <w:ind w:firstLine="482" w:firstLineChars="200"/>
        <w:rPr>
          <w:b/>
          <w:bCs/>
          <w:sz w:val="24"/>
          <w:lang w:bidi="ar"/>
        </w:rPr>
      </w:pPr>
      <w:r>
        <w:rPr>
          <w:b/>
          <w:bCs/>
          <w:sz w:val="24"/>
          <w:lang w:bidi="ar"/>
        </w:rPr>
        <w:t>（2）</w:t>
      </w:r>
      <w:bookmarkStart w:id="155" w:name="_Hlk117846245"/>
      <w:r>
        <w:rPr>
          <w:rFonts w:hint="eastAsia"/>
          <w:b/>
          <w:bCs/>
          <w:sz w:val="24"/>
          <w:lang w:bidi="ar"/>
        </w:rPr>
        <w:t>水平声场衰减达标距离</w:t>
      </w:r>
      <w:bookmarkEnd w:id="155"/>
    </w:p>
    <w:p w14:paraId="5646DDD4">
      <w:pPr>
        <w:spacing w:line="500" w:lineRule="exact"/>
        <w:ind w:firstLine="480" w:firstLineChars="200"/>
        <w:rPr>
          <w:bCs/>
          <w:sz w:val="24"/>
          <w:lang w:bidi="ar"/>
        </w:rPr>
      </w:pPr>
      <w:r>
        <w:rPr>
          <w:rFonts w:hint="eastAsia"/>
          <w:bCs/>
          <w:sz w:val="24"/>
          <w:lang w:bidi="ar"/>
        </w:rPr>
        <w:t>本项目水平达标距离核算于下表：</w:t>
      </w:r>
    </w:p>
    <w:p w14:paraId="450290A8">
      <w:pPr>
        <w:spacing w:line="360" w:lineRule="auto"/>
        <w:jc w:val="center"/>
        <w:rPr>
          <w:b/>
          <w:szCs w:val="21"/>
          <w:lang w:bidi="ar"/>
        </w:rPr>
      </w:pPr>
      <w:r>
        <w:rPr>
          <w:b/>
          <w:szCs w:val="21"/>
          <w:lang w:bidi="ar"/>
        </w:rPr>
        <w:t>表4.2-8  项目</w:t>
      </w:r>
      <w:r>
        <w:rPr>
          <w:rFonts w:hint="eastAsia"/>
          <w:b/>
          <w:szCs w:val="21"/>
          <w:lang w:bidi="ar"/>
        </w:rPr>
        <w:t>水平声场衰减达标距离表</w:t>
      </w:r>
      <w:r>
        <w:rPr>
          <w:b/>
          <w:szCs w:val="21"/>
          <w:lang w:bidi="ar"/>
        </w:rPr>
        <w:t xml:space="preserve">  单位：dB（A）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5"/>
        <w:gridCol w:w="2831"/>
        <w:gridCol w:w="3168"/>
        <w:gridCol w:w="3168"/>
      </w:tblGrid>
      <w:tr w14:paraId="0E6ED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709" w:type="pct"/>
            <w:vMerge w:val="restart"/>
            <w:tcBorders>
              <w:top w:val="single" w:color="auto" w:sz="18" w:space="0"/>
            </w:tcBorders>
            <w:shd w:val="clear" w:color="auto" w:fill="auto"/>
            <w:vAlign w:val="center"/>
          </w:tcPr>
          <w:p w14:paraId="55239848">
            <w:pPr>
              <w:jc w:val="center"/>
              <w:rPr>
                <w:b/>
                <w:bCs/>
                <w:szCs w:val="21"/>
              </w:rPr>
            </w:pPr>
            <w:r>
              <w:rPr>
                <w:b/>
                <w:bCs/>
                <w:szCs w:val="21"/>
                <w:lang w:bidi="ar"/>
              </w:rPr>
              <w:t>道路</w:t>
            </w:r>
          </w:p>
        </w:tc>
        <w:tc>
          <w:tcPr>
            <w:tcW w:w="1325" w:type="pct"/>
            <w:vMerge w:val="restart"/>
            <w:tcBorders>
              <w:top w:val="single" w:color="auto" w:sz="18" w:space="0"/>
            </w:tcBorders>
            <w:shd w:val="clear" w:color="auto" w:fill="auto"/>
            <w:vAlign w:val="center"/>
          </w:tcPr>
          <w:p w14:paraId="1D2E3261">
            <w:pPr>
              <w:jc w:val="center"/>
              <w:rPr>
                <w:b/>
                <w:bCs/>
                <w:szCs w:val="21"/>
              </w:rPr>
            </w:pPr>
            <w:r>
              <w:rPr>
                <w:b/>
                <w:bCs/>
                <w:szCs w:val="21"/>
                <w:lang w:bidi="ar"/>
              </w:rPr>
              <w:t>预测年份</w:t>
            </w:r>
          </w:p>
        </w:tc>
        <w:tc>
          <w:tcPr>
            <w:tcW w:w="2966" w:type="pct"/>
            <w:gridSpan w:val="2"/>
            <w:tcBorders>
              <w:top w:val="single" w:color="auto" w:sz="18" w:space="0"/>
            </w:tcBorders>
            <w:shd w:val="clear" w:color="auto" w:fill="auto"/>
            <w:vAlign w:val="center"/>
          </w:tcPr>
          <w:p w14:paraId="08E96334">
            <w:pPr>
              <w:jc w:val="center"/>
              <w:rPr>
                <w:b/>
                <w:bCs/>
                <w:szCs w:val="21"/>
                <w:lang w:bidi="ar"/>
              </w:rPr>
            </w:pPr>
            <w:r>
              <w:rPr>
                <w:b/>
                <w:bCs/>
                <w:szCs w:val="21"/>
                <w:lang w:bidi="ar"/>
              </w:rPr>
              <w:t>2类区达标距离</w:t>
            </w:r>
          </w:p>
          <w:p w14:paraId="0B37FC3E">
            <w:pPr>
              <w:jc w:val="center"/>
              <w:rPr>
                <w:b/>
                <w:bCs/>
                <w:szCs w:val="21"/>
                <w:lang w:bidi="ar"/>
              </w:rPr>
            </w:pPr>
            <w:r>
              <w:rPr>
                <w:b/>
                <w:bCs/>
                <w:szCs w:val="21"/>
                <w:lang w:bidi="ar"/>
              </w:rPr>
              <w:t>（与</w:t>
            </w:r>
            <w:r>
              <w:rPr>
                <w:rFonts w:hint="eastAsia"/>
                <w:b/>
                <w:bCs/>
                <w:szCs w:val="21"/>
                <w:lang w:bidi="ar"/>
              </w:rPr>
              <w:t>道路中心线</w:t>
            </w:r>
            <w:r>
              <w:rPr>
                <w:b/>
                <w:bCs/>
                <w:szCs w:val="21"/>
                <w:lang w:bidi="ar"/>
              </w:rPr>
              <w:t>距离，m）</w:t>
            </w:r>
          </w:p>
        </w:tc>
      </w:tr>
      <w:tr w14:paraId="15121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pct"/>
            <w:vMerge w:val="continue"/>
            <w:shd w:val="clear" w:color="auto" w:fill="auto"/>
            <w:vAlign w:val="center"/>
          </w:tcPr>
          <w:p w14:paraId="6528FE3F">
            <w:pPr>
              <w:jc w:val="center"/>
              <w:rPr>
                <w:b/>
                <w:bCs/>
                <w:szCs w:val="21"/>
              </w:rPr>
            </w:pPr>
          </w:p>
        </w:tc>
        <w:tc>
          <w:tcPr>
            <w:tcW w:w="1325" w:type="pct"/>
            <w:vMerge w:val="continue"/>
            <w:shd w:val="clear" w:color="auto" w:fill="auto"/>
            <w:vAlign w:val="center"/>
          </w:tcPr>
          <w:p w14:paraId="0937893D">
            <w:pPr>
              <w:jc w:val="center"/>
              <w:rPr>
                <w:b/>
                <w:bCs/>
                <w:szCs w:val="21"/>
              </w:rPr>
            </w:pPr>
          </w:p>
        </w:tc>
        <w:tc>
          <w:tcPr>
            <w:tcW w:w="1483" w:type="pct"/>
            <w:shd w:val="clear" w:color="auto" w:fill="auto"/>
            <w:vAlign w:val="center"/>
          </w:tcPr>
          <w:p w14:paraId="721E1357">
            <w:pPr>
              <w:jc w:val="center"/>
              <w:rPr>
                <w:b/>
                <w:bCs/>
                <w:szCs w:val="21"/>
                <w:lang w:bidi="ar"/>
              </w:rPr>
            </w:pPr>
            <w:r>
              <w:rPr>
                <w:b/>
                <w:bCs/>
                <w:szCs w:val="21"/>
                <w:lang w:bidi="ar"/>
              </w:rPr>
              <w:t>昼间</w:t>
            </w:r>
          </w:p>
        </w:tc>
        <w:tc>
          <w:tcPr>
            <w:tcW w:w="1483" w:type="pct"/>
            <w:shd w:val="clear" w:color="auto" w:fill="auto"/>
            <w:vAlign w:val="center"/>
          </w:tcPr>
          <w:p w14:paraId="1B5FC5A3">
            <w:pPr>
              <w:jc w:val="center"/>
              <w:rPr>
                <w:b/>
                <w:bCs/>
                <w:szCs w:val="21"/>
                <w:lang w:bidi="ar"/>
              </w:rPr>
            </w:pPr>
            <w:r>
              <w:rPr>
                <w:b/>
                <w:bCs/>
                <w:szCs w:val="21"/>
                <w:lang w:bidi="ar"/>
              </w:rPr>
              <w:t>夜间</w:t>
            </w:r>
          </w:p>
        </w:tc>
      </w:tr>
      <w:tr w14:paraId="252ED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pct"/>
            <w:vMerge w:val="restart"/>
            <w:shd w:val="clear" w:color="auto" w:fill="auto"/>
            <w:vAlign w:val="center"/>
          </w:tcPr>
          <w:p w14:paraId="1DA946EC">
            <w:pPr>
              <w:jc w:val="center"/>
              <w:rPr>
                <w:szCs w:val="21"/>
              </w:rPr>
            </w:pPr>
            <w:r>
              <w:rPr>
                <w:rFonts w:hint="eastAsia"/>
                <w:szCs w:val="21"/>
              </w:rPr>
              <w:t>体育大道东延段</w:t>
            </w:r>
          </w:p>
        </w:tc>
        <w:tc>
          <w:tcPr>
            <w:tcW w:w="1325" w:type="pct"/>
            <w:shd w:val="clear" w:color="auto" w:fill="auto"/>
            <w:vAlign w:val="center"/>
          </w:tcPr>
          <w:p w14:paraId="42DE2EC4">
            <w:pPr>
              <w:jc w:val="center"/>
              <w:rPr>
                <w:bCs/>
                <w:szCs w:val="21"/>
              </w:rPr>
            </w:pPr>
            <w:r>
              <w:rPr>
                <w:bCs/>
                <w:szCs w:val="21"/>
                <w:lang w:bidi="ar"/>
              </w:rPr>
              <w:t>近期（2026年）</w:t>
            </w:r>
          </w:p>
        </w:tc>
        <w:tc>
          <w:tcPr>
            <w:tcW w:w="1483" w:type="pct"/>
            <w:shd w:val="clear" w:color="auto" w:fill="auto"/>
            <w:vAlign w:val="center"/>
          </w:tcPr>
          <w:p w14:paraId="6578D079">
            <w:pPr>
              <w:jc w:val="center"/>
              <w:rPr>
                <w:szCs w:val="21"/>
              </w:rPr>
            </w:pPr>
            <w:r>
              <w:rPr>
                <w:rFonts w:hint="eastAsia"/>
                <w:szCs w:val="21"/>
              </w:rPr>
              <w:t>110 m</w:t>
            </w:r>
          </w:p>
        </w:tc>
        <w:tc>
          <w:tcPr>
            <w:tcW w:w="1483" w:type="pct"/>
            <w:shd w:val="clear" w:color="auto" w:fill="auto"/>
            <w:vAlign w:val="center"/>
          </w:tcPr>
          <w:p w14:paraId="3BAD373D">
            <w:pPr>
              <w:jc w:val="center"/>
              <w:rPr>
                <w:szCs w:val="21"/>
              </w:rPr>
            </w:pPr>
            <w:r>
              <w:rPr>
                <w:rFonts w:hint="eastAsia"/>
                <w:szCs w:val="21"/>
              </w:rPr>
              <w:t>90 m</w:t>
            </w:r>
          </w:p>
        </w:tc>
      </w:tr>
      <w:tr w14:paraId="4289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709" w:type="pct"/>
            <w:vMerge w:val="continue"/>
            <w:shd w:val="clear" w:color="auto" w:fill="auto"/>
            <w:vAlign w:val="center"/>
          </w:tcPr>
          <w:p w14:paraId="3AD92701">
            <w:pPr>
              <w:jc w:val="center"/>
              <w:rPr>
                <w:szCs w:val="21"/>
              </w:rPr>
            </w:pPr>
          </w:p>
        </w:tc>
        <w:tc>
          <w:tcPr>
            <w:tcW w:w="1325" w:type="pct"/>
            <w:shd w:val="clear" w:color="auto" w:fill="auto"/>
            <w:vAlign w:val="center"/>
          </w:tcPr>
          <w:p w14:paraId="19E05673">
            <w:pPr>
              <w:jc w:val="center"/>
              <w:rPr>
                <w:bCs/>
                <w:szCs w:val="21"/>
              </w:rPr>
            </w:pPr>
            <w:r>
              <w:rPr>
                <w:bCs/>
                <w:szCs w:val="21"/>
                <w:lang w:bidi="ar"/>
              </w:rPr>
              <w:t>中期（2032年）</w:t>
            </w:r>
          </w:p>
        </w:tc>
        <w:tc>
          <w:tcPr>
            <w:tcW w:w="1483" w:type="pct"/>
            <w:shd w:val="clear" w:color="auto" w:fill="auto"/>
            <w:vAlign w:val="center"/>
          </w:tcPr>
          <w:p w14:paraId="729968BA">
            <w:pPr>
              <w:jc w:val="center"/>
              <w:rPr>
                <w:szCs w:val="21"/>
              </w:rPr>
            </w:pPr>
            <w:r>
              <w:rPr>
                <w:rFonts w:hint="eastAsia"/>
                <w:szCs w:val="21"/>
              </w:rPr>
              <w:t>130 m</w:t>
            </w:r>
          </w:p>
        </w:tc>
        <w:tc>
          <w:tcPr>
            <w:tcW w:w="1483" w:type="pct"/>
            <w:shd w:val="clear" w:color="auto" w:fill="auto"/>
            <w:vAlign w:val="center"/>
          </w:tcPr>
          <w:p w14:paraId="2EDFA0F9">
            <w:pPr>
              <w:jc w:val="center"/>
              <w:rPr>
                <w:szCs w:val="21"/>
              </w:rPr>
            </w:pPr>
            <w:r>
              <w:rPr>
                <w:rFonts w:hint="eastAsia"/>
                <w:szCs w:val="21"/>
              </w:rPr>
              <w:t>200 m</w:t>
            </w:r>
          </w:p>
        </w:tc>
      </w:tr>
      <w:tr w14:paraId="0486A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pct"/>
            <w:vMerge w:val="continue"/>
            <w:tcBorders>
              <w:bottom w:val="single" w:color="auto" w:sz="18" w:space="0"/>
            </w:tcBorders>
            <w:shd w:val="clear" w:color="auto" w:fill="auto"/>
            <w:vAlign w:val="center"/>
          </w:tcPr>
          <w:p w14:paraId="4DB7E26B">
            <w:pPr>
              <w:jc w:val="center"/>
              <w:rPr>
                <w:szCs w:val="21"/>
              </w:rPr>
            </w:pPr>
          </w:p>
        </w:tc>
        <w:tc>
          <w:tcPr>
            <w:tcW w:w="1325" w:type="pct"/>
            <w:tcBorders>
              <w:bottom w:val="single" w:color="auto" w:sz="18" w:space="0"/>
            </w:tcBorders>
            <w:shd w:val="clear" w:color="auto" w:fill="auto"/>
            <w:vAlign w:val="center"/>
          </w:tcPr>
          <w:p w14:paraId="4D7227F7">
            <w:pPr>
              <w:jc w:val="center"/>
              <w:rPr>
                <w:bCs/>
                <w:szCs w:val="21"/>
              </w:rPr>
            </w:pPr>
            <w:r>
              <w:rPr>
                <w:bCs/>
                <w:szCs w:val="21"/>
                <w:lang w:bidi="ar"/>
              </w:rPr>
              <w:t>远期（2040年）</w:t>
            </w:r>
          </w:p>
        </w:tc>
        <w:tc>
          <w:tcPr>
            <w:tcW w:w="1483" w:type="pct"/>
            <w:tcBorders>
              <w:bottom w:val="single" w:color="auto" w:sz="18" w:space="0"/>
            </w:tcBorders>
            <w:shd w:val="clear" w:color="auto" w:fill="auto"/>
            <w:vAlign w:val="center"/>
          </w:tcPr>
          <w:p w14:paraId="7925C251">
            <w:pPr>
              <w:jc w:val="center"/>
              <w:rPr>
                <w:szCs w:val="21"/>
              </w:rPr>
            </w:pPr>
            <w:r>
              <w:rPr>
                <w:rFonts w:hint="eastAsia"/>
                <w:szCs w:val="21"/>
              </w:rPr>
              <w:t>160 m</w:t>
            </w:r>
          </w:p>
        </w:tc>
        <w:tc>
          <w:tcPr>
            <w:tcW w:w="1483" w:type="pct"/>
            <w:tcBorders>
              <w:bottom w:val="single" w:color="auto" w:sz="18" w:space="0"/>
            </w:tcBorders>
            <w:shd w:val="clear" w:color="auto" w:fill="FFFF00"/>
            <w:vAlign w:val="center"/>
          </w:tcPr>
          <w:p w14:paraId="0EAE9434">
            <w:pPr>
              <w:jc w:val="center"/>
              <w:rPr>
                <w:b/>
                <w:bCs/>
                <w:szCs w:val="21"/>
              </w:rPr>
            </w:pPr>
            <w:r>
              <w:rPr>
                <w:rFonts w:hint="eastAsia"/>
                <w:b/>
                <w:bCs/>
                <w:szCs w:val="21"/>
              </w:rPr>
              <w:t>230</w:t>
            </w:r>
            <w:r>
              <w:rPr>
                <w:rFonts w:hint="eastAsia"/>
                <w:szCs w:val="21"/>
              </w:rPr>
              <w:t xml:space="preserve"> m</w:t>
            </w:r>
          </w:p>
        </w:tc>
      </w:tr>
    </w:tbl>
    <w:p w14:paraId="41471FFB">
      <w:pPr>
        <w:widowControl/>
        <w:spacing w:line="500" w:lineRule="exact"/>
        <w:ind w:firstLine="480" w:firstLineChars="200"/>
        <w:jc w:val="left"/>
        <w:rPr>
          <w:sz w:val="24"/>
          <w:lang w:bidi="ar"/>
        </w:rPr>
      </w:pPr>
      <w:r>
        <w:rPr>
          <w:rFonts w:hint="eastAsia"/>
          <w:sz w:val="24"/>
          <w:lang w:bidi="ar"/>
        </w:rPr>
        <w:t>随着交通量的增加，各路段预测噪声贡献值也将随之增加，但随着距离的增加噪声贡献值逐渐衰减变小</w:t>
      </w:r>
      <w:r>
        <w:rPr>
          <w:sz w:val="24"/>
          <w:lang w:bidi="ar"/>
        </w:rPr>
        <w:t>。</w:t>
      </w:r>
    </w:p>
    <w:p w14:paraId="4CB0DC44">
      <w:pPr>
        <w:widowControl/>
        <w:spacing w:line="500" w:lineRule="exact"/>
        <w:ind w:firstLine="480" w:firstLineChars="200"/>
        <w:jc w:val="left"/>
        <w:rPr>
          <w:kern w:val="0"/>
          <w:sz w:val="24"/>
          <w:lang w:bidi="en-US"/>
        </w:rPr>
      </w:pPr>
      <w:r>
        <w:rPr>
          <w:rFonts w:hint="eastAsia"/>
          <w:sz w:val="24"/>
          <w:lang w:bidi="ar"/>
        </w:rPr>
        <w:t>本项目沿线相邻区域为</w:t>
      </w:r>
      <w:r>
        <w:rPr>
          <w:sz w:val="24"/>
          <w:lang w:bidi="ar"/>
        </w:rPr>
        <w:t>2类声环境功能区的以交通干线边界外35m内及临街建筑(楼层3层及以上)面向交通干线一侧至交通干线边界线的区域定为4a类声环境功能区，执行《声环境质量标准》（GB3096-2008）的4a类标准，其他区域为2类区</w:t>
      </w:r>
      <w:r>
        <w:rPr>
          <w:kern w:val="0"/>
          <w:sz w:val="24"/>
          <w:lang w:bidi="en-US"/>
        </w:rPr>
        <w:t>。</w:t>
      </w:r>
    </w:p>
    <w:p w14:paraId="24B02F2A">
      <w:pPr>
        <w:widowControl/>
        <w:spacing w:line="500" w:lineRule="exact"/>
        <w:ind w:firstLine="480" w:firstLineChars="200"/>
        <w:rPr>
          <w:bCs/>
          <w:sz w:val="24"/>
          <w:lang w:bidi="ar"/>
        </w:rPr>
      </w:pPr>
      <w:r>
        <w:rPr>
          <w:rFonts w:hint="eastAsia"/>
          <w:bCs/>
          <w:sz w:val="24"/>
          <w:lang w:bidi="ar"/>
        </w:rPr>
        <w:t>根据上表可知，本项目</w:t>
      </w:r>
      <w:bookmarkStart w:id="156" w:name="_Hlk117951587"/>
      <w:r>
        <w:rPr>
          <w:rFonts w:hint="eastAsia"/>
          <w:bCs/>
          <w:sz w:val="24"/>
          <w:lang w:bidi="ar"/>
        </w:rPr>
        <w:t>建成后</w:t>
      </w:r>
      <w:bookmarkStart w:id="157" w:name="_Hlk117951719"/>
      <w:r>
        <w:rPr>
          <w:rFonts w:hint="eastAsia"/>
          <w:bCs/>
          <w:sz w:val="24"/>
          <w:lang w:bidi="ar"/>
        </w:rPr>
        <w:t>2类区近期达标昼间达标距离为110m，夜间达标距离为90m；中期达标昼间达标距离为130m，夜间达标距离为200m；远期达标昼间达标距离为160m，夜间达标距离为230m</w:t>
      </w:r>
      <w:bookmarkEnd w:id="156"/>
      <w:bookmarkEnd w:id="157"/>
      <w:r>
        <w:rPr>
          <w:rFonts w:hint="eastAsia"/>
          <w:bCs/>
          <w:sz w:val="24"/>
          <w:lang w:bidi="ar"/>
        </w:rPr>
        <w:t>。</w:t>
      </w:r>
    </w:p>
    <w:p w14:paraId="25D3405C">
      <w:pPr>
        <w:widowControl/>
        <w:spacing w:line="500" w:lineRule="exact"/>
        <w:ind w:firstLine="480" w:firstLineChars="200"/>
        <w:rPr>
          <w:bCs/>
          <w:sz w:val="24"/>
          <w:lang w:bidi="ar"/>
        </w:rPr>
      </w:pPr>
      <w:r>
        <w:rPr>
          <w:rFonts w:hint="eastAsia"/>
          <w:bCs/>
          <w:sz w:val="24"/>
          <w:lang w:bidi="ar"/>
        </w:rPr>
        <w:t>（</w:t>
      </w:r>
      <w:r>
        <w:rPr>
          <w:bCs/>
          <w:sz w:val="24"/>
          <w:lang w:bidi="ar"/>
        </w:rPr>
        <w:t>3）水平声场综合预测结果</w:t>
      </w:r>
    </w:p>
    <w:p w14:paraId="313BB304">
      <w:pPr>
        <w:widowControl/>
        <w:spacing w:line="500" w:lineRule="exact"/>
        <w:ind w:firstLine="480" w:firstLineChars="200"/>
        <w:rPr>
          <w:kern w:val="0"/>
          <w:sz w:val="24"/>
          <w:lang w:bidi="en-US"/>
        </w:rPr>
        <w:sectPr>
          <w:pgSz w:w="11906" w:h="16838"/>
          <w:pgMar w:top="720" w:right="720" w:bottom="720" w:left="720" w:header="851" w:footer="567" w:gutter="0"/>
          <w:cols w:space="720" w:num="1"/>
          <w:docGrid w:linePitch="312" w:charSpace="0"/>
        </w:sectPr>
      </w:pPr>
      <w:r>
        <w:rPr>
          <w:rFonts w:hint="eastAsia"/>
          <w:sz w:val="24"/>
          <w:lang w:bidi="ar"/>
        </w:rPr>
        <w:t>根据本项目建设内容和沿线地形地貌、地表建构筑物分布情况，在噪声环境影响评价系统软件中进行模拟建模，预测各主要路段水平声场分布情况，考虑噪声距离衰减、空气衰减、地面效应、纵坡修正、路面修正的影响，考虑地形、建筑物遮挡下</w:t>
      </w:r>
      <w:r>
        <w:rPr>
          <w:sz w:val="24"/>
          <w:lang w:bidi="ar"/>
        </w:rPr>
        <w:t>，</w:t>
      </w:r>
      <w:r>
        <w:rPr>
          <w:kern w:val="0"/>
          <w:sz w:val="24"/>
          <w:lang w:bidi="en-US"/>
        </w:rPr>
        <w:t>项目运营期交通噪声影响程度随车流量的增大而增大，远期&gt;中期&gt;</w:t>
      </w:r>
      <w:r>
        <w:rPr>
          <w:rFonts w:hint="eastAsia"/>
          <w:kern w:val="0"/>
          <w:sz w:val="24"/>
          <w:lang w:bidi="en-US"/>
        </w:rPr>
        <w:t>近</w:t>
      </w:r>
      <w:r>
        <w:rPr>
          <w:kern w:val="0"/>
          <w:sz w:val="24"/>
          <w:lang w:bidi="en-US"/>
        </w:rPr>
        <w:t>期，相同预测年份交通噪声</w:t>
      </w:r>
      <w:r>
        <w:rPr>
          <w:rFonts w:hint="eastAsia"/>
          <w:kern w:val="0"/>
          <w:sz w:val="24"/>
          <w:lang w:bidi="en-US"/>
        </w:rPr>
        <w:t>昼间预测结果大于夜间预测结果，</w:t>
      </w:r>
      <w:r>
        <w:rPr>
          <w:rFonts w:hint="eastAsia"/>
          <w:kern w:val="0"/>
          <w:sz w:val="24"/>
        </w:rPr>
        <w:t>远期噪声预测值大于近期噪声预测值</w:t>
      </w:r>
      <w:r>
        <w:rPr>
          <w:kern w:val="0"/>
          <w:sz w:val="24"/>
          <w:lang w:bidi="en-US"/>
        </w:rPr>
        <w:t>，交通噪声随着距道路中心线增加噪声值逐渐减小，且近距离处衰减比较迅速，远距离处衰减较缓慢</w:t>
      </w:r>
      <w:r>
        <w:rPr>
          <w:rFonts w:hint="eastAsia"/>
          <w:kern w:val="0"/>
          <w:sz w:val="24"/>
          <w:lang w:bidi="en-US"/>
        </w:rPr>
        <w:t>。</w:t>
      </w:r>
    </w:p>
    <w:p w14:paraId="468C6DDD">
      <w:pPr>
        <w:widowControl/>
        <w:jc w:val="center"/>
        <w:rPr>
          <w:sz w:val="24"/>
          <w:lang w:bidi="ar"/>
        </w:rPr>
      </w:pPr>
      <w:r>
        <mc:AlternateContent>
          <mc:Choice Requires="wps">
            <w:drawing>
              <wp:anchor distT="0" distB="0" distL="114300" distR="114300" simplePos="0" relativeHeight="251673600" behindDoc="0" locked="0" layoutInCell="1" allowOverlap="1">
                <wp:simplePos x="0" y="0"/>
                <wp:positionH relativeFrom="margin">
                  <wp:align>left</wp:align>
                </wp:positionH>
                <wp:positionV relativeFrom="paragraph">
                  <wp:posOffset>25400</wp:posOffset>
                </wp:positionV>
                <wp:extent cx="6743700" cy="9169400"/>
                <wp:effectExtent l="0" t="0" r="19050" b="12700"/>
                <wp:wrapNone/>
                <wp:docPr id="670435036" name="矩形 68"/>
                <wp:cNvGraphicFramePr/>
                <a:graphic xmlns:a="http://schemas.openxmlformats.org/drawingml/2006/main">
                  <a:graphicData uri="http://schemas.microsoft.com/office/word/2010/wordprocessingShape">
                    <wps:wsp>
                      <wps:cNvSpPr/>
                      <wps:spPr>
                        <a:xfrm>
                          <a:off x="0" y="0"/>
                          <a:ext cx="6743700" cy="91694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8" o:spid="_x0000_s1026" o:spt="1" style="position:absolute;left:0pt;margin-top:2pt;height:722pt;width:531pt;mso-position-horizontal:left;mso-position-horizontal-relative:margin;z-index:251673600;v-text-anchor:middle;mso-width-relative:page;mso-height-relative:page;" fillcolor="#FFFFFF [3212]" filled="t" stroked="t" coordsize="21600,21600" o:gfxdata="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a0AMy1QAAAAgBAAAPAAAAAAAAAAEAIAAAACIAAABkcnMvZG93bnJl&#10;di54bWxQSwECFAAUAAAACACHTuJA2g3dK3ICAAD+BAAADgAAAAAAAAABACAAAAAkAQAAZHJzL2Uy&#10;b0RvYy54bWxQSwUGAAAAAAYABgBZAQAACAYAAAAA&#10;">
                <v:fill on="t" focussize="0,0"/>
                <v:stroke weight="1pt" color="#FFFFFF [3212]" miterlimit="8" joinstyle="miter"/>
                <v:imagedata o:title=""/>
                <o:lock v:ext="edit" aspectratio="f"/>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4787900</wp:posOffset>
                </wp:positionH>
                <wp:positionV relativeFrom="paragraph">
                  <wp:posOffset>2944495</wp:posOffset>
                </wp:positionV>
                <wp:extent cx="1293495" cy="307975"/>
                <wp:effectExtent l="342900" t="0" r="20955" b="53975"/>
                <wp:wrapNone/>
                <wp:docPr id="1189321241" name="对话气泡: 矩形 23"/>
                <wp:cNvGraphicFramePr/>
                <a:graphic xmlns:a="http://schemas.openxmlformats.org/drawingml/2006/main">
                  <a:graphicData uri="http://schemas.microsoft.com/office/word/2010/wordprocessingShape">
                    <wps:wsp>
                      <wps:cNvSpPr/>
                      <wps:spPr>
                        <a:xfrm>
                          <a:off x="0" y="0"/>
                          <a:ext cx="1293495" cy="307975"/>
                        </a:xfrm>
                        <a:prstGeom prst="wedgeRectCallout">
                          <a:avLst>
                            <a:gd name="adj1" fmla="val -73161"/>
                            <a:gd name="adj2" fmla="val 53732"/>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524D328">
                            <w:pPr>
                              <w:jc w:val="center"/>
                              <w:rPr>
                                <w:b/>
                                <w:bCs/>
                              </w:rPr>
                            </w:pPr>
                            <w:r>
                              <w:rPr>
                                <w:rFonts w:hint="eastAsia"/>
                                <w:b/>
                                <w:bCs/>
                              </w:rPr>
                              <w:t>垂向衰减断面位置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矩形 23" o:spid="_x0000_s1026" o:spt="61" type="#_x0000_t61" style="position:absolute;left:0pt;margin-left:377pt;margin-top:231.85pt;height:24.25pt;width:101.85pt;z-index:251661312;v-text-anchor:middle;mso-width-relative:page;mso-height-relative:page;" fillcolor="#4472C4 [3204]" filled="t" stroked="t" coordsize="21600,21600" o:gfxdata="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Xtz71twAAAALAQAADwAAAAAAAAABACAAAAAiAAAAZHJzL2Rvd25yZXYueG1sUEsB&#10;AhQAFAAAAAgAh07iQCnmbiXVAgAAlgUAAA4AAAAAAAAAAQAgAAAAKwEAAGRycy9lMm9Eb2MueG1s&#10;UEsFBgAAAAAGAAYAWQEAAHIGAAAAAA==&#10;" adj="-5003,22406">
                <v:fill on="t" focussize="0,0"/>
                <v:stroke weight="1pt" color="#172C51 [3204]" miterlimit="8" joinstyle="miter"/>
                <v:imagedata o:title=""/>
                <o:lock v:ext="edit" aspectratio="f"/>
                <v:textbox>
                  <w:txbxContent>
                    <w:p w14:paraId="3524D328">
                      <w:pPr>
                        <w:jc w:val="center"/>
                        <w:rPr>
                          <w:b/>
                          <w:bCs/>
                        </w:rPr>
                      </w:pPr>
                      <w:r>
                        <w:rPr>
                          <w:rFonts w:hint="eastAsia"/>
                          <w:b/>
                          <w:bCs/>
                        </w:rPr>
                        <w:t>垂向衰减断面位置</w:t>
                      </w:r>
                    </w:p>
                  </w:txbxContent>
                </v:textbox>
              </v:shape>
            </w:pict>
          </mc:Fallback>
        </mc:AlternateContent>
      </w:r>
      <w:r>
        <w:drawing>
          <wp:anchor distT="0" distB="0" distL="114300" distR="114300" simplePos="0" relativeHeight="251660288" behindDoc="0" locked="0" layoutInCell="1" allowOverlap="1">
            <wp:simplePos x="0" y="0"/>
            <wp:positionH relativeFrom="column">
              <wp:posOffset>76835</wp:posOffset>
            </wp:positionH>
            <wp:positionV relativeFrom="paragraph">
              <wp:posOffset>3808095</wp:posOffset>
            </wp:positionV>
            <wp:extent cx="1525905" cy="633730"/>
            <wp:effectExtent l="0" t="0" r="0" b="0"/>
            <wp:wrapNone/>
            <wp:docPr id="11221225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122550" name="图片 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1525979" cy="633730"/>
                    </a:xfrm>
                    <a:prstGeom prst="rect">
                      <a:avLst/>
                    </a:prstGeom>
                  </pic:spPr>
                </pic:pic>
              </a:graphicData>
            </a:graphic>
          </wp:anchor>
        </w:drawing>
      </w:r>
      <w:r>
        <w:drawing>
          <wp:inline distT="0" distB="0" distL="0" distR="0">
            <wp:extent cx="6645910" cy="4331970"/>
            <wp:effectExtent l="57150" t="57150" r="97790" b="87630"/>
            <wp:docPr id="1440235253" name="图片 1" descr="图表,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235253" name="图片 1" descr="图表, 地图&#10;&#10;描述已自动生成"/>
                    <pic:cNvPicPr>
                      <a:picLocks noChangeAspect="1"/>
                    </pic:cNvPicPr>
                  </pic:nvPicPr>
                  <pic:blipFill>
                    <a:blip r:embed="rId59"/>
                    <a:stretch>
                      <a:fillRect/>
                    </a:stretch>
                  </pic:blipFill>
                  <pic:spPr>
                    <a:xfrm>
                      <a:off x="0" y="0"/>
                      <a:ext cx="6645910" cy="4331970"/>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3A3C4FEC">
      <w:pPr>
        <w:widowControl/>
        <w:spacing w:line="360" w:lineRule="auto"/>
        <w:ind w:firstLine="422" w:firstLineChars="200"/>
        <w:jc w:val="center"/>
        <w:rPr>
          <w:b/>
          <w:szCs w:val="21"/>
          <w:lang w:bidi="ar"/>
        </w:rPr>
      </w:pPr>
      <w:r>
        <w:rPr>
          <w:b/>
          <w:szCs w:val="21"/>
          <w:lang w:bidi="ar"/>
        </w:rPr>
        <w:t>图4.2-</w:t>
      </w:r>
      <w:r>
        <w:rPr>
          <w:rFonts w:hint="eastAsia"/>
          <w:b/>
          <w:szCs w:val="21"/>
          <w:lang w:bidi="ar"/>
        </w:rPr>
        <w:t>11</w:t>
      </w:r>
      <w:r>
        <w:rPr>
          <w:b/>
          <w:szCs w:val="21"/>
          <w:lang w:bidi="ar"/>
        </w:rPr>
        <w:t xml:space="preserve"> </w:t>
      </w:r>
      <w:r>
        <w:rPr>
          <w:rFonts w:hint="eastAsia"/>
          <w:b/>
          <w:szCs w:val="21"/>
          <w:lang w:bidi="ar"/>
        </w:rPr>
        <w:t xml:space="preserve"> 近期昼间噪声衰减等值线图</w:t>
      </w:r>
    </w:p>
    <w:p w14:paraId="53312830">
      <w:pPr>
        <w:widowControl/>
        <w:jc w:val="center"/>
        <w:rPr>
          <w:b/>
          <w:szCs w:val="21"/>
          <w:lang w:bidi="ar"/>
        </w:rPr>
      </w:pPr>
      <w:r>
        <mc:AlternateContent>
          <mc:Choice Requires="wps">
            <w:drawing>
              <wp:anchor distT="0" distB="0" distL="114300" distR="114300" simplePos="0" relativeHeight="251663360" behindDoc="0" locked="0" layoutInCell="1" allowOverlap="1">
                <wp:simplePos x="0" y="0"/>
                <wp:positionH relativeFrom="column">
                  <wp:posOffset>4744720</wp:posOffset>
                </wp:positionH>
                <wp:positionV relativeFrom="paragraph">
                  <wp:posOffset>2789555</wp:posOffset>
                </wp:positionV>
                <wp:extent cx="1293495" cy="307975"/>
                <wp:effectExtent l="342900" t="0" r="20955" b="53975"/>
                <wp:wrapNone/>
                <wp:docPr id="1506832984" name="对话气泡: 矩形 23"/>
                <wp:cNvGraphicFramePr/>
                <a:graphic xmlns:a="http://schemas.openxmlformats.org/drawingml/2006/main">
                  <a:graphicData uri="http://schemas.microsoft.com/office/word/2010/wordprocessingShape">
                    <wps:wsp>
                      <wps:cNvSpPr/>
                      <wps:spPr>
                        <a:xfrm>
                          <a:off x="0" y="0"/>
                          <a:ext cx="1293495" cy="307975"/>
                        </a:xfrm>
                        <a:prstGeom prst="wedgeRectCallout">
                          <a:avLst>
                            <a:gd name="adj1" fmla="val -73161"/>
                            <a:gd name="adj2" fmla="val 53732"/>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F3E21D">
                            <w:pPr>
                              <w:jc w:val="center"/>
                              <w:rPr>
                                <w:b/>
                                <w:bCs/>
                              </w:rPr>
                            </w:pPr>
                            <w:r>
                              <w:rPr>
                                <w:rFonts w:hint="eastAsia"/>
                                <w:b/>
                                <w:bCs/>
                              </w:rPr>
                              <w:t>垂向衰减断面位置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矩形 23" o:spid="_x0000_s1026" o:spt="61" type="#_x0000_t61" style="position:absolute;left:0pt;margin-left:373.6pt;margin-top:219.65pt;height:24.25pt;width:101.85pt;z-index:251663360;v-text-anchor:middle;mso-width-relative:page;mso-height-relative:page;" fillcolor="#4472C4 [3204]" filled="t" stroked="t" coordsize="21600,21600" o:gfxdata="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s6I2GNwAAAALAQAADwAAAAAAAAABACAAAAAiAAAAZHJzL2Rvd25yZXYueG1sUEsB&#10;AhQAFAAAAAgAh07iQI/1JI3VAgAAlgUAAA4AAAAAAAAAAQAgAAAAKwEAAGRycy9lMm9Eb2MueG1s&#10;UEsFBgAAAAAGAAYAWQEAAHIGAAAAAA==&#10;" adj="-5003,22406">
                <v:fill on="t" focussize="0,0"/>
                <v:stroke weight="1pt" color="#172C51 [3204]" miterlimit="8" joinstyle="miter"/>
                <v:imagedata o:title=""/>
                <o:lock v:ext="edit" aspectratio="f"/>
                <v:textbox>
                  <w:txbxContent>
                    <w:p w14:paraId="48F3E21D">
                      <w:pPr>
                        <w:jc w:val="center"/>
                        <w:rPr>
                          <w:b/>
                          <w:bCs/>
                        </w:rPr>
                      </w:pPr>
                      <w:r>
                        <w:rPr>
                          <w:rFonts w:hint="eastAsia"/>
                          <w:b/>
                          <w:bCs/>
                        </w:rPr>
                        <w:t>垂向衰减断面位置</w:t>
                      </w:r>
                    </w:p>
                  </w:txbxContent>
                </v:textbox>
              </v:shape>
            </w:pict>
          </mc:Fallback>
        </mc:AlternateContent>
      </w:r>
      <w:r>
        <w:drawing>
          <wp:anchor distT="0" distB="0" distL="114300" distR="114300" simplePos="0" relativeHeight="251662336" behindDoc="0" locked="0" layoutInCell="1" allowOverlap="1">
            <wp:simplePos x="0" y="0"/>
            <wp:positionH relativeFrom="column">
              <wp:posOffset>82550</wp:posOffset>
            </wp:positionH>
            <wp:positionV relativeFrom="paragraph">
              <wp:posOffset>3808095</wp:posOffset>
            </wp:positionV>
            <wp:extent cx="1525905" cy="633730"/>
            <wp:effectExtent l="0" t="0" r="0" b="0"/>
            <wp:wrapNone/>
            <wp:docPr id="249828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828454" name="图片 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1525979" cy="633730"/>
                    </a:xfrm>
                    <a:prstGeom prst="rect">
                      <a:avLst/>
                    </a:prstGeom>
                  </pic:spPr>
                </pic:pic>
              </a:graphicData>
            </a:graphic>
          </wp:anchor>
        </w:drawing>
      </w:r>
      <w:r>
        <w:drawing>
          <wp:inline distT="0" distB="0" distL="0" distR="0">
            <wp:extent cx="6645910" cy="4335145"/>
            <wp:effectExtent l="57150" t="57150" r="97790" b="103505"/>
            <wp:docPr id="1762954938"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54938" name="图片 1" descr="地图&#10;&#10;描述已自动生成"/>
                    <pic:cNvPicPr>
                      <a:picLocks noChangeAspect="1"/>
                    </pic:cNvPicPr>
                  </pic:nvPicPr>
                  <pic:blipFill>
                    <a:blip r:embed="rId60"/>
                    <a:stretch>
                      <a:fillRect/>
                    </a:stretch>
                  </pic:blipFill>
                  <pic:spPr>
                    <a:xfrm>
                      <a:off x="0" y="0"/>
                      <a:ext cx="6645910" cy="433514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00A6E4E6">
      <w:pPr>
        <w:widowControl/>
        <w:spacing w:line="360" w:lineRule="auto"/>
        <w:ind w:firstLine="422" w:firstLineChars="200"/>
        <w:jc w:val="center"/>
        <w:rPr>
          <w:b/>
          <w:szCs w:val="21"/>
          <w:lang w:bidi="ar"/>
        </w:rPr>
      </w:pPr>
      <w:r>
        <w:rPr>
          <w:b/>
          <w:szCs w:val="21"/>
          <w:lang w:bidi="ar"/>
        </w:rPr>
        <w:t>图4.2-</w:t>
      </w:r>
      <w:r>
        <w:rPr>
          <w:rFonts w:hint="eastAsia"/>
          <w:b/>
          <w:szCs w:val="21"/>
          <w:lang w:bidi="ar"/>
        </w:rPr>
        <w:t>12</w:t>
      </w:r>
      <w:r>
        <w:rPr>
          <w:b/>
          <w:szCs w:val="21"/>
          <w:lang w:bidi="ar"/>
        </w:rPr>
        <w:t xml:space="preserve"> </w:t>
      </w:r>
      <w:r>
        <w:rPr>
          <w:rFonts w:hint="eastAsia"/>
          <w:b/>
          <w:szCs w:val="21"/>
          <w:lang w:bidi="ar"/>
        </w:rPr>
        <w:t xml:space="preserve"> 近期夜间噪声衰减等值线图</w:t>
      </w:r>
    </w:p>
    <w:p w14:paraId="5965A0D5">
      <w:pPr>
        <w:widowControl/>
        <w:spacing w:line="360" w:lineRule="auto"/>
        <w:ind w:firstLine="422" w:firstLineChars="200"/>
        <w:jc w:val="center"/>
        <w:rPr>
          <w:b/>
          <w:szCs w:val="21"/>
          <w:lang w:bidi="ar"/>
        </w:rPr>
        <w:sectPr>
          <w:pgSz w:w="11906" w:h="16838"/>
          <w:pgMar w:top="720" w:right="720" w:bottom="720" w:left="720" w:header="851" w:footer="567" w:gutter="0"/>
          <w:cols w:space="720" w:num="1"/>
          <w:docGrid w:linePitch="312" w:charSpace="0"/>
        </w:sectPr>
      </w:pPr>
    </w:p>
    <w:p w14:paraId="3A273420">
      <w:pPr>
        <w:widowControl/>
        <w:jc w:val="center"/>
        <w:rPr>
          <w:b/>
          <w:szCs w:val="21"/>
          <w:lang w:bidi="ar"/>
        </w:rPr>
      </w:pPr>
      <w:r>
        <mc:AlternateContent>
          <mc:Choice Requires="wps">
            <w:drawing>
              <wp:anchor distT="0" distB="0" distL="114300" distR="114300" simplePos="0" relativeHeight="251674624" behindDoc="0" locked="0" layoutInCell="1" allowOverlap="1">
                <wp:simplePos x="0" y="0"/>
                <wp:positionH relativeFrom="column">
                  <wp:posOffset>0</wp:posOffset>
                </wp:positionH>
                <wp:positionV relativeFrom="paragraph">
                  <wp:posOffset>12700</wp:posOffset>
                </wp:positionV>
                <wp:extent cx="6743700" cy="9004300"/>
                <wp:effectExtent l="0" t="0" r="19050" b="25400"/>
                <wp:wrapNone/>
                <wp:docPr id="578902074" name="矩形 69"/>
                <wp:cNvGraphicFramePr/>
                <a:graphic xmlns:a="http://schemas.openxmlformats.org/drawingml/2006/main">
                  <a:graphicData uri="http://schemas.microsoft.com/office/word/2010/wordprocessingShape">
                    <wps:wsp>
                      <wps:cNvSpPr/>
                      <wps:spPr>
                        <a:xfrm>
                          <a:off x="0" y="0"/>
                          <a:ext cx="6743700" cy="90043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9" o:spid="_x0000_s1026" o:spt="1" style="position:absolute;left:0pt;margin-left:0pt;margin-top:1pt;height:709pt;width:531pt;z-index:251674624;v-text-anchor:middle;mso-width-relative:page;mso-height-relative:page;" fillcolor="#FFFFFF [3212]" filled="t" stroked="t" coordsize="21600,21600" o:gfxdata="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mKcDNMAAAAIAQAADwAAAAAAAAABACAAAAAiAAAAZHJzL2Rvd25yZXYu&#10;eG1sUEsBAhQAFAAAAAgAh07iQJcq0hNyAgAA/gQAAA4AAAAAAAAAAQAgAAAAIgEAAGRycy9lMm9E&#10;b2MueG1sUEsFBgAAAAAGAAYAWQEAAAYGAAAAAA==&#10;">
                <v:fill on="t" focussize="0,0"/>
                <v:stroke weight="1pt" color="#FFFFFF [3212]" miterlimit="8" joinstyle="miter"/>
                <v:imagedata o:title=""/>
                <o:lock v:ext="edit" aspectratio="f"/>
              </v:rect>
            </w:pict>
          </mc:Fallback>
        </mc:AlternateContent>
      </w:r>
      <w:r>
        <w:drawing>
          <wp:anchor distT="0" distB="0" distL="114300" distR="114300" simplePos="0" relativeHeight="251666432" behindDoc="0" locked="0" layoutInCell="1" allowOverlap="1">
            <wp:simplePos x="0" y="0"/>
            <wp:positionH relativeFrom="column">
              <wp:posOffset>76200</wp:posOffset>
            </wp:positionH>
            <wp:positionV relativeFrom="paragraph">
              <wp:posOffset>3677285</wp:posOffset>
            </wp:positionV>
            <wp:extent cx="1525905" cy="633730"/>
            <wp:effectExtent l="0" t="0" r="0" b="0"/>
            <wp:wrapNone/>
            <wp:docPr id="13239927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92729" name="图片 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1525979" cy="63373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column">
                  <wp:posOffset>4740910</wp:posOffset>
                </wp:positionH>
                <wp:positionV relativeFrom="paragraph">
                  <wp:posOffset>2900045</wp:posOffset>
                </wp:positionV>
                <wp:extent cx="1293495" cy="307975"/>
                <wp:effectExtent l="342900" t="0" r="20955" b="53975"/>
                <wp:wrapNone/>
                <wp:docPr id="195154011" name="对话气泡: 矩形 23"/>
                <wp:cNvGraphicFramePr/>
                <a:graphic xmlns:a="http://schemas.openxmlformats.org/drawingml/2006/main">
                  <a:graphicData uri="http://schemas.microsoft.com/office/word/2010/wordprocessingShape">
                    <wps:wsp>
                      <wps:cNvSpPr/>
                      <wps:spPr>
                        <a:xfrm>
                          <a:off x="0" y="0"/>
                          <a:ext cx="1293495" cy="307975"/>
                        </a:xfrm>
                        <a:prstGeom prst="wedgeRectCallout">
                          <a:avLst>
                            <a:gd name="adj1" fmla="val -73161"/>
                            <a:gd name="adj2" fmla="val 53732"/>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EB31157">
                            <w:pPr>
                              <w:jc w:val="center"/>
                              <w:rPr>
                                <w:b/>
                                <w:bCs/>
                              </w:rPr>
                            </w:pPr>
                            <w:r>
                              <w:rPr>
                                <w:rFonts w:hint="eastAsia"/>
                                <w:b/>
                                <w:bCs/>
                              </w:rPr>
                              <w:t>垂向衰减断面位置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矩形 23" o:spid="_x0000_s1026" o:spt="61" type="#_x0000_t61" style="position:absolute;left:0pt;margin-left:373.3pt;margin-top:228.35pt;height:24.25pt;width:101.85pt;z-index:251664384;v-text-anchor:middle;mso-width-relative:page;mso-height-relative:page;" fillcolor="#4472C4 [3204]" filled="t" stroked="t" coordsize="21600,21600" o:gfxdata="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PW98G3bAAAACwEAAA8AAAAAAAAAAQAgAAAAIgAAAGRycy9kb3ducmV2LnhtbFBLAQIU&#10;ABQAAAAIAIdO4kAm52h+1AIAAJUFAAAOAAAAAAAAAAEAIAAAACoBAABkcnMvZTJvRG9jLnhtbFBL&#10;BQYAAAAABgAGAFkBAABwBgAAAAA=&#10;" adj="-5003,22406">
                <v:fill on="t" focussize="0,0"/>
                <v:stroke weight="1pt" color="#172C51 [3204]" miterlimit="8" joinstyle="miter"/>
                <v:imagedata o:title=""/>
                <o:lock v:ext="edit" aspectratio="f"/>
                <v:textbox>
                  <w:txbxContent>
                    <w:p w14:paraId="6EB31157">
                      <w:pPr>
                        <w:jc w:val="center"/>
                        <w:rPr>
                          <w:b/>
                          <w:bCs/>
                        </w:rPr>
                      </w:pPr>
                      <w:r>
                        <w:rPr>
                          <w:rFonts w:hint="eastAsia"/>
                          <w:b/>
                          <w:bCs/>
                        </w:rPr>
                        <w:t>垂向衰减断面位置</w:t>
                      </w:r>
                    </w:p>
                  </w:txbxContent>
                </v:textbox>
              </v:shape>
            </w:pict>
          </mc:Fallback>
        </mc:AlternateContent>
      </w:r>
      <w:r>
        <w:drawing>
          <wp:inline distT="0" distB="0" distL="0" distR="0">
            <wp:extent cx="6645910" cy="4234815"/>
            <wp:effectExtent l="57150" t="57150" r="97790" b="89535"/>
            <wp:docPr id="1246788187" name="图片 1" descr="图表,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788187" name="图片 1" descr="图表, 地图&#10;&#10;描述已自动生成"/>
                    <pic:cNvPicPr>
                      <a:picLocks noChangeAspect="1"/>
                    </pic:cNvPicPr>
                  </pic:nvPicPr>
                  <pic:blipFill>
                    <a:blip r:embed="rId61"/>
                    <a:stretch>
                      <a:fillRect/>
                    </a:stretch>
                  </pic:blipFill>
                  <pic:spPr>
                    <a:xfrm>
                      <a:off x="0" y="0"/>
                      <a:ext cx="6645910" cy="423481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1CDB9703">
      <w:pPr>
        <w:widowControl/>
        <w:spacing w:line="360" w:lineRule="auto"/>
        <w:ind w:firstLine="422" w:firstLineChars="200"/>
        <w:jc w:val="center"/>
        <w:rPr>
          <w:b/>
          <w:szCs w:val="21"/>
          <w:lang w:bidi="ar"/>
        </w:rPr>
      </w:pPr>
      <w:r>
        <w:rPr>
          <w:b/>
          <w:szCs w:val="21"/>
          <w:lang w:bidi="ar"/>
        </w:rPr>
        <w:t>图4.2-</w:t>
      </w:r>
      <w:r>
        <w:rPr>
          <w:rFonts w:hint="eastAsia"/>
          <w:b/>
          <w:szCs w:val="21"/>
          <w:lang w:bidi="ar"/>
        </w:rPr>
        <w:t>13</w:t>
      </w:r>
      <w:r>
        <w:rPr>
          <w:b/>
          <w:szCs w:val="21"/>
          <w:lang w:bidi="ar"/>
        </w:rPr>
        <w:t xml:space="preserve"> </w:t>
      </w:r>
      <w:r>
        <w:rPr>
          <w:rFonts w:hint="eastAsia"/>
          <w:b/>
          <w:szCs w:val="21"/>
          <w:lang w:bidi="ar"/>
        </w:rPr>
        <w:t xml:space="preserve"> 中期昼间噪声衰减等值线图</w:t>
      </w:r>
    </w:p>
    <w:p w14:paraId="1A6586BF">
      <w:pPr>
        <w:widowControl/>
        <w:jc w:val="center"/>
        <w:rPr>
          <w:b/>
          <w:szCs w:val="21"/>
          <w:lang w:bidi="ar"/>
        </w:rPr>
      </w:pPr>
      <w:r>
        <w:drawing>
          <wp:anchor distT="0" distB="0" distL="114300" distR="114300" simplePos="0" relativeHeight="251667456" behindDoc="0" locked="0" layoutInCell="1" allowOverlap="1">
            <wp:simplePos x="0" y="0"/>
            <wp:positionH relativeFrom="column">
              <wp:posOffset>81280</wp:posOffset>
            </wp:positionH>
            <wp:positionV relativeFrom="paragraph">
              <wp:posOffset>3730625</wp:posOffset>
            </wp:positionV>
            <wp:extent cx="1525905" cy="633730"/>
            <wp:effectExtent l="0" t="0" r="0" b="0"/>
            <wp:wrapNone/>
            <wp:docPr id="1988953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953402" name="图片 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1525979" cy="633730"/>
                    </a:xfrm>
                    <a:prstGeom prst="rect">
                      <a:avLst/>
                    </a:prstGeom>
                  </pic:spPr>
                </pic:pic>
              </a:graphicData>
            </a:graphic>
          </wp:anchor>
        </w:drawing>
      </w:r>
      <w:r>
        <mc:AlternateContent>
          <mc:Choice Requires="wps">
            <w:drawing>
              <wp:anchor distT="0" distB="0" distL="114300" distR="114300" simplePos="0" relativeHeight="251665408" behindDoc="0" locked="0" layoutInCell="1" allowOverlap="1">
                <wp:simplePos x="0" y="0"/>
                <wp:positionH relativeFrom="column">
                  <wp:posOffset>4673600</wp:posOffset>
                </wp:positionH>
                <wp:positionV relativeFrom="paragraph">
                  <wp:posOffset>2658745</wp:posOffset>
                </wp:positionV>
                <wp:extent cx="1293495" cy="307975"/>
                <wp:effectExtent l="342900" t="0" r="20955" b="53975"/>
                <wp:wrapNone/>
                <wp:docPr id="1672653772" name="对话气泡: 矩形 23"/>
                <wp:cNvGraphicFramePr/>
                <a:graphic xmlns:a="http://schemas.openxmlformats.org/drawingml/2006/main">
                  <a:graphicData uri="http://schemas.microsoft.com/office/word/2010/wordprocessingShape">
                    <wps:wsp>
                      <wps:cNvSpPr/>
                      <wps:spPr>
                        <a:xfrm>
                          <a:off x="0" y="0"/>
                          <a:ext cx="1293495" cy="307975"/>
                        </a:xfrm>
                        <a:prstGeom prst="wedgeRectCallout">
                          <a:avLst>
                            <a:gd name="adj1" fmla="val -73161"/>
                            <a:gd name="adj2" fmla="val 53732"/>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5E580EF">
                            <w:pPr>
                              <w:jc w:val="center"/>
                              <w:rPr>
                                <w:b/>
                                <w:bCs/>
                              </w:rPr>
                            </w:pPr>
                            <w:r>
                              <w:rPr>
                                <w:rFonts w:hint="eastAsia"/>
                                <w:b/>
                                <w:bCs/>
                              </w:rPr>
                              <w:t>垂向衰减断面位置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矩形 23" o:spid="_x0000_s1026" o:spt="61" type="#_x0000_t61" style="position:absolute;left:0pt;margin-left:368pt;margin-top:209.35pt;height:24.25pt;width:101.85pt;z-index:251665408;v-text-anchor:middle;mso-width-relative:page;mso-height-relative:page;" fillcolor="#4472C4 [3204]" filled="t" stroked="t" coordsize="21600,21600" o:gfxdata="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PwNQotwAAAALAQAADwAAAAAAAAABACAAAAAiAAAAZHJzL2Rvd25yZXYueG1sUEsB&#10;AhQAFAAAAAgAh07iQAVjtZLVAgAAlgUAAA4AAAAAAAAAAQAgAAAAKwEAAGRycy9lMm9Eb2MueG1s&#10;UEsFBgAAAAAGAAYAWQEAAHIGAAAAAA==&#10;" adj="-5003,22406">
                <v:fill on="t" focussize="0,0"/>
                <v:stroke weight="1pt" color="#172C51 [3204]" miterlimit="8" joinstyle="miter"/>
                <v:imagedata o:title=""/>
                <o:lock v:ext="edit" aspectratio="f"/>
                <v:textbox>
                  <w:txbxContent>
                    <w:p w14:paraId="55E580EF">
                      <w:pPr>
                        <w:jc w:val="center"/>
                        <w:rPr>
                          <w:b/>
                          <w:bCs/>
                        </w:rPr>
                      </w:pPr>
                      <w:r>
                        <w:rPr>
                          <w:rFonts w:hint="eastAsia"/>
                          <w:b/>
                          <w:bCs/>
                        </w:rPr>
                        <w:t>垂向衰减断面位置</w:t>
                      </w:r>
                    </w:p>
                  </w:txbxContent>
                </v:textbox>
              </v:shape>
            </w:pict>
          </mc:Fallback>
        </mc:AlternateContent>
      </w:r>
      <w:r>
        <w:drawing>
          <wp:inline distT="0" distB="0" distL="0" distR="0">
            <wp:extent cx="6645910" cy="4279265"/>
            <wp:effectExtent l="57150" t="57150" r="97790" b="102235"/>
            <wp:docPr id="78212459"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12459" name="图片 1" descr="地图&#10;&#10;描述已自动生成"/>
                    <pic:cNvPicPr>
                      <a:picLocks noChangeAspect="1"/>
                    </pic:cNvPicPr>
                  </pic:nvPicPr>
                  <pic:blipFill>
                    <a:blip r:embed="rId62"/>
                    <a:stretch>
                      <a:fillRect/>
                    </a:stretch>
                  </pic:blipFill>
                  <pic:spPr>
                    <a:xfrm>
                      <a:off x="0" y="0"/>
                      <a:ext cx="6645910" cy="427926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4DEF75C3">
      <w:pPr>
        <w:widowControl/>
        <w:spacing w:line="360" w:lineRule="auto"/>
        <w:ind w:firstLine="422" w:firstLineChars="200"/>
        <w:jc w:val="center"/>
        <w:rPr>
          <w:b/>
          <w:szCs w:val="21"/>
          <w:lang w:bidi="ar"/>
        </w:rPr>
      </w:pPr>
      <w:r>
        <w:rPr>
          <w:b/>
          <w:szCs w:val="21"/>
          <w:lang w:bidi="ar"/>
        </w:rPr>
        <w:t>图4.2-</w:t>
      </w:r>
      <w:r>
        <w:rPr>
          <w:rFonts w:hint="eastAsia"/>
          <w:b/>
          <w:szCs w:val="21"/>
          <w:lang w:bidi="ar"/>
        </w:rPr>
        <w:t>14</w:t>
      </w:r>
      <w:r>
        <w:rPr>
          <w:b/>
          <w:szCs w:val="21"/>
          <w:lang w:bidi="ar"/>
        </w:rPr>
        <w:t xml:space="preserve"> </w:t>
      </w:r>
      <w:r>
        <w:rPr>
          <w:rFonts w:hint="eastAsia"/>
          <w:b/>
          <w:szCs w:val="21"/>
          <w:lang w:bidi="ar"/>
        </w:rPr>
        <w:t xml:space="preserve"> 中期夜间噪声衰减等值线图</w:t>
      </w:r>
    </w:p>
    <w:p w14:paraId="3288F04E">
      <w:pPr>
        <w:widowControl/>
        <w:spacing w:line="360" w:lineRule="auto"/>
        <w:ind w:firstLine="480" w:firstLineChars="200"/>
        <w:jc w:val="center"/>
        <w:rPr>
          <w:sz w:val="24"/>
          <w:lang w:bidi="ar"/>
        </w:rPr>
        <w:sectPr>
          <w:pgSz w:w="11906" w:h="16838"/>
          <w:pgMar w:top="720" w:right="720" w:bottom="720" w:left="720" w:header="851" w:footer="567" w:gutter="0"/>
          <w:cols w:space="720" w:num="1"/>
          <w:docGrid w:linePitch="312" w:charSpace="0"/>
        </w:sectPr>
      </w:pPr>
    </w:p>
    <w:p w14:paraId="55ABFCEC">
      <w:pPr>
        <w:widowControl/>
        <w:jc w:val="center"/>
        <w:rPr>
          <w:b/>
          <w:szCs w:val="21"/>
          <w:lang w:bidi="ar"/>
        </w:rPr>
      </w:pPr>
      <w:r>
        <mc:AlternateContent>
          <mc:Choice Requires="wps">
            <w:drawing>
              <wp:anchor distT="0" distB="0" distL="114300" distR="114300" simplePos="0" relativeHeight="251675648" behindDoc="0" locked="0" layoutInCell="1" allowOverlap="1">
                <wp:simplePos x="0" y="0"/>
                <wp:positionH relativeFrom="column">
                  <wp:posOffset>12700</wp:posOffset>
                </wp:positionH>
                <wp:positionV relativeFrom="paragraph">
                  <wp:posOffset>12700</wp:posOffset>
                </wp:positionV>
                <wp:extent cx="6718300" cy="8964930"/>
                <wp:effectExtent l="0" t="0" r="25400" b="26670"/>
                <wp:wrapNone/>
                <wp:docPr id="739097262" name="矩形 70"/>
                <wp:cNvGraphicFramePr/>
                <a:graphic xmlns:a="http://schemas.openxmlformats.org/drawingml/2006/main">
                  <a:graphicData uri="http://schemas.microsoft.com/office/word/2010/wordprocessingShape">
                    <wps:wsp>
                      <wps:cNvSpPr/>
                      <wps:spPr>
                        <a:xfrm>
                          <a:off x="0" y="0"/>
                          <a:ext cx="6718300" cy="896493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0" o:spid="_x0000_s1026" o:spt="1" style="position:absolute;left:0pt;margin-left:1pt;margin-top:1pt;height:705.9pt;width:529pt;z-index:251675648;v-text-anchor:middle;mso-width-relative:page;mso-height-relative:page;" fillcolor="#FFFFFF [3212]" filled="t" stroked="t" coordsize="21600,21600" o:gfxdata="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2Mp7O1gAAAAkBAAAPAAAAAAAAAAEAIAAAACIAAABkcnMvZG93&#10;bnJldi54bWxQSwECFAAUAAAACACHTuJA6gpTEnQCAAD+BAAADgAAAAAAAAABACAAAAAlAQAAZHJz&#10;L2Uyb0RvYy54bWxQSwUGAAAAAAYABgBZAQAACwYAAAAA&#10;">
                <v:fill on="t" focussize="0,0"/>
                <v:stroke weight="1pt" color="#FFFFFF [3212]" miterlimit="8" joinstyle="miter"/>
                <v:imagedata o:title=""/>
                <o:lock v:ext="edit" aspectratio="f"/>
              </v:rect>
            </w:pict>
          </mc:Fallback>
        </mc:AlternateContent>
      </w:r>
      <w:r>
        <w:drawing>
          <wp:anchor distT="0" distB="0" distL="114300" distR="114300" simplePos="0" relativeHeight="251670528" behindDoc="0" locked="0" layoutInCell="1" allowOverlap="1">
            <wp:simplePos x="0" y="0"/>
            <wp:positionH relativeFrom="column">
              <wp:posOffset>76200</wp:posOffset>
            </wp:positionH>
            <wp:positionV relativeFrom="paragraph">
              <wp:posOffset>3700145</wp:posOffset>
            </wp:positionV>
            <wp:extent cx="1525905" cy="633730"/>
            <wp:effectExtent l="0" t="0" r="0" b="0"/>
            <wp:wrapNone/>
            <wp:docPr id="13444632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463277" name="图片 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1525979" cy="633730"/>
                    </a:xfrm>
                    <a:prstGeom prst="rect">
                      <a:avLst/>
                    </a:prstGeom>
                  </pic:spPr>
                </pic:pic>
              </a:graphicData>
            </a:graphic>
          </wp:anchor>
        </w:drawing>
      </w:r>
      <w:r>
        <mc:AlternateContent>
          <mc:Choice Requires="wps">
            <w:drawing>
              <wp:anchor distT="0" distB="0" distL="114300" distR="114300" simplePos="0" relativeHeight="251668480" behindDoc="0" locked="0" layoutInCell="1" allowOverlap="1">
                <wp:simplePos x="0" y="0"/>
                <wp:positionH relativeFrom="column">
                  <wp:posOffset>4781550</wp:posOffset>
                </wp:positionH>
                <wp:positionV relativeFrom="paragraph">
                  <wp:posOffset>2893060</wp:posOffset>
                </wp:positionV>
                <wp:extent cx="1293495" cy="307975"/>
                <wp:effectExtent l="342900" t="0" r="20955" b="53975"/>
                <wp:wrapNone/>
                <wp:docPr id="2129888366" name="对话气泡: 矩形 23"/>
                <wp:cNvGraphicFramePr/>
                <a:graphic xmlns:a="http://schemas.openxmlformats.org/drawingml/2006/main">
                  <a:graphicData uri="http://schemas.microsoft.com/office/word/2010/wordprocessingShape">
                    <wps:wsp>
                      <wps:cNvSpPr/>
                      <wps:spPr>
                        <a:xfrm>
                          <a:off x="0" y="0"/>
                          <a:ext cx="1293495" cy="307975"/>
                        </a:xfrm>
                        <a:prstGeom prst="wedgeRectCallout">
                          <a:avLst>
                            <a:gd name="adj1" fmla="val -73161"/>
                            <a:gd name="adj2" fmla="val 53732"/>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0047CE0">
                            <w:pPr>
                              <w:jc w:val="center"/>
                              <w:rPr>
                                <w:b/>
                                <w:bCs/>
                              </w:rPr>
                            </w:pPr>
                            <w:r>
                              <w:rPr>
                                <w:rFonts w:hint="eastAsia"/>
                                <w:b/>
                                <w:bCs/>
                              </w:rPr>
                              <w:t>垂向衰减断面位置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矩形 23" o:spid="_x0000_s1026" o:spt="61" type="#_x0000_t61" style="position:absolute;left:0pt;margin-left:376.5pt;margin-top:227.8pt;height:24.25pt;width:101.85pt;z-index:251668480;v-text-anchor:middle;mso-width-relative:page;mso-height-relative:page;" fillcolor="#4472C4 [3204]" filled="t" stroked="t" coordsize="21600,21600" o:gfxdata="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Mig9gDbAAAACwEAAA8AAAAAAAAAAQAgAAAAIgAAAGRycy9kb3ducmV2LnhtbFBLAQIU&#10;ABQAAAAIAIdO4kBYTgAr1AIAAJYFAAAOAAAAAAAAAAEAIAAAACoBAABkcnMvZTJvRG9jLnhtbFBL&#10;BQYAAAAABgAGAFkBAABwBgAAAAA=&#10;" adj="-5003,22406">
                <v:fill on="t" focussize="0,0"/>
                <v:stroke weight="1pt" color="#172C51 [3204]" miterlimit="8" joinstyle="miter"/>
                <v:imagedata o:title=""/>
                <o:lock v:ext="edit" aspectratio="f"/>
                <v:textbox>
                  <w:txbxContent>
                    <w:p w14:paraId="30047CE0">
                      <w:pPr>
                        <w:jc w:val="center"/>
                        <w:rPr>
                          <w:b/>
                          <w:bCs/>
                        </w:rPr>
                      </w:pPr>
                      <w:r>
                        <w:rPr>
                          <w:rFonts w:hint="eastAsia"/>
                          <w:b/>
                          <w:bCs/>
                        </w:rPr>
                        <w:t>垂向衰减断面位置</w:t>
                      </w:r>
                    </w:p>
                  </w:txbxContent>
                </v:textbox>
              </v:shape>
            </w:pict>
          </mc:Fallback>
        </mc:AlternateContent>
      </w:r>
      <w:r>
        <w:drawing>
          <wp:inline distT="0" distB="0" distL="0" distR="0">
            <wp:extent cx="6645910" cy="4217035"/>
            <wp:effectExtent l="57150" t="57150" r="97790" b="88265"/>
            <wp:docPr id="866474310"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474310" name="图片 1" descr="地图&#10;&#10;描述已自动生成"/>
                    <pic:cNvPicPr>
                      <a:picLocks noChangeAspect="1"/>
                    </pic:cNvPicPr>
                  </pic:nvPicPr>
                  <pic:blipFill>
                    <a:blip r:embed="rId63"/>
                    <a:stretch>
                      <a:fillRect/>
                    </a:stretch>
                  </pic:blipFill>
                  <pic:spPr>
                    <a:xfrm>
                      <a:off x="0" y="0"/>
                      <a:ext cx="6645910" cy="421703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704B38AB">
      <w:pPr>
        <w:widowControl/>
        <w:spacing w:line="360" w:lineRule="auto"/>
        <w:ind w:firstLine="422" w:firstLineChars="200"/>
        <w:jc w:val="center"/>
        <w:rPr>
          <w:b/>
          <w:szCs w:val="21"/>
          <w:lang w:bidi="ar"/>
        </w:rPr>
      </w:pPr>
      <w:r>
        <w:rPr>
          <w:b/>
          <w:szCs w:val="21"/>
          <w:lang w:bidi="ar"/>
        </w:rPr>
        <w:t>图4.2-1</w:t>
      </w:r>
      <w:r>
        <w:rPr>
          <w:rFonts w:hint="eastAsia"/>
          <w:b/>
          <w:szCs w:val="21"/>
          <w:lang w:bidi="ar"/>
        </w:rPr>
        <w:t>5</w:t>
      </w:r>
      <w:r>
        <w:rPr>
          <w:b/>
          <w:szCs w:val="21"/>
          <w:lang w:bidi="ar"/>
        </w:rPr>
        <w:t xml:space="preserve"> </w:t>
      </w:r>
      <w:r>
        <w:rPr>
          <w:rFonts w:hint="eastAsia"/>
          <w:b/>
          <w:szCs w:val="21"/>
          <w:lang w:bidi="ar"/>
        </w:rPr>
        <w:t xml:space="preserve"> 远期昼间噪声衰减等值线图</w:t>
      </w:r>
    </w:p>
    <w:p w14:paraId="0E1FBC16">
      <w:pPr>
        <w:widowControl/>
        <w:jc w:val="center"/>
        <w:rPr>
          <w:b/>
          <w:szCs w:val="21"/>
          <w:lang w:bidi="ar"/>
        </w:rPr>
      </w:pPr>
      <w:r>
        <w:drawing>
          <wp:anchor distT="0" distB="0" distL="114300" distR="114300" simplePos="0" relativeHeight="251671552" behindDoc="0" locked="0" layoutInCell="1" allowOverlap="1">
            <wp:simplePos x="0" y="0"/>
            <wp:positionH relativeFrom="column">
              <wp:posOffset>102870</wp:posOffset>
            </wp:positionH>
            <wp:positionV relativeFrom="paragraph">
              <wp:posOffset>3723640</wp:posOffset>
            </wp:positionV>
            <wp:extent cx="1525905" cy="633730"/>
            <wp:effectExtent l="0" t="0" r="0" b="0"/>
            <wp:wrapNone/>
            <wp:docPr id="2024512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512111" name="图片 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1525979" cy="633730"/>
                    </a:xfrm>
                    <a:prstGeom prst="rect">
                      <a:avLst/>
                    </a:prstGeom>
                  </pic:spPr>
                </pic:pic>
              </a:graphicData>
            </a:graphic>
          </wp:anchor>
        </w:drawing>
      </w:r>
      <w:r>
        <mc:AlternateContent>
          <mc:Choice Requires="wps">
            <w:drawing>
              <wp:anchor distT="0" distB="0" distL="114300" distR="114300" simplePos="0" relativeHeight="251669504" behindDoc="0" locked="0" layoutInCell="1" allowOverlap="1">
                <wp:simplePos x="0" y="0"/>
                <wp:positionH relativeFrom="column">
                  <wp:posOffset>4707890</wp:posOffset>
                </wp:positionH>
                <wp:positionV relativeFrom="paragraph">
                  <wp:posOffset>2728595</wp:posOffset>
                </wp:positionV>
                <wp:extent cx="1293495" cy="307975"/>
                <wp:effectExtent l="342900" t="0" r="20955" b="53975"/>
                <wp:wrapNone/>
                <wp:docPr id="1068557901" name="对话气泡: 矩形 23"/>
                <wp:cNvGraphicFramePr/>
                <a:graphic xmlns:a="http://schemas.openxmlformats.org/drawingml/2006/main">
                  <a:graphicData uri="http://schemas.microsoft.com/office/word/2010/wordprocessingShape">
                    <wps:wsp>
                      <wps:cNvSpPr/>
                      <wps:spPr>
                        <a:xfrm>
                          <a:off x="0" y="0"/>
                          <a:ext cx="1293495" cy="307975"/>
                        </a:xfrm>
                        <a:prstGeom prst="wedgeRectCallout">
                          <a:avLst>
                            <a:gd name="adj1" fmla="val -73161"/>
                            <a:gd name="adj2" fmla="val 53732"/>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9949779">
                            <w:pPr>
                              <w:jc w:val="center"/>
                              <w:rPr>
                                <w:b/>
                                <w:bCs/>
                              </w:rPr>
                            </w:pPr>
                            <w:r>
                              <w:rPr>
                                <w:rFonts w:hint="eastAsia"/>
                                <w:b/>
                                <w:bCs/>
                              </w:rPr>
                              <w:t>垂向衰减断面位置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矩形 23" o:spid="_x0000_s1026" o:spt="61" type="#_x0000_t61" style="position:absolute;left:0pt;margin-left:370.7pt;margin-top:214.85pt;height:24.25pt;width:101.85pt;z-index:251669504;v-text-anchor:middle;mso-width-relative:page;mso-height-relative:page;" fillcolor="#4472C4 [3204]" filled="t" stroked="t" coordsize="21600,21600" o:gfxdata="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D/yXYH2wAAAAsBAAAPAAAAAAAAAAEAIAAAACIAAABkcnMvZG93bnJldi54bWxQSwEC&#10;FAAUAAAACACHTuJAm/Dj0dUCAACWBQAADgAAAAAAAAABACAAAAAqAQAAZHJzL2Uyb0RvYy54bWxQ&#10;SwUGAAAAAAYABgBZAQAAcQYAAAAA&#10;" adj="-5003,22406">
                <v:fill on="t" focussize="0,0"/>
                <v:stroke weight="1pt" color="#172C51 [3204]" miterlimit="8" joinstyle="miter"/>
                <v:imagedata o:title=""/>
                <o:lock v:ext="edit" aspectratio="f"/>
                <v:textbox>
                  <w:txbxContent>
                    <w:p w14:paraId="69949779">
                      <w:pPr>
                        <w:jc w:val="center"/>
                        <w:rPr>
                          <w:b/>
                          <w:bCs/>
                        </w:rPr>
                      </w:pPr>
                      <w:r>
                        <w:rPr>
                          <w:rFonts w:hint="eastAsia"/>
                          <w:b/>
                          <w:bCs/>
                        </w:rPr>
                        <w:t>垂向衰减断面位置</w:t>
                      </w:r>
                    </w:p>
                  </w:txbxContent>
                </v:textbox>
              </v:shape>
            </w:pict>
          </mc:Fallback>
        </mc:AlternateContent>
      </w:r>
      <w:r>
        <w:drawing>
          <wp:inline distT="0" distB="0" distL="0" distR="0">
            <wp:extent cx="6645910" cy="4242435"/>
            <wp:effectExtent l="57150" t="57150" r="97790" b="100965"/>
            <wp:docPr id="721093323" name="图片 1" descr="图表,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093323" name="图片 1" descr="图表, 地图&#10;&#10;描述已自动生成"/>
                    <pic:cNvPicPr>
                      <a:picLocks noChangeAspect="1"/>
                    </pic:cNvPicPr>
                  </pic:nvPicPr>
                  <pic:blipFill>
                    <a:blip r:embed="rId64"/>
                    <a:stretch>
                      <a:fillRect/>
                    </a:stretch>
                  </pic:blipFill>
                  <pic:spPr>
                    <a:xfrm>
                      <a:off x="0" y="0"/>
                      <a:ext cx="6645910" cy="4242435"/>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12A6586D">
      <w:pPr>
        <w:widowControl/>
        <w:spacing w:line="360" w:lineRule="auto"/>
        <w:ind w:firstLine="422" w:firstLineChars="200"/>
        <w:jc w:val="center"/>
        <w:rPr>
          <w:b/>
          <w:szCs w:val="21"/>
          <w:lang w:bidi="ar"/>
        </w:rPr>
        <w:sectPr>
          <w:pgSz w:w="11906" w:h="16838"/>
          <w:pgMar w:top="720" w:right="720" w:bottom="720" w:left="720" w:header="851" w:footer="567" w:gutter="0"/>
          <w:cols w:space="720" w:num="1"/>
          <w:docGrid w:linePitch="312" w:charSpace="0"/>
        </w:sectPr>
      </w:pPr>
      <w:r>
        <w:rPr>
          <w:b/>
          <w:szCs w:val="21"/>
          <w:lang w:bidi="ar"/>
        </w:rPr>
        <w:t>图4.2-1</w:t>
      </w:r>
      <w:r>
        <w:rPr>
          <w:rFonts w:hint="eastAsia"/>
          <w:b/>
          <w:szCs w:val="21"/>
          <w:lang w:bidi="ar"/>
        </w:rPr>
        <w:t>6</w:t>
      </w:r>
      <w:r>
        <w:rPr>
          <w:b/>
          <w:szCs w:val="21"/>
          <w:lang w:bidi="ar"/>
        </w:rPr>
        <w:t xml:space="preserve"> </w:t>
      </w:r>
      <w:r>
        <w:rPr>
          <w:rFonts w:hint="eastAsia"/>
          <w:b/>
          <w:szCs w:val="21"/>
          <w:lang w:bidi="ar"/>
        </w:rPr>
        <w:t xml:space="preserve"> 远期夜间噪声衰减等值线图</w:t>
      </w:r>
    </w:p>
    <w:p w14:paraId="7BC66EB4">
      <w:pPr>
        <w:widowControl/>
        <w:jc w:val="center"/>
        <w:rPr>
          <w:b/>
          <w:szCs w:val="21"/>
          <w:lang w:bidi="ar"/>
        </w:rPr>
      </w:pPr>
      <w:r>
        <mc:AlternateContent>
          <mc:Choice Requires="wps">
            <w:drawing>
              <wp:anchor distT="0" distB="0" distL="114300" distR="114300" simplePos="0" relativeHeight="251676672" behindDoc="0" locked="0" layoutInCell="1" allowOverlap="1">
                <wp:simplePos x="0" y="0"/>
                <wp:positionH relativeFrom="column">
                  <wp:posOffset>165100</wp:posOffset>
                </wp:positionH>
                <wp:positionV relativeFrom="paragraph">
                  <wp:posOffset>12700</wp:posOffset>
                </wp:positionV>
                <wp:extent cx="9398000" cy="6172200"/>
                <wp:effectExtent l="0" t="0" r="12700" b="19050"/>
                <wp:wrapNone/>
                <wp:docPr id="484767470" name="矩形 71"/>
                <wp:cNvGraphicFramePr/>
                <a:graphic xmlns:a="http://schemas.openxmlformats.org/drawingml/2006/main">
                  <a:graphicData uri="http://schemas.microsoft.com/office/word/2010/wordprocessingShape">
                    <wps:wsp>
                      <wps:cNvSpPr/>
                      <wps:spPr>
                        <a:xfrm>
                          <a:off x="0" y="0"/>
                          <a:ext cx="9398000" cy="61722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1" o:spid="_x0000_s1026" o:spt="1" style="position:absolute;left:0pt;margin-left:13pt;margin-top:1pt;height:486pt;width:740pt;z-index:251676672;v-text-anchor:middle;mso-width-relative:page;mso-height-relative:page;" fillcolor="#FFFFFF [3212]" filled="t" stroked="t" coordsize="21600,21600" o:gfxdata="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PH1qJNYAAAAJAQAADwAAAAAAAAABACAAAAAiAAAAZHJzL2Rvd25y&#10;ZXYueG1sUEsBAhQAFAAAAAgAh07iQDrcaahyAgAA/gQAAA4AAAAAAAAAAQAgAAAAJQEAAGRycy9l&#10;Mm9Eb2MueG1sUEsFBgAAAAAGAAYAWQEAAAkGAAAAAA==&#10;">
                <v:fill on="t" focussize="0,0"/>
                <v:stroke weight="1pt" color="#FFFFFF [3212]" miterlimit="8" joinstyle="miter"/>
                <v:imagedata o:title=""/>
                <o:lock v:ext="edit" aspectratio="f"/>
              </v:rect>
            </w:pict>
          </mc:Fallback>
        </mc:AlternateContent>
      </w:r>
      <w:r>
        <w:drawing>
          <wp:inline distT="0" distB="0" distL="0" distR="0">
            <wp:extent cx="9284970" cy="2894965"/>
            <wp:effectExtent l="57150" t="57150" r="87630" b="95885"/>
            <wp:docPr id="2077767920"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767920" name="图片 1" descr="图表&#10;&#10;描述已自动生成"/>
                    <pic:cNvPicPr>
                      <a:picLocks noChangeAspect="1"/>
                    </pic:cNvPicPr>
                  </pic:nvPicPr>
                  <pic:blipFill>
                    <a:blip r:embed="rId65"/>
                    <a:stretch>
                      <a:fillRect/>
                    </a:stretch>
                  </pic:blipFill>
                  <pic:spPr>
                    <a:xfrm>
                      <a:off x="0" y="0"/>
                      <a:ext cx="9302172" cy="2900358"/>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7DECAB18">
      <w:pPr>
        <w:widowControl/>
        <w:spacing w:line="360" w:lineRule="auto"/>
        <w:ind w:firstLine="422" w:firstLineChars="200"/>
        <w:jc w:val="center"/>
        <w:rPr>
          <w:b/>
          <w:szCs w:val="21"/>
          <w:lang w:bidi="ar"/>
        </w:rPr>
      </w:pPr>
      <w:r>
        <w:rPr>
          <w:b/>
          <w:szCs w:val="21"/>
          <w:lang w:bidi="ar"/>
        </w:rPr>
        <w:t>图4.2-</w:t>
      </w:r>
      <w:r>
        <w:rPr>
          <w:rFonts w:hint="eastAsia"/>
          <w:b/>
          <w:szCs w:val="21"/>
          <w:lang w:bidi="ar"/>
        </w:rPr>
        <w:t>17</w:t>
      </w:r>
      <w:r>
        <w:rPr>
          <w:b/>
          <w:szCs w:val="21"/>
          <w:lang w:bidi="ar"/>
        </w:rPr>
        <w:t xml:space="preserve"> </w:t>
      </w:r>
      <w:r>
        <w:rPr>
          <w:rFonts w:hint="eastAsia"/>
          <w:b/>
          <w:szCs w:val="21"/>
          <w:lang w:bidi="ar"/>
        </w:rPr>
        <w:t xml:space="preserve"> 近期昼间垂直断面噪声衰减等值线图</w:t>
      </w:r>
    </w:p>
    <w:p w14:paraId="4A5378EB">
      <w:pPr>
        <w:widowControl/>
        <w:jc w:val="center"/>
        <w:rPr>
          <w:b/>
          <w:szCs w:val="21"/>
          <w:lang w:bidi="ar"/>
        </w:rPr>
      </w:pPr>
      <w:r>
        <w:drawing>
          <wp:inline distT="0" distB="0" distL="0" distR="0">
            <wp:extent cx="9149080" cy="2792095"/>
            <wp:effectExtent l="57150" t="57150" r="90170" b="103505"/>
            <wp:docPr id="1134333194"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333194" name="图片 1" descr="图表&#10;&#10;描述已自动生成"/>
                    <pic:cNvPicPr>
                      <a:picLocks noChangeAspect="1"/>
                    </pic:cNvPicPr>
                  </pic:nvPicPr>
                  <pic:blipFill>
                    <a:blip r:embed="rId66"/>
                    <a:stretch>
                      <a:fillRect/>
                    </a:stretch>
                  </pic:blipFill>
                  <pic:spPr>
                    <a:xfrm>
                      <a:off x="0" y="0"/>
                      <a:ext cx="9173301" cy="2799410"/>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17B8797D">
      <w:pPr>
        <w:widowControl/>
        <w:spacing w:line="360" w:lineRule="auto"/>
        <w:ind w:firstLine="422" w:firstLineChars="200"/>
        <w:jc w:val="center"/>
        <w:rPr>
          <w:b/>
          <w:szCs w:val="21"/>
          <w:lang w:bidi="ar"/>
        </w:rPr>
      </w:pPr>
      <w:r>
        <w:rPr>
          <w:b/>
          <w:szCs w:val="21"/>
          <w:lang w:bidi="ar"/>
        </w:rPr>
        <w:t>图4.2</w:t>
      </w:r>
      <w:r>
        <w:rPr>
          <w:rFonts w:hint="eastAsia"/>
          <w:b/>
          <w:szCs w:val="21"/>
          <w:lang w:bidi="ar"/>
        </w:rPr>
        <w:t>-18</w:t>
      </w:r>
      <w:r>
        <w:rPr>
          <w:b/>
          <w:szCs w:val="21"/>
          <w:lang w:bidi="ar"/>
        </w:rPr>
        <w:t xml:space="preserve"> </w:t>
      </w:r>
      <w:r>
        <w:rPr>
          <w:rFonts w:hint="eastAsia"/>
          <w:b/>
          <w:szCs w:val="21"/>
          <w:lang w:bidi="ar"/>
        </w:rPr>
        <w:t xml:space="preserve"> 近期夜间垂直断面噪声衰减等值线图</w:t>
      </w:r>
    </w:p>
    <w:p w14:paraId="1D31B5B2">
      <w:pPr>
        <w:widowControl/>
        <w:jc w:val="center"/>
        <w:rPr>
          <w:b/>
          <w:szCs w:val="21"/>
          <w:lang w:bidi="ar"/>
        </w:rPr>
      </w:pPr>
      <w:r>
        <mc:AlternateContent>
          <mc:Choice Requires="wps">
            <w:drawing>
              <wp:anchor distT="0" distB="0" distL="114300" distR="114300" simplePos="0" relativeHeight="251677696" behindDoc="0" locked="0" layoutInCell="1" allowOverlap="1">
                <wp:simplePos x="0" y="0"/>
                <wp:positionH relativeFrom="column">
                  <wp:posOffset>139700</wp:posOffset>
                </wp:positionH>
                <wp:positionV relativeFrom="paragraph">
                  <wp:posOffset>25400</wp:posOffset>
                </wp:positionV>
                <wp:extent cx="9461500" cy="6248400"/>
                <wp:effectExtent l="0" t="0" r="25400" b="19050"/>
                <wp:wrapNone/>
                <wp:docPr id="64717471" name="矩形 72"/>
                <wp:cNvGraphicFramePr/>
                <a:graphic xmlns:a="http://schemas.openxmlformats.org/drawingml/2006/main">
                  <a:graphicData uri="http://schemas.microsoft.com/office/word/2010/wordprocessingShape">
                    <wps:wsp>
                      <wps:cNvSpPr/>
                      <wps:spPr>
                        <a:xfrm>
                          <a:off x="0" y="0"/>
                          <a:ext cx="9461500" cy="62484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2" o:spid="_x0000_s1026" o:spt="1" style="position:absolute;left:0pt;margin-left:11pt;margin-top:2pt;height:492pt;width:745pt;z-index:251677696;v-text-anchor:middle;mso-width-relative:page;mso-height-relative:page;" fillcolor="#FFFFFF [3212]" filled="t" stroked="t" coordsize="21600,21600" o:gfxdata="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JoZV4jWAAAACQEAAA8AAAAAAAAAAQAgAAAAIgAAAGRycy9kb3ducmV2&#10;LnhtbFBLAQIUABQAAAAIAIdO4kAU8Ea5cAIAAP0EAAAOAAAAAAAAAAEAIAAAACUBAABkcnMvZTJv&#10;RG9jLnhtbFBLBQYAAAAABgAGAFkBAAAHBgAAAAA=&#10;">
                <v:fill on="t" focussize="0,0"/>
                <v:stroke weight="1pt" color="#FFFFFF [3212]" miterlimit="8" joinstyle="miter"/>
                <v:imagedata o:title=""/>
                <o:lock v:ext="edit" aspectratio="f"/>
              </v:rect>
            </w:pict>
          </mc:Fallback>
        </mc:AlternateContent>
      </w:r>
      <w:r>
        <w:drawing>
          <wp:inline distT="0" distB="0" distL="0" distR="0">
            <wp:extent cx="9299575" cy="2872740"/>
            <wp:effectExtent l="57150" t="57150" r="92075" b="99060"/>
            <wp:docPr id="267102967"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102967" name="图片 1" descr="图表&#10;&#10;描述已自动生成"/>
                    <pic:cNvPicPr>
                      <a:picLocks noChangeAspect="1"/>
                    </pic:cNvPicPr>
                  </pic:nvPicPr>
                  <pic:blipFill>
                    <a:blip r:embed="rId67"/>
                    <a:stretch>
                      <a:fillRect/>
                    </a:stretch>
                  </pic:blipFill>
                  <pic:spPr>
                    <a:xfrm>
                      <a:off x="0" y="0"/>
                      <a:ext cx="9307452" cy="2875408"/>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51AEB908">
      <w:pPr>
        <w:widowControl/>
        <w:spacing w:line="360" w:lineRule="auto"/>
        <w:ind w:firstLine="422" w:firstLineChars="200"/>
        <w:jc w:val="center"/>
        <w:rPr>
          <w:b/>
          <w:szCs w:val="21"/>
          <w:lang w:bidi="ar"/>
        </w:rPr>
      </w:pPr>
      <w:r>
        <w:rPr>
          <w:b/>
          <w:szCs w:val="21"/>
          <w:lang w:bidi="ar"/>
        </w:rPr>
        <w:t>图4.2-</w:t>
      </w:r>
      <w:r>
        <w:rPr>
          <w:rFonts w:hint="eastAsia"/>
          <w:b/>
          <w:szCs w:val="21"/>
          <w:lang w:bidi="ar"/>
        </w:rPr>
        <w:t>1</w:t>
      </w:r>
      <w:r>
        <w:rPr>
          <w:b/>
          <w:szCs w:val="21"/>
          <w:lang w:bidi="ar"/>
        </w:rPr>
        <w:t xml:space="preserve">9 </w:t>
      </w:r>
      <w:r>
        <w:rPr>
          <w:rFonts w:hint="eastAsia"/>
          <w:b/>
          <w:szCs w:val="21"/>
          <w:lang w:bidi="ar"/>
        </w:rPr>
        <w:t xml:space="preserve"> 中期昼间垂直断面噪声衰减等值线图</w:t>
      </w:r>
    </w:p>
    <w:p w14:paraId="797FA326">
      <w:pPr>
        <w:widowControl/>
        <w:jc w:val="center"/>
        <w:rPr>
          <w:b/>
          <w:szCs w:val="21"/>
          <w:lang w:bidi="ar"/>
        </w:rPr>
      </w:pPr>
      <w:r>
        <w:drawing>
          <wp:inline distT="0" distB="0" distL="0" distR="0">
            <wp:extent cx="9312910" cy="2884170"/>
            <wp:effectExtent l="57150" t="57150" r="97790" b="87630"/>
            <wp:docPr id="1254477314" name="图片 1" descr="图表, 气泡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477314" name="图片 1" descr="图表, 气泡图&#10;&#10;描述已自动生成"/>
                    <pic:cNvPicPr>
                      <a:picLocks noChangeAspect="1"/>
                    </pic:cNvPicPr>
                  </pic:nvPicPr>
                  <pic:blipFill>
                    <a:blip r:embed="rId68"/>
                    <a:stretch>
                      <a:fillRect/>
                    </a:stretch>
                  </pic:blipFill>
                  <pic:spPr>
                    <a:xfrm>
                      <a:off x="0" y="0"/>
                      <a:ext cx="9318819" cy="2886183"/>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5059C297">
      <w:pPr>
        <w:widowControl/>
        <w:spacing w:line="360" w:lineRule="auto"/>
        <w:ind w:firstLine="422" w:firstLineChars="200"/>
        <w:jc w:val="center"/>
        <w:rPr>
          <w:b/>
          <w:szCs w:val="21"/>
          <w:lang w:bidi="ar"/>
        </w:rPr>
      </w:pPr>
      <w:r>
        <w:rPr>
          <w:b/>
          <w:szCs w:val="21"/>
          <w:lang w:bidi="ar"/>
        </w:rPr>
        <w:t>图4.2-</w:t>
      </w:r>
      <w:r>
        <w:rPr>
          <w:rFonts w:hint="eastAsia"/>
          <w:b/>
          <w:szCs w:val="21"/>
          <w:lang w:bidi="ar"/>
        </w:rPr>
        <w:t>20</w:t>
      </w:r>
      <w:r>
        <w:rPr>
          <w:b/>
          <w:szCs w:val="21"/>
          <w:lang w:bidi="ar"/>
        </w:rPr>
        <w:t xml:space="preserve"> </w:t>
      </w:r>
      <w:r>
        <w:rPr>
          <w:rFonts w:hint="eastAsia"/>
          <w:b/>
          <w:szCs w:val="21"/>
          <w:lang w:bidi="ar"/>
        </w:rPr>
        <w:t xml:space="preserve"> 中期夜间垂直断面噪声衰减等值线图</w:t>
      </w:r>
    </w:p>
    <w:p w14:paraId="4FB98B66">
      <w:pPr>
        <w:widowControl/>
        <w:jc w:val="center"/>
        <w:rPr>
          <w:b/>
          <w:szCs w:val="21"/>
          <w:lang w:bidi="ar"/>
        </w:rPr>
      </w:pPr>
      <w:r>
        <mc:AlternateContent>
          <mc:Choice Requires="wps">
            <w:drawing>
              <wp:anchor distT="0" distB="0" distL="114300" distR="114300" simplePos="0" relativeHeight="251678720" behindDoc="0" locked="0" layoutInCell="1" allowOverlap="1">
                <wp:simplePos x="0" y="0"/>
                <wp:positionH relativeFrom="column">
                  <wp:posOffset>279400</wp:posOffset>
                </wp:positionH>
                <wp:positionV relativeFrom="paragraph">
                  <wp:posOffset>12700</wp:posOffset>
                </wp:positionV>
                <wp:extent cx="9201150" cy="6197600"/>
                <wp:effectExtent l="0" t="0" r="19050" b="12700"/>
                <wp:wrapNone/>
                <wp:docPr id="1663181674" name="矩形 73"/>
                <wp:cNvGraphicFramePr/>
                <a:graphic xmlns:a="http://schemas.openxmlformats.org/drawingml/2006/main">
                  <a:graphicData uri="http://schemas.microsoft.com/office/word/2010/wordprocessingShape">
                    <wps:wsp>
                      <wps:cNvSpPr/>
                      <wps:spPr>
                        <a:xfrm>
                          <a:off x="0" y="0"/>
                          <a:ext cx="9201150" cy="61976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3" o:spid="_x0000_s1026" o:spt="1" style="position:absolute;left:0pt;margin-left:22pt;margin-top:1pt;height:488pt;width:724.5pt;z-index:251678720;v-text-anchor:middle;mso-width-relative:page;mso-height-relative:page;" fillcolor="#FFFFFF [3212]" filled="t" stroked="t" coordsize="21600,21600" o:gfxdata="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PkMJrYAAAACQEAAA8AAAAAAAAAAQAgAAAAIgAAAGRycy9k&#10;b3ducmV2LnhtbFBLAQIUABQAAAAIAIdO4kDbbF/jdAIAAP8EAAAOAAAAAAAAAAEAIAAAACcBAABk&#10;cnMvZTJvRG9jLnhtbFBLBQYAAAAABgAGAFkBAAANBgAAAAA=&#10;">
                <v:fill on="t" focussize="0,0"/>
                <v:stroke weight="1pt" color="#FFFFFF [3212]" miterlimit="8" joinstyle="miter"/>
                <v:imagedata o:title=""/>
                <o:lock v:ext="edit" aspectratio="f"/>
              </v:rect>
            </w:pict>
          </mc:Fallback>
        </mc:AlternateContent>
      </w:r>
      <w:r>
        <w:drawing>
          <wp:inline distT="0" distB="0" distL="0" distR="0">
            <wp:extent cx="9053830" cy="2844165"/>
            <wp:effectExtent l="57150" t="57150" r="90170" b="89535"/>
            <wp:docPr id="667969606" name="图片 1" descr="图表, 气泡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969606" name="图片 1" descr="图表, 气泡图&#10;&#10;描述已自动生成"/>
                    <pic:cNvPicPr>
                      <a:picLocks noChangeAspect="1"/>
                    </pic:cNvPicPr>
                  </pic:nvPicPr>
                  <pic:blipFill>
                    <a:blip r:embed="rId69"/>
                    <a:stretch>
                      <a:fillRect/>
                    </a:stretch>
                  </pic:blipFill>
                  <pic:spPr>
                    <a:xfrm>
                      <a:off x="0" y="0"/>
                      <a:ext cx="9068781" cy="2849380"/>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516C03FB">
      <w:pPr>
        <w:widowControl/>
        <w:spacing w:line="360" w:lineRule="auto"/>
        <w:ind w:firstLine="422" w:firstLineChars="200"/>
        <w:jc w:val="center"/>
        <w:rPr>
          <w:b/>
          <w:szCs w:val="21"/>
          <w:lang w:bidi="ar"/>
        </w:rPr>
      </w:pPr>
      <w:r>
        <w:rPr>
          <w:b/>
          <w:szCs w:val="21"/>
          <w:lang w:bidi="ar"/>
        </w:rPr>
        <w:t>图4.2-</w:t>
      </w:r>
      <w:r>
        <w:rPr>
          <w:rFonts w:hint="eastAsia"/>
          <w:b/>
          <w:szCs w:val="21"/>
          <w:lang w:bidi="ar"/>
        </w:rPr>
        <w:t>21</w:t>
      </w:r>
      <w:r>
        <w:rPr>
          <w:b/>
          <w:szCs w:val="21"/>
          <w:lang w:bidi="ar"/>
        </w:rPr>
        <w:t xml:space="preserve"> </w:t>
      </w:r>
      <w:r>
        <w:rPr>
          <w:rFonts w:hint="eastAsia"/>
          <w:b/>
          <w:szCs w:val="21"/>
          <w:lang w:bidi="ar"/>
        </w:rPr>
        <w:t xml:space="preserve"> 远期昼间垂直断面噪声衰减等值线图</w:t>
      </w:r>
    </w:p>
    <w:p w14:paraId="78A3F06E">
      <w:pPr>
        <w:widowControl/>
        <w:jc w:val="center"/>
        <w:rPr>
          <w:b/>
          <w:szCs w:val="21"/>
          <w:lang w:bidi="ar"/>
        </w:rPr>
      </w:pPr>
      <w:r>
        <w:drawing>
          <wp:inline distT="0" distB="0" distL="0" distR="0">
            <wp:extent cx="9107805" cy="2864485"/>
            <wp:effectExtent l="57150" t="57150" r="93345" b="88265"/>
            <wp:docPr id="1243723689"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723689" name="图片 1" descr="图表&#10;&#10;描述已自动生成"/>
                    <pic:cNvPicPr>
                      <a:picLocks noChangeAspect="1"/>
                    </pic:cNvPicPr>
                  </pic:nvPicPr>
                  <pic:blipFill>
                    <a:blip r:embed="rId70"/>
                    <a:stretch>
                      <a:fillRect/>
                    </a:stretch>
                  </pic:blipFill>
                  <pic:spPr>
                    <a:xfrm>
                      <a:off x="0" y="0"/>
                      <a:ext cx="9131939" cy="2872190"/>
                    </a:xfrm>
                    <a:prstGeom prst="rect">
                      <a:avLst/>
                    </a:prstGeom>
                    <a:ln w="127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14:paraId="5446E509">
      <w:pPr>
        <w:widowControl/>
        <w:spacing w:line="360" w:lineRule="auto"/>
        <w:ind w:firstLine="422" w:firstLineChars="200"/>
        <w:jc w:val="center"/>
        <w:rPr>
          <w:b/>
          <w:szCs w:val="21"/>
          <w:lang w:bidi="ar"/>
        </w:rPr>
      </w:pPr>
      <w:r>
        <w:rPr>
          <w:b/>
          <w:szCs w:val="21"/>
          <w:lang w:bidi="ar"/>
        </w:rPr>
        <w:t>图4.2-</w:t>
      </w:r>
      <w:r>
        <w:rPr>
          <w:rFonts w:hint="eastAsia"/>
          <w:b/>
          <w:szCs w:val="21"/>
          <w:lang w:bidi="ar"/>
        </w:rPr>
        <w:t>22</w:t>
      </w:r>
      <w:r>
        <w:rPr>
          <w:b/>
          <w:szCs w:val="21"/>
          <w:lang w:bidi="ar"/>
        </w:rPr>
        <w:t xml:space="preserve"> </w:t>
      </w:r>
      <w:r>
        <w:rPr>
          <w:rFonts w:hint="eastAsia"/>
          <w:b/>
          <w:szCs w:val="21"/>
          <w:lang w:bidi="ar"/>
        </w:rPr>
        <w:t>远期夜间垂直断面噪声衰减等值线图</w:t>
      </w:r>
    </w:p>
    <w:p w14:paraId="0C4BE3D6">
      <w:pPr>
        <w:widowControl/>
        <w:ind w:left="482"/>
        <w:jc w:val="center"/>
        <w:rPr>
          <w:rFonts w:hint="eastAsia" w:ascii="宋体" w:hAnsi="宋体" w:cs="宋体"/>
          <w:sz w:val="24"/>
          <w:lang w:bidi="ar"/>
        </w:rPr>
        <w:sectPr>
          <w:pgSz w:w="16838" w:h="11906" w:orient="landscape"/>
          <w:pgMar w:top="720" w:right="720" w:bottom="720" w:left="720" w:header="851" w:footer="567" w:gutter="0"/>
          <w:cols w:space="720" w:num="1"/>
          <w:docGrid w:linePitch="312" w:charSpace="0"/>
        </w:sectPr>
      </w:pPr>
    </w:p>
    <w:p w14:paraId="0663C806">
      <w:pPr>
        <w:spacing w:line="360" w:lineRule="auto"/>
        <w:ind w:firstLine="482" w:firstLineChars="200"/>
        <w:rPr>
          <w:b/>
          <w:bCs/>
          <w:sz w:val="24"/>
          <w:lang w:bidi="ar"/>
        </w:rPr>
      </w:pPr>
      <w:r>
        <w:rPr>
          <w:b/>
          <w:bCs/>
          <w:sz w:val="24"/>
          <w:lang w:bidi="ar"/>
        </w:rPr>
        <w:t>4.2.1.</w:t>
      </w:r>
      <w:r>
        <w:rPr>
          <w:rFonts w:hint="eastAsia"/>
          <w:b/>
          <w:bCs/>
          <w:sz w:val="24"/>
          <w:lang w:bidi="ar"/>
        </w:rPr>
        <w:t>2声环境保护目标预测与评价</w:t>
      </w:r>
    </w:p>
    <w:p w14:paraId="63518981">
      <w:pPr>
        <w:spacing w:line="360" w:lineRule="auto"/>
        <w:ind w:firstLine="480" w:firstLineChars="200"/>
        <w:rPr>
          <w:bCs/>
          <w:sz w:val="24"/>
          <w:lang w:bidi="ar"/>
        </w:rPr>
      </w:pPr>
      <w:r>
        <w:rPr>
          <w:rFonts w:hint="eastAsia"/>
          <w:bCs/>
          <w:sz w:val="24"/>
          <w:lang w:bidi="ar"/>
        </w:rPr>
        <w:t>本项目预测2类区远期噪声最远达标距离为230m，因此声环境影响评价范围</w:t>
      </w:r>
      <w:r>
        <w:rPr>
          <w:rFonts w:hint="eastAsia"/>
          <w:bCs/>
          <w:sz w:val="24"/>
        </w:rPr>
        <w:t>为道路中心线两侧230</w:t>
      </w:r>
      <w:r>
        <w:rPr>
          <w:bCs/>
          <w:sz w:val="24"/>
        </w:rPr>
        <w:t>米包络线以内的范围</w:t>
      </w:r>
      <w:r>
        <w:rPr>
          <w:rFonts w:hint="eastAsia"/>
          <w:bCs/>
          <w:sz w:val="24"/>
        </w:rPr>
        <w:t>，根据现场踏勘，项目评价范围不涉及声环境现状保护目标和声环境规划保护目标。</w:t>
      </w:r>
    </w:p>
    <w:p w14:paraId="7EAAF2C5">
      <w:pPr>
        <w:spacing w:line="360" w:lineRule="auto"/>
        <w:ind w:firstLine="482" w:firstLineChars="200"/>
        <w:rPr>
          <w:b/>
          <w:sz w:val="24"/>
          <w:lang w:bidi="ar"/>
        </w:rPr>
      </w:pPr>
      <w:r>
        <w:rPr>
          <w:rFonts w:hint="eastAsia"/>
          <w:b/>
          <w:sz w:val="24"/>
          <w:lang w:bidi="ar"/>
        </w:rPr>
        <w:t>4.2.2声环境影响评价结论</w:t>
      </w:r>
    </w:p>
    <w:p w14:paraId="72A423B3">
      <w:pPr>
        <w:spacing w:line="360" w:lineRule="auto"/>
        <w:ind w:firstLine="480" w:firstLineChars="200"/>
        <w:rPr>
          <w:sz w:val="24"/>
          <w:lang w:bidi="ar"/>
        </w:rPr>
      </w:pPr>
      <w:r>
        <w:rPr>
          <w:rFonts w:hint="eastAsia"/>
          <w:sz w:val="24"/>
          <w:lang w:bidi="ar"/>
        </w:rPr>
        <w:t>由本项目路段的声环境影响预测可知，本项目建成后，道路两侧声环境受交通噪声的影响将有所增加，</w:t>
      </w:r>
      <w:r>
        <w:rPr>
          <w:sz w:val="24"/>
          <w:lang w:bidi="ar"/>
        </w:rPr>
        <w:t>建设前后评价范围内声环境保护目标噪声级增量达5dB(A)以上。在考虑噪声</w:t>
      </w:r>
      <w:r>
        <w:rPr>
          <w:rFonts w:hint="eastAsia"/>
          <w:sz w:val="24"/>
          <w:lang w:bidi="ar"/>
        </w:rPr>
        <w:t>距离衰减、空气衰减、地面效应、纵坡修正、路面修正、地形、建筑物遮挡情况下，本项目行驶机动车产生的噪声贡献值随距离的增加逐渐衰弱。</w:t>
      </w:r>
    </w:p>
    <w:p w14:paraId="7E55E43B">
      <w:pPr>
        <w:spacing w:line="360" w:lineRule="auto"/>
        <w:ind w:firstLine="482" w:firstLineChars="200"/>
        <w:rPr>
          <w:b/>
          <w:sz w:val="24"/>
          <w:lang w:bidi="ar"/>
        </w:rPr>
        <w:sectPr>
          <w:pgSz w:w="11906" w:h="16838"/>
          <w:pgMar w:top="720" w:right="720" w:bottom="720" w:left="720" w:header="851" w:footer="567" w:gutter="0"/>
          <w:cols w:space="720" w:num="1"/>
          <w:docGrid w:linePitch="312" w:charSpace="0"/>
        </w:sectPr>
      </w:pPr>
    </w:p>
    <w:p w14:paraId="62128BC3">
      <w:pPr>
        <w:widowControl/>
        <w:spacing w:line="360" w:lineRule="auto"/>
        <w:jc w:val="center"/>
        <w:outlineLvl w:val="0"/>
        <w:rPr>
          <w:b/>
          <w:bCs/>
          <w:sz w:val="44"/>
          <w:szCs w:val="44"/>
        </w:rPr>
      </w:pPr>
      <w:bookmarkStart w:id="158" w:name="_Toc191907564"/>
      <w:bookmarkStart w:id="159" w:name="_Toc185524022"/>
      <w:bookmarkStart w:id="160" w:name="_Toc185523914"/>
      <w:bookmarkStart w:id="161" w:name="_Toc8205"/>
      <w:bookmarkStart w:id="162" w:name="_Toc187243677"/>
      <w:r>
        <w:rPr>
          <w:b/>
          <w:bCs/>
          <w:sz w:val="44"/>
          <w:szCs w:val="44"/>
        </w:rPr>
        <w:t>5.</w:t>
      </w:r>
      <w:r>
        <w:rPr>
          <w:rFonts w:hint="eastAsia"/>
          <w:b/>
          <w:bCs/>
          <w:sz w:val="44"/>
          <w:szCs w:val="44"/>
        </w:rPr>
        <w:t>噪声防治对策措施</w:t>
      </w:r>
      <w:bookmarkEnd w:id="158"/>
      <w:bookmarkEnd w:id="159"/>
      <w:bookmarkEnd w:id="160"/>
      <w:bookmarkEnd w:id="161"/>
      <w:bookmarkEnd w:id="162"/>
    </w:p>
    <w:p w14:paraId="3EAA1BEF">
      <w:pPr>
        <w:spacing w:line="360" w:lineRule="auto"/>
        <w:ind w:firstLine="482" w:firstLineChars="200"/>
        <w:rPr>
          <w:b/>
          <w:sz w:val="24"/>
          <w:lang w:bidi="ar"/>
        </w:rPr>
      </w:pPr>
      <w:bookmarkStart w:id="163" w:name="_Hlk117704953"/>
      <w:r>
        <w:rPr>
          <w:b/>
          <w:sz w:val="24"/>
          <w:lang w:bidi="ar"/>
        </w:rPr>
        <w:t>5.1</w:t>
      </w:r>
      <w:r>
        <w:rPr>
          <w:rFonts w:hint="eastAsia"/>
          <w:b/>
          <w:sz w:val="24"/>
          <w:lang w:bidi="ar"/>
        </w:rPr>
        <w:t>施工期噪声防治对策措施</w:t>
      </w:r>
    </w:p>
    <w:bookmarkEnd w:id="163"/>
    <w:p w14:paraId="437D06D4">
      <w:pPr>
        <w:spacing w:line="360" w:lineRule="auto"/>
        <w:ind w:firstLine="480" w:firstLineChars="200"/>
        <w:rPr>
          <w:bCs/>
          <w:sz w:val="24"/>
          <w:lang w:bidi="ar"/>
        </w:rPr>
      </w:pPr>
      <w:r>
        <w:rPr>
          <w:rFonts w:hint="eastAsia"/>
          <w:bCs/>
          <w:sz w:val="24"/>
          <w:lang w:bidi="ar"/>
        </w:rPr>
        <w:t>施工阶段噪声具有声源数量多、声压级高、施工现场声源有固定和周期性移动的特征，其噪声治理难度较大。虽然施工噪声影响无法避免，但建设施工单位必须采取适当的措施，尽量减轻施工期噪声对周边声环境敏感点的影响。另外，施工期相对运营期来说，是相对短暂的，并不会产生长期影响，施工活动一旦结束，其噪声影响也随之结束。施工期间建议采取的综合管理与控制措施如下：</w:t>
      </w:r>
    </w:p>
    <w:p w14:paraId="547A7768">
      <w:pPr>
        <w:spacing w:line="360" w:lineRule="auto"/>
        <w:ind w:firstLine="480" w:firstLineChars="200"/>
        <w:rPr>
          <w:bCs/>
          <w:sz w:val="24"/>
          <w:lang w:bidi="ar"/>
        </w:rPr>
      </w:pPr>
      <w:r>
        <w:rPr>
          <w:bCs/>
          <w:sz w:val="24"/>
          <w:lang w:bidi="ar"/>
        </w:rPr>
        <w:t>(1)施工过程需使用低噪声设备、采取封闭围挡等措施</w:t>
      </w:r>
      <w:r>
        <w:rPr>
          <w:rFonts w:hint="eastAsia"/>
          <w:bCs/>
          <w:sz w:val="24"/>
          <w:lang w:bidi="ar"/>
        </w:rPr>
        <w:t>，</w:t>
      </w:r>
      <w:r>
        <w:rPr>
          <w:bCs/>
          <w:sz w:val="24"/>
          <w:lang w:bidi="ar"/>
        </w:rPr>
        <w:t>并尽量优化平面布置、工作流</w:t>
      </w:r>
      <w:r>
        <w:rPr>
          <w:rFonts w:hint="eastAsia"/>
          <w:bCs/>
          <w:sz w:val="24"/>
          <w:lang w:bidi="ar"/>
        </w:rPr>
        <w:t>程，必须使用低噪声施工工艺、施工机械和其他辅助施工设备，禁止使用国家明令淘汰的产生噪声污染的落后施工工艺和施工</w:t>
      </w:r>
      <w:r>
        <w:rPr>
          <w:bCs/>
          <w:sz w:val="24"/>
          <w:lang w:bidi="ar"/>
        </w:rPr>
        <w:t>机械设备，从根本上降低源强。经调查分析，选</w:t>
      </w:r>
      <w:r>
        <w:rPr>
          <w:rFonts w:hint="eastAsia"/>
          <w:bCs/>
          <w:sz w:val="24"/>
          <w:lang w:bidi="ar"/>
        </w:rPr>
        <w:t>低噪型运载车在行驶过程中的噪声声级比同类水平其它车辆降低</w:t>
      </w:r>
      <w:r>
        <w:rPr>
          <w:bCs/>
          <w:sz w:val="24"/>
          <w:lang w:bidi="ar"/>
        </w:rPr>
        <w:t>10~15dB (A)，不同型号</w:t>
      </w:r>
      <w:r>
        <w:rPr>
          <w:rFonts w:hint="eastAsia"/>
          <w:bCs/>
          <w:sz w:val="24"/>
          <w:lang w:bidi="ar"/>
        </w:rPr>
        <w:t>摊铺机噪声声级可相差</w:t>
      </w:r>
      <w:r>
        <w:rPr>
          <w:bCs/>
          <w:sz w:val="24"/>
          <w:lang w:bidi="ar"/>
        </w:rPr>
        <w:t>5dB (A)。同时要加强检查、维护和保养机械设备，保持润滑，紧固</w:t>
      </w:r>
      <w:r>
        <w:rPr>
          <w:rFonts w:hint="eastAsia"/>
          <w:bCs/>
          <w:sz w:val="24"/>
          <w:lang w:bidi="ar"/>
        </w:rPr>
        <w:t>各部件，减少运行震动噪声。整体设备应安放稳固，并与地面保持良好接触，有条件的应使用减振机座，更好地降低噪声影响；</w:t>
      </w:r>
    </w:p>
    <w:p w14:paraId="74B8B8E5">
      <w:pPr>
        <w:spacing w:line="360" w:lineRule="auto"/>
        <w:ind w:firstLine="480" w:firstLineChars="200"/>
        <w:rPr>
          <w:bCs/>
          <w:sz w:val="24"/>
          <w:lang w:bidi="ar"/>
        </w:rPr>
      </w:pPr>
      <w:r>
        <w:rPr>
          <w:bCs/>
          <w:sz w:val="24"/>
          <w:lang w:bidi="ar"/>
        </w:rPr>
        <w:t>(2)选择主要运输道路尽可能远离学校、医院等保护目标。施工便道应尽量利用现有道</w:t>
      </w:r>
      <w:r>
        <w:rPr>
          <w:rFonts w:hint="eastAsia"/>
          <w:bCs/>
          <w:sz w:val="24"/>
          <w:lang w:bidi="ar"/>
        </w:rPr>
        <w:t>路，注意加强对物料运输的组织管理，尽量避免夜间运输；</w:t>
      </w:r>
    </w:p>
    <w:p w14:paraId="33E52246">
      <w:pPr>
        <w:spacing w:line="360" w:lineRule="auto"/>
        <w:ind w:firstLine="480" w:firstLineChars="200"/>
        <w:rPr>
          <w:bCs/>
          <w:sz w:val="24"/>
          <w:lang w:bidi="ar"/>
        </w:rPr>
      </w:pPr>
      <w:r>
        <w:rPr>
          <w:bCs/>
          <w:sz w:val="24"/>
          <w:lang w:bidi="ar"/>
        </w:rPr>
        <w:t>(3)施工单位由于施工工艺和其它因素等要求必须进行夜间施工时</w:t>
      </w:r>
      <w:r>
        <w:rPr>
          <w:rFonts w:hint="eastAsia"/>
          <w:bCs/>
          <w:sz w:val="24"/>
          <w:lang w:bidi="ar"/>
        </w:rPr>
        <w:t>，</w:t>
      </w:r>
      <w:r>
        <w:rPr>
          <w:bCs/>
          <w:sz w:val="24"/>
          <w:lang w:bidi="ar"/>
        </w:rPr>
        <w:t>则需上报地方生态</w:t>
      </w:r>
      <w:r>
        <w:rPr>
          <w:rFonts w:hint="eastAsia"/>
          <w:bCs/>
          <w:sz w:val="24"/>
          <w:lang w:bidi="ar"/>
        </w:rPr>
        <w:t>环境部门，通过批准后方可进行非打桩作业等的低噪声夜间施工，同时应以告示形式告知当地居民，并对可能带来噪声影响的施工现场采取临时围护屏障等降噪措施；</w:t>
      </w:r>
    </w:p>
    <w:p w14:paraId="62093BD2">
      <w:pPr>
        <w:spacing w:line="360" w:lineRule="auto"/>
        <w:ind w:firstLine="480" w:firstLineChars="200"/>
        <w:rPr>
          <w:bCs/>
          <w:sz w:val="24"/>
          <w:lang w:bidi="ar"/>
        </w:rPr>
      </w:pPr>
      <w:r>
        <w:rPr>
          <w:bCs/>
          <w:sz w:val="24"/>
          <w:lang w:bidi="ar"/>
        </w:rPr>
        <w:t>(4)合理安排高噪声设备的使用时间，同时要合理地选择设备放置的位置，产生噪声的</w:t>
      </w:r>
      <w:r>
        <w:rPr>
          <w:rFonts w:hint="eastAsia"/>
          <w:bCs/>
          <w:sz w:val="24"/>
          <w:lang w:bidi="ar"/>
        </w:rPr>
        <w:t>设备尽可能安装在远离居民住宅的位置，同时注意使用自然条件减噪，以把施工期的噪声影响减至最低。施工现场尽量避免产生可控制的噪声，严禁车辆进出工地时鸣笛，严禁抛扔钢管等。对个别施工影响较严重的施工场地，做好施工围蔽，以减少噪声的影响，建议使用砖墙围蔽；</w:t>
      </w:r>
    </w:p>
    <w:p w14:paraId="0A8ACDF3">
      <w:pPr>
        <w:spacing w:line="360" w:lineRule="auto"/>
        <w:ind w:firstLine="480" w:firstLineChars="200"/>
        <w:rPr>
          <w:bCs/>
          <w:sz w:val="24"/>
          <w:lang w:bidi="ar"/>
        </w:rPr>
      </w:pPr>
      <w:r>
        <w:rPr>
          <w:bCs/>
          <w:sz w:val="24"/>
          <w:lang w:bidi="ar"/>
        </w:rPr>
        <w:t>(</w:t>
      </w:r>
      <w:r>
        <w:rPr>
          <w:rFonts w:hint="eastAsia"/>
          <w:bCs/>
          <w:sz w:val="24"/>
          <w:lang w:bidi="ar"/>
        </w:rPr>
        <w:t>5</w:t>
      </w:r>
      <w:r>
        <w:rPr>
          <w:bCs/>
          <w:sz w:val="24"/>
          <w:lang w:bidi="ar"/>
        </w:rPr>
        <w:t>)应合理安排施工时间，噪声大的土方工程的挖掘、填埋、路面破拆等工程应禁止在</w:t>
      </w:r>
      <w:r>
        <w:rPr>
          <w:rFonts w:hint="eastAsia"/>
          <w:bCs/>
          <w:sz w:val="24"/>
          <w:lang w:bidi="ar"/>
        </w:rPr>
        <w:t>休息时间作业，在敏感区附近施工时要求施工单位严格执行《建筑施工场界环境噪声排放标准》</w:t>
      </w:r>
      <w:r>
        <w:rPr>
          <w:bCs/>
          <w:sz w:val="24"/>
          <w:lang w:bidi="ar"/>
        </w:rPr>
        <w:t>(GB12523-2011) 的要求。在沿线敏感点附近施工应根据有关规定进行，在12: 00~14:</w:t>
      </w:r>
      <w:r>
        <w:t xml:space="preserve"> </w:t>
      </w:r>
      <w:r>
        <w:rPr>
          <w:bCs/>
          <w:sz w:val="24"/>
          <w:lang w:bidi="ar"/>
        </w:rPr>
        <w:t>30、23: 00~次日7: 00 不得施工。在施工进度的安排上，要进行适当的组合搭配，避免高噪</w:t>
      </w:r>
      <w:r>
        <w:rPr>
          <w:rFonts w:hint="eastAsia"/>
          <w:bCs/>
          <w:sz w:val="24"/>
          <w:lang w:bidi="ar"/>
        </w:rPr>
        <w:t>音设备同时在相对集中的地点工作。</w:t>
      </w:r>
    </w:p>
    <w:p w14:paraId="274A8F11">
      <w:pPr>
        <w:spacing w:line="360" w:lineRule="auto"/>
        <w:ind w:firstLine="480" w:firstLineChars="200"/>
        <w:rPr>
          <w:bCs/>
          <w:sz w:val="24"/>
          <w:lang w:bidi="ar"/>
        </w:rPr>
      </w:pPr>
      <w:r>
        <w:rPr>
          <w:rFonts w:hint="eastAsia"/>
          <w:bCs/>
          <w:sz w:val="24"/>
          <w:lang w:bidi="ar"/>
        </w:rPr>
        <w:t>在采取以上降噪措施和加强施工期管理基础上，并考虑施工过程为短期过程，施工期的噪声影响将随着施工作业的结束而消失，因此施工场地对周边居民的影响可接受，同时上述施工期噪声环境污染防治措施简单易行，属于常见的噪声污染防治措施，具有可行性。</w:t>
      </w:r>
    </w:p>
    <w:p w14:paraId="4306644B">
      <w:pPr>
        <w:spacing w:line="360" w:lineRule="auto"/>
        <w:ind w:firstLine="482" w:firstLineChars="200"/>
        <w:rPr>
          <w:b/>
          <w:sz w:val="24"/>
          <w:lang w:bidi="ar"/>
        </w:rPr>
      </w:pPr>
      <w:r>
        <w:rPr>
          <w:b/>
          <w:sz w:val="24"/>
          <w:lang w:bidi="ar"/>
        </w:rPr>
        <w:t>5.2</w:t>
      </w:r>
      <w:r>
        <w:rPr>
          <w:rFonts w:hint="eastAsia"/>
          <w:b/>
          <w:sz w:val="24"/>
          <w:lang w:bidi="ar"/>
        </w:rPr>
        <w:t>运营期噪声防治对策措施</w:t>
      </w:r>
    </w:p>
    <w:p w14:paraId="3E6B5074">
      <w:pPr>
        <w:spacing w:line="360" w:lineRule="auto"/>
        <w:ind w:firstLine="482" w:firstLineChars="200"/>
        <w:rPr>
          <w:b/>
          <w:sz w:val="24"/>
        </w:rPr>
      </w:pPr>
      <w:r>
        <w:rPr>
          <w:rFonts w:hint="eastAsia"/>
          <w:b/>
          <w:sz w:val="24"/>
          <w:lang w:bidi="ar"/>
        </w:rPr>
        <w:t>5</w:t>
      </w:r>
      <w:r>
        <w:rPr>
          <w:b/>
          <w:sz w:val="24"/>
          <w:lang w:bidi="ar"/>
        </w:rPr>
        <w:t>.2.1</w:t>
      </w:r>
      <w:r>
        <w:rPr>
          <w:rFonts w:hint="eastAsia"/>
          <w:b/>
          <w:sz w:val="24"/>
          <w:lang w:bidi="ar"/>
        </w:rPr>
        <w:t>常见的工程</w:t>
      </w:r>
      <w:r>
        <w:rPr>
          <w:b/>
          <w:sz w:val="24"/>
          <w:lang w:bidi="ar"/>
        </w:rPr>
        <w:t>降噪措施</w:t>
      </w:r>
    </w:p>
    <w:p w14:paraId="2D4068F5">
      <w:pPr>
        <w:spacing w:line="360" w:lineRule="auto"/>
        <w:ind w:firstLine="480" w:firstLineChars="200"/>
        <w:rPr>
          <w:sz w:val="24"/>
          <w:lang w:bidi="ar"/>
        </w:rPr>
      </w:pPr>
      <w:r>
        <w:rPr>
          <w:rFonts w:hint="eastAsia"/>
          <w:sz w:val="24"/>
          <w:lang w:bidi="ar"/>
        </w:rPr>
        <w:t>目前国内常用的工程降噪措施主要有敏感点搬迁、封闭噪声源、声屏障实体围墙、隔声窗、绿化降噪林等，几种措施降噪效果如下：</w:t>
      </w:r>
    </w:p>
    <w:p w14:paraId="46F19780">
      <w:pPr>
        <w:spacing w:line="360" w:lineRule="auto"/>
        <w:ind w:firstLine="480" w:firstLineChars="200"/>
        <w:rPr>
          <w:sz w:val="24"/>
          <w:lang w:bidi="ar"/>
        </w:rPr>
      </w:pPr>
      <w:r>
        <w:rPr>
          <w:rFonts w:hint="eastAsia"/>
          <w:sz w:val="24"/>
          <w:lang w:bidi="ar"/>
        </w:rPr>
        <w:t>（1）敏感点搬迁</w:t>
      </w:r>
    </w:p>
    <w:p w14:paraId="79175A34">
      <w:pPr>
        <w:spacing w:line="360" w:lineRule="auto"/>
        <w:ind w:firstLine="480" w:firstLineChars="200"/>
        <w:rPr>
          <w:sz w:val="24"/>
          <w:lang w:bidi="ar"/>
        </w:rPr>
      </w:pPr>
      <w:r>
        <w:rPr>
          <w:rFonts w:hint="eastAsia"/>
          <w:sz w:val="24"/>
          <w:lang w:bidi="ar"/>
        </w:rPr>
        <w:t>超标严重的地段最好的办法是对受影响的居民进行搬迁，这样可完全消除噪声影响，但费用较高，适用性受到限制且对居民生活产生一定的影响，因此只适用于零星、分散的住户。</w:t>
      </w:r>
    </w:p>
    <w:p w14:paraId="7BF28F97">
      <w:pPr>
        <w:spacing w:line="360" w:lineRule="auto"/>
        <w:ind w:firstLine="480" w:firstLineChars="200"/>
        <w:rPr>
          <w:sz w:val="24"/>
          <w:lang w:bidi="ar"/>
        </w:rPr>
      </w:pPr>
      <w:r>
        <w:rPr>
          <w:rFonts w:hint="eastAsia"/>
          <w:sz w:val="24"/>
          <w:lang w:bidi="ar"/>
        </w:rPr>
        <w:t>（2）封闭噪声源</w:t>
      </w:r>
    </w:p>
    <w:p w14:paraId="56AA8E91">
      <w:pPr>
        <w:spacing w:line="360" w:lineRule="auto"/>
        <w:ind w:firstLine="480" w:firstLineChars="200"/>
        <w:rPr>
          <w:sz w:val="24"/>
          <w:lang w:bidi="ar"/>
        </w:rPr>
      </w:pPr>
      <w:r>
        <w:rPr>
          <w:rFonts w:hint="eastAsia"/>
          <w:sz w:val="24"/>
          <w:lang w:bidi="ar"/>
        </w:rPr>
        <w:t>一般可采用两种方式。其一是地下通道，这样从根本上避</w:t>
      </w:r>
      <w:r>
        <w:rPr>
          <w:rFonts w:hint="eastAsia"/>
          <w:kern w:val="0"/>
          <w:sz w:val="24"/>
        </w:rPr>
        <w:t>免</w:t>
      </w:r>
      <w:r>
        <w:rPr>
          <w:rFonts w:hint="eastAsia"/>
          <w:sz w:val="24"/>
          <w:lang w:bidi="ar"/>
        </w:rPr>
        <w:t>了噪声影响，但其投资高、施工难，且很难解决地面道路与地下通道的交通交叉问题，不适合本项目；其二是采用全封闭桥涵式的隔声罩，将噪声影响大的路段封闭起来，其投资相对较大，工难度较大，可以分段进行，但景观效果不太好。</w:t>
      </w:r>
    </w:p>
    <w:p w14:paraId="6FDA09E7">
      <w:pPr>
        <w:spacing w:line="360" w:lineRule="auto"/>
        <w:ind w:firstLine="480" w:firstLineChars="200"/>
        <w:rPr>
          <w:sz w:val="24"/>
          <w:lang w:bidi="ar"/>
        </w:rPr>
      </w:pPr>
      <w:r>
        <w:rPr>
          <w:rFonts w:hint="eastAsia"/>
          <w:sz w:val="24"/>
          <w:lang w:bidi="ar"/>
        </w:rPr>
        <w:t>（3）隔声屏</w:t>
      </w:r>
    </w:p>
    <w:p w14:paraId="5A0EB70F">
      <w:pPr>
        <w:spacing w:line="360" w:lineRule="auto"/>
        <w:ind w:firstLine="480" w:firstLineChars="200"/>
        <w:rPr>
          <w:sz w:val="24"/>
          <w:lang w:bidi="ar"/>
        </w:rPr>
      </w:pPr>
      <w:r>
        <w:rPr>
          <w:rFonts w:hint="eastAsia"/>
          <w:sz w:val="24"/>
          <w:lang w:bidi="ar"/>
        </w:rPr>
        <w:t>声屏障通常运用于超标严重、距离道路很近的集中敏感点，对于桥梁两侧中低层居民楼效果较好，降噪效果可达到5～15dB（A），对居民区外环境有所改善。但是声屏障投资较高，并且某些形式的声屏障对景观有影响，最主要的是声屏障对于高于声屏障的高层楼房几乎没有起到降噪的作用。</w:t>
      </w:r>
    </w:p>
    <w:p w14:paraId="3707E554">
      <w:pPr>
        <w:spacing w:line="360" w:lineRule="auto"/>
        <w:ind w:firstLine="480" w:firstLineChars="200"/>
        <w:rPr>
          <w:sz w:val="24"/>
          <w:lang w:bidi="ar"/>
        </w:rPr>
      </w:pPr>
      <w:r>
        <w:rPr>
          <w:rFonts w:hint="eastAsia"/>
          <w:sz w:val="24"/>
          <w:lang w:bidi="ar"/>
        </w:rPr>
        <w:t>（4）实体围墙</w:t>
      </w:r>
    </w:p>
    <w:p w14:paraId="77C6A3A3">
      <w:pPr>
        <w:spacing w:line="360" w:lineRule="auto"/>
        <w:ind w:firstLine="480" w:firstLineChars="200"/>
        <w:rPr>
          <w:sz w:val="24"/>
          <w:lang w:bidi="ar"/>
        </w:rPr>
      </w:pPr>
      <w:r>
        <w:rPr>
          <w:rFonts w:hint="eastAsia"/>
          <w:sz w:val="24"/>
          <w:lang w:bidi="ar"/>
        </w:rPr>
        <w:t>修建或加高围墙适用于超标一般、距离道路较近的集中居民区或学校。建在敏感点外围或借助于已有围墙设施，费用较低，降噪可达12dB(A)。但对于高出围墙高度的高层建筑同样没有作用，降噪能力有限，使用范围小。</w:t>
      </w:r>
    </w:p>
    <w:p w14:paraId="0C4F65A0">
      <w:pPr>
        <w:spacing w:line="360" w:lineRule="auto"/>
        <w:ind w:firstLine="480" w:firstLineChars="200"/>
        <w:rPr>
          <w:sz w:val="24"/>
          <w:lang w:bidi="ar"/>
        </w:rPr>
      </w:pPr>
      <w:r>
        <w:rPr>
          <w:rFonts w:hint="eastAsia"/>
          <w:sz w:val="24"/>
          <w:lang w:bidi="ar"/>
        </w:rPr>
        <w:t>（5）隔声窗</w:t>
      </w:r>
    </w:p>
    <w:p w14:paraId="63E68D69">
      <w:pPr>
        <w:spacing w:line="360" w:lineRule="auto"/>
        <w:ind w:firstLine="480" w:firstLineChars="200"/>
        <w:rPr>
          <w:sz w:val="24"/>
          <w:lang w:bidi="ar"/>
        </w:rPr>
      </w:pPr>
      <w:r>
        <w:rPr>
          <w:rFonts w:hint="eastAsia"/>
          <w:sz w:val="24"/>
          <w:lang w:bidi="ar"/>
        </w:rPr>
        <w:t>一般窗户本身就有隔声效果，所谓的隔声窗常采用双层或多层玻璃制作，玻璃板要紧紧的嵌在弹性垫衬里，以防止阻尼板面的振动，层间四周边框宜做吸声处理；相邻两层玻璃宜不平行布置，朝声源一侧的玻璃有一定倾角，以便减弱共振效应；并需选用不同厚度的玻璃，以便错开吻合效应的效率，削弱吻合效应的影响。</w:t>
      </w:r>
    </w:p>
    <w:p w14:paraId="37C817C9">
      <w:pPr>
        <w:spacing w:line="360" w:lineRule="auto"/>
        <w:ind w:firstLine="480" w:firstLineChars="200"/>
        <w:rPr>
          <w:sz w:val="24"/>
          <w:lang w:bidi="ar"/>
        </w:rPr>
      </w:pPr>
      <w:r>
        <w:rPr>
          <w:rFonts w:hint="eastAsia"/>
          <w:sz w:val="24"/>
          <w:lang w:bidi="ar"/>
        </w:rPr>
        <w:t>隔声窗分为普通隔声窗和通风隔声窗，适用于分布分散受影响较严重的居民区。普通的隔声窗效果好，费用较低，适应性强，降噪效果为25～45dB（A），但是不通风，炎热的夏季不实用；而通风隔声窗效果较好，降噪效果为25～35dB(A)。</w:t>
      </w:r>
    </w:p>
    <w:p w14:paraId="37494DA6">
      <w:pPr>
        <w:spacing w:line="360" w:lineRule="auto"/>
        <w:ind w:firstLine="480" w:firstLineChars="200"/>
        <w:rPr>
          <w:sz w:val="24"/>
          <w:lang w:bidi="ar"/>
        </w:rPr>
      </w:pPr>
      <w:r>
        <w:rPr>
          <w:rFonts w:hint="eastAsia"/>
          <w:sz w:val="24"/>
          <w:lang w:bidi="ar"/>
        </w:rPr>
        <w:t>（6）绿化降噪林</w:t>
      </w:r>
    </w:p>
    <w:p w14:paraId="1581699C">
      <w:pPr>
        <w:spacing w:line="360" w:lineRule="auto"/>
        <w:ind w:firstLine="480" w:firstLineChars="200"/>
        <w:rPr>
          <w:sz w:val="24"/>
          <w:lang w:bidi="ar"/>
        </w:rPr>
      </w:pPr>
      <w:r>
        <w:rPr>
          <w:rFonts w:hint="eastAsia"/>
          <w:sz w:val="24"/>
          <w:lang w:bidi="ar"/>
        </w:rPr>
        <w:t>绿化降噪林多适用于超标不严重、植树条件好的集中居民区。绿化降噪林既可降噪，又可净化空气、美化路容，改善生活环境。要达到一定的降噪效果需较长时间且需要宽带密植，30m宽绿化带最大可降噪5～6dB(A)，降噪效果季节性变化大，适用性受到限制。</w:t>
      </w:r>
    </w:p>
    <w:p w14:paraId="46793A2F">
      <w:pPr>
        <w:spacing w:line="360" w:lineRule="auto"/>
        <w:ind w:firstLine="480" w:firstLineChars="200"/>
        <w:rPr>
          <w:sz w:val="24"/>
          <w:lang w:bidi="ar"/>
        </w:rPr>
      </w:pPr>
      <w:r>
        <w:rPr>
          <w:rFonts w:hint="eastAsia"/>
          <w:sz w:val="24"/>
          <w:lang w:bidi="ar"/>
        </w:rPr>
        <w:t>（7）改性沥青低噪声路面</w:t>
      </w:r>
    </w:p>
    <w:p w14:paraId="33E674B0">
      <w:pPr>
        <w:spacing w:line="360" w:lineRule="auto"/>
        <w:ind w:firstLine="480" w:firstLineChars="200"/>
        <w:rPr>
          <w:sz w:val="24"/>
          <w:lang w:bidi="ar"/>
        </w:rPr>
      </w:pPr>
      <w:r>
        <w:rPr>
          <w:rFonts w:hint="eastAsia"/>
          <w:sz w:val="24"/>
          <w:lang w:bidi="ar"/>
        </w:rPr>
        <w:t>降噪沥青路面也称为改性沥低噪声路面或多孔隙沥青路面。实践表明，沥青路面的减噪性能明显优于混凝土路面，而改性沥青的减噪性能更优于普通沥青，改性沥青路面较普通沥青混凝土路面噪声值可降低3～5dB(A)。本项目采用三层式沥青路面，上层采用改性沥青面层，这将在一定程度上降低道路交通噪声对敏感点的影响。</w:t>
      </w:r>
    </w:p>
    <w:p w14:paraId="24DB30F3">
      <w:pPr>
        <w:spacing w:line="360" w:lineRule="auto"/>
        <w:ind w:firstLine="480" w:firstLineChars="200"/>
        <w:rPr>
          <w:b/>
          <w:lang w:bidi="ar"/>
        </w:rPr>
      </w:pPr>
      <w:r>
        <w:rPr>
          <w:rFonts w:hint="eastAsia"/>
          <w:sz w:val="24"/>
          <w:lang w:bidi="ar"/>
        </w:rPr>
        <w:t>各种常用降噪措的技术经济特点见下表。</w:t>
      </w:r>
    </w:p>
    <w:p w14:paraId="7BEA5CAE">
      <w:pPr>
        <w:spacing w:line="520" w:lineRule="exact"/>
        <w:jc w:val="center"/>
        <w:rPr>
          <w:b/>
          <w:lang w:bidi="ar"/>
        </w:rPr>
      </w:pPr>
      <w:bookmarkStart w:id="164" w:name="_Hlk117705072"/>
      <w:r>
        <w:rPr>
          <w:rFonts w:hint="eastAsia"/>
          <w:b/>
          <w:lang w:bidi="ar"/>
        </w:rPr>
        <w:t>表</w:t>
      </w:r>
      <w:r>
        <w:rPr>
          <w:b/>
          <w:lang w:bidi="ar"/>
        </w:rPr>
        <w:t>5.1-1</w:t>
      </w:r>
      <w:r>
        <w:rPr>
          <w:rFonts w:hint="eastAsia"/>
          <w:b/>
          <w:lang w:bidi="ar"/>
        </w:rPr>
        <w:t xml:space="preserve">  减轻噪声影响的环保工程措施比较一览表</w:t>
      </w:r>
    </w:p>
    <w:bookmarkEnd w:id="164"/>
    <w:tbl>
      <w:tblPr>
        <w:tblStyle w:val="33"/>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3"/>
        <w:gridCol w:w="1508"/>
        <w:gridCol w:w="4463"/>
        <w:gridCol w:w="1780"/>
        <w:gridCol w:w="1068"/>
      </w:tblGrid>
      <w:tr w14:paraId="411B275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2FEE2A3E">
            <w:pPr>
              <w:adjustRightInd w:val="0"/>
              <w:snapToGrid w:val="0"/>
              <w:jc w:val="center"/>
              <w:rPr>
                <w:b/>
                <w:szCs w:val="21"/>
                <w:lang w:bidi="ar"/>
              </w:rPr>
            </w:pPr>
            <w:r>
              <w:rPr>
                <w:b/>
                <w:szCs w:val="21"/>
                <w:lang w:bidi="ar"/>
              </w:rPr>
              <w:t>减轻措施方案</w:t>
            </w:r>
          </w:p>
        </w:tc>
        <w:tc>
          <w:tcPr>
            <w:tcW w:w="706" w:type="pct"/>
            <w:shd w:val="clear" w:color="auto" w:fill="auto"/>
            <w:vAlign w:val="center"/>
          </w:tcPr>
          <w:p w14:paraId="71E68021">
            <w:pPr>
              <w:adjustRightInd w:val="0"/>
              <w:snapToGrid w:val="0"/>
              <w:jc w:val="center"/>
              <w:rPr>
                <w:b/>
                <w:szCs w:val="21"/>
                <w:lang w:bidi="ar"/>
              </w:rPr>
            </w:pPr>
            <w:r>
              <w:rPr>
                <w:b/>
                <w:szCs w:val="21"/>
                <w:lang w:bidi="ar"/>
              </w:rPr>
              <w:t>降噪量（dB（A））</w:t>
            </w:r>
          </w:p>
        </w:tc>
        <w:tc>
          <w:tcPr>
            <w:tcW w:w="2089" w:type="pct"/>
            <w:shd w:val="clear" w:color="auto" w:fill="auto"/>
            <w:vAlign w:val="center"/>
          </w:tcPr>
          <w:p w14:paraId="59F85936">
            <w:pPr>
              <w:adjustRightInd w:val="0"/>
              <w:snapToGrid w:val="0"/>
              <w:jc w:val="center"/>
              <w:rPr>
                <w:b/>
                <w:szCs w:val="21"/>
                <w:lang w:bidi="ar"/>
              </w:rPr>
            </w:pPr>
            <w:r>
              <w:rPr>
                <w:b/>
                <w:szCs w:val="21"/>
                <w:lang w:bidi="ar"/>
              </w:rPr>
              <w:t>优缺点分析</w:t>
            </w:r>
          </w:p>
        </w:tc>
        <w:tc>
          <w:tcPr>
            <w:tcW w:w="833" w:type="pct"/>
            <w:shd w:val="clear" w:color="auto" w:fill="auto"/>
            <w:vAlign w:val="center"/>
          </w:tcPr>
          <w:p w14:paraId="02D546EB">
            <w:pPr>
              <w:adjustRightInd w:val="0"/>
              <w:snapToGrid w:val="0"/>
              <w:jc w:val="center"/>
              <w:rPr>
                <w:b/>
                <w:szCs w:val="21"/>
                <w:lang w:bidi="ar"/>
              </w:rPr>
            </w:pPr>
            <w:r>
              <w:rPr>
                <w:b/>
                <w:szCs w:val="21"/>
                <w:lang w:bidi="ar"/>
              </w:rPr>
              <w:t>估计费用（元/m</w:t>
            </w:r>
            <w:r>
              <w:rPr>
                <w:b/>
                <w:szCs w:val="21"/>
                <w:vertAlign w:val="superscript"/>
                <w:lang w:bidi="ar"/>
              </w:rPr>
              <w:t>2</w:t>
            </w:r>
            <w:r>
              <w:rPr>
                <w:b/>
                <w:szCs w:val="21"/>
                <w:lang w:bidi="ar"/>
              </w:rPr>
              <w:t>）</w:t>
            </w:r>
          </w:p>
        </w:tc>
        <w:tc>
          <w:tcPr>
            <w:tcW w:w="500" w:type="pct"/>
            <w:shd w:val="clear" w:color="auto" w:fill="auto"/>
            <w:vAlign w:val="center"/>
          </w:tcPr>
          <w:p w14:paraId="678A7B83">
            <w:pPr>
              <w:adjustRightInd w:val="0"/>
              <w:snapToGrid w:val="0"/>
              <w:jc w:val="center"/>
              <w:rPr>
                <w:b/>
                <w:szCs w:val="21"/>
                <w:lang w:bidi="ar"/>
              </w:rPr>
            </w:pPr>
            <w:r>
              <w:rPr>
                <w:b/>
                <w:szCs w:val="21"/>
                <w:lang w:bidi="ar"/>
              </w:rPr>
              <w:t>说明</w:t>
            </w:r>
          </w:p>
        </w:tc>
      </w:tr>
      <w:tr w14:paraId="6B1CA72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2CC4D7AB">
            <w:pPr>
              <w:adjustRightInd w:val="0"/>
              <w:snapToGrid w:val="0"/>
              <w:jc w:val="center"/>
              <w:rPr>
                <w:szCs w:val="21"/>
                <w:lang w:bidi="ar"/>
              </w:rPr>
            </w:pPr>
            <w:r>
              <w:rPr>
                <w:szCs w:val="21"/>
                <w:lang w:bidi="ar"/>
              </w:rPr>
              <w:t>隔声屏障</w:t>
            </w:r>
          </w:p>
        </w:tc>
        <w:tc>
          <w:tcPr>
            <w:tcW w:w="706" w:type="pct"/>
            <w:shd w:val="clear" w:color="auto" w:fill="auto"/>
            <w:vAlign w:val="center"/>
          </w:tcPr>
          <w:p w14:paraId="27CAA8C7">
            <w:pPr>
              <w:adjustRightInd w:val="0"/>
              <w:snapToGrid w:val="0"/>
              <w:jc w:val="center"/>
              <w:rPr>
                <w:szCs w:val="21"/>
                <w:lang w:bidi="ar"/>
              </w:rPr>
            </w:pPr>
            <w:r>
              <w:rPr>
                <w:szCs w:val="21"/>
                <w:lang w:bidi="ar"/>
              </w:rPr>
              <w:t>5~15</w:t>
            </w:r>
          </w:p>
        </w:tc>
        <w:tc>
          <w:tcPr>
            <w:tcW w:w="2089" w:type="pct"/>
            <w:shd w:val="clear" w:color="auto" w:fill="auto"/>
            <w:vAlign w:val="center"/>
          </w:tcPr>
          <w:p w14:paraId="6068A72B">
            <w:pPr>
              <w:adjustRightInd w:val="0"/>
              <w:snapToGrid w:val="0"/>
              <w:rPr>
                <w:szCs w:val="21"/>
                <w:lang w:bidi="ar"/>
              </w:rPr>
            </w:pPr>
            <w:r>
              <w:rPr>
                <w:szCs w:val="21"/>
                <w:lang w:bidi="ar"/>
              </w:rPr>
              <w:t>（1）在开阔地带最有效；</w:t>
            </w:r>
          </w:p>
          <w:p w14:paraId="5390B5FE">
            <w:pPr>
              <w:adjustRightInd w:val="0"/>
              <w:snapToGrid w:val="0"/>
              <w:rPr>
                <w:szCs w:val="21"/>
                <w:lang w:bidi="ar"/>
              </w:rPr>
            </w:pPr>
            <w:r>
              <w:rPr>
                <w:szCs w:val="21"/>
                <w:lang w:bidi="ar"/>
              </w:rPr>
              <w:t>（2）噪声的反射影响最小；</w:t>
            </w:r>
          </w:p>
          <w:p w14:paraId="48C9A101">
            <w:pPr>
              <w:adjustRightInd w:val="0"/>
              <w:snapToGrid w:val="0"/>
              <w:rPr>
                <w:szCs w:val="21"/>
                <w:lang w:bidi="ar"/>
              </w:rPr>
            </w:pPr>
            <w:r>
              <w:rPr>
                <w:szCs w:val="21"/>
                <w:lang w:bidi="ar"/>
              </w:rPr>
              <w:t>（3）对安装在复合道路、高架路上的隔声屏障，会因地面道路的噪声影响及第一建筑物的反射，而降低其隔声效果，且只有对一定高度范围有效；</w:t>
            </w:r>
          </w:p>
          <w:p w14:paraId="37372C78">
            <w:pPr>
              <w:adjustRightInd w:val="0"/>
              <w:snapToGrid w:val="0"/>
              <w:rPr>
                <w:szCs w:val="21"/>
                <w:lang w:bidi="ar"/>
              </w:rPr>
            </w:pPr>
            <w:r>
              <w:rPr>
                <w:szCs w:val="21"/>
                <w:lang w:bidi="ar"/>
              </w:rPr>
              <w:t>（4）对安装在地面道路上的隔声屏障，其隔声效果与受保护的建筑物高度有关，在不同高度其隔声效果不同，高度越低，其效果越好。</w:t>
            </w:r>
          </w:p>
          <w:p w14:paraId="2CE9359A">
            <w:pPr>
              <w:adjustRightInd w:val="0"/>
              <w:snapToGrid w:val="0"/>
              <w:rPr>
                <w:szCs w:val="21"/>
                <w:lang w:bidi="ar"/>
              </w:rPr>
            </w:pPr>
            <w:r>
              <w:rPr>
                <w:szCs w:val="21"/>
                <w:lang w:bidi="ar"/>
              </w:rPr>
              <w:t>（5）投资较高，声屏障的设计形式可能对视觉景观有影响；隔断了道路与周边居民生活和商业发展。</w:t>
            </w:r>
          </w:p>
        </w:tc>
        <w:tc>
          <w:tcPr>
            <w:tcW w:w="833" w:type="pct"/>
            <w:shd w:val="clear" w:color="auto" w:fill="auto"/>
            <w:vAlign w:val="center"/>
          </w:tcPr>
          <w:p w14:paraId="600332B8">
            <w:pPr>
              <w:adjustRightInd w:val="0"/>
              <w:snapToGrid w:val="0"/>
              <w:jc w:val="center"/>
              <w:rPr>
                <w:szCs w:val="21"/>
                <w:lang w:bidi="ar"/>
              </w:rPr>
            </w:pPr>
            <w:r>
              <w:rPr>
                <w:szCs w:val="21"/>
                <w:lang w:bidi="ar"/>
              </w:rPr>
              <w:t>1050~1500</w:t>
            </w:r>
          </w:p>
        </w:tc>
        <w:tc>
          <w:tcPr>
            <w:tcW w:w="500" w:type="pct"/>
            <w:shd w:val="clear" w:color="auto" w:fill="auto"/>
            <w:vAlign w:val="center"/>
          </w:tcPr>
          <w:p w14:paraId="487F719B">
            <w:pPr>
              <w:adjustRightInd w:val="0"/>
              <w:snapToGrid w:val="0"/>
              <w:jc w:val="center"/>
              <w:rPr>
                <w:szCs w:val="21"/>
                <w:lang w:bidi="ar"/>
              </w:rPr>
            </w:pPr>
            <w:r>
              <w:rPr>
                <w:szCs w:val="21"/>
                <w:lang w:bidi="ar"/>
              </w:rPr>
              <w:t>对多层或高层建筑效果不好</w:t>
            </w:r>
          </w:p>
        </w:tc>
      </w:tr>
      <w:tr w14:paraId="6B7EAC3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7002FE2D">
            <w:pPr>
              <w:adjustRightInd w:val="0"/>
              <w:snapToGrid w:val="0"/>
              <w:jc w:val="center"/>
              <w:rPr>
                <w:szCs w:val="21"/>
                <w:lang w:bidi="ar"/>
              </w:rPr>
            </w:pPr>
            <w:r>
              <w:rPr>
                <w:szCs w:val="21"/>
                <w:lang w:bidi="ar"/>
              </w:rPr>
              <w:t>反射型隔声屏障（透明）</w:t>
            </w:r>
          </w:p>
        </w:tc>
        <w:tc>
          <w:tcPr>
            <w:tcW w:w="706" w:type="pct"/>
            <w:shd w:val="clear" w:color="auto" w:fill="auto"/>
            <w:vAlign w:val="center"/>
          </w:tcPr>
          <w:p w14:paraId="47709D8E">
            <w:pPr>
              <w:adjustRightInd w:val="0"/>
              <w:snapToGrid w:val="0"/>
              <w:jc w:val="center"/>
              <w:rPr>
                <w:szCs w:val="21"/>
                <w:lang w:bidi="ar"/>
              </w:rPr>
            </w:pPr>
            <w:r>
              <w:rPr>
                <w:szCs w:val="21"/>
                <w:lang w:bidi="ar"/>
              </w:rPr>
              <w:t>5~15</w:t>
            </w:r>
          </w:p>
        </w:tc>
        <w:tc>
          <w:tcPr>
            <w:tcW w:w="2089" w:type="pct"/>
            <w:shd w:val="clear" w:color="auto" w:fill="auto"/>
            <w:vAlign w:val="center"/>
          </w:tcPr>
          <w:p w14:paraId="2151A5E7">
            <w:pPr>
              <w:adjustRightInd w:val="0"/>
              <w:snapToGrid w:val="0"/>
              <w:rPr>
                <w:szCs w:val="21"/>
                <w:lang w:bidi="ar"/>
              </w:rPr>
            </w:pPr>
            <w:r>
              <w:rPr>
                <w:szCs w:val="21"/>
                <w:lang w:bidi="ar"/>
              </w:rPr>
              <w:t>（1）由于隔声屏障内侧没有吸声处理，会因声波的反射面增大声源的强度</w:t>
            </w:r>
            <w:r>
              <w:rPr>
                <w:rFonts w:hint="eastAsia"/>
                <w:szCs w:val="21"/>
                <w:lang w:bidi="ar"/>
              </w:rPr>
              <w:t>；</w:t>
            </w:r>
          </w:p>
          <w:p w14:paraId="7AADE41A">
            <w:pPr>
              <w:adjustRightInd w:val="0"/>
              <w:snapToGrid w:val="0"/>
              <w:rPr>
                <w:szCs w:val="21"/>
                <w:lang w:bidi="ar"/>
              </w:rPr>
            </w:pPr>
            <w:r>
              <w:rPr>
                <w:szCs w:val="21"/>
                <w:lang w:bidi="ar"/>
              </w:rPr>
              <w:t>（2）对安装在复合道路、高架路上的声屏障，会因地面道路的噪声影响及第一建筑物的反射，而降低其隔声效果，且只有对一定高度范围有效</w:t>
            </w:r>
            <w:r>
              <w:rPr>
                <w:rFonts w:hint="eastAsia"/>
                <w:szCs w:val="21"/>
                <w:lang w:bidi="ar"/>
              </w:rPr>
              <w:t>；</w:t>
            </w:r>
          </w:p>
          <w:p w14:paraId="0F28E1B0">
            <w:pPr>
              <w:adjustRightInd w:val="0"/>
              <w:snapToGrid w:val="0"/>
              <w:rPr>
                <w:szCs w:val="21"/>
                <w:lang w:bidi="ar"/>
              </w:rPr>
            </w:pPr>
            <w:r>
              <w:rPr>
                <w:szCs w:val="21"/>
                <w:lang w:bidi="ar"/>
              </w:rPr>
              <w:t>（3）对安装在地面道路上的隔声屏障。其隔声效果与受保护的建筑物高度有关，在不同高度其隔声效果不同，高度越低，其效果越好</w:t>
            </w:r>
            <w:r>
              <w:rPr>
                <w:rFonts w:hint="eastAsia"/>
                <w:szCs w:val="21"/>
                <w:lang w:bidi="ar"/>
              </w:rPr>
              <w:t>；</w:t>
            </w:r>
          </w:p>
          <w:p w14:paraId="1C1A5113">
            <w:pPr>
              <w:adjustRightInd w:val="0"/>
              <w:snapToGrid w:val="0"/>
              <w:rPr>
                <w:szCs w:val="21"/>
                <w:lang w:bidi="ar"/>
              </w:rPr>
            </w:pPr>
            <w:r>
              <w:rPr>
                <w:szCs w:val="21"/>
                <w:lang w:bidi="ar"/>
              </w:rPr>
              <w:t>（4）投资较高，声屏障的设计形式可能对视觉景观有影响；隔断了路与周边居民生活和商业发展。</w:t>
            </w:r>
          </w:p>
        </w:tc>
        <w:tc>
          <w:tcPr>
            <w:tcW w:w="833" w:type="pct"/>
            <w:shd w:val="clear" w:color="auto" w:fill="auto"/>
            <w:vAlign w:val="center"/>
          </w:tcPr>
          <w:p w14:paraId="75838289">
            <w:pPr>
              <w:adjustRightInd w:val="0"/>
              <w:snapToGrid w:val="0"/>
              <w:jc w:val="center"/>
              <w:rPr>
                <w:szCs w:val="21"/>
                <w:lang w:bidi="ar"/>
              </w:rPr>
            </w:pPr>
            <w:r>
              <w:rPr>
                <w:szCs w:val="21"/>
                <w:lang w:bidi="ar"/>
              </w:rPr>
              <w:t>600~1000</w:t>
            </w:r>
          </w:p>
        </w:tc>
        <w:tc>
          <w:tcPr>
            <w:tcW w:w="500" w:type="pct"/>
            <w:shd w:val="clear" w:color="auto" w:fill="auto"/>
            <w:vAlign w:val="center"/>
          </w:tcPr>
          <w:p w14:paraId="6BB95D1C">
            <w:pPr>
              <w:adjustRightInd w:val="0"/>
              <w:snapToGrid w:val="0"/>
              <w:jc w:val="center"/>
              <w:rPr>
                <w:szCs w:val="21"/>
                <w:lang w:bidi="ar"/>
              </w:rPr>
            </w:pPr>
            <w:r>
              <w:rPr>
                <w:szCs w:val="21"/>
                <w:lang w:bidi="ar"/>
              </w:rPr>
              <w:t>对多层或高层建筑效果不好</w:t>
            </w:r>
          </w:p>
        </w:tc>
      </w:tr>
      <w:tr w14:paraId="4785379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5CA23038">
            <w:pPr>
              <w:adjustRightInd w:val="0"/>
              <w:snapToGrid w:val="0"/>
              <w:jc w:val="center"/>
              <w:rPr>
                <w:szCs w:val="21"/>
                <w:lang w:bidi="ar"/>
              </w:rPr>
            </w:pPr>
            <w:r>
              <w:rPr>
                <w:szCs w:val="21"/>
                <w:lang w:bidi="ar"/>
              </w:rPr>
              <w:t>封闭式轻质结构声屏障（部分透明、部分作吸声处理）</w:t>
            </w:r>
          </w:p>
        </w:tc>
        <w:tc>
          <w:tcPr>
            <w:tcW w:w="706" w:type="pct"/>
            <w:shd w:val="clear" w:color="auto" w:fill="auto"/>
            <w:vAlign w:val="center"/>
          </w:tcPr>
          <w:p w14:paraId="7D3584BA">
            <w:pPr>
              <w:adjustRightInd w:val="0"/>
              <w:snapToGrid w:val="0"/>
              <w:jc w:val="center"/>
              <w:rPr>
                <w:szCs w:val="21"/>
                <w:lang w:bidi="ar"/>
              </w:rPr>
            </w:pPr>
            <w:r>
              <w:rPr>
                <w:szCs w:val="21"/>
                <w:lang w:bidi="ar"/>
              </w:rPr>
              <w:t>20以上</w:t>
            </w:r>
          </w:p>
        </w:tc>
        <w:tc>
          <w:tcPr>
            <w:tcW w:w="2089" w:type="pct"/>
            <w:shd w:val="clear" w:color="auto" w:fill="auto"/>
            <w:vAlign w:val="center"/>
          </w:tcPr>
          <w:p w14:paraId="7AC0469D">
            <w:pPr>
              <w:adjustRightInd w:val="0"/>
              <w:snapToGrid w:val="0"/>
              <w:rPr>
                <w:szCs w:val="21"/>
                <w:lang w:bidi="ar"/>
              </w:rPr>
            </w:pPr>
            <w:r>
              <w:rPr>
                <w:szCs w:val="21"/>
                <w:lang w:bidi="ar"/>
              </w:rPr>
              <w:t>(1)隔声效果好；</w:t>
            </w:r>
          </w:p>
          <w:p w14:paraId="7DEE3FDF">
            <w:pPr>
              <w:adjustRightInd w:val="0"/>
              <w:snapToGrid w:val="0"/>
              <w:rPr>
                <w:szCs w:val="21"/>
                <w:lang w:bidi="ar"/>
              </w:rPr>
            </w:pPr>
            <w:r>
              <w:rPr>
                <w:szCs w:val="21"/>
                <w:lang w:bidi="ar"/>
              </w:rPr>
              <w:t>(2)道路采光影响不大；</w:t>
            </w:r>
          </w:p>
          <w:p w14:paraId="22B1660E">
            <w:pPr>
              <w:adjustRightInd w:val="0"/>
              <w:snapToGrid w:val="0"/>
              <w:rPr>
                <w:szCs w:val="21"/>
                <w:lang w:bidi="ar"/>
              </w:rPr>
            </w:pPr>
            <w:r>
              <w:rPr>
                <w:szCs w:val="21"/>
                <w:lang w:bidi="ar"/>
              </w:rPr>
              <w:t>(3)噪声的反射影响小；</w:t>
            </w:r>
          </w:p>
          <w:p w14:paraId="69F97019">
            <w:pPr>
              <w:adjustRightInd w:val="0"/>
              <w:snapToGrid w:val="0"/>
              <w:rPr>
                <w:szCs w:val="21"/>
                <w:lang w:bidi="ar"/>
              </w:rPr>
            </w:pPr>
            <w:r>
              <w:rPr>
                <w:szCs w:val="21"/>
                <w:lang w:bidi="ar"/>
              </w:rPr>
              <w:t>(4)对机动车尾气的扩散不利；</w:t>
            </w:r>
          </w:p>
          <w:p w14:paraId="5A68DB27">
            <w:pPr>
              <w:adjustRightInd w:val="0"/>
              <w:snapToGrid w:val="0"/>
              <w:rPr>
                <w:szCs w:val="21"/>
                <w:lang w:bidi="ar"/>
              </w:rPr>
            </w:pPr>
            <w:r>
              <w:rPr>
                <w:szCs w:val="21"/>
                <w:lang w:bidi="ar"/>
              </w:rPr>
              <w:t>(5)工程费用相对较大；</w:t>
            </w:r>
          </w:p>
          <w:p w14:paraId="41C73BB4">
            <w:pPr>
              <w:adjustRightInd w:val="0"/>
              <w:snapToGrid w:val="0"/>
              <w:rPr>
                <w:szCs w:val="21"/>
                <w:lang w:bidi="ar"/>
              </w:rPr>
            </w:pPr>
            <w:r>
              <w:rPr>
                <w:szCs w:val="21"/>
                <w:lang w:bidi="ar"/>
              </w:rPr>
              <w:t>(6)影响视觉景观。</w:t>
            </w:r>
          </w:p>
        </w:tc>
        <w:tc>
          <w:tcPr>
            <w:tcW w:w="833" w:type="pct"/>
            <w:shd w:val="clear" w:color="auto" w:fill="auto"/>
            <w:vAlign w:val="center"/>
          </w:tcPr>
          <w:p w14:paraId="7266605A">
            <w:pPr>
              <w:adjustRightInd w:val="0"/>
              <w:snapToGrid w:val="0"/>
              <w:jc w:val="center"/>
              <w:rPr>
                <w:szCs w:val="21"/>
                <w:lang w:bidi="ar"/>
              </w:rPr>
            </w:pPr>
            <w:r>
              <w:rPr>
                <w:szCs w:val="21"/>
                <w:lang w:bidi="ar"/>
              </w:rPr>
              <w:t>1500~3000</w:t>
            </w:r>
          </w:p>
        </w:tc>
        <w:tc>
          <w:tcPr>
            <w:tcW w:w="500" w:type="pct"/>
            <w:shd w:val="clear" w:color="auto" w:fill="auto"/>
            <w:vAlign w:val="center"/>
          </w:tcPr>
          <w:p w14:paraId="427321A4">
            <w:pPr>
              <w:adjustRightInd w:val="0"/>
              <w:snapToGrid w:val="0"/>
              <w:jc w:val="center"/>
              <w:rPr>
                <w:szCs w:val="21"/>
                <w:lang w:bidi="ar"/>
              </w:rPr>
            </w:pPr>
            <w:r>
              <w:rPr>
                <w:rFonts w:hint="eastAsia"/>
                <w:szCs w:val="21"/>
                <w:lang w:bidi="ar"/>
              </w:rPr>
              <w:t>/</w:t>
            </w:r>
          </w:p>
        </w:tc>
      </w:tr>
      <w:tr w14:paraId="4B49D01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3D7704DA">
            <w:pPr>
              <w:adjustRightInd w:val="0"/>
              <w:snapToGrid w:val="0"/>
              <w:jc w:val="center"/>
              <w:rPr>
                <w:szCs w:val="21"/>
                <w:lang w:bidi="ar"/>
              </w:rPr>
            </w:pPr>
            <w:r>
              <w:rPr>
                <w:szCs w:val="21"/>
                <w:lang w:bidi="ar"/>
              </w:rPr>
              <w:t>双层中空隔声窗</w:t>
            </w:r>
          </w:p>
        </w:tc>
        <w:tc>
          <w:tcPr>
            <w:tcW w:w="706" w:type="pct"/>
            <w:shd w:val="clear" w:color="auto" w:fill="auto"/>
            <w:vAlign w:val="center"/>
          </w:tcPr>
          <w:p w14:paraId="309DBB31">
            <w:pPr>
              <w:adjustRightInd w:val="0"/>
              <w:snapToGrid w:val="0"/>
              <w:jc w:val="center"/>
              <w:rPr>
                <w:szCs w:val="21"/>
                <w:lang w:bidi="ar"/>
              </w:rPr>
            </w:pPr>
            <w:r>
              <w:rPr>
                <w:szCs w:val="21"/>
                <w:lang w:bidi="ar"/>
              </w:rPr>
              <w:t>20~26</w:t>
            </w:r>
          </w:p>
        </w:tc>
        <w:tc>
          <w:tcPr>
            <w:tcW w:w="2089" w:type="pct"/>
            <w:shd w:val="clear" w:color="auto" w:fill="auto"/>
            <w:vAlign w:val="center"/>
          </w:tcPr>
          <w:p w14:paraId="57B124C9">
            <w:pPr>
              <w:adjustRightInd w:val="0"/>
              <w:snapToGrid w:val="0"/>
              <w:rPr>
                <w:szCs w:val="21"/>
                <w:lang w:bidi="ar"/>
              </w:rPr>
            </w:pPr>
            <w:r>
              <w:rPr>
                <w:szCs w:val="21"/>
                <w:lang w:bidi="ar"/>
              </w:rPr>
              <w:t>(1)对保护敏感点室内声环境效果好，费用用低，适应性强；</w:t>
            </w:r>
          </w:p>
          <w:p w14:paraId="612D61EF">
            <w:pPr>
              <w:adjustRightInd w:val="0"/>
              <w:snapToGrid w:val="0"/>
              <w:rPr>
                <w:szCs w:val="21"/>
                <w:lang w:bidi="ar"/>
              </w:rPr>
            </w:pPr>
            <w:r>
              <w:rPr>
                <w:szCs w:val="21"/>
                <w:lang w:bidi="ar"/>
              </w:rPr>
              <w:t>(2)不通风，炎热的夏季不适用，影响民生活。</w:t>
            </w:r>
          </w:p>
        </w:tc>
        <w:tc>
          <w:tcPr>
            <w:tcW w:w="833" w:type="pct"/>
            <w:shd w:val="clear" w:color="auto" w:fill="auto"/>
            <w:vAlign w:val="center"/>
          </w:tcPr>
          <w:p w14:paraId="3F05277D">
            <w:pPr>
              <w:adjustRightInd w:val="0"/>
              <w:snapToGrid w:val="0"/>
              <w:jc w:val="center"/>
              <w:rPr>
                <w:szCs w:val="21"/>
                <w:lang w:bidi="ar"/>
              </w:rPr>
            </w:pPr>
            <w:r>
              <w:rPr>
                <w:szCs w:val="21"/>
                <w:lang w:bidi="ar"/>
              </w:rPr>
              <w:t>1000</w:t>
            </w:r>
          </w:p>
        </w:tc>
        <w:tc>
          <w:tcPr>
            <w:tcW w:w="500" w:type="pct"/>
            <w:shd w:val="clear" w:color="auto" w:fill="auto"/>
            <w:vAlign w:val="center"/>
          </w:tcPr>
          <w:p w14:paraId="7AA01B92">
            <w:pPr>
              <w:adjustRightInd w:val="0"/>
              <w:snapToGrid w:val="0"/>
              <w:jc w:val="center"/>
              <w:rPr>
                <w:szCs w:val="21"/>
                <w:lang w:bidi="ar"/>
              </w:rPr>
            </w:pPr>
            <w:r>
              <w:rPr>
                <w:rFonts w:hint="eastAsia"/>
                <w:szCs w:val="21"/>
                <w:lang w:bidi="ar"/>
              </w:rPr>
              <w:t>/</w:t>
            </w:r>
          </w:p>
        </w:tc>
      </w:tr>
      <w:tr w14:paraId="2582A98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63468102">
            <w:pPr>
              <w:adjustRightInd w:val="0"/>
              <w:snapToGrid w:val="0"/>
              <w:jc w:val="center"/>
              <w:rPr>
                <w:szCs w:val="21"/>
                <w:lang w:bidi="ar"/>
              </w:rPr>
            </w:pPr>
            <w:r>
              <w:rPr>
                <w:szCs w:val="21"/>
                <w:lang w:bidi="ar"/>
              </w:rPr>
              <w:t>通风隔声窗</w:t>
            </w:r>
          </w:p>
        </w:tc>
        <w:tc>
          <w:tcPr>
            <w:tcW w:w="706" w:type="pct"/>
            <w:shd w:val="clear" w:color="auto" w:fill="auto"/>
            <w:vAlign w:val="center"/>
          </w:tcPr>
          <w:p w14:paraId="7630415E">
            <w:pPr>
              <w:adjustRightInd w:val="0"/>
              <w:snapToGrid w:val="0"/>
              <w:jc w:val="center"/>
              <w:rPr>
                <w:szCs w:val="21"/>
                <w:lang w:bidi="ar"/>
              </w:rPr>
            </w:pPr>
            <w:r>
              <w:rPr>
                <w:szCs w:val="21"/>
                <w:lang w:bidi="ar"/>
              </w:rPr>
              <w:t>25~35</w:t>
            </w:r>
          </w:p>
        </w:tc>
        <w:tc>
          <w:tcPr>
            <w:tcW w:w="2089" w:type="pct"/>
            <w:shd w:val="clear" w:color="auto" w:fill="auto"/>
            <w:vAlign w:val="center"/>
          </w:tcPr>
          <w:p w14:paraId="5E645B16">
            <w:pPr>
              <w:adjustRightInd w:val="0"/>
              <w:snapToGrid w:val="0"/>
              <w:rPr>
                <w:szCs w:val="21"/>
                <w:lang w:bidi="ar"/>
              </w:rPr>
            </w:pPr>
            <w:r>
              <w:rPr>
                <w:szCs w:val="21"/>
                <w:lang w:bidi="ar"/>
              </w:rPr>
              <w:t>优点：具有通风和隔声功能，降噪效果最好，通风量可以量化、有保障、不受其它因素影响，室内换气次数可满足国家标准要求。</w:t>
            </w:r>
          </w:p>
          <w:p w14:paraId="50FA2379">
            <w:pPr>
              <w:adjustRightInd w:val="0"/>
              <w:snapToGrid w:val="0"/>
              <w:rPr>
                <w:szCs w:val="21"/>
                <w:lang w:bidi="ar"/>
              </w:rPr>
            </w:pPr>
            <w:r>
              <w:rPr>
                <w:szCs w:val="21"/>
                <w:lang w:bidi="ar"/>
              </w:rPr>
              <w:t>缺点：造价较高，需要耗电（每套通风系统的功率为0.03kw），受建筑物原有窗结构的制约。</w:t>
            </w:r>
          </w:p>
        </w:tc>
        <w:tc>
          <w:tcPr>
            <w:tcW w:w="833" w:type="pct"/>
            <w:shd w:val="clear" w:color="auto" w:fill="auto"/>
            <w:vAlign w:val="center"/>
          </w:tcPr>
          <w:p w14:paraId="18B87D90">
            <w:pPr>
              <w:adjustRightInd w:val="0"/>
              <w:snapToGrid w:val="0"/>
              <w:jc w:val="center"/>
              <w:rPr>
                <w:szCs w:val="21"/>
                <w:lang w:bidi="ar"/>
              </w:rPr>
            </w:pPr>
            <w:r>
              <w:rPr>
                <w:szCs w:val="21"/>
                <w:lang w:bidi="ar"/>
              </w:rPr>
              <w:t>1500</w:t>
            </w:r>
          </w:p>
        </w:tc>
        <w:tc>
          <w:tcPr>
            <w:tcW w:w="500" w:type="pct"/>
            <w:shd w:val="clear" w:color="auto" w:fill="auto"/>
            <w:vAlign w:val="center"/>
          </w:tcPr>
          <w:p w14:paraId="794F818A">
            <w:pPr>
              <w:adjustRightInd w:val="0"/>
              <w:snapToGrid w:val="0"/>
              <w:jc w:val="center"/>
              <w:rPr>
                <w:szCs w:val="21"/>
                <w:lang w:bidi="ar"/>
              </w:rPr>
            </w:pPr>
            <w:r>
              <w:rPr>
                <w:rFonts w:hint="eastAsia"/>
                <w:szCs w:val="21"/>
                <w:lang w:bidi="ar"/>
              </w:rPr>
              <w:t>/</w:t>
            </w:r>
          </w:p>
        </w:tc>
      </w:tr>
      <w:tr w14:paraId="63013DA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2" w:type="pct"/>
            <w:shd w:val="clear" w:color="auto" w:fill="auto"/>
            <w:vAlign w:val="center"/>
          </w:tcPr>
          <w:p w14:paraId="1DDDCD00">
            <w:pPr>
              <w:adjustRightInd w:val="0"/>
              <w:snapToGrid w:val="0"/>
              <w:jc w:val="center"/>
              <w:rPr>
                <w:szCs w:val="21"/>
                <w:lang w:bidi="ar"/>
              </w:rPr>
            </w:pPr>
            <w:r>
              <w:rPr>
                <w:szCs w:val="21"/>
                <w:lang w:bidi="ar"/>
              </w:rPr>
              <w:t>乔灌木绿化</w:t>
            </w:r>
          </w:p>
        </w:tc>
        <w:tc>
          <w:tcPr>
            <w:tcW w:w="706" w:type="pct"/>
            <w:shd w:val="clear" w:color="auto" w:fill="auto"/>
            <w:vAlign w:val="center"/>
          </w:tcPr>
          <w:p w14:paraId="4B81440F">
            <w:pPr>
              <w:adjustRightInd w:val="0"/>
              <w:snapToGrid w:val="0"/>
              <w:jc w:val="center"/>
              <w:rPr>
                <w:szCs w:val="21"/>
                <w:lang w:bidi="ar"/>
              </w:rPr>
            </w:pPr>
            <w:r>
              <w:rPr>
                <w:szCs w:val="21"/>
                <w:lang w:bidi="ar"/>
              </w:rPr>
              <w:t>3~5</w:t>
            </w:r>
          </w:p>
        </w:tc>
        <w:tc>
          <w:tcPr>
            <w:tcW w:w="2089" w:type="pct"/>
            <w:shd w:val="clear" w:color="auto" w:fill="auto"/>
            <w:vAlign w:val="center"/>
          </w:tcPr>
          <w:p w14:paraId="390B8BBD">
            <w:pPr>
              <w:adjustRightInd w:val="0"/>
              <w:snapToGrid w:val="0"/>
              <w:rPr>
                <w:szCs w:val="21"/>
                <w:lang w:bidi="ar"/>
              </w:rPr>
            </w:pPr>
            <w:r>
              <w:rPr>
                <w:szCs w:val="21"/>
                <w:lang w:bidi="ar"/>
              </w:rPr>
              <w:t>降噪效果一般，造价低，需根据当地环境的实际情况。一般10m以上绿化带方有隔声效果。</w:t>
            </w:r>
          </w:p>
        </w:tc>
        <w:tc>
          <w:tcPr>
            <w:tcW w:w="833" w:type="pct"/>
            <w:shd w:val="clear" w:color="auto" w:fill="auto"/>
            <w:vAlign w:val="center"/>
          </w:tcPr>
          <w:p w14:paraId="49F1448B">
            <w:pPr>
              <w:adjustRightInd w:val="0"/>
              <w:snapToGrid w:val="0"/>
              <w:jc w:val="center"/>
              <w:rPr>
                <w:szCs w:val="21"/>
                <w:lang w:bidi="ar"/>
              </w:rPr>
            </w:pPr>
            <w:r>
              <w:rPr>
                <w:szCs w:val="21"/>
                <w:lang w:bidi="ar"/>
              </w:rPr>
              <w:t>根据绿化结构和类型确定</w:t>
            </w:r>
          </w:p>
        </w:tc>
        <w:tc>
          <w:tcPr>
            <w:tcW w:w="500" w:type="pct"/>
            <w:shd w:val="clear" w:color="auto" w:fill="auto"/>
            <w:vAlign w:val="center"/>
          </w:tcPr>
          <w:p w14:paraId="3F9B8513">
            <w:pPr>
              <w:adjustRightInd w:val="0"/>
              <w:snapToGrid w:val="0"/>
              <w:jc w:val="center"/>
              <w:rPr>
                <w:szCs w:val="21"/>
                <w:lang w:bidi="ar"/>
              </w:rPr>
            </w:pPr>
            <w:r>
              <w:rPr>
                <w:szCs w:val="21"/>
                <w:lang w:bidi="ar"/>
              </w:rPr>
              <w:t>需占用一部分土地</w:t>
            </w:r>
          </w:p>
        </w:tc>
      </w:tr>
    </w:tbl>
    <w:p w14:paraId="5B47C29A">
      <w:pPr>
        <w:spacing w:line="500" w:lineRule="exact"/>
        <w:ind w:firstLine="482" w:firstLineChars="200"/>
        <w:rPr>
          <w:b/>
          <w:bCs/>
          <w:sz w:val="24"/>
          <w:lang w:bidi="ar"/>
        </w:rPr>
      </w:pPr>
      <w:r>
        <w:rPr>
          <w:rFonts w:hint="eastAsia"/>
          <w:b/>
          <w:bCs/>
          <w:sz w:val="24"/>
          <w:lang w:bidi="ar"/>
        </w:rPr>
        <w:t>考虑到本项目评价范围不涉及声环境现状保护目标和声环境规划保护目标。综上对比分析，项目采用绿化降噪及使用改性沥青低噪声路面作为项目的工程</w:t>
      </w:r>
      <w:r>
        <w:rPr>
          <w:b/>
          <w:bCs/>
          <w:sz w:val="24"/>
          <w:lang w:bidi="ar"/>
        </w:rPr>
        <w:t>降噪措施</w:t>
      </w:r>
      <w:r>
        <w:rPr>
          <w:rFonts w:hint="eastAsia"/>
          <w:b/>
          <w:bCs/>
          <w:sz w:val="24"/>
          <w:lang w:bidi="ar"/>
        </w:rPr>
        <w:t>。</w:t>
      </w:r>
    </w:p>
    <w:p w14:paraId="0BFE3421">
      <w:pPr>
        <w:spacing w:line="360" w:lineRule="auto"/>
        <w:ind w:firstLine="482" w:firstLineChars="200"/>
        <w:rPr>
          <w:b/>
          <w:sz w:val="24"/>
          <w:lang w:bidi="ar"/>
        </w:rPr>
      </w:pPr>
      <w:r>
        <w:rPr>
          <w:b/>
          <w:sz w:val="24"/>
          <w:lang w:bidi="ar"/>
        </w:rPr>
        <w:t>5.2.2</w:t>
      </w:r>
      <w:r>
        <w:rPr>
          <w:rFonts w:hint="eastAsia"/>
          <w:b/>
          <w:sz w:val="24"/>
          <w:lang w:bidi="ar"/>
        </w:rPr>
        <w:t>本项目采取的噪声防治措施</w:t>
      </w:r>
    </w:p>
    <w:p w14:paraId="0141AE6E">
      <w:pPr>
        <w:spacing w:line="360" w:lineRule="auto"/>
        <w:ind w:firstLine="480" w:firstLineChars="200"/>
        <w:rPr>
          <w:sz w:val="24"/>
          <w:lang w:bidi="ar"/>
        </w:rPr>
      </w:pPr>
      <w:r>
        <w:rPr>
          <w:rFonts w:hint="eastAsia"/>
          <w:sz w:val="24"/>
          <w:lang w:bidi="ar"/>
        </w:rPr>
        <w:t>根据预测结果，项目评价范围</w:t>
      </w:r>
      <w:r>
        <w:rPr>
          <w:sz w:val="24"/>
          <w:lang w:bidi="ar"/>
        </w:rPr>
        <w:t>昼间、夜间均可达到《声环境质量标准》（GB3096-2008）中的2类区标准的要求</w:t>
      </w:r>
      <w:r>
        <w:rPr>
          <w:rFonts w:hint="eastAsia"/>
          <w:sz w:val="24"/>
          <w:lang w:bidi="ar"/>
        </w:rPr>
        <w:t>。</w:t>
      </w:r>
    </w:p>
    <w:p w14:paraId="3BCB0AF7">
      <w:pPr>
        <w:spacing w:line="360" w:lineRule="auto"/>
        <w:ind w:firstLine="482" w:firstLineChars="200"/>
        <w:rPr>
          <w:b/>
          <w:bCs/>
          <w:sz w:val="24"/>
          <w:lang w:bidi="ar"/>
        </w:rPr>
      </w:pPr>
      <w:r>
        <w:rPr>
          <w:b/>
          <w:bCs/>
          <w:sz w:val="24"/>
          <w:lang w:bidi="ar"/>
        </w:rPr>
        <w:t>1、交通噪声</w:t>
      </w:r>
      <w:r>
        <w:rPr>
          <w:rFonts w:hint="eastAsia"/>
          <w:b/>
          <w:bCs/>
          <w:sz w:val="24"/>
          <w:lang w:bidi="ar"/>
        </w:rPr>
        <w:t>一</w:t>
      </w:r>
      <w:r>
        <w:rPr>
          <w:b/>
          <w:bCs/>
          <w:sz w:val="24"/>
          <w:lang w:bidi="ar"/>
        </w:rPr>
        <w:t>般污染防治措施</w:t>
      </w:r>
    </w:p>
    <w:p w14:paraId="42CC7034">
      <w:pPr>
        <w:spacing w:line="360" w:lineRule="auto"/>
        <w:ind w:firstLine="480" w:firstLineChars="200"/>
        <w:rPr>
          <w:sz w:val="24"/>
          <w:lang w:bidi="ar"/>
        </w:rPr>
      </w:pPr>
      <w:r>
        <w:rPr>
          <w:rFonts w:hint="eastAsia"/>
          <w:sz w:val="24"/>
          <w:lang w:bidi="ar"/>
        </w:rPr>
        <w:t>在项目的营运期间，为保障道路两侧良好的声环境质量，必须采取一系列的降噪措施，这主要包括道路本身的管理措施、工程技术措施等。</w:t>
      </w:r>
    </w:p>
    <w:p w14:paraId="3C3609FF">
      <w:pPr>
        <w:spacing w:line="360" w:lineRule="auto"/>
        <w:ind w:firstLine="482" w:firstLineChars="200"/>
        <w:rPr>
          <w:b/>
          <w:bCs/>
          <w:sz w:val="24"/>
          <w:lang w:bidi="ar"/>
        </w:rPr>
      </w:pPr>
      <w:r>
        <w:rPr>
          <w:rFonts w:hint="eastAsia"/>
          <w:b/>
          <w:bCs/>
          <w:sz w:val="24"/>
          <w:lang w:bidi="ar"/>
        </w:rPr>
        <w:t>（1）管理措施</w:t>
      </w:r>
    </w:p>
    <w:p w14:paraId="0F8990E0">
      <w:pPr>
        <w:spacing w:line="360" w:lineRule="auto"/>
        <w:ind w:firstLine="480" w:firstLineChars="200"/>
        <w:rPr>
          <w:sz w:val="24"/>
          <w:lang w:bidi="ar"/>
        </w:rPr>
      </w:pPr>
      <w:r>
        <w:rPr>
          <w:rFonts w:hint="eastAsia"/>
          <w:sz w:val="24"/>
          <w:lang w:bidi="ar"/>
        </w:rPr>
        <w:t>①注意路面保养，维持路面平整。要加强道路检查，及时维修损坏的道路，减少车辆颠簸和低速产生噪声。</w:t>
      </w:r>
    </w:p>
    <w:p w14:paraId="6C447E6D">
      <w:pPr>
        <w:spacing w:line="360" w:lineRule="auto"/>
        <w:ind w:firstLine="480" w:firstLineChars="200"/>
        <w:rPr>
          <w:sz w:val="24"/>
          <w:lang w:bidi="ar"/>
        </w:rPr>
      </w:pPr>
      <w:r>
        <w:rPr>
          <w:rFonts w:hint="eastAsia"/>
          <w:sz w:val="24"/>
          <w:lang w:bidi="ar"/>
        </w:rPr>
        <w:t>②禁鸣。在经过居民点、学校等环境保护目标路段，应设置注意行人的警示标志和禁止鸣喇叭的禁令标志，以保证交通安全并降低交通噪声。</w:t>
      </w:r>
    </w:p>
    <w:p w14:paraId="2C68FDCB">
      <w:pPr>
        <w:spacing w:line="360" w:lineRule="auto"/>
        <w:ind w:firstLine="480" w:firstLineChars="200"/>
        <w:rPr>
          <w:sz w:val="24"/>
          <w:lang w:bidi="ar"/>
        </w:rPr>
      </w:pPr>
      <w:r>
        <w:rPr>
          <w:rFonts w:hint="eastAsia"/>
          <w:sz w:val="24"/>
          <w:lang w:bidi="ar"/>
        </w:rPr>
        <w:t>③加强交通管理。交通要合理疏导，减少因交通拥挤而增加的噪声污染。</w:t>
      </w:r>
    </w:p>
    <w:p w14:paraId="20A15B38">
      <w:pPr>
        <w:spacing w:line="360" w:lineRule="auto"/>
        <w:ind w:firstLine="480" w:firstLineChars="200"/>
        <w:rPr>
          <w:sz w:val="24"/>
          <w:lang w:bidi="ar"/>
        </w:rPr>
      </w:pPr>
      <w:r>
        <w:rPr>
          <w:rFonts w:hint="eastAsia"/>
          <w:sz w:val="24"/>
          <w:lang w:bidi="ar"/>
        </w:rPr>
        <w:t>④建议安装超速监控设施，防止车辆超速行驶。</w:t>
      </w:r>
    </w:p>
    <w:p w14:paraId="16457B5C">
      <w:pPr>
        <w:spacing w:line="360" w:lineRule="auto"/>
        <w:ind w:firstLine="480" w:firstLineChars="200"/>
        <w:rPr>
          <w:sz w:val="24"/>
          <w:lang w:bidi="ar"/>
        </w:rPr>
      </w:pPr>
      <w:r>
        <w:rPr>
          <w:rFonts w:hint="eastAsia"/>
          <w:sz w:val="24"/>
          <w:lang w:bidi="ar"/>
        </w:rPr>
        <w:t>⑤在沿线受影响的敏感地段、声环境保护目标及其周围采取一</w:t>
      </w:r>
      <w:r>
        <w:rPr>
          <w:sz w:val="24"/>
          <w:lang w:bidi="ar"/>
        </w:rPr>
        <w:t>定的降噪措施，如绿化等</w:t>
      </w:r>
      <w:r>
        <w:rPr>
          <w:rFonts w:hint="eastAsia"/>
          <w:sz w:val="24"/>
          <w:lang w:bidi="ar"/>
        </w:rPr>
        <w:t>可降低噪声的污染。</w:t>
      </w:r>
    </w:p>
    <w:p w14:paraId="1C86882D">
      <w:pPr>
        <w:spacing w:line="360" w:lineRule="auto"/>
        <w:ind w:firstLine="480" w:firstLineChars="200"/>
        <w:rPr>
          <w:sz w:val="24"/>
          <w:lang w:bidi="ar"/>
        </w:rPr>
      </w:pPr>
      <w:r>
        <w:rPr>
          <w:rFonts w:hint="eastAsia"/>
          <w:sz w:val="24"/>
          <w:lang w:bidi="ar"/>
        </w:rPr>
        <w:t>⑥道路两侧新建建筑降噪建议：</w:t>
      </w:r>
      <w:r>
        <w:rPr>
          <w:sz w:val="24"/>
          <w:lang w:bidi="ar"/>
        </w:rPr>
        <w:t>未来各道路沿线若建设住宅区等噪声敏感建筑，建筑开</w:t>
      </w:r>
      <w:r>
        <w:rPr>
          <w:rFonts w:hint="eastAsia"/>
          <w:sz w:val="24"/>
          <w:lang w:bidi="ar"/>
        </w:rPr>
        <w:t>发商应考虑采取房屋的建筑隔声措施，以确保室内声环境质量符合规范要求。建筑物外墙及面向道路一侧的门</w:t>
      </w:r>
      <w:r>
        <w:rPr>
          <w:sz w:val="24"/>
          <w:lang w:bidi="ar"/>
        </w:rPr>
        <w:t>窗应进行隔声设计</w:t>
      </w:r>
      <w:r>
        <w:rPr>
          <w:rFonts w:hint="eastAsia"/>
          <w:sz w:val="24"/>
          <w:lang w:bidi="ar"/>
        </w:rPr>
        <w:t>；</w:t>
      </w:r>
      <w:r>
        <w:rPr>
          <w:sz w:val="24"/>
          <w:lang w:bidi="ar"/>
        </w:rPr>
        <w:t>在设计住宅楼功能布局时，可将浴室、厨房和电梯间</w:t>
      </w:r>
      <w:r>
        <w:rPr>
          <w:rFonts w:hint="eastAsia"/>
          <w:sz w:val="24"/>
          <w:lang w:bidi="ar"/>
        </w:rPr>
        <w:t>等辅助建筑布置在面向道路一</w:t>
      </w:r>
      <w:r>
        <w:rPr>
          <w:sz w:val="24"/>
          <w:lang w:bidi="ar"/>
        </w:rPr>
        <w:t>侧，以降低可能产生的噪声影响</w:t>
      </w:r>
      <w:r>
        <w:rPr>
          <w:rFonts w:hint="eastAsia"/>
          <w:sz w:val="24"/>
          <w:lang w:bidi="ar"/>
        </w:rPr>
        <w:t>。</w:t>
      </w:r>
    </w:p>
    <w:p w14:paraId="7A5468DA">
      <w:pPr>
        <w:spacing w:line="360" w:lineRule="auto"/>
        <w:ind w:firstLine="482" w:firstLineChars="200"/>
        <w:rPr>
          <w:b/>
          <w:bCs/>
          <w:sz w:val="24"/>
          <w:lang w:bidi="ar"/>
        </w:rPr>
      </w:pPr>
      <w:r>
        <w:rPr>
          <w:rFonts w:hint="eastAsia"/>
          <w:b/>
          <w:bCs/>
          <w:sz w:val="24"/>
          <w:lang w:bidi="ar"/>
        </w:rPr>
        <w:t>（2）工程技术措施</w:t>
      </w:r>
    </w:p>
    <w:p w14:paraId="2C1D364C">
      <w:pPr>
        <w:spacing w:line="360" w:lineRule="auto"/>
        <w:ind w:firstLine="482" w:firstLineChars="200"/>
        <w:rPr>
          <w:b/>
          <w:bCs/>
          <w:sz w:val="24"/>
          <w:lang w:bidi="ar"/>
        </w:rPr>
      </w:pPr>
      <w:r>
        <w:rPr>
          <w:rFonts w:hint="eastAsia"/>
          <w:b/>
          <w:bCs/>
          <w:sz w:val="24"/>
          <w:lang w:bidi="ar"/>
        </w:rPr>
        <w:t>①设置车道绿化带</w:t>
      </w:r>
    </w:p>
    <w:p w14:paraId="14C911C9">
      <w:pPr>
        <w:spacing w:line="360" w:lineRule="auto"/>
        <w:ind w:firstLine="480" w:firstLineChars="200"/>
        <w:rPr>
          <w:sz w:val="24"/>
          <w:lang w:bidi="ar"/>
        </w:rPr>
      </w:pPr>
      <w:r>
        <w:rPr>
          <w:rFonts w:hint="eastAsia"/>
          <w:sz w:val="24"/>
          <w:lang w:bidi="ar"/>
        </w:rPr>
        <w:t>设置车道绿化带的主要作用是可在一定程度上阻挡噪声的传播。</w:t>
      </w:r>
    </w:p>
    <w:p w14:paraId="7E0E2925">
      <w:pPr>
        <w:spacing w:line="360" w:lineRule="auto"/>
        <w:ind w:firstLine="482" w:firstLineChars="200"/>
        <w:rPr>
          <w:b/>
          <w:bCs/>
          <w:sz w:val="24"/>
          <w:lang w:bidi="ar"/>
        </w:rPr>
      </w:pPr>
      <w:r>
        <w:rPr>
          <w:rFonts w:hint="eastAsia"/>
          <w:b/>
          <w:bCs/>
          <w:sz w:val="24"/>
          <w:lang w:bidi="ar"/>
        </w:rPr>
        <w:t>②其他工程技术措施</w:t>
      </w:r>
    </w:p>
    <w:p w14:paraId="0D26E3D2">
      <w:pPr>
        <w:spacing w:line="360" w:lineRule="auto"/>
        <w:ind w:firstLine="480" w:firstLineChars="200"/>
        <w:rPr>
          <w:sz w:val="24"/>
          <w:lang w:bidi="ar"/>
        </w:rPr>
      </w:pPr>
      <w:r>
        <w:rPr>
          <w:rFonts w:hint="eastAsia"/>
          <w:sz w:val="24"/>
          <w:lang w:bidi="ar"/>
        </w:rPr>
        <w:t>目前，交通噪声污染治理措施一</w:t>
      </w:r>
      <w:r>
        <w:rPr>
          <w:sz w:val="24"/>
          <w:lang w:bidi="ar"/>
        </w:rPr>
        <w:t>般从采用声源控制、声传播途径控制及受声点的防护三</w:t>
      </w:r>
      <w:r>
        <w:rPr>
          <w:rFonts w:hint="eastAsia"/>
          <w:sz w:val="24"/>
          <w:lang w:bidi="ar"/>
        </w:rPr>
        <w:t>种方式。声源控制有控制车辆随机鸣喇叭，控制车速等，声传播途径控制有种植绿化带等措施。</w:t>
      </w:r>
    </w:p>
    <w:p w14:paraId="37D5AE1D">
      <w:pPr>
        <w:spacing w:line="360" w:lineRule="auto"/>
        <w:ind w:firstLine="482" w:firstLineChars="200"/>
        <w:rPr>
          <w:b/>
          <w:bCs/>
          <w:sz w:val="24"/>
          <w:lang w:bidi="ar"/>
        </w:rPr>
      </w:pPr>
      <w:r>
        <w:rPr>
          <w:rFonts w:hint="eastAsia"/>
          <w:b/>
          <w:bCs/>
          <w:sz w:val="24"/>
          <w:lang w:bidi="ar"/>
        </w:rPr>
        <w:t>3、本项目敏感点采取的降噪措施</w:t>
      </w:r>
    </w:p>
    <w:p w14:paraId="3318C8E9">
      <w:pPr>
        <w:spacing w:line="360" w:lineRule="auto"/>
        <w:ind w:firstLine="480" w:firstLineChars="200"/>
        <w:rPr>
          <w:sz w:val="24"/>
          <w:lang w:bidi="ar"/>
        </w:rPr>
      </w:pPr>
      <w:r>
        <w:rPr>
          <w:rFonts w:hint="eastAsia"/>
          <w:sz w:val="24"/>
          <w:lang w:bidi="ar"/>
        </w:rPr>
        <w:t>由于本项目为城市主干路，根据本项目预测结果特征，</w:t>
      </w:r>
      <w:r>
        <w:rPr>
          <w:sz w:val="24"/>
          <w:lang w:bidi="ar"/>
        </w:rPr>
        <w:t>提出本项目噪声防治具体措施如下</w:t>
      </w:r>
      <w:r>
        <w:rPr>
          <w:rFonts w:hint="eastAsia"/>
          <w:sz w:val="24"/>
          <w:lang w:bidi="ar"/>
        </w:rPr>
        <w:t>：</w:t>
      </w:r>
    </w:p>
    <w:p w14:paraId="1DD24D94">
      <w:pPr>
        <w:spacing w:line="360" w:lineRule="auto"/>
        <w:ind w:firstLine="480" w:firstLineChars="200"/>
        <w:rPr>
          <w:sz w:val="24"/>
          <w:lang w:bidi="ar"/>
        </w:rPr>
      </w:pPr>
      <w:r>
        <w:rPr>
          <w:rFonts w:hint="eastAsia"/>
          <w:sz w:val="24"/>
          <w:lang w:bidi="ar"/>
        </w:rPr>
        <w:t>(</w:t>
      </w:r>
      <w:r>
        <w:rPr>
          <w:sz w:val="24"/>
          <w:lang w:bidi="ar"/>
        </w:rPr>
        <w:t>1)声源控制。建议本项目确保各种市政管线的井盖与路面保持路面平整，可以有效避免汽车运行过程中轮胎擦碰井盖产生的瞬时高噪声，同时建议运营期加强路面的保养工作，定期对路面进行维护，使其保持良</w:t>
      </w:r>
      <w:r>
        <w:rPr>
          <w:rFonts w:hint="eastAsia"/>
          <w:sz w:val="24"/>
          <w:lang w:bidi="ar"/>
        </w:rPr>
        <w:t>好状态，对降低噪声的影响也是有益的。</w:t>
      </w:r>
    </w:p>
    <w:p w14:paraId="55A769F0">
      <w:pPr>
        <w:spacing w:line="360" w:lineRule="auto"/>
        <w:ind w:firstLine="480" w:firstLineChars="200"/>
        <w:rPr>
          <w:sz w:val="24"/>
          <w:lang w:bidi="ar"/>
        </w:rPr>
      </w:pPr>
      <w:r>
        <w:rPr>
          <w:rFonts w:hint="eastAsia"/>
          <w:sz w:val="24"/>
          <w:lang w:bidi="ar"/>
        </w:rPr>
        <w:t>(</w:t>
      </w:r>
      <w:r>
        <w:rPr>
          <w:sz w:val="24"/>
          <w:lang w:bidi="ar"/>
        </w:rPr>
        <w:t>2)传声途径噪声削减</w:t>
      </w:r>
      <w:r>
        <w:rPr>
          <w:rFonts w:hint="eastAsia"/>
          <w:sz w:val="24"/>
          <w:lang w:bidi="ar"/>
        </w:rPr>
        <w:t>。本项目采用沥青混凝土路面，对噪声有一定的吸收作用；绿化在降噪的同时，可以美化环境、净化空气，本工程设计了绿化带，建议对道路绿化采用种植枝叶茂盛的乔灌木树种，并在不阻碍行车安全的前提下尽量落实“乔灌草”三体绿化，美化景观的同时也增加区域的生物量。道路路基段设置绿化带树木具有声衰减作用，不同品种的植物具有不同的降噪效果，植物的种植结构对降噪作用也有很大的影响，绿化带除可降低道路交通噪声污染外，还能够净化空气，减轻城市的热岛效应，提高城市生态系统的自净能力，本项目道路路基段绿化带有效降噪量预计约为</w:t>
      </w:r>
      <w:r>
        <w:rPr>
          <w:sz w:val="24"/>
          <w:lang w:bidi="ar"/>
        </w:rPr>
        <w:t>5dB(A)</w:t>
      </w:r>
      <w:r>
        <w:rPr>
          <w:rFonts w:hint="eastAsia"/>
          <w:sz w:val="24"/>
          <w:lang w:bidi="ar"/>
        </w:rPr>
        <w:t>。</w:t>
      </w:r>
    </w:p>
    <w:p w14:paraId="39E1025D">
      <w:pPr>
        <w:spacing w:line="360" w:lineRule="auto"/>
        <w:ind w:firstLine="480" w:firstLineChars="200"/>
        <w:rPr>
          <w:sz w:val="24"/>
          <w:lang w:bidi="ar"/>
        </w:rPr>
      </w:pPr>
      <w:r>
        <w:rPr>
          <w:sz w:val="24"/>
          <w:lang w:bidi="ar"/>
        </w:rPr>
        <w:t>(3)加强交通管理措施</w:t>
      </w:r>
    </w:p>
    <w:p w14:paraId="4C074D97">
      <w:pPr>
        <w:spacing w:line="360" w:lineRule="auto"/>
        <w:ind w:firstLine="480" w:firstLineChars="200"/>
        <w:rPr>
          <w:sz w:val="24"/>
          <w:lang w:bidi="ar"/>
        </w:rPr>
      </w:pPr>
      <w:r>
        <w:rPr>
          <w:rFonts w:hint="eastAsia"/>
          <w:sz w:val="24"/>
          <w:lang w:bidi="ar"/>
        </w:rPr>
        <w:t>在敏感路段严格限制行车速度，特别是要严格控制大型车在夜间的超速行驶行为。道路全路段禁鸣喇叭，在本项目沿线明显位置设置禁鸣喇叭标志，并加强监管，及时纠正或处罚违规车辆。严格控制大型车在夜间的超速行驶行为，这对于减轻交通噪声十分有用的。</w:t>
      </w:r>
    </w:p>
    <w:p w14:paraId="3D5FCE42">
      <w:pPr>
        <w:spacing w:line="360" w:lineRule="auto"/>
        <w:ind w:firstLine="480" w:firstLineChars="200"/>
        <w:rPr>
          <w:rFonts w:hint="eastAsia" w:ascii="宋体" w:hAnsi="宋体" w:cs="宋体"/>
          <w:sz w:val="24"/>
        </w:rPr>
      </w:pPr>
      <w:r>
        <w:rPr>
          <w:sz w:val="24"/>
          <w:lang w:bidi="ar"/>
        </w:rPr>
        <w:t>(4)加强定期监测，中期、远期采取定期跟踪监测，根据监测结果调整改进相关防治措施</w:t>
      </w:r>
      <w:bookmarkStart w:id="165" w:name="_Hlk117704744"/>
      <w:r>
        <w:rPr>
          <w:rFonts w:hint="eastAsia" w:ascii="宋体" w:hAnsi="宋体" w:cs="宋体"/>
          <w:sz w:val="24"/>
        </w:rPr>
        <w:t>。</w:t>
      </w:r>
    </w:p>
    <w:p w14:paraId="6F30AFCA">
      <w:pPr>
        <w:spacing w:line="360" w:lineRule="auto"/>
        <w:ind w:firstLine="480" w:firstLineChars="200"/>
        <w:rPr>
          <w:sz w:val="24"/>
          <w:lang w:bidi="ar"/>
        </w:rPr>
      </w:pPr>
    </w:p>
    <w:bookmarkEnd w:id="165"/>
    <w:p w14:paraId="169AC607">
      <w:pPr>
        <w:autoSpaceDE w:val="0"/>
        <w:autoSpaceDN w:val="0"/>
        <w:adjustRightInd w:val="0"/>
        <w:spacing w:line="360" w:lineRule="auto"/>
        <w:ind w:firstLine="480" w:firstLineChars="200"/>
        <w:jc w:val="left"/>
        <w:rPr>
          <w:sz w:val="24"/>
        </w:rPr>
        <w:sectPr>
          <w:pgSz w:w="11906" w:h="16838"/>
          <w:pgMar w:top="720" w:right="720" w:bottom="720" w:left="720" w:header="851" w:footer="567" w:gutter="0"/>
          <w:cols w:space="720" w:num="1"/>
          <w:docGrid w:linePitch="312" w:charSpace="0"/>
        </w:sectPr>
      </w:pPr>
    </w:p>
    <w:p w14:paraId="5619A74B">
      <w:pPr>
        <w:widowControl/>
        <w:spacing w:line="360" w:lineRule="auto"/>
        <w:jc w:val="center"/>
        <w:outlineLvl w:val="0"/>
        <w:rPr>
          <w:b/>
          <w:bCs/>
          <w:sz w:val="44"/>
          <w:szCs w:val="44"/>
        </w:rPr>
      </w:pPr>
      <w:bookmarkStart w:id="166" w:name="_Toc185523915"/>
      <w:bookmarkStart w:id="167" w:name="_Toc191907565"/>
      <w:bookmarkStart w:id="168" w:name="_Toc185524023"/>
      <w:bookmarkStart w:id="169" w:name="_Toc187243678"/>
      <w:bookmarkStart w:id="170" w:name="_Toc6718"/>
      <w:bookmarkStart w:id="171" w:name="_Hlk117702452"/>
      <w:r>
        <w:rPr>
          <w:b/>
          <w:bCs/>
          <w:sz w:val="44"/>
          <w:szCs w:val="44"/>
        </w:rPr>
        <w:t>6.</w:t>
      </w:r>
      <w:r>
        <w:rPr>
          <w:rFonts w:hint="eastAsia"/>
          <w:b/>
          <w:bCs/>
          <w:sz w:val="44"/>
          <w:szCs w:val="44"/>
        </w:rPr>
        <w:t>噪声监测计划</w:t>
      </w:r>
      <w:bookmarkEnd w:id="166"/>
      <w:bookmarkEnd w:id="167"/>
      <w:bookmarkEnd w:id="168"/>
      <w:bookmarkEnd w:id="169"/>
      <w:bookmarkEnd w:id="170"/>
    </w:p>
    <w:p w14:paraId="55069561">
      <w:pPr>
        <w:spacing w:line="360" w:lineRule="auto"/>
        <w:ind w:firstLine="482" w:firstLineChars="200"/>
        <w:rPr>
          <w:b/>
          <w:sz w:val="24"/>
          <w:lang w:bidi="ar"/>
        </w:rPr>
      </w:pPr>
      <w:r>
        <w:rPr>
          <w:b/>
          <w:sz w:val="24"/>
          <w:lang w:bidi="ar"/>
        </w:rPr>
        <w:t>6.1</w:t>
      </w:r>
      <w:r>
        <w:rPr>
          <w:rFonts w:hint="eastAsia"/>
          <w:b/>
          <w:sz w:val="24"/>
          <w:lang w:bidi="ar"/>
        </w:rPr>
        <w:t>监测计划</w:t>
      </w:r>
    </w:p>
    <w:p w14:paraId="037E9607">
      <w:pPr>
        <w:spacing w:line="360" w:lineRule="auto"/>
        <w:ind w:firstLine="482" w:firstLineChars="200"/>
        <w:rPr>
          <w:b/>
          <w:bCs/>
          <w:sz w:val="24"/>
        </w:rPr>
      </w:pPr>
      <w:r>
        <w:rPr>
          <w:rFonts w:hint="eastAsia"/>
          <w:b/>
          <w:bCs/>
          <w:sz w:val="24"/>
        </w:rPr>
        <w:t>本项目运营期检测计划具体见下表。</w:t>
      </w:r>
    </w:p>
    <w:p w14:paraId="7D568496">
      <w:pPr>
        <w:spacing w:line="520" w:lineRule="exact"/>
        <w:jc w:val="center"/>
        <w:rPr>
          <w:b/>
          <w:lang w:bidi="ar"/>
        </w:rPr>
      </w:pPr>
      <w:bookmarkStart w:id="172" w:name="_Hlk117705457"/>
      <w:r>
        <w:rPr>
          <w:rFonts w:hint="eastAsia"/>
          <w:b/>
          <w:lang w:bidi="ar"/>
        </w:rPr>
        <w:t>表</w:t>
      </w:r>
      <w:r>
        <w:rPr>
          <w:b/>
          <w:lang w:bidi="ar"/>
        </w:rPr>
        <w:t>6.1-1</w:t>
      </w:r>
      <w:r>
        <w:rPr>
          <w:rFonts w:hint="eastAsia"/>
          <w:b/>
          <w:lang w:bidi="ar"/>
        </w:rPr>
        <w:t xml:space="preserve">  运营期监测计划一览表</w:t>
      </w:r>
    </w:p>
    <w:bookmarkEnd w:id="172"/>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6"/>
        <w:gridCol w:w="2136"/>
        <w:gridCol w:w="2136"/>
        <w:gridCol w:w="2137"/>
        <w:gridCol w:w="2137"/>
      </w:tblGrid>
      <w:tr w14:paraId="0A98B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tcBorders>
              <w:top w:val="single" w:color="auto" w:sz="18" w:space="0"/>
            </w:tcBorders>
            <w:shd w:val="clear" w:color="auto" w:fill="auto"/>
            <w:vAlign w:val="center"/>
          </w:tcPr>
          <w:p w14:paraId="71624791">
            <w:pPr>
              <w:jc w:val="center"/>
              <w:rPr>
                <w:b/>
                <w:bCs/>
                <w:szCs w:val="21"/>
              </w:rPr>
            </w:pPr>
            <w:r>
              <w:rPr>
                <w:b/>
                <w:bCs/>
                <w:szCs w:val="21"/>
              </w:rPr>
              <w:t>监测点位置</w:t>
            </w:r>
          </w:p>
        </w:tc>
        <w:tc>
          <w:tcPr>
            <w:tcW w:w="1000" w:type="pct"/>
            <w:tcBorders>
              <w:top w:val="single" w:color="auto" w:sz="18" w:space="0"/>
            </w:tcBorders>
            <w:shd w:val="clear" w:color="auto" w:fill="auto"/>
            <w:vAlign w:val="center"/>
          </w:tcPr>
          <w:p w14:paraId="2A763C28">
            <w:pPr>
              <w:jc w:val="center"/>
              <w:rPr>
                <w:b/>
                <w:bCs/>
                <w:szCs w:val="21"/>
              </w:rPr>
            </w:pPr>
            <w:r>
              <w:rPr>
                <w:b/>
                <w:bCs/>
                <w:szCs w:val="21"/>
              </w:rPr>
              <w:t>监测因子</w:t>
            </w:r>
          </w:p>
        </w:tc>
        <w:tc>
          <w:tcPr>
            <w:tcW w:w="1000" w:type="pct"/>
            <w:tcBorders>
              <w:top w:val="single" w:color="auto" w:sz="18" w:space="0"/>
            </w:tcBorders>
            <w:shd w:val="clear" w:color="auto" w:fill="auto"/>
            <w:vAlign w:val="center"/>
          </w:tcPr>
          <w:p w14:paraId="389150A1">
            <w:pPr>
              <w:jc w:val="center"/>
              <w:rPr>
                <w:b/>
                <w:bCs/>
                <w:szCs w:val="21"/>
              </w:rPr>
            </w:pPr>
            <w:r>
              <w:rPr>
                <w:b/>
                <w:bCs/>
                <w:szCs w:val="21"/>
              </w:rPr>
              <w:t>监测频次</w:t>
            </w:r>
          </w:p>
        </w:tc>
        <w:tc>
          <w:tcPr>
            <w:tcW w:w="1000" w:type="pct"/>
            <w:tcBorders>
              <w:top w:val="single" w:color="auto" w:sz="18" w:space="0"/>
            </w:tcBorders>
            <w:shd w:val="clear" w:color="auto" w:fill="auto"/>
            <w:vAlign w:val="center"/>
          </w:tcPr>
          <w:p w14:paraId="2F93B398">
            <w:pPr>
              <w:jc w:val="center"/>
              <w:rPr>
                <w:b/>
                <w:bCs/>
                <w:szCs w:val="21"/>
              </w:rPr>
            </w:pPr>
            <w:r>
              <w:rPr>
                <w:b/>
                <w:bCs/>
                <w:szCs w:val="21"/>
              </w:rPr>
              <w:t>监测方法</w:t>
            </w:r>
          </w:p>
        </w:tc>
        <w:tc>
          <w:tcPr>
            <w:tcW w:w="1000" w:type="pct"/>
            <w:tcBorders>
              <w:top w:val="single" w:color="auto" w:sz="18" w:space="0"/>
            </w:tcBorders>
            <w:shd w:val="clear" w:color="auto" w:fill="auto"/>
            <w:vAlign w:val="center"/>
          </w:tcPr>
          <w:p w14:paraId="37A88391">
            <w:pPr>
              <w:jc w:val="center"/>
              <w:rPr>
                <w:b/>
                <w:bCs/>
                <w:szCs w:val="21"/>
              </w:rPr>
            </w:pPr>
            <w:r>
              <w:rPr>
                <w:b/>
                <w:bCs/>
                <w:szCs w:val="21"/>
              </w:rPr>
              <w:t>执行标准</w:t>
            </w:r>
          </w:p>
        </w:tc>
      </w:tr>
      <w:tr w14:paraId="08CE8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tcBorders>
              <w:bottom w:val="single" w:color="auto" w:sz="18" w:space="0"/>
            </w:tcBorders>
            <w:shd w:val="clear" w:color="auto" w:fill="auto"/>
            <w:vAlign w:val="center"/>
          </w:tcPr>
          <w:p w14:paraId="6CD0417A">
            <w:pPr>
              <w:jc w:val="center"/>
              <w:rPr>
                <w:szCs w:val="21"/>
              </w:rPr>
            </w:pPr>
            <w:r>
              <w:rPr>
                <w:rFonts w:hint="eastAsia"/>
                <w:szCs w:val="21"/>
              </w:rPr>
              <w:t>中海锦宸花园小区</w:t>
            </w:r>
          </w:p>
        </w:tc>
        <w:tc>
          <w:tcPr>
            <w:tcW w:w="1000" w:type="pct"/>
            <w:tcBorders>
              <w:bottom w:val="single" w:color="auto" w:sz="18" w:space="0"/>
            </w:tcBorders>
            <w:shd w:val="clear" w:color="auto" w:fill="auto"/>
            <w:vAlign w:val="center"/>
          </w:tcPr>
          <w:p w14:paraId="288740E6">
            <w:pPr>
              <w:jc w:val="center"/>
              <w:rPr>
                <w:szCs w:val="21"/>
              </w:rPr>
            </w:pPr>
            <w:r>
              <w:rPr>
                <w:szCs w:val="21"/>
              </w:rPr>
              <w:t>等效连续A声级</w:t>
            </w:r>
          </w:p>
        </w:tc>
        <w:tc>
          <w:tcPr>
            <w:tcW w:w="1000" w:type="pct"/>
            <w:tcBorders>
              <w:bottom w:val="single" w:color="auto" w:sz="18" w:space="0"/>
            </w:tcBorders>
            <w:shd w:val="clear" w:color="auto" w:fill="auto"/>
            <w:vAlign w:val="center"/>
          </w:tcPr>
          <w:p w14:paraId="55FBAE45">
            <w:pPr>
              <w:jc w:val="center"/>
              <w:rPr>
                <w:szCs w:val="21"/>
              </w:rPr>
            </w:pPr>
            <w:r>
              <w:rPr>
                <w:szCs w:val="21"/>
              </w:rPr>
              <w:t>1年/次</w:t>
            </w:r>
          </w:p>
        </w:tc>
        <w:tc>
          <w:tcPr>
            <w:tcW w:w="1000" w:type="pct"/>
            <w:tcBorders>
              <w:bottom w:val="single" w:color="auto" w:sz="18" w:space="0"/>
            </w:tcBorders>
            <w:shd w:val="clear" w:color="auto" w:fill="auto"/>
            <w:vAlign w:val="center"/>
          </w:tcPr>
          <w:p w14:paraId="51195BE2">
            <w:pPr>
              <w:jc w:val="center"/>
              <w:rPr>
                <w:szCs w:val="21"/>
              </w:rPr>
            </w:pPr>
            <w:r>
              <w:rPr>
                <w:szCs w:val="21"/>
              </w:rPr>
              <w:t>人工监测</w:t>
            </w:r>
          </w:p>
        </w:tc>
        <w:tc>
          <w:tcPr>
            <w:tcW w:w="1000" w:type="pct"/>
            <w:tcBorders>
              <w:bottom w:val="single" w:color="auto" w:sz="18" w:space="0"/>
            </w:tcBorders>
            <w:shd w:val="clear" w:color="auto" w:fill="auto"/>
            <w:vAlign w:val="center"/>
          </w:tcPr>
          <w:p w14:paraId="019986AD">
            <w:pPr>
              <w:jc w:val="center"/>
              <w:rPr>
                <w:szCs w:val="21"/>
              </w:rPr>
            </w:pPr>
            <w:r>
              <w:rPr>
                <w:szCs w:val="21"/>
              </w:rPr>
              <w:t>《声环境质量标准》（GB3096-2008）中的2类标准</w:t>
            </w:r>
          </w:p>
        </w:tc>
      </w:tr>
    </w:tbl>
    <w:p w14:paraId="2C4A18EF">
      <w:pPr>
        <w:spacing w:line="500" w:lineRule="exact"/>
        <w:ind w:firstLine="482" w:firstLineChars="200"/>
        <w:rPr>
          <w:b/>
          <w:sz w:val="24"/>
          <w:lang w:bidi="ar"/>
        </w:rPr>
      </w:pPr>
      <w:r>
        <w:rPr>
          <w:b/>
          <w:sz w:val="24"/>
          <w:lang w:bidi="ar"/>
        </w:rPr>
        <w:t>6.2</w:t>
      </w:r>
      <w:r>
        <w:rPr>
          <w:rFonts w:hint="eastAsia"/>
          <w:b/>
          <w:sz w:val="24"/>
          <w:lang w:bidi="ar"/>
        </w:rPr>
        <w:t>声环境影响评价经费概算</w:t>
      </w:r>
    </w:p>
    <w:p w14:paraId="6D558F25">
      <w:pPr>
        <w:spacing w:line="360" w:lineRule="auto"/>
        <w:ind w:firstLine="480" w:firstLineChars="200"/>
        <w:rPr>
          <w:sz w:val="24"/>
        </w:rPr>
      </w:pPr>
      <w:r>
        <w:rPr>
          <w:rFonts w:hint="eastAsia"/>
          <w:sz w:val="24"/>
        </w:rPr>
        <w:t>本项目声环境污染防治环保投资约40</w:t>
      </w:r>
      <w:r>
        <w:rPr>
          <w:sz w:val="24"/>
        </w:rPr>
        <w:t>万元，占总投资4883.04万元的比例为</w:t>
      </w:r>
      <w:r>
        <w:rPr>
          <w:rFonts w:hint="eastAsia"/>
          <w:sz w:val="24"/>
        </w:rPr>
        <w:t>0.82</w:t>
      </w:r>
      <w:r>
        <w:rPr>
          <w:sz w:val="24"/>
        </w:rPr>
        <w:t>%,具</w:t>
      </w:r>
      <w:r>
        <w:rPr>
          <w:rFonts w:hint="eastAsia"/>
          <w:sz w:val="24"/>
        </w:rPr>
        <w:t>体的环保项目和投资详见下表。</w:t>
      </w:r>
    </w:p>
    <w:p w14:paraId="1327D4BA">
      <w:pPr>
        <w:spacing w:line="520" w:lineRule="exact"/>
        <w:jc w:val="center"/>
        <w:rPr>
          <w:b/>
          <w:lang w:bidi="ar"/>
        </w:rPr>
      </w:pPr>
      <w:r>
        <w:rPr>
          <w:rFonts w:hint="eastAsia"/>
          <w:b/>
          <w:lang w:bidi="ar"/>
        </w:rPr>
        <w:t>表</w:t>
      </w:r>
      <w:r>
        <w:rPr>
          <w:b/>
          <w:lang w:bidi="ar"/>
        </w:rPr>
        <w:t>6.1-2</w:t>
      </w:r>
      <w:r>
        <w:rPr>
          <w:rFonts w:hint="eastAsia"/>
          <w:b/>
          <w:lang w:bidi="ar"/>
        </w:rPr>
        <w:t xml:space="preserve">  建设项目环保投资一览表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6"/>
        <w:gridCol w:w="1045"/>
        <w:gridCol w:w="1594"/>
        <w:gridCol w:w="3771"/>
        <w:gridCol w:w="2136"/>
      </w:tblGrid>
      <w:tr w14:paraId="20AA8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pct"/>
            <w:gridSpan w:val="3"/>
            <w:tcBorders>
              <w:top w:val="single" w:color="auto" w:sz="18" w:space="0"/>
            </w:tcBorders>
            <w:shd w:val="clear" w:color="auto" w:fill="auto"/>
            <w:vAlign w:val="center"/>
          </w:tcPr>
          <w:p w14:paraId="418F443E">
            <w:pPr>
              <w:jc w:val="center"/>
              <w:rPr>
                <w:b/>
                <w:bCs/>
                <w:szCs w:val="21"/>
              </w:rPr>
            </w:pPr>
            <w:r>
              <w:rPr>
                <w:b/>
                <w:bCs/>
                <w:szCs w:val="21"/>
              </w:rPr>
              <w:t>项目</w:t>
            </w:r>
          </w:p>
        </w:tc>
        <w:tc>
          <w:tcPr>
            <w:tcW w:w="1765" w:type="pct"/>
            <w:tcBorders>
              <w:top w:val="single" w:color="auto" w:sz="18" w:space="0"/>
            </w:tcBorders>
            <w:shd w:val="clear" w:color="auto" w:fill="auto"/>
            <w:vAlign w:val="center"/>
          </w:tcPr>
          <w:p w14:paraId="3CAFEDDC">
            <w:pPr>
              <w:jc w:val="center"/>
              <w:rPr>
                <w:b/>
                <w:bCs/>
                <w:szCs w:val="21"/>
              </w:rPr>
            </w:pPr>
            <w:r>
              <w:rPr>
                <w:b/>
                <w:bCs/>
                <w:szCs w:val="21"/>
              </w:rPr>
              <w:t>主要环保措施</w:t>
            </w:r>
          </w:p>
        </w:tc>
        <w:tc>
          <w:tcPr>
            <w:tcW w:w="1000" w:type="pct"/>
            <w:tcBorders>
              <w:top w:val="single" w:color="auto" w:sz="18" w:space="0"/>
            </w:tcBorders>
            <w:shd w:val="clear" w:color="auto" w:fill="auto"/>
            <w:vAlign w:val="center"/>
          </w:tcPr>
          <w:p w14:paraId="51E762D5">
            <w:pPr>
              <w:jc w:val="center"/>
              <w:rPr>
                <w:b/>
                <w:bCs/>
                <w:szCs w:val="21"/>
              </w:rPr>
            </w:pPr>
            <w:r>
              <w:rPr>
                <w:b/>
                <w:bCs/>
                <w:szCs w:val="21"/>
              </w:rPr>
              <w:t>投资（万元）</w:t>
            </w:r>
          </w:p>
        </w:tc>
      </w:tr>
      <w:tr w14:paraId="1DB7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shd w:val="clear" w:color="auto" w:fill="auto"/>
            <w:vAlign w:val="center"/>
          </w:tcPr>
          <w:p w14:paraId="360DCB9D">
            <w:pPr>
              <w:jc w:val="center"/>
              <w:rPr>
                <w:szCs w:val="21"/>
              </w:rPr>
            </w:pPr>
            <w:r>
              <w:rPr>
                <w:szCs w:val="21"/>
              </w:rPr>
              <w:t>施工期</w:t>
            </w:r>
          </w:p>
        </w:tc>
        <w:tc>
          <w:tcPr>
            <w:tcW w:w="1235" w:type="pct"/>
            <w:gridSpan w:val="2"/>
            <w:shd w:val="clear" w:color="auto" w:fill="auto"/>
            <w:vAlign w:val="center"/>
          </w:tcPr>
          <w:p w14:paraId="2EA66234">
            <w:pPr>
              <w:jc w:val="center"/>
              <w:rPr>
                <w:szCs w:val="21"/>
              </w:rPr>
            </w:pPr>
            <w:r>
              <w:rPr>
                <w:szCs w:val="21"/>
              </w:rPr>
              <w:t>噪声</w:t>
            </w:r>
          </w:p>
        </w:tc>
        <w:tc>
          <w:tcPr>
            <w:tcW w:w="1765" w:type="pct"/>
            <w:shd w:val="clear" w:color="auto" w:fill="auto"/>
            <w:vAlign w:val="center"/>
          </w:tcPr>
          <w:p w14:paraId="5F8A8CC7">
            <w:pPr>
              <w:jc w:val="center"/>
              <w:rPr>
                <w:szCs w:val="21"/>
              </w:rPr>
            </w:pPr>
            <w:r>
              <w:rPr>
                <w:szCs w:val="21"/>
              </w:rPr>
              <w:t>选择低噪声设备，</w:t>
            </w:r>
            <w:r>
              <w:rPr>
                <w:rFonts w:hint="eastAsia"/>
                <w:szCs w:val="21"/>
              </w:rPr>
              <w:t>绿化</w:t>
            </w:r>
            <w:r>
              <w:rPr>
                <w:szCs w:val="21"/>
              </w:rPr>
              <w:t>等措施</w:t>
            </w:r>
          </w:p>
        </w:tc>
        <w:tc>
          <w:tcPr>
            <w:tcW w:w="1000" w:type="pct"/>
            <w:shd w:val="clear" w:color="auto" w:fill="auto"/>
            <w:vAlign w:val="center"/>
          </w:tcPr>
          <w:p w14:paraId="68589956">
            <w:pPr>
              <w:jc w:val="center"/>
              <w:rPr>
                <w:szCs w:val="21"/>
              </w:rPr>
            </w:pPr>
            <w:r>
              <w:rPr>
                <w:rFonts w:hint="eastAsia"/>
                <w:szCs w:val="21"/>
              </w:rPr>
              <w:t>30</w:t>
            </w:r>
          </w:p>
        </w:tc>
      </w:tr>
      <w:tr w14:paraId="6F79E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shd w:val="clear" w:color="auto" w:fill="auto"/>
            <w:vAlign w:val="center"/>
          </w:tcPr>
          <w:p w14:paraId="7E801048">
            <w:pPr>
              <w:jc w:val="center"/>
              <w:rPr>
                <w:szCs w:val="21"/>
              </w:rPr>
            </w:pPr>
            <w:r>
              <w:rPr>
                <w:szCs w:val="21"/>
              </w:rPr>
              <w:t>运营期</w:t>
            </w:r>
          </w:p>
        </w:tc>
        <w:tc>
          <w:tcPr>
            <w:tcW w:w="489" w:type="pct"/>
            <w:shd w:val="clear" w:color="auto" w:fill="auto"/>
            <w:vAlign w:val="center"/>
          </w:tcPr>
          <w:p w14:paraId="2F30A6F8">
            <w:pPr>
              <w:jc w:val="center"/>
              <w:rPr>
                <w:szCs w:val="21"/>
              </w:rPr>
            </w:pPr>
            <w:r>
              <w:rPr>
                <w:szCs w:val="21"/>
              </w:rPr>
              <w:t>噪声</w:t>
            </w:r>
          </w:p>
        </w:tc>
        <w:tc>
          <w:tcPr>
            <w:tcW w:w="746" w:type="pct"/>
            <w:shd w:val="clear" w:color="auto" w:fill="auto"/>
            <w:vAlign w:val="center"/>
          </w:tcPr>
          <w:p w14:paraId="74C78893">
            <w:pPr>
              <w:jc w:val="center"/>
              <w:rPr>
                <w:szCs w:val="21"/>
              </w:rPr>
            </w:pPr>
            <w:r>
              <w:rPr>
                <w:szCs w:val="21"/>
              </w:rPr>
              <w:t>交通噪声</w:t>
            </w:r>
          </w:p>
        </w:tc>
        <w:tc>
          <w:tcPr>
            <w:tcW w:w="1765" w:type="pct"/>
            <w:shd w:val="clear" w:color="auto" w:fill="auto"/>
            <w:vAlign w:val="center"/>
          </w:tcPr>
          <w:p w14:paraId="7FBEBDE3">
            <w:pPr>
              <w:jc w:val="center"/>
              <w:rPr>
                <w:szCs w:val="21"/>
              </w:rPr>
            </w:pPr>
            <w:r>
              <w:rPr>
                <w:szCs w:val="21"/>
              </w:rPr>
              <w:t xml:space="preserve">限速、禁鸣标识设置 </w:t>
            </w:r>
          </w:p>
        </w:tc>
        <w:tc>
          <w:tcPr>
            <w:tcW w:w="1000" w:type="pct"/>
            <w:shd w:val="clear" w:color="auto" w:fill="auto"/>
            <w:vAlign w:val="center"/>
          </w:tcPr>
          <w:p w14:paraId="7DADBF64">
            <w:pPr>
              <w:jc w:val="center"/>
              <w:rPr>
                <w:szCs w:val="21"/>
              </w:rPr>
            </w:pPr>
            <w:r>
              <w:rPr>
                <w:rFonts w:hint="eastAsia"/>
                <w:szCs w:val="21"/>
              </w:rPr>
              <w:t>5</w:t>
            </w:r>
          </w:p>
        </w:tc>
      </w:tr>
      <w:tr w14:paraId="27CBE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0" w:type="pct"/>
            <w:shd w:val="clear" w:color="auto" w:fill="auto"/>
            <w:vAlign w:val="center"/>
          </w:tcPr>
          <w:p w14:paraId="0982D1E7">
            <w:pPr>
              <w:jc w:val="center"/>
              <w:rPr>
                <w:szCs w:val="21"/>
              </w:rPr>
            </w:pPr>
            <w:r>
              <w:rPr>
                <w:szCs w:val="21"/>
              </w:rPr>
              <w:t>监测计划</w:t>
            </w:r>
          </w:p>
        </w:tc>
        <w:tc>
          <w:tcPr>
            <w:tcW w:w="489" w:type="pct"/>
            <w:shd w:val="clear" w:color="auto" w:fill="auto"/>
            <w:vAlign w:val="center"/>
          </w:tcPr>
          <w:p w14:paraId="17F21FAF">
            <w:pPr>
              <w:jc w:val="center"/>
              <w:rPr>
                <w:szCs w:val="21"/>
              </w:rPr>
            </w:pPr>
            <w:r>
              <w:rPr>
                <w:szCs w:val="21"/>
              </w:rPr>
              <w:t>噪声</w:t>
            </w:r>
          </w:p>
        </w:tc>
        <w:tc>
          <w:tcPr>
            <w:tcW w:w="746" w:type="pct"/>
            <w:shd w:val="clear" w:color="auto" w:fill="auto"/>
            <w:vAlign w:val="center"/>
          </w:tcPr>
          <w:p w14:paraId="6E014FA1">
            <w:pPr>
              <w:jc w:val="center"/>
              <w:rPr>
                <w:szCs w:val="21"/>
              </w:rPr>
            </w:pPr>
            <w:r>
              <w:rPr>
                <w:szCs w:val="21"/>
              </w:rPr>
              <w:t>交通噪声和环境噪声</w:t>
            </w:r>
          </w:p>
        </w:tc>
        <w:tc>
          <w:tcPr>
            <w:tcW w:w="1765" w:type="pct"/>
            <w:shd w:val="clear" w:color="auto" w:fill="auto"/>
            <w:vAlign w:val="center"/>
          </w:tcPr>
          <w:p w14:paraId="6FFA9B27">
            <w:pPr>
              <w:jc w:val="center"/>
              <w:rPr>
                <w:szCs w:val="21"/>
              </w:rPr>
            </w:pPr>
            <w:r>
              <w:rPr>
                <w:szCs w:val="21"/>
              </w:rPr>
              <w:t>每年安排一次监测</w:t>
            </w:r>
          </w:p>
        </w:tc>
        <w:tc>
          <w:tcPr>
            <w:tcW w:w="1000" w:type="pct"/>
            <w:shd w:val="clear" w:color="auto" w:fill="auto"/>
            <w:vAlign w:val="center"/>
          </w:tcPr>
          <w:p w14:paraId="6D7224C1">
            <w:pPr>
              <w:jc w:val="center"/>
              <w:rPr>
                <w:szCs w:val="21"/>
              </w:rPr>
            </w:pPr>
            <w:r>
              <w:rPr>
                <w:rFonts w:hint="eastAsia"/>
                <w:szCs w:val="21"/>
              </w:rPr>
              <w:t>5</w:t>
            </w:r>
          </w:p>
        </w:tc>
      </w:tr>
      <w:tr w14:paraId="49D45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pct"/>
            <w:gridSpan w:val="3"/>
            <w:tcBorders>
              <w:bottom w:val="single" w:color="auto" w:sz="18" w:space="0"/>
            </w:tcBorders>
            <w:shd w:val="clear" w:color="auto" w:fill="auto"/>
            <w:vAlign w:val="center"/>
          </w:tcPr>
          <w:p w14:paraId="59F73A97">
            <w:pPr>
              <w:jc w:val="center"/>
              <w:rPr>
                <w:szCs w:val="21"/>
              </w:rPr>
            </w:pPr>
            <w:r>
              <w:rPr>
                <w:szCs w:val="21"/>
              </w:rPr>
              <w:t>合计</w:t>
            </w:r>
          </w:p>
        </w:tc>
        <w:tc>
          <w:tcPr>
            <w:tcW w:w="1765" w:type="pct"/>
            <w:tcBorders>
              <w:bottom w:val="single" w:color="auto" w:sz="18" w:space="0"/>
            </w:tcBorders>
            <w:shd w:val="clear" w:color="auto" w:fill="auto"/>
            <w:vAlign w:val="center"/>
          </w:tcPr>
          <w:p w14:paraId="41B5A944">
            <w:pPr>
              <w:jc w:val="center"/>
              <w:rPr>
                <w:szCs w:val="21"/>
              </w:rPr>
            </w:pPr>
          </w:p>
        </w:tc>
        <w:tc>
          <w:tcPr>
            <w:tcW w:w="1000" w:type="pct"/>
            <w:tcBorders>
              <w:bottom w:val="single" w:color="auto" w:sz="18" w:space="0"/>
            </w:tcBorders>
            <w:shd w:val="clear" w:color="auto" w:fill="auto"/>
            <w:vAlign w:val="center"/>
          </w:tcPr>
          <w:p w14:paraId="5E24DB9D">
            <w:pPr>
              <w:jc w:val="center"/>
              <w:rPr>
                <w:szCs w:val="21"/>
              </w:rPr>
            </w:pPr>
            <w:r>
              <w:rPr>
                <w:rFonts w:hint="eastAsia"/>
                <w:szCs w:val="21"/>
              </w:rPr>
              <w:t>40</w:t>
            </w:r>
          </w:p>
        </w:tc>
      </w:tr>
    </w:tbl>
    <w:p w14:paraId="7CC8DC51">
      <w:pPr>
        <w:spacing w:line="360" w:lineRule="auto"/>
        <w:ind w:firstLine="482" w:firstLineChars="200"/>
        <w:rPr>
          <w:b/>
          <w:bCs/>
          <w:sz w:val="24"/>
        </w:rPr>
      </w:pPr>
    </w:p>
    <w:p w14:paraId="3DF8072F">
      <w:pPr>
        <w:spacing w:line="360" w:lineRule="auto"/>
        <w:ind w:firstLine="482" w:firstLineChars="200"/>
        <w:rPr>
          <w:b/>
          <w:bCs/>
          <w:sz w:val="24"/>
        </w:rPr>
      </w:pPr>
    </w:p>
    <w:p w14:paraId="33467518">
      <w:pPr>
        <w:spacing w:line="360" w:lineRule="auto"/>
        <w:ind w:firstLine="482" w:firstLineChars="200"/>
        <w:rPr>
          <w:b/>
          <w:bCs/>
          <w:sz w:val="24"/>
        </w:rPr>
      </w:pPr>
    </w:p>
    <w:p w14:paraId="12296136">
      <w:pPr>
        <w:spacing w:line="360" w:lineRule="auto"/>
        <w:ind w:firstLine="482" w:firstLineChars="200"/>
        <w:rPr>
          <w:b/>
          <w:bCs/>
          <w:sz w:val="24"/>
        </w:rPr>
      </w:pPr>
    </w:p>
    <w:p w14:paraId="68849538">
      <w:pPr>
        <w:spacing w:line="360" w:lineRule="auto"/>
        <w:ind w:firstLine="482" w:firstLineChars="200"/>
        <w:rPr>
          <w:b/>
          <w:bCs/>
          <w:sz w:val="24"/>
        </w:rPr>
      </w:pPr>
    </w:p>
    <w:p w14:paraId="23C8F42A">
      <w:pPr>
        <w:spacing w:line="360" w:lineRule="auto"/>
        <w:ind w:firstLine="482" w:firstLineChars="200"/>
        <w:rPr>
          <w:b/>
          <w:bCs/>
          <w:sz w:val="24"/>
        </w:rPr>
      </w:pPr>
    </w:p>
    <w:p w14:paraId="56EBF148">
      <w:pPr>
        <w:spacing w:line="360" w:lineRule="auto"/>
        <w:ind w:firstLine="482" w:firstLineChars="200"/>
        <w:rPr>
          <w:b/>
          <w:bCs/>
          <w:sz w:val="24"/>
        </w:rPr>
      </w:pPr>
    </w:p>
    <w:p w14:paraId="6973CD56">
      <w:pPr>
        <w:spacing w:line="360" w:lineRule="auto"/>
        <w:ind w:firstLine="482" w:firstLineChars="200"/>
        <w:rPr>
          <w:b/>
          <w:bCs/>
          <w:sz w:val="24"/>
        </w:rPr>
      </w:pPr>
    </w:p>
    <w:p w14:paraId="5ADE8C35">
      <w:pPr>
        <w:spacing w:line="360" w:lineRule="auto"/>
        <w:ind w:firstLine="482" w:firstLineChars="200"/>
        <w:rPr>
          <w:b/>
          <w:bCs/>
          <w:sz w:val="24"/>
        </w:rPr>
      </w:pPr>
    </w:p>
    <w:p w14:paraId="5BA66D9B">
      <w:pPr>
        <w:spacing w:line="360" w:lineRule="auto"/>
        <w:rPr>
          <w:b/>
          <w:bCs/>
          <w:sz w:val="24"/>
        </w:rPr>
      </w:pPr>
    </w:p>
    <w:p w14:paraId="238A7428">
      <w:pPr>
        <w:spacing w:line="360" w:lineRule="auto"/>
        <w:rPr>
          <w:b/>
          <w:bCs/>
          <w:sz w:val="24"/>
        </w:rPr>
      </w:pPr>
    </w:p>
    <w:p w14:paraId="3B55EBAC">
      <w:pPr>
        <w:rPr>
          <w:sz w:val="44"/>
          <w:szCs w:val="44"/>
        </w:rPr>
        <w:sectPr>
          <w:pgSz w:w="11906" w:h="16838"/>
          <w:pgMar w:top="720" w:right="720" w:bottom="720" w:left="720" w:header="851" w:footer="567" w:gutter="0"/>
          <w:cols w:space="720" w:num="1"/>
          <w:docGrid w:linePitch="312" w:charSpace="0"/>
        </w:sectPr>
      </w:pPr>
    </w:p>
    <w:p w14:paraId="1D27EA1B">
      <w:pPr>
        <w:widowControl/>
        <w:spacing w:line="360" w:lineRule="auto"/>
        <w:jc w:val="center"/>
        <w:outlineLvl w:val="0"/>
        <w:rPr>
          <w:b/>
          <w:bCs/>
          <w:sz w:val="44"/>
          <w:szCs w:val="44"/>
        </w:rPr>
      </w:pPr>
      <w:bookmarkStart w:id="173" w:name="_Toc191907566"/>
      <w:bookmarkStart w:id="174" w:name="_Toc185523916"/>
      <w:bookmarkStart w:id="175" w:name="_Toc185524024"/>
      <w:bookmarkStart w:id="176" w:name="_Toc10830"/>
      <w:bookmarkStart w:id="177" w:name="_Toc187243679"/>
      <w:r>
        <w:rPr>
          <w:b/>
          <w:bCs/>
          <w:sz w:val="44"/>
          <w:szCs w:val="44"/>
        </w:rPr>
        <w:t>7.</w:t>
      </w:r>
      <w:r>
        <w:rPr>
          <w:rFonts w:hint="eastAsia"/>
          <w:b/>
          <w:bCs/>
          <w:sz w:val="44"/>
          <w:szCs w:val="44"/>
        </w:rPr>
        <w:t>结论</w:t>
      </w:r>
      <w:bookmarkEnd w:id="173"/>
      <w:bookmarkEnd w:id="174"/>
      <w:bookmarkEnd w:id="175"/>
      <w:bookmarkEnd w:id="176"/>
      <w:bookmarkEnd w:id="177"/>
    </w:p>
    <w:bookmarkEnd w:id="171"/>
    <w:p w14:paraId="501530F1">
      <w:pPr>
        <w:spacing w:line="360" w:lineRule="auto"/>
        <w:ind w:firstLine="480" w:firstLineChars="200"/>
        <w:rPr>
          <w:sz w:val="24"/>
        </w:rPr>
      </w:pPr>
      <w:r>
        <w:rPr>
          <w:rFonts w:hint="eastAsia"/>
          <w:sz w:val="24"/>
        </w:rPr>
        <w:t>本项目为道路新建项目，道路等级为城市主干路。</w:t>
      </w:r>
      <w:r>
        <w:rPr>
          <w:sz w:val="24"/>
        </w:rPr>
        <w:t>根据</w:t>
      </w:r>
      <w:r>
        <w:rPr>
          <w:rFonts w:hint="eastAsia"/>
          <w:sz w:val="24"/>
        </w:rPr>
        <w:t>《惠州市声环境功能区划分方案（2022年）》（惠市环〔2022〕33号），本项目所在区域属于声环境2类功能区，则项目道路两侧35m内为声环境4类功能区，执行《声环境质量标准》（GB3096-2008）4a类标准，项目两侧35m外为声环境2类功能区，执行《声环境质量标准》（GB3096-2008）2 类标准。</w:t>
      </w:r>
    </w:p>
    <w:p w14:paraId="4D4C15CE">
      <w:pPr>
        <w:spacing w:line="360" w:lineRule="auto"/>
        <w:ind w:firstLine="480" w:firstLineChars="200"/>
        <w:rPr>
          <w:sz w:val="24"/>
        </w:rPr>
      </w:pPr>
      <w:r>
        <w:rPr>
          <w:rFonts w:hint="eastAsia"/>
          <w:sz w:val="24"/>
        </w:rPr>
        <w:t>本项目声环境现状监测共布设6个点，监测点分别设在距离拟建道路路中心线20m、40m、60m、120m、150m、200m处，根据现状监测结果可知，6个点昼间、夜间均满足《声环境质量标准》（GB3096-2008）2 类标准值。</w:t>
      </w:r>
    </w:p>
    <w:p w14:paraId="50A4780F">
      <w:pPr>
        <w:spacing w:line="360" w:lineRule="auto"/>
        <w:ind w:firstLine="480" w:firstLineChars="200"/>
        <w:rPr>
          <w:sz w:val="24"/>
          <w:lang w:bidi="ar"/>
        </w:rPr>
      </w:pPr>
      <w:r>
        <w:rPr>
          <w:rFonts w:hint="eastAsia"/>
          <w:sz w:val="24"/>
          <w:lang w:bidi="ar"/>
        </w:rPr>
        <w:t>根据施工期预测结果可知，不同施工阶段场界外</w:t>
      </w:r>
      <w:r>
        <w:rPr>
          <w:sz w:val="24"/>
          <w:lang w:bidi="ar"/>
        </w:rPr>
        <w:t>150m外均能达到《建筑施工场界环境噪声排放标准》(GB125232011)的昼间标准(夜间不施工)</w:t>
      </w:r>
      <w:r>
        <w:rPr>
          <w:rFonts w:hint="eastAsia"/>
          <w:sz w:val="24"/>
          <w:lang w:bidi="ar"/>
        </w:rPr>
        <w:t>。</w:t>
      </w:r>
    </w:p>
    <w:p w14:paraId="56A2324B">
      <w:pPr>
        <w:spacing w:line="360" w:lineRule="auto"/>
        <w:ind w:firstLine="480" w:firstLineChars="200"/>
        <w:rPr>
          <w:sz w:val="24"/>
          <w:lang w:bidi="ar"/>
        </w:rPr>
      </w:pPr>
      <w:r>
        <w:rPr>
          <w:rFonts w:hint="eastAsia"/>
          <w:sz w:val="24"/>
          <w:lang w:bidi="ar"/>
        </w:rPr>
        <w:t>根据运营期预测结果可知，</w:t>
      </w:r>
      <w:r>
        <w:rPr>
          <w:rFonts w:hint="eastAsia"/>
          <w:bCs/>
          <w:sz w:val="24"/>
          <w:lang w:bidi="ar"/>
        </w:rPr>
        <w:t>本项目建成后2类区近期达标昼间达标距离为60m，夜间达标距离为150m；中期达标昼间达标距离为70m，夜间达标距离为180m；远期达标昼间达标距离为90m，夜间达标距离为230m。</w:t>
      </w:r>
      <w:r>
        <w:rPr>
          <w:rFonts w:hint="eastAsia"/>
          <w:sz w:val="24"/>
          <w:lang w:bidi="ar"/>
        </w:rPr>
        <w:t>预测各主要路段水平声场分布情况，考虑噪声距离衰减、空气衰减、地面效应、纵坡修正、路面修正的影响，考虑地形、建筑物遮挡下</w:t>
      </w:r>
      <w:r>
        <w:rPr>
          <w:sz w:val="24"/>
          <w:lang w:bidi="ar"/>
        </w:rPr>
        <w:t>，</w:t>
      </w:r>
      <w:r>
        <w:rPr>
          <w:kern w:val="0"/>
          <w:sz w:val="24"/>
          <w:lang w:bidi="en-US"/>
        </w:rPr>
        <w:t>项目运营期交通噪声影响程度随车流量的增大而增大，远期&gt;中期&gt;</w:t>
      </w:r>
      <w:r>
        <w:rPr>
          <w:rFonts w:hint="eastAsia"/>
          <w:kern w:val="0"/>
          <w:sz w:val="24"/>
          <w:lang w:bidi="en-US"/>
        </w:rPr>
        <w:t>近</w:t>
      </w:r>
      <w:r>
        <w:rPr>
          <w:kern w:val="0"/>
          <w:sz w:val="24"/>
          <w:lang w:bidi="en-US"/>
        </w:rPr>
        <w:t>期，相同预测年份交通噪声</w:t>
      </w:r>
      <w:r>
        <w:rPr>
          <w:rFonts w:hint="eastAsia"/>
          <w:kern w:val="0"/>
          <w:sz w:val="24"/>
          <w:lang w:bidi="en-US"/>
        </w:rPr>
        <w:t>昼间预测结果大于夜间预测结果，</w:t>
      </w:r>
      <w:r>
        <w:rPr>
          <w:rFonts w:hint="eastAsia"/>
          <w:kern w:val="0"/>
          <w:sz w:val="24"/>
        </w:rPr>
        <w:t>远期噪声预测值大于近期噪声预测值</w:t>
      </w:r>
      <w:r>
        <w:rPr>
          <w:kern w:val="0"/>
          <w:sz w:val="24"/>
          <w:lang w:bidi="en-US"/>
        </w:rPr>
        <w:t>，交通噪声随着距道路中心线增加噪声值逐渐减小，且近距离处衰减比较迅速，远距离处衰减较缓慢</w:t>
      </w:r>
      <w:r>
        <w:rPr>
          <w:rFonts w:hint="eastAsia"/>
          <w:kern w:val="0"/>
          <w:sz w:val="24"/>
          <w:lang w:bidi="en-US"/>
        </w:rPr>
        <w:t>。</w:t>
      </w:r>
    </w:p>
    <w:p w14:paraId="6DCC1E79">
      <w:pPr>
        <w:spacing w:line="360" w:lineRule="auto"/>
        <w:ind w:firstLine="480" w:firstLineChars="200"/>
        <w:rPr>
          <w:sz w:val="24"/>
          <w:lang w:bidi="ar"/>
        </w:rPr>
      </w:pPr>
      <w:r>
        <w:rPr>
          <w:rFonts w:hint="eastAsia"/>
          <w:bCs/>
          <w:sz w:val="24"/>
          <w:lang w:bidi="ar"/>
        </w:rPr>
        <w:t>本项目预测2类区远期噪声最远达标距离为230m，因此声环境影响评价范围</w:t>
      </w:r>
      <w:r>
        <w:rPr>
          <w:rFonts w:hint="eastAsia"/>
          <w:bCs/>
          <w:sz w:val="24"/>
        </w:rPr>
        <w:t>为道路中心线两侧230</w:t>
      </w:r>
      <w:r>
        <w:rPr>
          <w:bCs/>
          <w:sz w:val="24"/>
        </w:rPr>
        <w:t>米包络线以内的范围</w:t>
      </w:r>
      <w:r>
        <w:rPr>
          <w:rFonts w:hint="eastAsia"/>
          <w:bCs/>
          <w:sz w:val="24"/>
        </w:rPr>
        <w:t>，根据现场踏勘，项目评价范围不涉及声环境现状保护目标和声环境规划保护目标。</w:t>
      </w:r>
    </w:p>
    <w:p w14:paraId="6023286A">
      <w:pPr>
        <w:autoSpaceDE w:val="0"/>
        <w:autoSpaceDN w:val="0"/>
        <w:adjustRightInd w:val="0"/>
        <w:spacing w:line="360" w:lineRule="auto"/>
        <w:ind w:firstLine="480" w:firstLineChars="200"/>
        <w:rPr>
          <w:kern w:val="0"/>
          <w:sz w:val="24"/>
          <w:lang w:bidi="ar"/>
        </w:rPr>
      </w:pPr>
      <w:r>
        <w:rPr>
          <w:rFonts w:hint="eastAsia"/>
          <w:kern w:val="0"/>
          <w:sz w:val="24"/>
          <w:lang w:bidi="ar"/>
        </w:rPr>
        <w:t>本项目建成运营后，交通噪声对周边声环境的影响受诸多因素影响，建设单位应注意预留后期交通及市政配套设施噪声防治措施的必需经费，对于因本项目交通噪声而产生的超标情况，应及时进行评估并积极采取相应噪声控制措施等，切实保障两侧的声环境质量，项目建成后落实各项降噪措施，可保证项目对周边敏感点影响不大</w:t>
      </w:r>
      <w:r>
        <w:rPr>
          <w:kern w:val="0"/>
          <w:sz w:val="24"/>
          <w:lang w:bidi="ar"/>
        </w:rPr>
        <w:t>。</w:t>
      </w:r>
    </w:p>
    <w:p w14:paraId="48474915">
      <w:pPr>
        <w:autoSpaceDE w:val="0"/>
        <w:autoSpaceDN w:val="0"/>
        <w:adjustRightInd w:val="0"/>
        <w:spacing w:line="360" w:lineRule="auto"/>
        <w:ind w:firstLine="480" w:firstLineChars="200"/>
        <w:rPr>
          <w:sz w:val="24"/>
          <w:lang w:bidi="ar"/>
        </w:rPr>
      </w:pPr>
      <w:r>
        <w:rPr>
          <w:rFonts w:hint="eastAsia"/>
          <w:sz w:val="24"/>
          <w:lang w:bidi="ar"/>
        </w:rPr>
        <w:t>在采取绿化降噪及使用改性沥青低噪声路面等工程降噪措施以及加强交通管理措施如控制车速、禁止鸣笛等管理措施、严格控制大型车在夜间的超速行驶行为后，沿线敏感点通过墙体、窗户隔声减噪，可保持较好的居住环境。</w:t>
      </w:r>
    </w:p>
    <w:p w14:paraId="101CC321">
      <w:pPr>
        <w:autoSpaceDE w:val="0"/>
        <w:autoSpaceDN w:val="0"/>
        <w:adjustRightInd w:val="0"/>
        <w:spacing w:line="360" w:lineRule="auto"/>
        <w:ind w:firstLine="480" w:firstLineChars="200"/>
        <w:rPr>
          <w:sz w:val="24"/>
          <w:lang w:bidi="ar"/>
        </w:rPr>
        <w:sectPr>
          <w:pgSz w:w="11906" w:h="16838"/>
          <w:pgMar w:top="720" w:right="720" w:bottom="720" w:left="720" w:header="851" w:footer="567" w:gutter="0"/>
          <w:cols w:space="720" w:num="1"/>
          <w:docGrid w:linePitch="312" w:charSpace="0"/>
        </w:sectPr>
      </w:pPr>
    </w:p>
    <w:p w14:paraId="6A2615DB">
      <w:pPr>
        <w:autoSpaceDE w:val="0"/>
        <w:autoSpaceDN w:val="0"/>
        <w:adjustRightInd w:val="0"/>
        <w:spacing w:line="360" w:lineRule="auto"/>
        <w:ind w:firstLine="480" w:firstLineChars="200"/>
        <w:rPr>
          <w:sz w:val="24"/>
          <w:lang w:bidi="ar"/>
        </w:rPr>
      </w:pPr>
    </w:p>
    <w:p w14:paraId="087786C2">
      <w:pPr>
        <w:autoSpaceDE w:val="0"/>
        <w:autoSpaceDN w:val="0"/>
        <w:spacing w:before="43"/>
        <w:ind w:right="173"/>
        <w:jc w:val="center"/>
        <w:rPr>
          <w:rFonts w:hint="eastAsia" w:ascii="黑体" w:hAnsi="宋体" w:eastAsia="黑体" w:cs="宋体"/>
          <w:kern w:val="0"/>
          <w:sz w:val="36"/>
          <w:szCs w:val="36"/>
          <w:lang w:val="zh-CN" w:bidi="zh-CN"/>
        </w:rPr>
      </w:pPr>
      <w:r>
        <w:rPr>
          <w:rFonts w:hint="eastAsia" w:ascii="黑体" w:hAnsi="宋体" w:eastAsia="黑体" w:cs="宋体"/>
          <w:kern w:val="0"/>
          <w:sz w:val="36"/>
          <w:szCs w:val="36"/>
          <w:lang w:val="zh-CN" w:bidi="zh-CN"/>
        </w:rPr>
        <w:t>声环境影响评价自查表</w:t>
      </w:r>
    </w:p>
    <w:p w14:paraId="50E7E57D">
      <w:pPr>
        <w:autoSpaceDE w:val="0"/>
        <w:autoSpaceDN w:val="0"/>
        <w:jc w:val="left"/>
        <w:rPr>
          <w:rFonts w:hint="eastAsia" w:ascii="黑体" w:hAnsi="宋体" w:cs="宋体"/>
          <w:kern w:val="0"/>
          <w:szCs w:val="22"/>
          <w:lang w:val="zh-CN" w:bidi="zh-CN"/>
        </w:rPr>
      </w:pPr>
    </w:p>
    <w:p w14:paraId="498A6829">
      <w:pPr>
        <w:autoSpaceDE w:val="0"/>
        <w:autoSpaceDN w:val="0"/>
        <w:spacing w:before="3"/>
        <w:jc w:val="left"/>
        <w:rPr>
          <w:rFonts w:hint="eastAsia" w:ascii="黑体" w:hAnsi="宋体" w:cs="宋体"/>
          <w:kern w:val="0"/>
          <w:sz w:val="11"/>
          <w:szCs w:val="22"/>
          <w:lang w:val="zh-CN" w:bidi="zh-CN"/>
        </w:rPr>
      </w:pPr>
    </w:p>
    <w:tbl>
      <w:tblPr>
        <w:tblStyle w:val="1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8"/>
        <w:gridCol w:w="1647"/>
        <w:gridCol w:w="1272"/>
        <w:gridCol w:w="641"/>
        <w:gridCol w:w="369"/>
        <w:gridCol w:w="272"/>
        <w:gridCol w:w="1249"/>
        <w:gridCol w:w="792"/>
        <w:gridCol w:w="520"/>
        <w:gridCol w:w="641"/>
        <w:gridCol w:w="595"/>
        <w:gridCol w:w="1310"/>
      </w:tblGrid>
      <w:tr w14:paraId="139BA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343" w:type="pct"/>
            <w:gridSpan w:val="2"/>
            <w:tcBorders>
              <w:top w:val="single" w:color="auto" w:sz="18" w:space="0"/>
            </w:tcBorders>
            <w:shd w:val="clear" w:color="auto" w:fill="auto"/>
            <w:vAlign w:val="center"/>
          </w:tcPr>
          <w:p w14:paraId="08EA9EEF">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工作内容</w:t>
            </w:r>
          </w:p>
        </w:tc>
        <w:tc>
          <w:tcPr>
            <w:tcW w:w="3657" w:type="pct"/>
            <w:gridSpan w:val="10"/>
            <w:tcBorders>
              <w:top w:val="single" w:color="auto" w:sz="18" w:space="0"/>
            </w:tcBorders>
            <w:shd w:val="clear" w:color="auto" w:fill="auto"/>
            <w:vAlign w:val="center"/>
          </w:tcPr>
          <w:p w14:paraId="41D8B3E8">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自查项目</w:t>
            </w:r>
          </w:p>
        </w:tc>
      </w:tr>
      <w:tr w14:paraId="5F935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restart"/>
            <w:shd w:val="clear" w:color="auto" w:fill="auto"/>
            <w:vAlign w:val="center"/>
          </w:tcPr>
          <w:p w14:paraId="552BAED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评价等级与范围</w:t>
            </w:r>
          </w:p>
        </w:tc>
        <w:tc>
          <w:tcPr>
            <w:tcW w:w="786" w:type="pct"/>
            <w:shd w:val="clear" w:color="auto" w:fill="auto"/>
            <w:vAlign w:val="center"/>
          </w:tcPr>
          <w:p w14:paraId="6BDD2D14">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评价等级</w:t>
            </w:r>
          </w:p>
        </w:tc>
        <w:tc>
          <w:tcPr>
            <w:tcW w:w="3657" w:type="pct"/>
            <w:gridSpan w:val="10"/>
            <w:shd w:val="clear" w:color="auto" w:fill="auto"/>
            <w:vAlign w:val="center"/>
          </w:tcPr>
          <w:p w14:paraId="27174D0F">
            <w:pPr>
              <w:tabs>
                <w:tab w:val="left" w:pos="2103"/>
                <w:tab w:val="left" w:pos="3635"/>
              </w:tabs>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一级</w:t>
            </w:r>
            <w:r>
              <w:rPr>
                <w:rFonts w:asciiTheme="minorHAnsi" w:hAnsiTheme="minorHAnsi" w:eastAsiaTheme="minorEastAsia" w:cstheme="minorBidi"/>
                <w:b/>
                <w:bCs/>
                <w:sz w:val="20"/>
                <w:szCs w:val="21"/>
                <w:lang w:eastAsia="en-US"/>
              </w:rPr>
              <w:sym w:font="Wingdings 2" w:char="0052"/>
            </w:r>
            <w:r>
              <w:rPr>
                <w:rFonts w:asciiTheme="minorHAnsi" w:hAnsiTheme="minorHAnsi" w:eastAsiaTheme="minorEastAsia" w:cstheme="minorBidi"/>
                <w:kern w:val="0"/>
                <w:sz w:val="20"/>
                <w:szCs w:val="21"/>
                <w:lang w:val="zh-CN" w:eastAsia="en-US" w:bidi="zh-CN"/>
              </w:rPr>
              <w:tab/>
            </w:r>
            <w:r>
              <w:rPr>
                <w:rFonts w:asciiTheme="minorHAnsi" w:hAnsiTheme="minorHAnsi" w:eastAsiaTheme="minorEastAsia" w:cstheme="minorBidi"/>
                <w:kern w:val="0"/>
                <w:sz w:val="20"/>
                <w:szCs w:val="21"/>
                <w:lang w:val="zh-CN" w:eastAsia="en-US" w:bidi="zh-CN"/>
              </w:rPr>
              <w:t>二</w:t>
            </w:r>
            <w:r>
              <w:rPr>
                <w:rFonts w:asciiTheme="minorHAnsi" w:hAnsiTheme="minorHAnsi" w:eastAsiaTheme="minorEastAsia" w:cstheme="minorBidi"/>
                <w:spacing w:val="-3"/>
                <w:kern w:val="0"/>
                <w:sz w:val="20"/>
                <w:szCs w:val="21"/>
                <w:lang w:val="zh-CN" w:eastAsia="en-US" w:bidi="zh-CN"/>
              </w:rPr>
              <w:t>级</w:t>
            </w:r>
            <w:r>
              <w:rPr>
                <w:rFonts w:asciiTheme="minorHAnsi" w:hAnsiTheme="minorHAnsi" w:eastAsiaTheme="minorEastAsia" w:cstheme="minorBidi"/>
                <w:kern w:val="0"/>
                <w:sz w:val="20"/>
                <w:szCs w:val="21"/>
                <w:lang w:val="zh-CN" w:eastAsia="en-US" w:bidi="zh-CN"/>
              </w:rPr>
              <w:t>□</w:t>
            </w:r>
            <w:r>
              <w:rPr>
                <w:rFonts w:asciiTheme="minorHAnsi" w:hAnsiTheme="minorHAnsi" w:eastAsiaTheme="minorEastAsia" w:cstheme="minorBidi"/>
                <w:kern w:val="0"/>
                <w:sz w:val="20"/>
                <w:szCs w:val="21"/>
                <w:lang w:val="zh-CN" w:eastAsia="en-US" w:bidi="zh-CN"/>
              </w:rPr>
              <w:tab/>
            </w:r>
            <w:r>
              <w:rPr>
                <w:rFonts w:asciiTheme="minorHAnsi" w:hAnsiTheme="minorHAnsi" w:eastAsiaTheme="minorEastAsia" w:cstheme="minorBidi"/>
                <w:kern w:val="0"/>
                <w:sz w:val="20"/>
                <w:szCs w:val="21"/>
                <w:lang w:val="zh-CN" w:eastAsia="en-US" w:bidi="zh-CN"/>
              </w:rPr>
              <w:t>三级□</w:t>
            </w:r>
          </w:p>
        </w:tc>
      </w:tr>
      <w:tr w14:paraId="28B5F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703A2D0B">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44EC9C85">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评价范围</w:t>
            </w:r>
          </w:p>
        </w:tc>
        <w:tc>
          <w:tcPr>
            <w:tcW w:w="3657" w:type="pct"/>
            <w:gridSpan w:val="10"/>
            <w:shd w:val="clear" w:color="auto" w:fill="auto"/>
            <w:vAlign w:val="center"/>
          </w:tcPr>
          <w:p w14:paraId="0FC69CF9">
            <w:pPr>
              <w:tabs>
                <w:tab w:val="left" w:pos="2384"/>
                <w:tab w:val="left" w:pos="5315"/>
              </w:tabs>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200</w:t>
            </w:r>
            <w:r>
              <w:rPr>
                <w:rFonts w:asciiTheme="minorHAnsi" w:hAnsiTheme="minorHAnsi" w:eastAsiaTheme="minorEastAsia" w:cstheme="minorBidi"/>
                <w:spacing w:val="-2"/>
                <w:kern w:val="0"/>
                <w:sz w:val="20"/>
                <w:szCs w:val="21"/>
                <w:lang w:val="zh-CN" w:eastAsia="zh-CN" w:bidi="zh-CN"/>
              </w:rPr>
              <w:t xml:space="preserve"> </w:t>
            </w:r>
            <w:r>
              <w:rPr>
                <w:rFonts w:asciiTheme="minorHAnsi" w:hAnsiTheme="minorHAnsi" w:eastAsiaTheme="minorEastAsia" w:cstheme="minorBidi"/>
                <w:kern w:val="0"/>
                <w:sz w:val="20"/>
                <w:szCs w:val="21"/>
                <w:lang w:val="zh-CN" w:eastAsia="zh-CN" w:bidi="zh-CN"/>
              </w:rPr>
              <w:t>m□</w:t>
            </w:r>
            <w:r>
              <w:rPr>
                <w:rFonts w:asciiTheme="minorHAnsi" w:hAnsiTheme="minorHAnsi" w:eastAsiaTheme="minorEastAsia" w:cstheme="minorBidi"/>
                <w:kern w:val="0"/>
                <w:sz w:val="20"/>
                <w:szCs w:val="21"/>
                <w:lang w:val="zh-CN" w:eastAsia="zh-CN" w:bidi="zh-CN"/>
              </w:rPr>
              <w:tab/>
            </w:r>
            <w:r>
              <w:rPr>
                <w:rFonts w:asciiTheme="minorHAnsi" w:hAnsiTheme="minorHAnsi" w:eastAsiaTheme="minorEastAsia" w:cstheme="minorBidi"/>
                <w:b/>
                <w:bCs/>
                <w:spacing w:val="-3"/>
                <w:kern w:val="0"/>
                <w:sz w:val="20"/>
                <w:szCs w:val="21"/>
                <w:lang w:val="zh-CN" w:eastAsia="zh-CN" w:bidi="zh-CN"/>
              </w:rPr>
              <w:t>大</w:t>
            </w:r>
            <w:r>
              <w:rPr>
                <w:rFonts w:asciiTheme="minorHAnsi" w:hAnsiTheme="minorHAnsi" w:eastAsiaTheme="minorEastAsia" w:cstheme="minorBidi"/>
                <w:b/>
                <w:bCs/>
                <w:kern w:val="0"/>
                <w:sz w:val="20"/>
                <w:szCs w:val="21"/>
                <w:lang w:val="zh-CN" w:eastAsia="zh-CN" w:bidi="zh-CN"/>
              </w:rPr>
              <w:t>于</w:t>
            </w:r>
            <w:r>
              <w:rPr>
                <w:rFonts w:asciiTheme="minorHAnsi" w:hAnsiTheme="minorHAnsi" w:eastAsiaTheme="minorEastAsia" w:cstheme="minorBidi"/>
                <w:b/>
                <w:bCs/>
                <w:spacing w:val="-46"/>
                <w:kern w:val="0"/>
                <w:sz w:val="20"/>
                <w:szCs w:val="21"/>
                <w:lang w:val="zh-CN" w:eastAsia="zh-CN" w:bidi="zh-CN"/>
              </w:rPr>
              <w:t xml:space="preserve"> </w:t>
            </w:r>
            <w:r>
              <w:rPr>
                <w:rFonts w:asciiTheme="minorHAnsi" w:hAnsiTheme="minorHAnsi" w:eastAsiaTheme="minorEastAsia" w:cstheme="minorBidi"/>
                <w:b/>
                <w:bCs/>
                <w:kern w:val="0"/>
                <w:sz w:val="20"/>
                <w:szCs w:val="21"/>
                <w:lang w:val="zh-CN" w:eastAsia="zh-CN" w:bidi="zh-CN"/>
              </w:rPr>
              <w:t>200 m</w:t>
            </w:r>
            <w:r>
              <w:rPr>
                <w:rFonts w:asciiTheme="minorHAnsi" w:hAnsiTheme="minorHAnsi" w:eastAsiaTheme="minorEastAsia" w:cstheme="minorBidi"/>
                <w:b/>
                <w:bCs/>
                <w:sz w:val="20"/>
                <w:szCs w:val="21"/>
                <w:lang w:eastAsia="en-US"/>
              </w:rPr>
              <w:sym w:font="Wingdings 2" w:char="0052"/>
            </w:r>
            <w:r>
              <w:rPr>
                <w:rFonts w:hint="eastAsia" w:asciiTheme="minorHAnsi" w:hAnsiTheme="minorHAnsi" w:eastAsiaTheme="minorEastAsia" w:cstheme="minorBidi"/>
                <w:kern w:val="0"/>
                <w:sz w:val="20"/>
                <w:szCs w:val="21"/>
                <w:lang w:val="zh-CN" w:eastAsia="zh-CN" w:bidi="zh-CN"/>
              </w:rPr>
              <w:t>（230m）</w:t>
            </w:r>
            <w:r>
              <w:rPr>
                <w:rFonts w:asciiTheme="minorHAnsi" w:hAnsiTheme="minorHAnsi" w:eastAsiaTheme="minorEastAsia" w:cstheme="minorBidi"/>
                <w:kern w:val="0"/>
                <w:sz w:val="20"/>
                <w:szCs w:val="21"/>
                <w:lang w:val="zh-CN" w:eastAsia="zh-CN" w:bidi="zh-CN"/>
              </w:rPr>
              <w:tab/>
            </w:r>
            <w:r>
              <w:rPr>
                <w:rFonts w:asciiTheme="minorHAnsi" w:hAnsiTheme="minorHAnsi" w:eastAsiaTheme="minorEastAsia" w:cstheme="minorBidi"/>
                <w:kern w:val="0"/>
                <w:sz w:val="20"/>
                <w:szCs w:val="21"/>
                <w:lang w:val="zh-CN" w:eastAsia="zh-CN" w:bidi="zh-CN"/>
              </w:rPr>
              <w:t>小于</w:t>
            </w:r>
            <w:r>
              <w:rPr>
                <w:rFonts w:asciiTheme="minorHAnsi" w:hAnsiTheme="minorHAnsi" w:eastAsiaTheme="minorEastAsia" w:cstheme="minorBidi"/>
                <w:spacing w:val="-48"/>
                <w:kern w:val="0"/>
                <w:sz w:val="20"/>
                <w:szCs w:val="21"/>
                <w:lang w:val="zh-CN" w:eastAsia="zh-CN" w:bidi="zh-CN"/>
              </w:rPr>
              <w:t xml:space="preserve"> </w:t>
            </w:r>
            <w:r>
              <w:rPr>
                <w:rFonts w:asciiTheme="minorHAnsi" w:hAnsiTheme="minorHAnsi" w:eastAsiaTheme="minorEastAsia" w:cstheme="minorBidi"/>
                <w:kern w:val="0"/>
                <w:sz w:val="20"/>
                <w:szCs w:val="21"/>
                <w:lang w:val="zh-CN" w:eastAsia="zh-CN" w:bidi="zh-CN"/>
              </w:rPr>
              <w:t>200 m□</w:t>
            </w:r>
          </w:p>
        </w:tc>
      </w:tr>
      <w:tr w14:paraId="3DD9B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shd w:val="clear" w:color="auto" w:fill="auto"/>
            <w:vAlign w:val="center"/>
          </w:tcPr>
          <w:p w14:paraId="3B26402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评价因子</w:t>
            </w:r>
          </w:p>
        </w:tc>
        <w:tc>
          <w:tcPr>
            <w:tcW w:w="786" w:type="pct"/>
            <w:shd w:val="clear" w:color="auto" w:fill="auto"/>
            <w:vAlign w:val="center"/>
          </w:tcPr>
          <w:p w14:paraId="2CDF89E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评价因子</w:t>
            </w:r>
          </w:p>
        </w:tc>
        <w:tc>
          <w:tcPr>
            <w:tcW w:w="1089" w:type="pct"/>
            <w:gridSpan w:val="3"/>
            <w:shd w:val="clear" w:color="auto" w:fill="auto"/>
            <w:vAlign w:val="center"/>
          </w:tcPr>
          <w:p w14:paraId="777EDDDA">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等效连续 A 声级</w:t>
            </w:r>
            <w:r>
              <w:rPr>
                <w:rFonts w:asciiTheme="minorHAnsi" w:hAnsiTheme="minorHAnsi" w:eastAsiaTheme="minorEastAsia" w:cstheme="minorBidi"/>
                <w:b/>
                <w:bCs/>
                <w:sz w:val="20"/>
                <w:szCs w:val="21"/>
                <w:lang w:eastAsia="en-US"/>
              </w:rPr>
              <w:sym w:font="Wingdings 2" w:char="0052"/>
            </w:r>
          </w:p>
        </w:tc>
        <w:tc>
          <w:tcPr>
            <w:tcW w:w="130" w:type="pct"/>
            <w:shd w:val="clear" w:color="auto" w:fill="auto"/>
            <w:vAlign w:val="center"/>
          </w:tcPr>
          <w:p w14:paraId="3A420D07">
            <w:pPr>
              <w:autoSpaceDE/>
              <w:autoSpaceDN/>
              <w:jc w:val="center"/>
              <w:rPr>
                <w:rFonts w:hint="eastAsia" w:asciiTheme="minorHAnsi" w:hAnsiTheme="minorHAnsi" w:eastAsiaTheme="minorEastAsia" w:cstheme="minorBidi"/>
                <w:kern w:val="0"/>
                <w:sz w:val="20"/>
                <w:szCs w:val="21"/>
                <w:lang w:val="zh-CN" w:eastAsia="en-US" w:bidi="zh-CN"/>
              </w:rPr>
            </w:pPr>
          </w:p>
        </w:tc>
        <w:tc>
          <w:tcPr>
            <w:tcW w:w="974" w:type="pct"/>
            <w:gridSpan w:val="2"/>
            <w:shd w:val="clear" w:color="auto" w:fill="auto"/>
            <w:vAlign w:val="center"/>
          </w:tcPr>
          <w:p w14:paraId="158E36A3">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最大 A 声级□</w:t>
            </w:r>
          </w:p>
        </w:tc>
        <w:tc>
          <w:tcPr>
            <w:tcW w:w="1464" w:type="pct"/>
            <w:gridSpan w:val="4"/>
            <w:shd w:val="clear" w:color="auto" w:fill="auto"/>
            <w:vAlign w:val="center"/>
          </w:tcPr>
          <w:p w14:paraId="44C976AF">
            <w:pPr>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计权等效连续感觉噪声级□</w:t>
            </w:r>
          </w:p>
        </w:tc>
      </w:tr>
      <w:tr w14:paraId="580D5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shd w:val="clear" w:color="auto" w:fill="auto"/>
            <w:vAlign w:val="center"/>
          </w:tcPr>
          <w:p w14:paraId="71373CB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评价标准</w:t>
            </w:r>
          </w:p>
        </w:tc>
        <w:tc>
          <w:tcPr>
            <w:tcW w:w="786" w:type="pct"/>
            <w:shd w:val="clear" w:color="auto" w:fill="auto"/>
            <w:vAlign w:val="center"/>
          </w:tcPr>
          <w:p w14:paraId="6FA5CDE3">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评价标准</w:t>
            </w:r>
          </w:p>
        </w:tc>
        <w:tc>
          <w:tcPr>
            <w:tcW w:w="913" w:type="pct"/>
            <w:gridSpan w:val="2"/>
            <w:shd w:val="clear" w:color="auto" w:fill="auto"/>
            <w:vAlign w:val="center"/>
          </w:tcPr>
          <w:p w14:paraId="0E7EB64B">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国家标准</w:t>
            </w:r>
            <w:r>
              <w:rPr>
                <w:rFonts w:asciiTheme="minorHAnsi" w:hAnsiTheme="minorHAnsi" w:eastAsiaTheme="minorEastAsia" w:cstheme="minorBidi"/>
                <w:b/>
                <w:bCs/>
                <w:sz w:val="20"/>
                <w:szCs w:val="21"/>
                <w:lang w:eastAsia="en-US"/>
              </w:rPr>
              <w:sym w:font="Wingdings 2" w:char="0052"/>
            </w:r>
          </w:p>
        </w:tc>
        <w:tc>
          <w:tcPr>
            <w:tcW w:w="176" w:type="pct"/>
            <w:shd w:val="clear" w:color="auto" w:fill="auto"/>
            <w:vAlign w:val="center"/>
          </w:tcPr>
          <w:p w14:paraId="5C4E5997">
            <w:pPr>
              <w:autoSpaceDE/>
              <w:autoSpaceDN/>
              <w:jc w:val="center"/>
              <w:rPr>
                <w:rFonts w:hint="eastAsia" w:asciiTheme="minorHAnsi" w:hAnsiTheme="minorHAnsi" w:eastAsiaTheme="minorEastAsia" w:cstheme="minorBidi"/>
                <w:kern w:val="0"/>
                <w:sz w:val="20"/>
                <w:szCs w:val="21"/>
                <w:lang w:val="zh-CN" w:eastAsia="en-US" w:bidi="zh-CN"/>
              </w:rPr>
            </w:pPr>
          </w:p>
        </w:tc>
        <w:tc>
          <w:tcPr>
            <w:tcW w:w="130" w:type="pct"/>
            <w:shd w:val="clear" w:color="auto" w:fill="auto"/>
            <w:vAlign w:val="center"/>
          </w:tcPr>
          <w:p w14:paraId="2BA5D129">
            <w:pPr>
              <w:autoSpaceDE/>
              <w:autoSpaceDN/>
              <w:jc w:val="center"/>
              <w:rPr>
                <w:rFonts w:hint="eastAsia" w:asciiTheme="minorHAnsi" w:hAnsiTheme="minorHAnsi" w:eastAsiaTheme="minorEastAsia" w:cstheme="minorBidi"/>
                <w:kern w:val="0"/>
                <w:sz w:val="20"/>
                <w:szCs w:val="21"/>
                <w:lang w:val="zh-CN" w:eastAsia="en-US" w:bidi="zh-CN"/>
              </w:rPr>
            </w:pPr>
          </w:p>
        </w:tc>
        <w:tc>
          <w:tcPr>
            <w:tcW w:w="974" w:type="pct"/>
            <w:gridSpan w:val="2"/>
            <w:shd w:val="clear" w:color="auto" w:fill="auto"/>
            <w:vAlign w:val="center"/>
          </w:tcPr>
          <w:p w14:paraId="30A66222">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地方标准□</w:t>
            </w:r>
          </w:p>
        </w:tc>
        <w:tc>
          <w:tcPr>
            <w:tcW w:w="248" w:type="pct"/>
            <w:shd w:val="clear" w:color="auto" w:fill="auto"/>
            <w:vAlign w:val="center"/>
          </w:tcPr>
          <w:p w14:paraId="26CC0D82">
            <w:pPr>
              <w:autoSpaceDE/>
              <w:autoSpaceDN/>
              <w:jc w:val="center"/>
              <w:rPr>
                <w:rFonts w:hint="eastAsia" w:asciiTheme="minorHAnsi" w:hAnsiTheme="minorHAnsi" w:eastAsiaTheme="minorEastAsia" w:cstheme="minorBidi"/>
                <w:kern w:val="0"/>
                <w:sz w:val="20"/>
                <w:szCs w:val="21"/>
                <w:lang w:val="zh-CN" w:eastAsia="en-US" w:bidi="zh-CN"/>
              </w:rPr>
            </w:pPr>
          </w:p>
        </w:tc>
        <w:tc>
          <w:tcPr>
            <w:tcW w:w="306" w:type="pct"/>
            <w:shd w:val="clear" w:color="auto" w:fill="auto"/>
            <w:vAlign w:val="center"/>
          </w:tcPr>
          <w:p w14:paraId="3544C42E">
            <w:pPr>
              <w:autoSpaceDE/>
              <w:autoSpaceDN/>
              <w:jc w:val="center"/>
              <w:rPr>
                <w:rFonts w:hint="eastAsia" w:asciiTheme="minorHAnsi" w:hAnsiTheme="minorHAnsi" w:eastAsiaTheme="minorEastAsia" w:cstheme="minorBidi"/>
                <w:kern w:val="0"/>
                <w:sz w:val="20"/>
                <w:szCs w:val="21"/>
                <w:lang w:val="zh-CN" w:eastAsia="en-US" w:bidi="zh-CN"/>
              </w:rPr>
            </w:pPr>
          </w:p>
        </w:tc>
        <w:tc>
          <w:tcPr>
            <w:tcW w:w="283" w:type="pct"/>
            <w:shd w:val="clear" w:color="auto" w:fill="auto"/>
            <w:vAlign w:val="center"/>
          </w:tcPr>
          <w:p w14:paraId="53AD79D8">
            <w:pPr>
              <w:autoSpaceDE/>
              <w:autoSpaceDN/>
              <w:jc w:val="center"/>
              <w:rPr>
                <w:rFonts w:hint="eastAsia" w:asciiTheme="minorHAnsi" w:hAnsiTheme="minorHAnsi" w:eastAsiaTheme="minorEastAsia" w:cstheme="minorBidi"/>
                <w:kern w:val="0"/>
                <w:sz w:val="20"/>
                <w:szCs w:val="21"/>
                <w:lang w:val="zh-CN" w:eastAsia="en-US" w:bidi="zh-CN"/>
              </w:rPr>
            </w:pPr>
          </w:p>
        </w:tc>
        <w:tc>
          <w:tcPr>
            <w:tcW w:w="626" w:type="pct"/>
            <w:shd w:val="clear" w:color="auto" w:fill="auto"/>
            <w:vAlign w:val="center"/>
          </w:tcPr>
          <w:p w14:paraId="12CBF1B5">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国外标准□</w:t>
            </w:r>
          </w:p>
        </w:tc>
      </w:tr>
      <w:tr w14:paraId="20751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restart"/>
            <w:shd w:val="clear" w:color="auto" w:fill="auto"/>
            <w:vAlign w:val="center"/>
          </w:tcPr>
          <w:p w14:paraId="5E3E1B5E">
            <w:pPr>
              <w:autoSpaceDE/>
              <w:autoSpaceDN/>
              <w:jc w:val="center"/>
              <w:rPr>
                <w:rFonts w:hint="eastAsia" w:asciiTheme="minorHAnsi" w:hAnsiTheme="minorHAnsi" w:eastAsiaTheme="minorEastAsia" w:cstheme="minorBidi"/>
                <w:kern w:val="0"/>
                <w:sz w:val="20"/>
                <w:szCs w:val="21"/>
                <w:lang w:val="zh-CN" w:eastAsia="en-US" w:bidi="zh-CN"/>
              </w:rPr>
            </w:pPr>
          </w:p>
          <w:p w14:paraId="37037B33">
            <w:pPr>
              <w:autoSpaceDE/>
              <w:autoSpaceDN/>
              <w:jc w:val="center"/>
              <w:rPr>
                <w:rFonts w:hint="eastAsia" w:asciiTheme="minorHAnsi" w:hAnsiTheme="minorHAnsi" w:eastAsiaTheme="minorEastAsia" w:cstheme="minorBidi"/>
                <w:kern w:val="0"/>
                <w:sz w:val="20"/>
                <w:szCs w:val="21"/>
                <w:lang w:val="zh-CN" w:eastAsia="en-US" w:bidi="zh-CN"/>
              </w:rPr>
            </w:pPr>
          </w:p>
          <w:p w14:paraId="640A102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现状评价</w:t>
            </w:r>
          </w:p>
        </w:tc>
        <w:tc>
          <w:tcPr>
            <w:tcW w:w="786" w:type="pct"/>
            <w:shd w:val="clear" w:color="auto" w:fill="auto"/>
            <w:vAlign w:val="center"/>
          </w:tcPr>
          <w:p w14:paraId="47A199CC">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环境功能区</w:t>
            </w:r>
          </w:p>
        </w:tc>
        <w:tc>
          <w:tcPr>
            <w:tcW w:w="607" w:type="pct"/>
            <w:shd w:val="clear" w:color="auto" w:fill="auto"/>
            <w:vAlign w:val="center"/>
          </w:tcPr>
          <w:p w14:paraId="33A5FF5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0 类区□</w:t>
            </w:r>
          </w:p>
        </w:tc>
        <w:tc>
          <w:tcPr>
            <w:tcW w:w="612" w:type="pct"/>
            <w:gridSpan w:val="3"/>
            <w:shd w:val="clear" w:color="auto" w:fill="auto"/>
            <w:vAlign w:val="center"/>
          </w:tcPr>
          <w:p w14:paraId="39386E9C">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1 类区□</w:t>
            </w:r>
          </w:p>
        </w:tc>
        <w:tc>
          <w:tcPr>
            <w:tcW w:w="596" w:type="pct"/>
            <w:shd w:val="clear" w:color="auto" w:fill="auto"/>
            <w:vAlign w:val="center"/>
          </w:tcPr>
          <w:p w14:paraId="6D5D33AA">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2 类区</w:t>
            </w:r>
            <w:r>
              <w:rPr>
                <w:rFonts w:asciiTheme="minorHAnsi" w:hAnsiTheme="minorHAnsi" w:eastAsiaTheme="minorEastAsia" w:cstheme="minorBidi"/>
                <w:b/>
                <w:bCs/>
                <w:sz w:val="20"/>
                <w:szCs w:val="21"/>
                <w:lang w:eastAsia="en-US"/>
              </w:rPr>
              <w:sym w:font="Wingdings 2" w:char="0052"/>
            </w:r>
          </w:p>
        </w:tc>
        <w:tc>
          <w:tcPr>
            <w:tcW w:w="626" w:type="pct"/>
            <w:gridSpan w:val="2"/>
            <w:shd w:val="clear" w:color="auto" w:fill="auto"/>
            <w:vAlign w:val="center"/>
          </w:tcPr>
          <w:p w14:paraId="0EEE7CF2">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3 类区□</w:t>
            </w:r>
          </w:p>
        </w:tc>
        <w:tc>
          <w:tcPr>
            <w:tcW w:w="589" w:type="pct"/>
            <w:gridSpan w:val="2"/>
            <w:shd w:val="clear" w:color="auto" w:fill="auto"/>
            <w:vAlign w:val="center"/>
          </w:tcPr>
          <w:p w14:paraId="6F21D9BE">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4a 类区</w:t>
            </w:r>
            <w:r>
              <w:rPr>
                <w:rFonts w:asciiTheme="minorHAnsi" w:hAnsiTheme="minorHAnsi" w:eastAsiaTheme="minorEastAsia" w:cstheme="minorBidi"/>
                <w:b/>
                <w:bCs/>
                <w:sz w:val="20"/>
                <w:szCs w:val="21"/>
                <w:lang w:eastAsia="en-US"/>
              </w:rPr>
              <w:sym w:font="Wingdings 2" w:char="0052"/>
            </w:r>
          </w:p>
        </w:tc>
        <w:tc>
          <w:tcPr>
            <w:tcW w:w="626" w:type="pct"/>
            <w:shd w:val="clear" w:color="auto" w:fill="auto"/>
            <w:vAlign w:val="center"/>
          </w:tcPr>
          <w:p w14:paraId="1DF0D5D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4b 类区□</w:t>
            </w:r>
          </w:p>
        </w:tc>
      </w:tr>
      <w:tr w14:paraId="2EDEC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20C9687E">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5D47E121">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评价年度</w:t>
            </w:r>
          </w:p>
        </w:tc>
        <w:tc>
          <w:tcPr>
            <w:tcW w:w="913" w:type="pct"/>
            <w:gridSpan w:val="2"/>
            <w:shd w:val="clear" w:color="auto" w:fill="auto"/>
            <w:vAlign w:val="center"/>
          </w:tcPr>
          <w:p w14:paraId="10B99D00">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初期□</w:t>
            </w:r>
          </w:p>
        </w:tc>
        <w:tc>
          <w:tcPr>
            <w:tcW w:w="902" w:type="pct"/>
            <w:gridSpan w:val="3"/>
            <w:shd w:val="clear" w:color="auto" w:fill="auto"/>
            <w:vAlign w:val="center"/>
          </w:tcPr>
          <w:p w14:paraId="71699A66">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近期</w:t>
            </w:r>
            <w:r>
              <w:rPr>
                <w:rFonts w:asciiTheme="minorHAnsi" w:hAnsiTheme="minorHAnsi" w:eastAsiaTheme="minorEastAsia" w:cstheme="minorBidi"/>
                <w:b/>
                <w:bCs/>
                <w:sz w:val="20"/>
                <w:szCs w:val="21"/>
                <w:lang w:eastAsia="en-US"/>
              </w:rPr>
              <w:sym w:font="Wingdings 2" w:char="0052"/>
            </w:r>
          </w:p>
        </w:tc>
        <w:tc>
          <w:tcPr>
            <w:tcW w:w="932" w:type="pct"/>
            <w:gridSpan w:val="3"/>
            <w:shd w:val="clear" w:color="auto" w:fill="auto"/>
            <w:vAlign w:val="center"/>
          </w:tcPr>
          <w:p w14:paraId="7238C0E4">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中期</w:t>
            </w:r>
            <w:r>
              <w:rPr>
                <w:rFonts w:asciiTheme="minorHAnsi" w:hAnsiTheme="minorHAnsi" w:eastAsiaTheme="minorEastAsia" w:cstheme="minorBidi"/>
                <w:b/>
                <w:bCs/>
                <w:sz w:val="20"/>
                <w:szCs w:val="21"/>
                <w:lang w:eastAsia="en-US"/>
              </w:rPr>
              <w:sym w:font="Wingdings 2" w:char="0052"/>
            </w:r>
          </w:p>
        </w:tc>
        <w:tc>
          <w:tcPr>
            <w:tcW w:w="909" w:type="pct"/>
            <w:gridSpan w:val="2"/>
            <w:shd w:val="clear" w:color="auto" w:fill="auto"/>
            <w:vAlign w:val="center"/>
          </w:tcPr>
          <w:p w14:paraId="0FF10E99">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远期</w:t>
            </w:r>
            <w:r>
              <w:rPr>
                <w:rFonts w:asciiTheme="minorHAnsi" w:hAnsiTheme="minorHAnsi" w:eastAsiaTheme="minorEastAsia" w:cstheme="minorBidi"/>
                <w:b/>
                <w:bCs/>
                <w:sz w:val="20"/>
                <w:szCs w:val="21"/>
                <w:lang w:eastAsia="en-US"/>
              </w:rPr>
              <w:sym w:font="Wingdings 2" w:char="0052"/>
            </w:r>
          </w:p>
        </w:tc>
      </w:tr>
      <w:tr w14:paraId="5E85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4320684C">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6C1C68C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现状调查方法</w:t>
            </w:r>
          </w:p>
        </w:tc>
        <w:tc>
          <w:tcPr>
            <w:tcW w:w="1089" w:type="pct"/>
            <w:gridSpan w:val="3"/>
            <w:shd w:val="clear" w:color="auto" w:fill="auto"/>
            <w:vAlign w:val="center"/>
          </w:tcPr>
          <w:p w14:paraId="041CCB1D">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现场实测法</w:t>
            </w:r>
            <w:r>
              <w:rPr>
                <w:rFonts w:asciiTheme="minorHAnsi" w:hAnsiTheme="minorHAnsi" w:eastAsiaTheme="minorEastAsia" w:cstheme="minorBidi"/>
                <w:b/>
                <w:bCs/>
                <w:sz w:val="20"/>
                <w:szCs w:val="21"/>
                <w:lang w:eastAsia="en-US"/>
              </w:rPr>
              <w:sym w:font="Wingdings 2" w:char="0052"/>
            </w:r>
          </w:p>
        </w:tc>
        <w:tc>
          <w:tcPr>
            <w:tcW w:w="130" w:type="pct"/>
            <w:shd w:val="clear" w:color="auto" w:fill="auto"/>
            <w:vAlign w:val="center"/>
          </w:tcPr>
          <w:p w14:paraId="010F0734">
            <w:pPr>
              <w:autoSpaceDE/>
              <w:autoSpaceDN/>
              <w:jc w:val="center"/>
              <w:rPr>
                <w:rFonts w:hint="eastAsia" w:asciiTheme="minorHAnsi" w:hAnsiTheme="minorHAnsi" w:eastAsiaTheme="minorEastAsia" w:cstheme="minorBidi"/>
                <w:kern w:val="0"/>
                <w:sz w:val="20"/>
                <w:szCs w:val="21"/>
                <w:lang w:val="zh-CN" w:eastAsia="en-US" w:bidi="zh-CN"/>
              </w:rPr>
            </w:pPr>
          </w:p>
        </w:tc>
        <w:tc>
          <w:tcPr>
            <w:tcW w:w="1528" w:type="pct"/>
            <w:gridSpan w:val="4"/>
            <w:shd w:val="clear" w:color="auto" w:fill="auto"/>
            <w:vAlign w:val="center"/>
          </w:tcPr>
          <w:p w14:paraId="7848E539">
            <w:pPr>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现场实测加模型计算法□</w:t>
            </w:r>
          </w:p>
        </w:tc>
        <w:tc>
          <w:tcPr>
            <w:tcW w:w="909" w:type="pct"/>
            <w:gridSpan w:val="2"/>
            <w:shd w:val="clear" w:color="auto" w:fill="auto"/>
            <w:vAlign w:val="center"/>
          </w:tcPr>
          <w:p w14:paraId="385B0CF2">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收集资料□</w:t>
            </w:r>
          </w:p>
        </w:tc>
      </w:tr>
      <w:tr w14:paraId="6836E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22E14D84">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52129188">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现状评价</w:t>
            </w:r>
          </w:p>
        </w:tc>
        <w:tc>
          <w:tcPr>
            <w:tcW w:w="1089" w:type="pct"/>
            <w:gridSpan w:val="3"/>
            <w:shd w:val="clear" w:color="auto" w:fill="auto"/>
            <w:vAlign w:val="center"/>
          </w:tcPr>
          <w:p w14:paraId="1CB7184D">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达标百分比</w:t>
            </w:r>
          </w:p>
        </w:tc>
        <w:tc>
          <w:tcPr>
            <w:tcW w:w="2568" w:type="pct"/>
            <w:gridSpan w:val="7"/>
            <w:shd w:val="clear" w:color="auto" w:fill="auto"/>
            <w:vAlign w:val="center"/>
          </w:tcPr>
          <w:p w14:paraId="3F950141">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100%</w:t>
            </w:r>
          </w:p>
        </w:tc>
      </w:tr>
      <w:tr w14:paraId="72B40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shd w:val="clear" w:color="auto" w:fill="auto"/>
            <w:vAlign w:val="center"/>
          </w:tcPr>
          <w:p w14:paraId="77C3D392">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噪声源调查</w:t>
            </w:r>
          </w:p>
        </w:tc>
        <w:tc>
          <w:tcPr>
            <w:tcW w:w="786" w:type="pct"/>
            <w:shd w:val="clear" w:color="auto" w:fill="auto"/>
            <w:vAlign w:val="center"/>
          </w:tcPr>
          <w:p w14:paraId="0D1F6379">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噪声源调查方法</w:t>
            </w:r>
          </w:p>
        </w:tc>
        <w:tc>
          <w:tcPr>
            <w:tcW w:w="913" w:type="pct"/>
            <w:gridSpan w:val="2"/>
            <w:shd w:val="clear" w:color="auto" w:fill="auto"/>
            <w:vAlign w:val="center"/>
          </w:tcPr>
          <w:p w14:paraId="7E2760B7">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现场实测</w:t>
            </w:r>
            <w:r>
              <w:rPr>
                <w:rFonts w:asciiTheme="minorHAnsi" w:hAnsiTheme="minorHAnsi" w:eastAsiaTheme="minorEastAsia" w:cstheme="minorBidi"/>
                <w:sz w:val="20"/>
                <w:szCs w:val="21"/>
                <w:lang w:eastAsia="en-US"/>
              </w:rPr>
              <w:sym w:font="Wingdings 2" w:char="0052"/>
            </w:r>
          </w:p>
        </w:tc>
        <w:tc>
          <w:tcPr>
            <w:tcW w:w="176" w:type="pct"/>
            <w:shd w:val="clear" w:color="auto" w:fill="auto"/>
            <w:vAlign w:val="center"/>
          </w:tcPr>
          <w:p w14:paraId="5D8FA8A4">
            <w:pPr>
              <w:autoSpaceDE/>
              <w:autoSpaceDN/>
              <w:jc w:val="center"/>
              <w:rPr>
                <w:rFonts w:hint="eastAsia" w:asciiTheme="minorHAnsi" w:hAnsiTheme="minorHAnsi" w:eastAsiaTheme="minorEastAsia" w:cstheme="minorBidi"/>
                <w:kern w:val="0"/>
                <w:sz w:val="20"/>
                <w:szCs w:val="21"/>
                <w:lang w:val="zh-CN" w:eastAsia="en-US" w:bidi="zh-CN"/>
              </w:rPr>
            </w:pPr>
          </w:p>
        </w:tc>
        <w:tc>
          <w:tcPr>
            <w:tcW w:w="130" w:type="pct"/>
            <w:shd w:val="clear" w:color="auto" w:fill="auto"/>
            <w:vAlign w:val="center"/>
          </w:tcPr>
          <w:p w14:paraId="43DF3455">
            <w:pPr>
              <w:autoSpaceDE/>
              <w:autoSpaceDN/>
              <w:jc w:val="center"/>
              <w:rPr>
                <w:rFonts w:hint="eastAsia" w:asciiTheme="minorHAnsi" w:hAnsiTheme="minorHAnsi" w:eastAsiaTheme="minorEastAsia" w:cstheme="minorBidi"/>
                <w:kern w:val="0"/>
                <w:sz w:val="20"/>
                <w:szCs w:val="21"/>
                <w:lang w:val="zh-CN" w:eastAsia="en-US" w:bidi="zh-CN"/>
              </w:rPr>
            </w:pPr>
          </w:p>
        </w:tc>
        <w:tc>
          <w:tcPr>
            <w:tcW w:w="974" w:type="pct"/>
            <w:gridSpan w:val="2"/>
            <w:shd w:val="clear" w:color="auto" w:fill="auto"/>
            <w:vAlign w:val="center"/>
          </w:tcPr>
          <w:p w14:paraId="5F947CB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已有资料□</w:t>
            </w:r>
          </w:p>
        </w:tc>
        <w:tc>
          <w:tcPr>
            <w:tcW w:w="248" w:type="pct"/>
            <w:shd w:val="clear" w:color="auto" w:fill="auto"/>
            <w:vAlign w:val="center"/>
          </w:tcPr>
          <w:p w14:paraId="0E0EE4C2">
            <w:pPr>
              <w:autoSpaceDE/>
              <w:autoSpaceDN/>
              <w:jc w:val="center"/>
              <w:rPr>
                <w:rFonts w:hint="eastAsia" w:asciiTheme="minorHAnsi" w:hAnsiTheme="minorHAnsi" w:eastAsiaTheme="minorEastAsia" w:cstheme="minorBidi"/>
                <w:kern w:val="0"/>
                <w:sz w:val="20"/>
                <w:szCs w:val="21"/>
                <w:lang w:val="zh-CN" w:eastAsia="en-US" w:bidi="zh-CN"/>
              </w:rPr>
            </w:pPr>
          </w:p>
        </w:tc>
        <w:tc>
          <w:tcPr>
            <w:tcW w:w="306" w:type="pct"/>
            <w:shd w:val="clear" w:color="auto" w:fill="auto"/>
            <w:vAlign w:val="center"/>
          </w:tcPr>
          <w:p w14:paraId="79FA383A">
            <w:pPr>
              <w:autoSpaceDE/>
              <w:autoSpaceDN/>
              <w:jc w:val="center"/>
              <w:rPr>
                <w:rFonts w:hint="eastAsia" w:asciiTheme="minorHAnsi" w:hAnsiTheme="minorHAnsi" w:eastAsiaTheme="minorEastAsia" w:cstheme="minorBidi"/>
                <w:kern w:val="0"/>
                <w:sz w:val="20"/>
                <w:szCs w:val="21"/>
                <w:lang w:val="zh-CN" w:eastAsia="en-US" w:bidi="zh-CN"/>
              </w:rPr>
            </w:pPr>
          </w:p>
        </w:tc>
        <w:tc>
          <w:tcPr>
            <w:tcW w:w="909" w:type="pct"/>
            <w:gridSpan w:val="2"/>
            <w:shd w:val="clear" w:color="auto" w:fill="auto"/>
            <w:vAlign w:val="center"/>
          </w:tcPr>
          <w:p w14:paraId="0C67139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研究成果□</w:t>
            </w:r>
          </w:p>
        </w:tc>
      </w:tr>
      <w:tr w14:paraId="3B71E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restart"/>
            <w:shd w:val="clear" w:color="auto" w:fill="auto"/>
            <w:vAlign w:val="center"/>
          </w:tcPr>
          <w:p w14:paraId="60AC1D2E">
            <w:pPr>
              <w:autoSpaceDE/>
              <w:autoSpaceDN/>
              <w:jc w:val="center"/>
              <w:rPr>
                <w:rFonts w:hint="eastAsia" w:asciiTheme="minorHAnsi" w:hAnsiTheme="minorHAnsi" w:eastAsiaTheme="minorEastAsia" w:cstheme="minorBidi"/>
                <w:kern w:val="0"/>
                <w:sz w:val="20"/>
                <w:szCs w:val="21"/>
                <w:lang w:val="zh-CN" w:eastAsia="zh-CN" w:bidi="zh-CN"/>
              </w:rPr>
            </w:pPr>
          </w:p>
          <w:p w14:paraId="388041CD">
            <w:pPr>
              <w:autoSpaceDE/>
              <w:autoSpaceDN/>
              <w:jc w:val="center"/>
              <w:rPr>
                <w:rFonts w:hint="eastAsia" w:asciiTheme="minorHAnsi" w:hAnsiTheme="minorHAnsi" w:eastAsiaTheme="minorEastAsia" w:cstheme="minorBidi"/>
                <w:kern w:val="0"/>
                <w:sz w:val="20"/>
                <w:szCs w:val="21"/>
                <w:lang w:val="zh-CN" w:eastAsia="zh-CN" w:bidi="zh-CN"/>
              </w:rPr>
            </w:pPr>
          </w:p>
          <w:p w14:paraId="06A853A0">
            <w:pPr>
              <w:autoSpaceDE/>
              <w:autoSpaceDN/>
              <w:jc w:val="center"/>
              <w:rPr>
                <w:rFonts w:hint="eastAsia" w:asciiTheme="minorHAnsi" w:hAnsiTheme="minorHAnsi" w:eastAsiaTheme="minorEastAsia" w:cstheme="minorBidi"/>
                <w:kern w:val="0"/>
                <w:sz w:val="20"/>
                <w:szCs w:val="21"/>
                <w:lang w:val="zh-CN" w:eastAsia="zh-CN" w:bidi="zh-CN"/>
              </w:rPr>
            </w:pPr>
          </w:p>
          <w:p w14:paraId="11C98208">
            <w:pPr>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声环境影响预测与评价</w:t>
            </w:r>
          </w:p>
        </w:tc>
        <w:tc>
          <w:tcPr>
            <w:tcW w:w="786" w:type="pct"/>
            <w:shd w:val="clear" w:color="auto" w:fill="auto"/>
            <w:vAlign w:val="center"/>
          </w:tcPr>
          <w:p w14:paraId="4CA91B79">
            <w:pPr>
              <w:autoSpaceDE/>
              <w:autoSpaceDN/>
              <w:jc w:val="center"/>
              <w:rPr>
                <w:rFonts w:hint="eastAsia" w:asciiTheme="minorHAnsi" w:hAnsiTheme="minorHAnsi" w:eastAsiaTheme="minorEastAsia" w:cstheme="minorBidi"/>
                <w:kern w:val="0"/>
                <w:sz w:val="20"/>
                <w:szCs w:val="21"/>
                <w:lang w:val="zh-CN" w:eastAsia="zh-CN" w:bidi="zh-CN"/>
              </w:rPr>
            </w:pPr>
          </w:p>
          <w:p w14:paraId="59830777">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预测模型</w:t>
            </w:r>
          </w:p>
        </w:tc>
        <w:tc>
          <w:tcPr>
            <w:tcW w:w="913" w:type="pct"/>
            <w:gridSpan w:val="2"/>
            <w:shd w:val="clear" w:color="auto" w:fill="auto"/>
            <w:vAlign w:val="center"/>
          </w:tcPr>
          <w:p w14:paraId="60DF8AF3">
            <w:pPr>
              <w:autoSpaceDE/>
              <w:autoSpaceDN/>
              <w:jc w:val="center"/>
              <w:rPr>
                <w:rFonts w:hint="eastAsia" w:asciiTheme="minorHAnsi" w:hAnsiTheme="minorHAnsi" w:eastAsiaTheme="minorEastAsia" w:cstheme="minorBidi"/>
                <w:kern w:val="0"/>
                <w:sz w:val="20"/>
                <w:szCs w:val="21"/>
                <w:lang w:val="zh-CN" w:eastAsia="en-US" w:bidi="zh-CN"/>
              </w:rPr>
            </w:pPr>
          </w:p>
          <w:p w14:paraId="57BB51F6">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导则推荐模型</w:t>
            </w:r>
            <w:r>
              <w:rPr>
                <w:rFonts w:asciiTheme="minorHAnsi" w:hAnsiTheme="minorHAnsi" w:eastAsiaTheme="minorEastAsia" w:cstheme="minorBidi"/>
                <w:b/>
                <w:bCs/>
                <w:sz w:val="20"/>
                <w:szCs w:val="21"/>
                <w:lang w:eastAsia="en-US"/>
              </w:rPr>
              <w:sym w:font="Wingdings 2" w:char="0052"/>
            </w:r>
          </w:p>
        </w:tc>
        <w:tc>
          <w:tcPr>
            <w:tcW w:w="176" w:type="pct"/>
            <w:shd w:val="clear" w:color="auto" w:fill="auto"/>
            <w:vAlign w:val="center"/>
          </w:tcPr>
          <w:p w14:paraId="5AFE25CA">
            <w:pPr>
              <w:autoSpaceDE/>
              <w:autoSpaceDN/>
              <w:jc w:val="center"/>
              <w:rPr>
                <w:rFonts w:hint="eastAsia" w:asciiTheme="minorHAnsi" w:hAnsiTheme="minorHAnsi" w:eastAsiaTheme="minorEastAsia" w:cstheme="minorBidi"/>
                <w:kern w:val="0"/>
                <w:sz w:val="20"/>
                <w:szCs w:val="21"/>
                <w:lang w:val="zh-CN" w:eastAsia="en-US" w:bidi="zh-CN"/>
              </w:rPr>
            </w:pPr>
          </w:p>
        </w:tc>
        <w:tc>
          <w:tcPr>
            <w:tcW w:w="130" w:type="pct"/>
            <w:shd w:val="clear" w:color="auto" w:fill="auto"/>
            <w:vAlign w:val="center"/>
          </w:tcPr>
          <w:p w14:paraId="14694803">
            <w:pPr>
              <w:autoSpaceDE/>
              <w:autoSpaceDN/>
              <w:jc w:val="center"/>
              <w:rPr>
                <w:rFonts w:hint="eastAsia" w:asciiTheme="minorHAnsi" w:hAnsiTheme="minorHAnsi" w:eastAsiaTheme="minorEastAsia" w:cstheme="minorBidi"/>
                <w:kern w:val="0"/>
                <w:sz w:val="20"/>
                <w:szCs w:val="21"/>
                <w:lang w:val="zh-CN" w:eastAsia="en-US" w:bidi="zh-CN"/>
              </w:rPr>
            </w:pPr>
          </w:p>
        </w:tc>
        <w:tc>
          <w:tcPr>
            <w:tcW w:w="596" w:type="pct"/>
            <w:shd w:val="clear" w:color="auto" w:fill="auto"/>
            <w:vAlign w:val="center"/>
          </w:tcPr>
          <w:p w14:paraId="686A9122">
            <w:pPr>
              <w:autoSpaceDE/>
              <w:autoSpaceDN/>
              <w:jc w:val="center"/>
              <w:rPr>
                <w:rFonts w:hint="eastAsia" w:asciiTheme="minorHAnsi" w:hAnsiTheme="minorHAnsi" w:eastAsiaTheme="minorEastAsia" w:cstheme="minorBidi"/>
                <w:kern w:val="0"/>
                <w:sz w:val="20"/>
                <w:szCs w:val="21"/>
                <w:lang w:val="zh-CN" w:eastAsia="en-US" w:bidi="zh-CN"/>
              </w:rPr>
            </w:pPr>
          </w:p>
        </w:tc>
        <w:tc>
          <w:tcPr>
            <w:tcW w:w="378" w:type="pct"/>
            <w:shd w:val="clear" w:color="auto" w:fill="auto"/>
            <w:vAlign w:val="center"/>
          </w:tcPr>
          <w:p w14:paraId="174269B3">
            <w:pPr>
              <w:autoSpaceDE/>
              <w:autoSpaceDN/>
              <w:jc w:val="center"/>
              <w:rPr>
                <w:rFonts w:hint="eastAsia" w:asciiTheme="minorHAnsi" w:hAnsiTheme="minorHAnsi" w:eastAsiaTheme="minorEastAsia" w:cstheme="minorBidi"/>
                <w:kern w:val="0"/>
                <w:sz w:val="20"/>
                <w:szCs w:val="21"/>
                <w:lang w:val="zh-CN" w:eastAsia="en-US" w:bidi="zh-CN"/>
              </w:rPr>
            </w:pPr>
          </w:p>
        </w:tc>
        <w:tc>
          <w:tcPr>
            <w:tcW w:w="1464" w:type="pct"/>
            <w:gridSpan w:val="4"/>
            <w:shd w:val="clear" w:color="auto" w:fill="auto"/>
            <w:vAlign w:val="center"/>
          </w:tcPr>
          <w:p w14:paraId="5BE19C56">
            <w:pPr>
              <w:autoSpaceDE/>
              <w:autoSpaceDN/>
              <w:jc w:val="center"/>
              <w:rPr>
                <w:rFonts w:hint="eastAsia" w:asciiTheme="minorHAnsi" w:hAnsiTheme="minorHAnsi" w:eastAsiaTheme="minorEastAsia" w:cstheme="minorBidi"/>
                <w:kern w:val="0"/>
                <w:sz w:val="20"/>
                <w:szCs w:val="21"/>
                <w:lang w:val="zh-CN" w:eastAsia="en-US" w:bidi="zh-CN"/>
              </w:rPr>
            </w:pPr>
          </w:p>
          <w:p w14:paraId="051CDDC1">
            <w:pPr>
              <w:tabs>
                <w:tab w:val="left" w:pos="1633"/>
              </w:tabs>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其他□</w:t>
            </w:r>
            <w:r>
              <w:rPr>
                <w:rFonts w:asciiTheme="minorHAnsi" w:hAnsiTheme="minorHAnsi" w:eastAsiaTheme="minorEastAsia" w:cstheme="minorBidi"/>
                <w:kern w:val="0"/>
                <w:sz w:val="20"/>
                <w:szCs w:val="21"/>
                <w:u w:val="single"/>
                <w:lang w:val="zh-CN" w:eastAsia="en-US" w:bidi="zh-CN"/>
              </w:rPr>
              <w:t xml:space="preserve"> </w:t>
            </w:r>
            <w:r>
              <w:rPr>
                <w:rFonts w:asciiTheme="minorHAnsi" w:hAnsiTheme="minorHAnsi" w:eastAsiaTheme="minorEastAsia" w:cstheme="minorBidi"/>
                <w:kern w:val="0"/>
                <w:sz w:val="20"/>
                <w:szCs w:val="21"/>
                <w:u w:val="single"/>
                <w:lang w:val="zh-CN" w:eastAsia="en-US" w:bidi="zh-CN"/>
              </w:rPr>
              <w:tab/>
            </w:r>
          </w:p>
        </w:tc>
      </w:tr>
      <w:tr w14:paraId="21C3C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3E99F36A">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60414FE4">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预测范围</w:t>
            </w:r>
          </w:p>
        </w:tc>
        <w:tc>
          <w:tcPr>
            <w:tcW w:w="913" w:type="pct"/>
            <w:gridSpan w:val="2"/>
            <w:shd w:val="clear" w:color="auto" w:fill="auto"/>
            <w:vAlign w:val="center"/>
          </w:tcPr>
          <w:p w14:paraId="7483240D">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200 m□</w:t>
            </w:r>
          </w:p>
        </w:tc>
        <w:tc>
          <w:tcPr>
            <w:tcW w:w="176" w:type="pct"/>
            <w:shd w:val="clear" w:color="auto" w:fill="auto"/>
            <w:vAlign w:val="center"/>
          </w:tcPr>
          <w:p w14:paraId="6FF0ECAF">
            <w:pPr>
              <w:autoSpaceDE/>
              <w:autoSpaceDN/>
              <w:jc w:val="center"/>
              <w:rPr>
                <w:rFonts w:hint="eastAsia" w:asciiTheme="minorHAnsi" w:hAnsiTheme="minorHAnsi" w:eastAsiaTheme="minorEastAsia" w:cstheme="minorBidi"/>
                <w:kern w:val="0"/>
                <w:sz w:val="20"/>
                <w:szCs w:val="21"/>
                <w:lang w:val="zh-CN" w:eastAsia="en-US" w:bidi="zh-CN"/>
              </w:rPr>
            </w:pPr>
          </w:p>
        </w:tc>
        <w:tc>
          <w:tcPr>
            <w:tcW w:w="130" w:type="pct"/>
            <w:shd w:val="clear" w:color="auto" w:fill="auto"/>
            <w:vAlign w:val="center"/>
          </w:tcPr>
          <w:p w14:paraId="56D84BCA">
            <w:pPr>
              <w:autoSpaceDE/>
              <w:autoSpaceDN/>
              <w:jc w:val="center"/>
              <w:rPr>
                <w:rFonts w:hint="eastAsia" w:asciiTheme="minorHAnsi" w:hAnsiTheme="minorHAnsi" w:eastAsiaTheme="minorEastAsia" w:cstheme="minorBidi"/>
                <w:kern w:val="0"/>
                <w:sz w:val="20"/>
                <w:szCs w:val="21"/>
                <w:lang w:val="zh-CN" w:eastAsia="en-US" w:bidi="zh-CN"/>
              </w:rPr>
            </w:pPr>
          </w:p>
        </w:tc>
        <w:tc>
          <w:tcPr>
            <w:tcW w:w="974" w:type="pct"/>
            <w:gridSpan w:val="2"/>
            <w:shd w:val="clear" w:color="auto" w:fill="auto"/>
            <w:vAlign w:val="center"/>
          </w:tcPr>
          <w:p w14:paraId="3BFDBFC1">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大于 200 m</w:t>
            </w:r>
            <w:r>
              <w:rPr>
                <w:rFonts w:asciiTheme="minorHAnsi" w:hAnsiTheme="minorHAnsi" w:eastAsiaTheme="minorEastAsia" w:cstheme="minorBidi"/>
                <w:b/>
                <w:bCs/>
                <w:sz w:val="20"/>
                <w:szCs w:val="21"/>
                <w:lang w:eastAsia="en-US"/>
              </w:rPr>
              <w:sym w:font="Wingdings 2" w:char="0052"/>
            </w:r>
          </w:p>
        </w:tc>
        <w:tc>
          <w:tcPr>
            <w:tcW w:w="248" w:type="pct"/>
            <w:shd w:val="clear" w:color="auto" w:fill="auto"/>
            <w:vAlign w:val="center"/>
          </w:tcPr>
          <w:p w14:paraId="040635BD">
            <w:pPr>
              <w:autoSpaceDE/>
              <w:autoSpaceDN/>
              <w:jc w:val="center"/>
              <w:rPr>
                <w:rFonts w:hint="eastAsia" w:asciiTheme="minorHAnsi" w:hAnsiTheme="minorHAnsi" w:eastAsiaTheme="minorEastAsia" w:cstheme="minorBidi"/>
                <w:kern w:val="0"/>
                <w:sz w:val="20"/>
                <w:szCs w:val="21"/>
                <w:lang w:val="zh-CN" w:eastAsia="en-US" w:bidi="zh-CN"/>
              </w:rPr>
            </w:pPr>
          </w:p>
        </w:tc>
        <w:tc>
          <w:tcPr>
            <w:tcW w:w="1216" w:type="pct"/>
            <w:gridSpan w:val="3"/>
            <w:shd w:val="clear" w:color="auto" w:fill="auto"/>
            <w:vAlign w:val="center"/>
          </w:tcPr>
          <w:p w14:paraId="7E11E414">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小于 200 m□</w:t>
            </w:r>
          </w:p>
        </w:tc>
      </w:tr>
      <w:tr w14:paraId="1BD9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5CD2C2DB">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067CF637">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预测因子</w:t>
            </w:r>
          </w:p>
        </w:tc>
        <w:tc>
          <w:tcPr>
            <w:tcW w:w="1089" w:type="pct"/>
            <w:gridSpan w:val="3"/>
            <w:shd w:val="clear" w:color="auto" w:fill="auto"/>
            <w:vAlign w:val="center"/>
          </w:tcPr>
          <w:p w14:paraId="7F00DD66">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等效连续 A 声级</w:t>
            </w:r>
            <w:r>
              <w:rPr>
                <w:rFonts w:asciiTheme="minorHAnsi" w:hAnsiTheme="minorHAnsi" w:eastAsiaTheme="minorEastAsia" w:cstheme="minorBidi"/>
                <w:b/>
                <w:bCs/>
                <w:sz w:val="20"/>
                <w:szCs w:val="21"/>
                <w:lang w:eastAsia="en-US"/>
              </w:rPr>
              <w:sym w:font="Wingdings 2" w:char="0052"/>
            </w:r>
          </w:p>
        </w:tc>
        <w:tc>
          <w:tcPr>
            <w:tcW w:w="130" w:type="pct"/>
            <w:shd w:val="clear" w:color="auto" w:fill="auto"/>
            <w:vAlign w:val="center"/>
          </w:tcPr>
          <w:p w14:paraId="0859975F">
            <w:pPr>
              <w:autoSpaceDE/>
              <w:autoSpaceDN/>
              <w:jc w:val="center"/>
              <w:rPr>
                <w:rFonts w:hint="eastAsia" w:asciiTheme="minorHAnsi" w:hAnsiTheme="minorHAnsi" w:eastAsiaTheme="minorEastAsia" w:cstheme="minorBidi"/>
                <w:kern w:val="0"/>
                <w:sz w:val="20"/>
                <w:szCs w:val="21"/>
                <w:lang w:val="zh-CN" w:eastAsia="en-US" w:bidi="zh-CN"/>
              </w:rPr>
            </w:pPr>
          </w:p>
        </w:tc>
        <w:tc>
          <w:tcPr>
            <w:tcW w:w="974" w:type="pct"/>
            <w:gridSpan w:val="2"/>
            <w:shd w:val="clear" w:color="auto" w:fill="auto"/>
            <w:vAlign w:val="center"/>
          </w:tcPr>
          <w:p w14:paraId="1D20AB10">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最大 A 声级□</w:t>
            </w:r>
          </w:p>
        </w:tc>
        <w:tc>
          <w:tcPr>
            <w:tcW w:w="1464" w:type="pct"/>
            <w:gridSpan w:val="4"/>
            <w:shd w:val="clear" w:color="auto" w:fill="auto"/>
            <w:vAlign w:val="center"/>
          </w:tcPr>
          <w:p w14:paraId="3B619D1B">
            <w:pPr>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计权等效连续感觉噪声级□</w:t>
            </w:r>
          </w:p>
        </w:tc>
      </w:tr>
      <w:tr w14:paraId="4CEBB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6BF7F74E">
            <w:pPr>
              <w:autoSpaceDE/>
              <w:autoSpaceDN/>
              <w:jc w:val="center"/>
              <w:rPr>
                <w:rFonts w:hint="eastAsia" w:asciiTheme="minorHAnsi" w:hAnsiTheme="minorHAnsi" w:eastAsiaTheme="minorEastAsia" w:cstheme="minorBidi"/>
                <w:kern w:val="0"/>
                <w:sz w:val="20"/>
                <w:szCs w:val="21"/>
                <w:lang w:val="zh-CN" w:eastAsia="zh-CN" w:bidi="zh-CN"/>
              </w:rPr>
            </w:pPr>
          </w:p>
        </w:tc>
        <w:tc>
          <w:tcPr>
            <w:tcW w:w="786" w:type="pct"/>
            <w:shd w:val="clear" w:color="auto" w:fill="auto"/>
            <w:vAlign w:val="center"/>
          </w:tcPr>
          <w:p w14:paraId="6C2353B6">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厂界噪声贡献值</w:t>
            </w:r>
          </w:p>
        </w:tc>
        <w:tc>
          <w:tcPr>
            <w:tcW w:w="607" w:type="pct"/>
            <w:shd w:val="clear" w:color="auto" w:fill="auto"/>
            <w:vAlign w:val="center"/>
          </w:tcPr>
          <w:p w14:paraId="2FB80405">
            <w:pPr>
              <w:autoSpaceDE/>
              <w:autoSpaceDN/>
              <w:jc w:val="center"/>
              <w:rPr>
                <w:rFonts w:hint="eastAsia" w:asciiTheme="minorHAnsi" w:hAnsiTheme="minorHAnsi" w:eastAsiaTheme="minorEastAsia" w:cstheme="minorBidi"/>
                <w:kern w:val="0"/>
                <w:sz w:val="20"/>
                <w:szCs w:val="21"/>
                <w:lang w:val="zh-CN" w:eastAsia="en-US" w:bidi="zh-CN"/>
              </w:rPr>
            </w:pPr>
          </w:p>
        </w:tc>
        <w:tc>
          <w:tcPr>
            <w:tcW w:w="482" w:type="pct"/>
            <w:gridSpan w:val="2"/>
            <w:shd w:val="clear" w:color="auto" w:fill="auto"/>
            <w:vAlign w:val="center"/>
          </w:tcPr>
          <w:p w14:paraId="2A1A687D">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达标</w:t>
            </w:r>
            <w:r>
              <w:rPr>
                <w:rFonts w:asciiTheme="minorHAnsi" w:hAnsiTheme="minorHAnsi" w:eastAsiaTheme="minorEastAsia" w:cstheme="minorBidi"/>
                <w:b/>
                <w:bCs/>
                <w:sz w:val="20"/>
                <w:szCs w:val="21"/>
                <w:lang w:eastAsia="en-US"/>
              </w:rPr>
              <w:sym w:font="Wingdings 2" w:char="0052"/>
            </w:r>
          </w:p>
        </w:tc>
        <w:tc>
          <w:tcPr>
            <w:tcW w:w="130" w:type="pct"/>
            <w:shd w:val="clear" w:color="auto" w:fill="auto"/>
            <w:vAlign w:val="center"/>
          </w:tcPr>
          <w:p w14:paraId="0AA078B5">
            <w:pPr>
              <w:autoSpaceDE/>
              <w:autoSpaceDN/>
              <w:jc w:val="center"/>
              <w:rPr>
                <w:rFonts w:hint="eastAsia" w:asciiTheme="minorHAnsi" w:hAnsiTheme="minorHAnsi" w:eastAsiaTheme="minorEastAsia" w:cstheme="minorBidi"/>
                <w:kern w:val="0"/>
                <w:sz w:val="20"/>
                <w:szCs w:val="21"/>
                <w:lang w:val="zh-CN" w:eastAsia="en-US" w:bidi="zh-CN"/>
              </w:rPr>
            </w:pPr>
          </w:p>
        </w:tc>
        <w:tc>
          <w:tcPr>
            <w:tcW w:w="596" w:type="pct"/>
            <w:shd w:val="clear" w:color="auto" w:fill="auto"/>
            <w:vAlign w:val="center"/>
          </w:tcPr>
          <w:p w14:paraId="4279F314">
            <w:pPr>
              <w:autoSpaceDE/>
              <w:autoSpaceDN/>
              <w:jc w:val="center"/>
              <w:rPr>
                <w:rFonts w:hint="eastAsia" w:asciiTheme="minorHAnsi" w:hAnsiTheme="minorHAnsi" w:eastAsiaTheme="minorEastAsia" w:cstheme="minorBidi"/>
                <w:kern w:val="0"/>
                <w:sz w:val="20"/>
                <w:szCs w:val="21"/>
                <w:lang w:val="zh-CN" w:eastAsia="en-US" w:bidi="zh-CN"/>
              </w:rPr>
            </w:pPr>
          </w:p>
        </w:tc>
        <w:tc>
          <w:tcPr>
            <w:tcW w:w="378" w:type="pct"/>
            <w:shd w:val="clear" w:color="auto" w:fill="auto"/>
            <w:vAlign w:val="center"/>
          </w:tcPr>
          <w:p w14:paraId="11F290B2">
            <w:pPr>
              <w:autoSpaceDE/>
              <w:autoSpaceDN/>
              <w:jc w:val="center"/>
              <w:rPr>
                <w:rFonts w:hint="eastAsia" w:asciiTheme="minorHAnsi" w:hAnsiTheme="minorHAnsi" w:eastAsiaTheme="minorEastAsia" w:cstheme="minorBidi"/>
                <w:kern w:val="0"/>
                <w:sz w:val="20"/>
                <w:szCs w:val="21"/>
                <w:lang w:val="zh-CN" w:eastAsia="en-US" w:bidi="zh-CN"/>
              </w:rPr>
            </w:pPr>
          </w:p>
        </w:tc>
        <w:tc>
          <w:tcPr>
            <w:tcW w:w="248" w:type="pct"/>
            <w:shd w:val="clear" w:color="auto" w:fill="auto"/>
            <w:vAlign w:val="center"/>
          </w:tcPr>
          <w:p w14:paraId="26E8790B">
            <w:pPr>
              <w:autoSpaceDE/>
              <w:autoSpaceDN/>
              <w:jc w:val="center"/>
              <w:rPr>
                <w:rFonts w:hint="eastAsia" w:asciiTheme="minorHAnsi" w:hAnsiTheme="minorHAnsi" w:eastAsiaTheme="minorEastAsia" w:cstheme="minorBidi"/>
                <w:kern w:val="0"/>
                <w:sz w:val="20"/>
                <w:szCs w:val="21"/>
                <w:lang w:val="zh-CN" w:eastAsia="en-US" w:bidi="zh-CN"/>
              </w:rPr>
            </w:pPr>
          </w:p>
        </w:tc>
        <w:tc>
          <w:tcPr>
            <w:tcW w:w="589" w:type="pct"/>
            <w:gridSpan w:val="2"/>
            <w:shd w:val="clear" w:color="auto" w:fill="auto"/>
            <w:vAlign w:val="center"/>
          </w:tcPr>
          <w:p w14:paraId="76783DDC">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不达标□</w:t>
            </w:r>
          </w:p>
        </w:tc>
        <w:tc>
          <w:tcPr>
            <w:tcW w:w="626" w:type="pct"/>
            <w:shd w:val="clear" w:color="auto" w:fill="auto"/>
            <w:vAlign w:val="center"/>
          </w:tcPr>
          <w:p w14:paraId="05BECBAB">
            <w:pPr>
              <w:autoSpaceDE/>
              <w:autoSpaceDN/>
              <w:jc w:val="center"/>
              <w:rPr>
                <w:rFonts w:hint="eastAsia" w:asciiTheme="minorHAnsi" w:hAnsiTheme="minorHAnsi" w:eastAsiaTheme="minorEastAsia" w:cstheme="minorBidi"/>
                <w:kern w:val="0"/>
                <w:sz w:val="20"/>
                <w:szCs w:val="21"/>
                <w:lang w:val="zh-CN" w:eastAsia="en-US" w:bidi="zh-CN"/>
              </w:rPr>
            </w:pPr>
          </w:p>
        </w:tc>
      </w:tr>
      <w:tr w14:paraId="7CA5F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116A0040">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303CDB91">
            <w:pPr>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声环境保护目标处噪声值</w:t>
            </w:r>
          </w:p>
        </w:tc>
        <w:tc>
          <w:tcPr>
            <w:tcW w:w="607" w:type="pct"/>
            <w:shd w:val="clear" w:color="auto" w:fill="auto"/>
            <w:vAlign w:val="center"/>
          </w:tcPr>
          <w:p w14:paraId="172A2FD9">
            <w:pPr>
              <w:autoSpaceDE/>
              <w:autoSpaceDN/>
              <w:jc w:val="center"/>
              <w:rPr>
                <w:rFonts w:hint="eastAsia" w:asciiTheme="minorHAnsi" w:hAnsiTheme="minorHAnsi" w:eastAsiaTheme="minorEastAsia" w:cstheme="minorBidi"/>
                <w:kern w:val="0"/>
                <w:sz w:val="20"/>
                <w:szCs w:val="21"/>
                <w:lang w:val="zh-CN" w:eastAsia="zh-CN" w:bidi="zh-CN"/>
              </w:rPr>
            </w:pPr>
          </w:p>
        </w:tc>
        <w:tc>
          <w:tcPr>
            <w:tcW w:w="482" w:type="pct"/>
            <w:gridSpan w:val="2"/>
            <w:shd w:val="clear" w:color="auto" w:fill="auto"/>
            <w:vAlign w:val="center"/>
          </w:tcPr>
          <w:p w14:paraId="1769C19D">
            <w:pPr>
              <w:autoSpaceDE/>
              <w:autoSpaceDN/>
              <w:jc w:val="center"/>
              <w:rPr>
                <w:rFonts w:hint="eastAsia" w:asciiTheme="minorHAnsi" w:hAnsiTheme="minorHAnsi" w:eastAsiaTheme="minorEastAsia" w:cstheme="minorBidi"/>
                <w:b/>
                <w:bCs/>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达标</w:t>
            </w:r>
            <w:r>
              <w:rPr>
                <w:rFonts w:asciiTheme="minorHAnsi" w:hAnsiTheme="minorHAnsi" w:eastAsiaTheme="minorEastAsia" w:cstheme="minorBidi"/>
                <w:b/>
                <w:bCs/>
                <w:sz w:val="20"/>
                <w:szCs w:val="21"/>
                <w:lang w:eastAsia="en-US"/>
              </w:rPr>
              <w:sym w:font="Wingdings 2" w:char="0052"/>
            </w:r>
          </w:p>
        </w:tc>
        <w:tc>
          <w:tcPr>
            <w:tcW w:w="130" w:type="pct"/>
            <w:shd w:val="clear" w:color="auto" w:fill="auto"/>
            <w:vAlign w:val="center"/>
          </w:tcPr>
          <w:p w14:paraId="395414A6">
            <w:pPr>
              <w:autoSpaceDE/>
              <w:autoSpaceDN/>
              <w:jc w:val="center"/>
              <w:rPr>
                <w:rFonts w:hint="eastAsia" w:asciiTheme="minorHAnsi" w:hAnsiTheme="minorHAnsi" w:eastAsiaTheme="minorEastAsia" w:cstheme="minorBidi"/>
                <w:kern w:val="0"/>
                <w:sz w:val="20"/>
                <w:szCs w:val="21"/>
                <w:lang w:val="zh-CN" w:eastAsia="en-US" w:bidi="zh-CN"/>
              </w:rPr>
            </w:pPr>
          </w:p>
        </w:tc>
        <w:tc>
          <w:tcPr>
            <w:tcW w:w="596" w:type="pct"/>
            <w:shd w:val="clear" w:color="auto" w:fill="auto"/>
            <w:vAlign w:val="center"/>
          </w:tcPr>
          <w:p w14:paraId="54D1B04C">
            <w:pPr>
              <w:autoSpaceDE/>
              <w:autoSpaceDN/>
              <w:jc w:val="center"/>
              <w:rPr>
                <w:rFonts w:hint="eastAsia" w:asciiTheme="minorHAnsi" w:hAnsiTheme="minorHAnsi" w:eastAsiaTheme="minorEastAsia" w:cstheme="minorBidi"/>
                <w:kern w:val="0"/>
                <w:sz w:val="20"/>
                <w:szCs w:val="21"/>
                <w:lang w:val="zh-CN" w:eastAsia="en-US" w:bidi="zh-CN"/>
              </w:rPr>
            </w:pPr>
          </w:p>
        </w:tc>
        <w:tc>
          <w:tcPr>
            <w:tcW w:w="378" w:type="pct"/>
            <w:shd w:val="clear" w:color="auto" w:fill="auto"/>
            <w:vAlign w:val="center"/>
          </w:tcPr>
          <w:p w14:paraId="6A02CD30">
            <w:pPr>
              <w:autoSpaceDE/>
              <w:autoSpaceDN/>
              <w:jc w:val="center"/>
              <w:rPr>
                <w:rFonts w:hint="eastAsia" w:asciiTheme="minorHAnsi" w:hAnsiTheme="minorHAnsi" w:eastAsiaTheme="minorEastAsia" w:cstheme="minorBidi"/>
                <w:kern w:val="0"/>
                <w:sz w:val="20"/>
                <w:szCs w:val="21"/>
                <w:lang w:val="zh-CN" w:eastAsia="en-US" w:bidi="zh-CN"/>
              </w:rPr>
            </w:pPr>
          </w:p>
        </w:tc>
        <w:tc>
          <w:tcPr>
            <w:tcW w:w="248" w:type="pct"/>
            <w:shd w:val="clear" w:color="auto" w:fill="auto"/>
            <w:vAlign w:val="center"/>
          </w:tcPr>
          <w:p w14:paraId="0C1DDD23">
            <w:pPr>
              <w:autoSpaceDE/>
              <w:autoSpaceDN/>
              <w:jc w:val="center"/>
              <w:rPr>
                <w:rFonts w:hint="eastAsia" w:asciiTheme="minorHAnsi" w:hAnsiTheme="minorHAnsi" w:eastAsiaTheme="minorEastAsia" w:cstheme="minorBidi"/>
                <w:kern w:val="0"/>
                <w:sz w:val="20"/>
                <w:szCs w:val="21"/>
                <w:lang w:val="zh-CN" w:eastAsia="en-US" w:bidi="zh-CN"/>
              </w:rPr>
            </w:pPr>
          </w:p>
        </w:tc>
        <w:tc>
          <w:tcPr>
            <w:tcW w:w="589" w:type="pct"/>
            <w:gridSpan w:val="2"/>
            <w:shd w:val="clear" w:color="auto" w:fill="auto"/>
            <w:vAlign w:val="center"/>
          </w:tcPr>
          <w:p w14:paraId="477A947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不达标□</w:t>
            </w:r>
          </w:p>
        </w:tc>
        <w:tc>
          <w:tcPr>
            <w:tcW w:w="626" w:type="pct"/>
            <w:shd w:val="clear" w:color="auto" w:fill="auto"/>
            <w:vAlign w:val="center"/>
          </w:tcPr>
          <w:p w14:paraId="6C190E1B">
            <w:pPr>
              <w:autoSpaceDE/>
              <w:autoSpaceDN/>
              <w:jc w:val="center"/>
              <w:rPr>
                <w:rFonts w:hint="eastAsia" w:asciiTheme="minorHAnsi" w:hAnsiTheme="minorHAnsi" w:eastAsiaTheme="minorEastAsia" w:cstheme="minorBidi"/>
                <w:kern w:val="0"/>
                <w:sz w:val="20"/>
                <w:szCs w:val="21"/>
                <w:lang w:val="zh-CN" w:eastAsia="en-US" w:bidi="zh-CN"/>
              </w:rPr>
            </w:pPr>
          </w:p>
        </w:tc>
      </w:tr>
      <w:tr w14:paraId="369E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558" w:type="pct"/>
            <w:vMerge w:val="restart"/>
            <w:shd w:val="clear" w:color="auto" w:fill="auto"/>
            <w:vAlign w:val="center"/>
          </w:tcPr>
          <w:p w14:paraId="64C755E9">
            <w:pPr>
              <w:autoSpaceDE/>
              <w:autoSpaceDN/>
              <w:jc w:val="center"/>
              <w:rPr>
                <w:rFonts w:hint="eastAsia" w:asciiTheme="minorHAnsi" w:hAnsiTheme="minorHAnsi" w:eastAsiaTheme="minorEastAsia" w:cstheme="minorBidi"/>
                <w:kern w:val="0"/>
                <w:sz w:val="20"/>
                <w:szCs w:val="21"/>
                <w:lang w:val="zh-CN" w:eastAsia="en-US" w:bidi="zh-CN"/>
              </w:rPr>
            </w:pPr>
          </w:p>
          <w:p w14:paraId="6AE8390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环境监测计划</w:t>
            </w:r>
          </w:p>
        </w:tc>
        <w:tc>
          <w:tcPr>
            <w:tcW w:w="786" w:type="pct"/>
            <w:shd w:val="clear" w:color="auto" w:fill="auto"/>
            <w:vAlign w:val="center"/>
          </w:tcPr>
          <w:p w14:paraId="1BC8F32B">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排放监测</w:t>
            </w:r>
          </w:p>
        </w:tc>
        <w:tc>
          <w:tcPr>
            <w:tcW w:w="1815" w:type="pct"/>
            <w:gridSpan w:val="5"/>
            <w:shd w:val="clear" w:color="auto" w:fill="auto"/>
            <w:vAlign w:val="center"/>
          </w:tcPr>
          <w:p w14:paraId="31B729B9">
            <w:pPr>
              <w:tabs>
                <w:tab w:val="left" w:pos="1621"/>
              </w:tabs>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厂界监测□</w:t>
            </w:r>
            <w:r>
              <w:rPr>
                <w:rFonts w:asciiTheme="minorHAnsi" w:hAnsiTheme="minorHAnsi" w:eastAsiaTheme="minorEastAsia" w:cstheme="minorBidi"/>
                <w:kern w:val="0"/>
                <w:sz w:val="20"/>
                <w:szCs w:val="21"/>
                <w:lang w:val="zh-CN" w:eastAsia="zh-CN" w:bidi="zh-CN"/>
              </w:rPr>
              <w:tab/>
            </w:r>
            <w:r>
              <w:rPr>
                <w:rFonts w:asciiTheme="minorHAnsi" w:hAnsiTheme="minorHAnsi" w:eastAsiaTheme="minorEastAsia" w:cstheme="minorBidi"/>
                <w:kern w:val="0"/>
                <w:sz w:val="20"/>
                <w:szCs w:val="21"/>
                <w:lang w:val="zh-CN" w:eastAsia="zh-CN" w:bidi="zh-CN"/>
              </w:rPr>
              <w:t>固定位置监</w:t>
            </w:r>
            <w:r>
              <w:rPr>
                <w:rFonts w:asciiTheme="minorHAnsi" w:hAnsiTheme="minorHAnsi" w:eastAsiaTheme="minorEastAsia" w:cstheme="minorBidi"/>
                <w:spacing w:val="-3"/>
                <w:kern w:val="0"/>
                <w:sz w:val="20"/>
                <w:szCs w:val="21"/>
                <w:lang w:val="zh-CN" w:eastAsia="zh-CN" w:bidi="zh-CN"/>
              </w:rPr>
              <w:t>测</w:t>
            </w:r>
            <w:r>
              <w:rPr>
                <w:rFonts w:asciiTheme="minorHAnsi" w:hAnsiTheme="minorHAnsi" w:eastAsiaTheme="minorEastAsia" w:cstheme="minorBidi"/>
                <w:kern w:val="0"/>
                <w:sz w:val="20"/>
                <w:szCs w:val="21"/>
                <w:lang w:val="zh-CN" w:eastAsia="zh-CN" w:bidi="zh-CN"/>
              </w:rPr>
              <w:t>□</w:t>
            </w:r>
          </w:p>
        </w:tc>
        <w:tc>
          <w:tcPr>
            <w:tcW w:w="1216" w:type="pct"/>
            <w:gridSpan w:val="4"/>
            <w:shd w:val="clear" w:color="auto" w:fill="auto"/>
            <w:vAlign w:val="center"/>
          </w:tcPr>
          <w:p w14:paraId="44F8CBEF">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 xml:space="preserve">自动监测□ </w:t>
            </w:r>
            <w:r>
              <w:rPr>
                <w:rFonts w:asciiTheme="minorHAnsi" w:hAnsiTheme="minorHAnsi" w:eastAsiaTheme="minorEastAsia" w:cstheme="minorBidi"/>
                <w:b/>
                <w:bCs/>
                <w:kern w:val="0"/>
                <w:sz w:val="20"/>
                <w:szCs w:val="21"/>
                <w:lang w:val="zh-CN" w:eastAsia="en-US" w:bidi="zh-CN"/>
              </w:rPr>
              <w:t>手动监测</w:t>
            </w:r>
            <w:r>
              <w:rPr>
                <w:rFonts w:asciiTheme="minorHAnsi" w:hAnsiTheme="minorHAnsi" w:eastAsiaTheme="minorEastAsia" w:cstheme="minorBidi"/>
                <w:b/>
                <w:bCs/>
                <w:sz w:val="20"/>
                <w:szCs w:val="21"/>
                <w:lang w:eastAsia="en-US"/>
              </w:rPr>
              <w:sym w:font="Wingdings 2" w:char="0052"/>
            </w:r>
          </w:p>
        </w:tc>
        <w:tc>
          <w:tcPr>
            <w:tcW w:w="626" w:type="pct"/>
            <w:shd w:val="clear" w:color="auto" w:fill="auto"/>
            <w:vAlign w:val="center"/>
          </w:tcPr>
          <w:p w14:paraId="5026C800">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无监测□</w:t>
            </w:r>
          </w:p>
        </w:tc>
      </w:tr>
      <w:tr w14:paraId="2AEE5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vMerge w:val="continue"/>
            <w:shd w:val="clear" w:color="auto" w:fill="auto"/>
            <w:vAlign w:val="center"/>
          </w:tcPr>
          <w:p w14:paraId="760F7AE7">
            <w:pPr>
              <w:autoSpaceDE/>
              <w:autoSpaceDN/>
              <w:jc w:val="center"/>
              <w:rPr>
                <w:rFonts w:hint="eastAsia" w:asciiTheme="minorHAnsi" w:hAnsiTheme="minorHAnsi" w:eastAsiaTheme="minorEastAsia" w:cstheme="minorBidi"/>
                <w:kern w:val="0"/>
                <w:sz w:val="20"/>
                <w:szCs w:val="21"/>
                <w:lang w:val="zh-CN" w:eastAsia="en-US" w:bidi="zh-CN"/>
              </w:rPr>
            </w:pPr>
          </w:p>
        </w:tc>
        <w:tc>
          <w:tcPr>
            <w:tcW w:w="786" w:type="pct"/>
            <w:shd w:val="clear" w:color="auto" w:fill="auto"/>
            <w:vAlign w:val="center"/>
          </w:tcPr>
          <w:p w14:paraId="45997C67">
            <w:pPr>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声环境保护目标处噪声监测</w:t>
            </w:r>
          </w:p>
        </w:tc>
        <w:tc>
          <w:tcPr>
            <w:tcW w:w="1815" w:type="pct"/>
            <w:gridSpan w:val="5"/>
            <w:shd w:val="clear" w:color="auto" w:fill="auto"/>
            <w:vAlign w:val="center"/>
          </w:tcPr>
          <w:p w14:paraId="69FB6881">
            <w:pPr>
              <w:tabs>
                <w:tab w:val="left" w:pos="2252"/>
              </w:tabs>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监测因子</w:t>
            </w:r>
            <w:r>
              <w:rPr>
                <w:rFonts w:asciiTheme="minorHAnsi" w:hAnsiTheme="minorHAnsi" w:eastAsiaTheme="minorEastAsia" w:cstheme="minorBidi"/>
                <w:spacing w:val="-92"/>
                <w:kern w:val="0"/>
                <w:sz w:val="20"/>
                <w:szCs w:val="21"/>
                <w:lang w:val="zh-CN" w:eastAsia="zh-CN" w:bidi="zh-CN"/>
              </w:rPr>
              <w:t>：</w:t>
            </w:r>
            <w:r>
              <w:rPr>
                <w:rFonts w:asciiTheme="minorHAnsi" w:hAnsiTheme="minorHAnsi" w:eastAsiaTheme="minorEastAsia" w:cstheme="minorBidi"/>
                <w:kern w:val="0"/>
                <w:sz w:val="20"/>
                <w:szCs w:val="21"/>
                <w:lang w:val="zh-CN" w:eastAsia="zh-CN" w:bidi="zh-CN"/>
              </w:rPr>
              <w:t>（等效连续 A 声级</w:t>
            </w:r>
            <w:r>
              <w:rPr>
                <w:rFonts w:asciiTheme="minorHAnsi" w:hAnsiTheme="minorHAnsi" w:eastAsiaTheme="minorEastAsia" w:cstheme="minorBidi"/>
                <w:kern w:val="0"/>
                <w:sz w:val="20"/>
                <w:szCs w:val="21"/>
                <w:lang w:val="zh-CN" w:eastAsia="zh-CN" w:bidi="zh-CN"/>
              </w:rPr>
              <w:tab/>
            </w:r>
            <w:r>
              <w:rPr>
                <w:rFonts w:asciiTheme="minorHAnsi" w:hAnsiTheme="minorHAnsi" w:eastAsiaTheme="minorEastAsia" w:cstheme="minorBidi"/>
                <w:kern w:val="0"/>
                <w:sz w:val="20"/>
                <w:szCs w:val="21"/>
                <w:lang w:val="zh-CN" w:eastAsia="zh-CN" w:bidi="zh-CN"/>
              </w:rPr>
              <w:t>）</w:t>
            </w:r>
          </w:p>
        </w:tc>
        <w:tc>
          <w:tcPr>
            <w:tcW w:w="1216" w:type="pct"/>
            <w:gridSpan w:val="4"/>
            <w:shd w:val="clear" w:color="auto" w:fill="auto"/>
            <w:vAlign w:val="center"/>
          </w:tcPr>
          <w:p w14:paraId="56067EB0">
            <w:pPr>
              <w:tabs>
                <w:tab w:val="left" w:pos="1735"/>
              </w:tabs>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监测点位数（</w:t>
            </w:r>
            <w:r>
              <w:rPr>
                <w:rFonts w:hint="eastAsia" w:asciiTheme="minorHAnsi" w:hAnsiTheme="minorHAnsi" w:eastAsiaTheme="minorEastAsia" w:cstheme="minorBidi"/>
                <w:kern w:val="0"/>
                <w:sz w:val="20"/>
                <w:szCs w:val="21"/>
                <w:lang w:val="zh-CN" w:eastAsia="en-US" w:bidi="zh-CN"/>
              </w:rPr>
              <w:t>1</w:t>
            </w:r>
            <w:r>
              <w:rPr>
                <w:rFonts w:asciiTheme="minorHAnsi" w:hAnsiTheme="minorHAnsi" w:eastAsiaTheme="minorEastAsia" w:cstheme="minorBidi"/>
                <w:kern w:val="0"/>
                <w:sz w:val="20"/>
                <w:szCs w:val="21"/>
                <w:lang w:val="zh-CN" w:eastAsia="en-US" w:bidi="zh-CN"/>
              </w:rPr>
              <w:t>个）</w:t>
            </w:r>
          </w:p>
        </w:tc>
        <w:tc>
          <w:tcPr>
            <w:tcW w:w="626" w:type="pct"/>
            <w:shd w:val="clear" w:color="auto" w:fill="auto"/>
            <w:vAlign w:val="center"/>
          </w:tcPr>
          <w:p w14:paraId="43B39AF1">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无监测□</w:t>
            </w:r>
          </w:p>
        </w:tc>
      </w:tr>
      <w:tr w14:paraId="7A7BF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8" w:type="pct"/>
            <w:shd w:val="clear" w:color="auto" w:fill="auto"/>
            <w:vAlign w:val="center"/>
          </w:tcPr>
          <w:p w14:paraId="4B8F1087">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评价结论</w:t>
            </w:r>
          </w:p>
        </w:tc>
        <w:tc>
          <w:tcPr>
            <w:tcW w:w="786" w:type="pct"/>
            <w:shd w:val="clear" w:color="auto" w:fill="auto"/>
            <w:vAlign w:val="center"/>
          </w:tcPr>
          <w:p w14:paraId="2EBE9C75">
            <w:pPr>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kern w:val="0"/>
                <w:sz w:val="20"/>
                <w:szCs w:val="21"/>
                <w:lang w:val="zh-CN" w:eastAsia="en-US" w:bidi="zh-CN"/>
              </w:rPr>
              <w:t>环境影响</w:t>
            </w:r>
          </w:p>
        </w:tc>
        <w:tc>
          <w:tcPr>
            <w:tcW w:w="3657" w:type="pct"/>
            <w:gridSpan w:val="10"/>
            <w:shd w:val="clear" w:color="auto" w:fill="auto"/>
            <w:vAlign w:val="center"/>
          </w:tcPr>
          <w:p w14:paraId="29B1E473">
            <w:pPr>
              <w:tabs>
                <w:tab w:val="left" w:pos="1202"/>
              </w:tabs>
              <w:autoSpaceDE/>
              <w:autoSpaceDN/>
              <w:jc w:val="center"/>
              <w:rPr>
                <w:rFonts w:hint="eastAsia" w:asciiTheme="minorHAnsi" w:hAnsiTheme="minorHAnsi" w:eastAsiaTheme="minorEastAsia" w:cstheme="minorBidi"/>
                <w:kern w:val="0"/>
                <w:sz w:val="20"/>
                <w:szCs w:val="21"/>
                <w:lang w:val="zh-CN" w:eastAsia="en-US" w:bidi="zh-CN"/>
              </w:rPr>
            </w:pPr>
            <w:r>
              <w:rPr>
                <w:rFonts w:asciiTheme="minorHAnsi" w:hAnsiTheme="minorHAnsi" w:eastAsiaTheme="minorEastAsia" w:cstheme="minorBidi"/>
                <w:b/>
                <w:bCs/>
                <w:kern w:val="0"/>
                <w:sz w:val="20"/>
                <w:szCs w:val="21"/>
                <w:lang w:val="zh-CN" w:eastAsia="en-US" w:bidi="zh-CN"/>
              </w:rPr>
              <w:t>可行</w:t>
            </w:r>
            <w:r>
              <w:rPr>
                <w:rFonts w:asciiTheme="minorHAnsi" w:hAnsiTheme="minorHAnsi" w:eastAsiaTheme="minorEastAsia" w:cstheme="minorBidi"/>
                <w:b/>
                <w:bCs/>
                <w:sz w:val="20"/>
                <w:szCs w:val="21"/>
                <w:lang w:eastAsia="en-US"/>
              </w:rPr>
              <w:sym w:font="Wingdings 2" w:char="0052"/>
            </w:r>
            <w:r>
              <w:rPr>
                <w:rFonts w:asciiTheme="minorHAnsi" w:hAnsiTheme="minorHAnsi" w:eastAsiaTheme="minorEastAsia" w:cstheme="minorBidi"/>
                <w:kern w:val="0"/>
                <w:sz w:val="20"/>
                <w:szCs w:val="21"/>
                <w:lang w:val="zh-CN" w:eastAsia="en-US" w:bidi="zh-CN"/>
              </w:rPr>
              <w:tab/>
            </w:r>
            <w:r>
              <w:rPr>
                <w:rFonts w:asciiTheme="minorHAnsi" w:hAnsiTheme="minorHAnsi" w:eastAsiaTheme="minorEastAsia" w:cstheme="minorBidi"/>
                <w:kern w:val="0"/>
                <w:sz w:val="20"/>
                <w:szCs w:val="21"/>
                <w:lang w:val="zh-CN" w:eastAsia="en-US" w:bidi="zh-CN"/>
              </w:rPr>
              <w:t>不可行□</w:t>
            </w:r>
          </w:p>
        </w:tc>
      </w:tr>
      <w:tr w14:paraId="45EA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00" w:type="pct"/>
            <w:gridSpan w:val="12"/>
            <w:tcBorders>
              <w:bottom w:val="single" w:color="auto" w:sz="18" w:space="0"/>
            </w:tcBorders>
            <w:shd w:val="clear" w:color="auto" w:fill="auto"/>
            <w:vAlign w:val="center"/>
          </w:tcPr>
          <w:p w14:paraId="1E6010C0">
            <w:pPr>
              <w:tabs>
                <w:tab w:val="left" w:pos="3079"/>
              </w:tabs>
              <w:autoSpaceDE/>
              <w:autoSpaceDN/>
              <w:jc w:val="center"/>
              <w:rPr>
                <w:rFonts w:hint="eastAsia" w:asciiTheme="minorHAnsi" w:hAnsiTheme="minorHAnsi" w:eastAsiaTheme="minorEastAsia" w:cstheme="minorBidi"/>
                <w:kern w:val="0"/>
                <w:sz w:val="20"/>
                <w:szCs w:val="21"/>
                <w:lang w:val="zh-CN" w:eastAsia="zh-CN" w:bidi="zh-CN"/>
              </w:rPr>
            </w:pPr>
            <w:r>
              <w:rPr>
                <w:rFonts w:asciiTheme="minorHAnsi" w:hAnsiTheme="minorHAnsi" w:eastAsiaTheme="minorEastAsia" w:cstheme="minorBidi"/>
                <w:kern w:val="0"/>
                <w:sz w:val="20"/>
                <w:szCs w:val="21"/>
                <w:lang w:val="zh-CN" w:eastAsia="zh-CN" w:bidi="zh-CN"/>
              </w:rPr>
              <w:t>注</w:t>
            </w:r>
            <w:r>
              <w:rPr>
                <w:rFonts w:asciiTheme="minorHAnsi" w:hAnsiTheme="minorHAnsi" w:eastAsiaTheme="minorEastAsia" w:cstheme="minorBidi"/>
                <w:spacing w:val="-92"/>
                <w:kern w:val="0"/>
                <w:sz w:val="20"/>
                <w:szCs w:val="21"/>
                <w:lang w:val="zh-CN" w:eastAsia="zh-CN" w:bidi="zh-CN"/>
              </w:rPr>
              <w:t>：</w:t>
            </w:r>
            <w:r>
              <w:rPr>
                <w:rFonts w:asciiTheme="minorHAnsi" w:hAnsiTheme="minorHAnsi" w:eastAsiaTheme="minorEastAsia" w:cstheme="minorBidi"/>
                <w:kern w:val="0"/>
                <w:sz w:val="20"/>
                <w:szCs w:val="21"/>
                <w:lang w:val="zh-CN" w:eastAsia="zh-CN" w:bidi="zh-CN"/>
              </w:rPr>
              <w:t>“□”</w:t>
            </w:r>
            <w:r>
              <w:rPr>
                <w:rFonts w:asciiTheme="minorHAnsi" w:hAnsiTheme="minorHAnsi" w:eastAsiaTheme="minorEastAsia" w:cstheme="minorBidi"/>
                <w:spacing w:val="1"/>
                <w:kern w:val="0"/>
                <w:sz w:val="20"/>
                <w:szCs w:val="21"/>
                <w:lang w:val="zh-CN" w:eastAsia="zh-CN" w:bidi="zh-CN"/>
              </w:rPr>
              <w:t xml:space="preserve"> </w:t>
            </w:r>
            <w:r>
              <w:rPr>
                <w:rFonts w:asciiTheme="minorHAnsi" w:hAnsiTheme="minorHAnsi" w:eastAsiaTheme="minorEastAsia" w:cstheme="minorBidi"/>
                <w:kern w:val="0"/>
                <w:sz w:val="20"/>
                <w:szCs w:val="21"/>
                <w:lang w:val="zh-CN" w:eastAsia="zh-CN" w:bidi="zh-CN"/>
              </w:rPr>
              <w:t>为勾选项</w:t>
            </w:r>
            <w:r>
              <w:rPr>
                <w:rFonts w:asciiTheme="minorHAnsi" w:hAnsiTheme="minorHAnsi" w:eastAsiaTheme="minorEastAsia" w:cstheme="minorBidi"/>
                <w:spacing w:val="1"/>
                <w:kern w:val="0"/>
                <w:sz w:val="20"/>
                <w:szCs w:val="21"/>
                <w:lang w:val="zh-CN" w:eastAsia="zh-CN" w:bidi="zh-CN"/>
              </w:rPr>
              <w:t xml:space="preserve"> </w:t>
            </w:r>
            <w:r>
              <w:rPr>
                <w:rFonts w:asciiTheme="minorHAnsi" w:hAnsiTheme="minorHAnsi" w:eastAsiaTheme="minorEastAsia" w:cstheme="minorBidi"/>
                <w:kern w:val="0"/>
                <w:sz w:val="20"/>
                <w:szCs w:val="21"/>
                <w:lang w:val="zh-CN" w:eastAsia="zh-CN" w:bidi="zh-CN"/>
              </w:rPr>
              <w:t>，可√</w:t>
            </w:r>
            <w:r>
              <w:rPr>
                <w:rFonts w:asciiTheme="minorHAnsi" w:hAnsiTheme="minorHAnsi" w:eastAsiaTheme="minorEastAsia" w:cstheme="minorBidi"/>
                <w:spacing w:val="1"/>
                <w:kern w:val="0"/>
                <w:sz w:val="20"/>
                <w:szCs w:val="21"/>
                <w:lang w:val="zh-CN" w:eastAsia="zh-CN" w:bidi="zh-CN"/>
              </w:rPr>
              <w:t xml:space="preserve"> </w:t>
            </w:r>
            <w:r>
              <w:rPr>
                <w:rFonts w:asciiTheme="minorHAnsi" w:hAnsiTheme="minorHAnsi" w:eastAsiaTheme="minorEastAsia" w:cstheme="minorBidi"/>
                <w:spacing w:val="-92"/>
                <w:kern w:val="0"/>
                <w:sz w:val="20"/>
                <w:szCs w:val="21"/>
                <w:lang w:val="zh-CN" w:eastAsia="zh-CN" w:bidi="zh-CN"/>
              </w:rPr>
              <w:t>；“</w:t>
            </w:r>
            <w:r>
              <w:rPr>
                <w:rFonts w:asciiTheme="minorHAnsi" w:hAnsiTheme="minorHAnsi" w:eastAsiaTheme="minorEastAsia" w:cstheme="minorBidi"/>
                <w:kern w:val="0"/>
                <w:sz w:val="20"/>
                <w:szCs w:val="21"/>
                <w:lang w:val="zh-CN" w:eastAsia="zh-CN" w:bidi="zh-CN"/>
              </w:rPr>
              <w:t>（</w:t>
            </w:r>
            <w:r>
              <w:rPr>
                <w:rFonts w:asciiTheme="minorHAnsi" w:hAnsiTheme="minorHAnsi" w:eastAsiaTheme="minorEastAsia" w:cstheme="minorBidi"/>
                <w:kern w:val="0"/>
                <w:sz w:val="20"/>
                <w:szCs w:val="21"/>
                <w:lang w:val="zh-CN" w:eastAsia="zh-CN" w:bidi="zh-CN"/>
              </w:rPr>
              <w:tab/>
            </w:r>
            <w:r>
              <w:rPr>
                <w:rFonts w:asciiTheme="minorHAnsi" w:hAnsiTheme="minorHAnsi" w:eastAsiaTheme="minorEastAsia" w:cstheme="minorBidi"/>
                <w:spacing w:val="-92"/>
                <w:kern w:val="0"/>
                <w:sz w:val="20"/>
                <w:szCs w:val="21"/>
                <w:lang w:val="zh-CN" w:eastAsia="zh-CN" w:bidi="zh-CN"/>
              </w:rPr>
              <w:t>）</w:t>
            </w:r>
            <w:r>
              <w:rPr>
                <w:rFonts w:asciiTheme="minorHAnsi" w:hAnsiTheme="minorHAnsi" w:eastAsiaTheme="minorEastAsia" w:cstheme="minorBidi"/>
                <w:kern w:val="0"/>
                <w:sz w:val="20"/>
                <w:szCs w:val="21"/>
                <w:lang w:val="zh-CN" w:eastAsia="zh-CN" w:bidi="zh-CN"/>
              </w:rPr>
              <w:t>”</w:t>
            </w:r>
            <w:r>
              <w:rPr>
                <w:rFonts w:asciiTheme="minorHAnsi" w:hAnsiTheme="minorHAnsi" w:eastAsiaTheme="minorEastAsia" w:cstheme="minorBidi"/>
                <w:spacing w:val="1"/>
                <w:kern w:val="0"/>
                <w:sz w:val="20"/>
                <w:szCs w:val="21"/>
                <w:lang w:val="zh-CN" w:eastAsia="zh-CN" w:bidi="zh-CN"/>
              </w:rPr>
              <w:t xml:space="preserve"> </w:t>
            </w:r>
            <w:r>
              <w:rPr>
                <w:rFonts w:asciiTheme="minorHAnsi" w:hAnsiTheme="minorHAnsi" w:eastAsiaTheme="minorEastAsia" w:cstheme="minorBidi"/>
                <w:kern w:val="0"/>
                <w:sz w:val="20"/>
                <w:szCs w:val="21"/>
                <w:lang w:val="zh-CN" w:eastAsia="zh-CN" w:bidi="zh-CN"/>
              </w:rPr>
              <w:t>为内容填写项。</w:t>
            </w:r>
          </w:p>
        </w:tc>
      </w:tr>
    </w:tbl>
    <w:p w14:paraId="6041FEBB">
      <w:pPr>
        <w:autoSpaceDE w:val="0"/>
        <w:autoSpaceDN w:val="0"/>
        <w:jc w:val="left"/>
        <w:rPr>
          <w:rFonts w:hint="eastAsia" w:ascii="黑体" w:hAnsi="宋体" w:cs="宋体"/>
          <w:kern w:val="0"/>
          <w:sz w:val="20"/>
          <w:szCs w:val="21"/>
          <w:lang w:val="zh-CN" w:bidi="zh-CN"/>
        </w:rPr>
      </w:pPr>
    </w:p>
    <w:p w14:paraId="3B704E56">
      <w:pPr>
        <w:autoSpaceDE w:val="0"/>
        <w:autoSpaceDN w:val="0"/>
        <w:jc w:val="left"/>
        <w:rPr>
          <w:rFonts w:hint="eastAsia" w:ascii="黑体" w:hAnsi="宋体" w:cs="宋体"/>
          <w:kern w:val="0"/>
          <w:sz w:val="20"/>
          <w:szCs w:val="21"/>
          <w:lang w:val="zh-CN" w:bidi="zh-CN"/>
        </w:rPr>
      </w:pPr>
    </w:p>
    <w:p w14:paraId="2089EC6D">
      <w:pPr>
        <w:autoSpaceDE w:val="0"/>
        <w:autoSpaceDN w:val="0"/>
        <w:jc w:val="left"/>
        <w:rPr>
          <w:rFonts w:hint="eastAsia" w:ascii="黑体" w:hAnsi="宋体" w:cs="宋体"/>
          <w:kern w:val="0"/>
          <w:sz w:val="20"/>
          <w:szCs w:val="21"/>
          <w:lang w:val="zh-CN" w:bidi="zh-CN"/>
        </w:rPr>
      </w:pPr>
    </w:p>
    <w:p w14:paraId="3E8099D6">
      <w:pPr>
        <w:rPr>
          <w:rFonts w:eastAsia="仿宋_GB2312" w:cs="仿宋_GB2312"/>
          <w:sz w:val="36"/>
          <w:szCs w:val="36"/>
        </w:rPr>
      </w:pPr>
    </w:p>
    <w:p w14:paraId="5B2008FB">
      <w:pPr>
        <w:pStyle w:val="30"/>
        <w:adjustRightInd w:val="0"/>
        <w:snapToGrid w:val="0"/>
        <w:spacing w:before="0" w:beforeAutospacing="0" w:after="0" w:afterAutospacing="0" w:line="648" w:lineRule="auto"/>
        <w:jc w:val="center"/>
        <w:outlineLvl w:val="0"/>
        <w:rPr>
          <w:rFonts w:ascii="Times New Roman" w:hAnsi="Times New Roman" w:eastAsia="黑体"/>
          <w:snapToGrid w:val="0"/>
          <w:sz w:val="32"/>
          <w:szCs w:val="32"/>
        </w:rPr>
        <w:sectPr>
          <w:pgSz w:w="11906" w:h="16838"/>
          <w:pgMar w:top="720" w:right="720" w:bottom="720" w:left="720" w:header="851" w:footer="567" w:gutter="0"/>
          <w:cols w:space="720" w:num="1"/>
          <w:docGrid w:linePitch="312" w:charSpace="0"/>
        </w:sectPr>
      </w:pPr>
    </w:p>
    <w:p w14:paraId="0B9E7204">
      <w:pPr>
        <w:pStyle w:val="30"/>
        <w:adjustRightInd w:val="0"/>
        <w:snapToGrid w:val="0"/>
        <w:spacing w:before="0" w:beforeAutospacing="0" w:after="0" w:afterAutospacing="0" w:line="648" w:lineRule="auto"/>
        <w:jc w:val="center"/>
        <w:outlineLvl w:val="0"/>
        <w:rPr>
          <w:rFonts w:hint="eastAsia"/>
        </w:rPr>
      </w:pPr>
    </w:p>
    <w:sectPr>
      <w:pgSz w:w="11906" w:h="16838"/>
      <w:pgMar w:top="1440" w:right="1800" w:bottom="1440" w:left="1800" w:header="851" w:footer="56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NewRomanPS-BoldMT">
    <w:altName w:val="微软雅黑"/>
    <w:panose1 w:val="00000000000000000000"/>
    <w:charset w:val="00"/>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imesNewRomanPSMT">
    <w:altName w:val="Times New Roman"/>
    <w:panose1 w:val="00000000000000000000"/>
    <w:charset w:val="00"/>
    <w:family w:val="roman"/>
    <w:pitch w:val="default"/>
    <w:sig w:usb0="00000000" w:usb1="00000000" w:usb2="00000010" w:usb3="00000000" w:csb0="00060001" w:csb1="00000000"/>
  </w:font>
  <w:font w:name="Angsana New">
    <w:altName w:val="Microsoft Sans Serif"/>
    <w:panose1 w:val="02020603050405020304"/>
    <w:charset w:val="DE"/>
    <w:family w:val="roman"/>
    <w:pitch w:val="default"/>
    <w:sig w:usb0="00000000" w:usb1="00000000" w:usb2="00000000" w:usb3="00000000" w:csb0="0001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TT117o01">
    <w:altName w:val="Times New Roman"/>
    <w:panose1 w:val="00000000000000000000"/>
    <w:charset w:val="00"/>
    <w:family w:val="roman"/>
    <w:pitch w:val="default"/>
    <w:sig w:usb0="00000000" w:usb1="00000000" w:usb2="00000000" w:usb3="00000000" w:csb0="00040001" w:csb1="00000000"/>
  </w:font>
  <w:font w:name="TimesNewRoman">
    <w:altName w:val="等线"/>
    <w:panose1 w:val="00000000000000000000"/>
    <w:charset w:val="86"/>
    <w:family w:val="auto"/>
    <w:pitch w:val="default"/>
    <w:sig w:usb0="00000000" w:usb1="00000000" w:usb2="00000010" w:usb3="00000000" w:csb0="00040000" w:csb1="00000000"/>
  </w:font>
  <w:font w:name="TT117o00">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 w:name="Microsoft Sans Serif">
    <w:panose1 w:val="020B0604020202020204"/>
    <w:charset w:val="00"/>
    <w:family w:val="auto"/>
    <w:pitch w:val="default"/>
    <w:sig w:usb0="E5002EFF" w:usb1="C000605B" w:usb2="00000029" w:usb3="00000000" w:csb0="200101FF" w:csb1="20280000"/>
  </w:font>
  <w:font w:name="方正小标宋_GBK">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2EBF3">
    <w:pPr>
      <w:pStyle w:val="2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2A4CD">
    <w:pPr>
      <w:pStyle w:val="25"/>
      <w:framePr w:wrap="around" w:vAnchor="text" w:hAnchor="margin" w:xAlign="outside" w:y="1"/>
      <w:rPr>
        <w:rStyle w:val="37"/>
      </w:rPr>
    </w:pPr>
    <w:r>
      <w:rPr>
        <w:rStyle w:val="37"/>
      </w:rPr>
      <w:fldChar w:fldCharType="begin"/>
    </w:r>
    <w:r>
      <w:rPr>
        <w:rStyle w:val="37"/>
      </w:rPr>
      <w:instrText xml:space="preserve">PAGE  </w:instrText>
    </w:r>
    <w:r>
      <w:rPr>
        <w:rStyle w:val="37"/>
      </w:rPr>
      <w:fldChar w:fldCharType="separate"/>
    </w:r>
    <w:r>
      <w:rPr>
        <w:rStyle w:val="37"/>
      </w:rPr>
      <w:t>21</w:t>
    </w:r>
    <w:r>
      <w:rPr>
        <w:rStyle w:val="37"/>
      </w:rPr>
      <w:fldChar w:fldCharType="end"/>
    </w:r>
  </w:p>
  <w:p w14:paraId="0023F66D">
    <w:pPr>
      <w:pStyle w:val="2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B9E67">
    <w:pPr>
      <w:pStyle w:val="25"/>
      <w:jc w:val="center"/>
    </w:pPr>
    <w:r>
      <w:fldChar w:fldCharType="begin"/>
    </w:r>
    <w:r>
      <w:instrText xml:space="preserve">PAGE   \* MERGEFORMAT</w:instrText>
    </w:r>
    <w:r>
      <w:fldChar w:fldCharType="separate"/>
    </w:r>
    <w:r>
      <w:rPr>
        <w:lang w:val="zh-CN"/>
      </w:rPr>
      <w:t>2</w:t>
    </w:r>
    <w:r>
      <w:fldChar w:fldCharType="end"/>
    </w:r>
  </w:p>
  <w:p w14:paraId="6F05FFCF">
    <w:pPr>
      <w:pStyle w:val="25"/>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A9EC9">
    <w:pPr>
      <w:pStyle w:val="25"/>
      <w:jc w:val="center"/>
    </w:pPr>
  </w:p>
  <w:p w14:paraId="2B9770A8">
    <w:pPr>
      <w:pStyle w:val="25"/>
      <w:jc w:val="center"/>
    </w:pPr>
    <w:r>
      <w:fldChar w:fldCharType="begin"/>
    </w:r>
    <w:r>
      <w:instrText xml:space="preserve">PAGE   \* MERGEFORMAT</w:instrText>
    </w:r>
    <w:r>
      <w:fldChar w:fldCharType="separate"/>
    </w:r>
    <w:r>
      <w:rPr>
        <w:lang w:val="zh-CN"/>
      </w:rPr>
      <w:t>2</w:t>
    </w:r>
    <w:r>
      <w:fldChar w:fldCharType="end"/>
    </w:r>
  </w:p>
  <w:p w14:paraId="113209EC">
    <w:pPr>
      <w:pStyle w:val="25"/>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2A506">
    <w:pPr>
      <w:pStyle w:val="25"/>
      <w:jc w:val="center"/>
    </w:pPr>
  </w:p>
  <w:p w14:paraId="0CC03E21">
    <w:pPr>
      <w:pStyle w:val="2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3832152"/>
    </w:sdtPr>
    <w:sdtContent>
      <w:p w14:paraId="2A327BB5">
        <w:pPr>
          <w:pStyle w:val="25"/>
          <w:ind w:firstLine="480"/>
          <w:jc w:val="center"/>
        </w:pPr>
        <w:r>
          <w:fldChar w:fldCharType="begin"/>
        </w:r>
        <w:r>
          <w:instrText xml:space="preserve">PAGE   \* MERGEFORMAT</w:instrText>
        </w:r>
        <w:r>
          <w:fldChar w:fldCharType="separate"/>
        </w:r>
        <w:r>
          <w:rPr>
            <w:lang w:val="zh-CN"/>
          </w:rPr>
          <w:t>2</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096068"/>
    <w:multiLevelType w:val="singleLevel"/>
    <w:tmpl w:val="FF096068"/>
    <w:lvl w:ilvl="0" w:tentative="0">
      <w:start w:val="3"/>
      <w:numFmt w:val="chineseCounting"/>
      <w:suff w:val="nothing"/>
      <w:lvlText w:val="%1、"/>
      <w:lvlJc w:val="left"/>
      <w:rPr>
        <w:rFonts w:hint="eastAsia"/>
      </w:rPr>
    </w:lvl>
  </w:abstractNum>
  <w:abstractNum w:abstractNumId="1">
    <w:nsid w:val="23D0BFFB"/>
    <w:multiLevelType w:val="singleLevel"/>
    <w:tmpl w:val="23D0BFFB"/>
    <w:lvl w:ilvl="0" w:tentative="0">
      <w:start w:val="1"/>
      <w:numFmt w:val="decimal"/>
      <w:suff w:val="nothing"/>
      <w:lvlText w:val="%1、"/>
      <w:lvlJc w:val="left"/>
    </w:lvl>
  </w:abstractNum>
  <w:abstractNum w:abstractNumId="2">
    <w:nsid w:val="275E69DF"/>
    <w:multiLevelType w:val="multilevel"/>
    <w:tmpl w:val="275E69DF"/>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B6A4863"/>
    <w:multiLevelType w:val="multilevel"/>
    <w:tmpl w:val="5B6A4863"/>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BDA113F"/>
    <w:multiLevelType w:val="singleLevel"/>
    <w:tmpl w:val="7BDA113F"/>
    <w:lvl w:ilvl="0" w:tentative="0">
      <w:start w:val="1"/>
      <w:numFmt w:val="bullet"/>
      <w:pStyle w:val="10"/>
      <w:lvlText w:val=""/>
      <w:lvlJc w:val="left"/>
      <w:pPr>
        <w:tabs>
          <w:tab w:val="left" w:pos="780"/>
        </w:tabs>
        <w:ind w:left="780" w:hanging="360"/>
      </w:pPr>
      <w:rPr>
        <w:rFonts w:hint="default" w:ascii="Wingdings" w:hAnsi="Wingdings"/>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210"/>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kYmU2NDI4Njc0Yjk0ZTA4MWQ5NDUxNWQyMzFiNTQifQ=="/>
  </w:docVars>
  <w:rsids>
    <w:rsidRoot w:val="00A14947"/>
    <w:rsid w:val="00001CED"/>
    <w:rsid w:val="00001E67"/>
    <w:rsid w:val="00003316"/>
    <w:rsid w:val="00003CD8"/>
    <w:rsid w:val="0000677C"/>
    <w:rsid w:val="00012597"/>
    <w:rsid w:val="00013042"/>
    <w:rsid w:val="00014965"/>
    <w:rsid w:val="0001523A"/>
    <w:rsid w:val="000159CD"/>
    <w:rsid w:val="00016135"/>
    <w:rsid w:val="00016290"/>
    <w:rsid w:val="00016ECB"/>
    <w:rsid w:val="00022657"/>
    <w:rsid w:val="00026344"/>
    <w:rsid w:val="0002689F"/>
    <w:rsid w:val="000269F6"/>
    <w:rsid w:val="00026A0D"/>
    <w:rsid w:val="00027A24"/>
    <w:rsid w:val="00031939"/>
    <w:rsid w:val="00032D25"/>
    <w:rsid w:val="00032E2C"/>
    <w:rsid w:val="000333E4"/>
    <w:rsid w:val="00035182"/>
    <w:rsid w:val="00036066"/>
    <w:rsid w:val="00037858"/>
    <w:rsid w:val="00040DF3"/>
    <w:rsid w:val="00041609"/>
    <w:rsid w:val="000438A6"/>
    <w:rsid w:val="0004412E"/>
    <w:rsid w:val="000474CD"/>
    <w:rsid w:val="0005113F"/>
    <w:rsid w:val="0005219D"/>
    <w:rsid w:val="00053784"/>
    <w:rsid w:val="00054437"/>
    <w:rsid w:val="00054BAE"/>
    <w:rsid w:val="0005568F"/>
    <w:rsid w:val="0005660B"/>
    <w:rsid w:val="00060B74"/>
    <w:rsid w:val="0006153D"/>
    <w:rsid w:val="00061B1F"/>
    <w:rsid w:val="00063C53"/>
    <w:rsid w:val="00064B3A"/>
    <w:rsid w:val="000659F8"/>
    <w:rsid w:val="000664DB"/>
    <w:rsid w:val="00067C3D"/>
    <w:rsid w:val="0007127D"/>
    <w:rsid w:val="00071AE5"/>
    <w:rsid w:val="00072C8F"/>
    <w:rsid w:val="00074783"/>
    <w:rsid w:val="00077109"/>
    <w:rsid w:val="00077A50"/>
    <w:rsid w:val="000801E0"/>
    <w:rsid w:val="00082A29"/>
    <w:rsid w:val="0008331D"/>
    <w:rsid w:val="00083C18"/>
    <w:rsid w:val="0008605A"/>
    <w:rsid w:val="0008656A"/>
    <w:rsid w:val="00092899"/>
    <w:rsid w:val="00093657"/>
    <w:rsid w:val="00096106"/>
    <w:rsid w:val="0009795F"/>
    <w:rsid w:val="000A178E"/>
    <w:rsid w:val="000A557E"/>
    <w:rsid w:val="000A5EF7"/>
    <w:rsid w:val="000B0130"/>
    <w:rsid w:val="000B058F"/>
    <w:rsid w:val="000B1837"/>
    <w:rsid w:val="000B1B58"/>
    <w:rsid w:val="000B560C"/>
    <w:rsid w:val="000B6223"/>
    <w:rsid w:val="000B62A9"/>
    <w:rsid w:val="000B68F8"/>
    <w:rsid w:val="000B693F"/>
    <w:rsid w:val="000B77D7"/>
    <w:rsid w:val="000C09AC"/>
    <w:rsid w:val="000C0A63"/>
    <w:rsid w:val="000C2459"/>
    <w:rsid w:val="000C3D5D"/>
    <w:rsid w:val="000C437E"/>
    <w:rsid w:val="000C4EBE"/>
    <w:rsid w:val="000C5D55"/>
    <w:rsid w:val="000D2D6F"/>
    <w:rsid w:val="000D4B33"/>
    <w:rsid w:val="000D751B"/>
    <w:rsid w:val="000D75F3"/>
    <w:rsid w:val="000E5F16"/>
    <w:rsid w:val="000F128E"/>
    <w:rsid w:val="000F4452"/>
    <w:rsid w:val="000F45B4"/>
    <w:rsid w:val="000F6DA1"/>
    <w:rsid w:val="000F701B"/>
    <w:rsid w:val="000F7B86"/>
    <w:rsid w:val="00103C7C"/>
    <w:rsid w:val="001056A0"/>
    <w:rsid w:val="0010647D"/>
    <w:rsid w:val="001113B8"/>
    <w:rsid w:val="001147C5"/>
    <w:rsid w:val="00115279"/>
    <w:rsid w:val="001173A3"/>
    <w:rsid w:val="00117459"/>
    <w:rsid w:val="0011749A"/>
    <w:rsid w:val="00124999"/>
    <w:rsid w:val="001250F0"/>
    <w:rsid w:val="00126245"/>
    <w:rsid w:val="00127590"/>
    <w:rsid w:val="00127A68"/>
    <w:rsid w:val="00130919"/>
    <w:rsid w:val="001333FA"/>
    <w:rsid w:val="00134528"/>
    <w:rsid w:val="0014041E"/>
    <w:rsid w:val="00140B13"/>
    <w:rsid w:val="001416A0"/>
    <w:rsid w:val="00141B68"/>
    <w:rsid w:val="00142F4C"/>
    <w:rsid w:val="001466DA"/>
    <w:rsid w:val="0014765D"/>
    <w:rsid w:val="001502B4"/>
    <w:rsid w:val="00151773"/>
    <w:rsid w:val="00154B0E"/>
    <w:rsid w:val="00154DE1"/>
    <w:rsid w:val="00155B40"/>
    <w:rsid w:val="00156521"/>
    <w:rsid w:val="00157435"/>
    <w:rsid w:val="00160502"/>
    <w:rsid w:val="001605E0"/>
    <w:rsid w:val="00163EEA"/>
    <w:rsid w:val="00167754"/>
    <w:rsid w:val="00167A07"/>
    <w:rsid w:val="0017046A"/>
    <w:rsid w:val="001704A3"/>
    <w:rsid w:val="00171B07"/>
    <w:rsid w:val="001730B2"/>
    <w:rsid w:val="0017504D"/>
    <w:rsid w:val="00176F40"/>
    <w:rsid w:val="00177422"/>
    <w:rsid w:val="0018158F"/>
    <w:rsid w:val="0018259E"/>
    <w:rsid w:val="0018404D"/>
    <w:rsid w:val="00184F10"/>
    <w:rsid w:val="00185546"/>
    <w:rsid w:val="0019146B"/>
    <w:rsid w:val="00193B2E"/>
    <w:rsid w:val="00194398"/>
    <w:rsid w:val="00194769"/>
    <w:rsid w:val="001953D8"/>
    <w:rsid w:val="00197317"/>
    <w:rsid w:val="001A350A"/>
    <w:rsid w:val="001A4F8D"/>
    <w:rsid w:val="001A689B"/>
    <w:rsid w:val="001A7D2A"/>
    <w:rsid w:val="001B4DED"/>
    <w:rsid w:val="001B5277"/>
    <w:rsid w:val="001B574C"/>
    <w:rsid w:val="001C0AF9"/>
    <w:rsid w:val="001C155A"/>
    <w:rsid w:val="001C48C0"/>
    <w:rsid w:val="001C502F"/>
    <w:rsid w:val="001C697C"/>
    <w:rsid w:val="001D0A95"/>
    <w:rsid w:val="001D1E1D"/>
    <w:rsid w:val="001D5523"/>
    <w:rsid w:val="001D6726"/>
    <w:rsid w:val="001D7297"/>
    <w:rsid w:val="001E1B89"/>
    <w:rsid w:val="001E46EA"/>
    <w:rsid w:val="001E4850"/>
    <w:rsid w:val="001E558C"/>
    <w:rsid w:val="001E5A03"/>
    <w:rsid w:val="001E665B"/>
    <w:rsid w:val="001E75AA"/>
    <w:rsid w:val="001E7618"/>
    <w:rsid w:val="001F3347"/>
    <w:rsid w:val="001F4440"/>
    <w:rsid w:val="001F4619"/>
    <w:rsid w:val="001F69E4"/>
    <w:rsid w:val="00200536"/>
    <w:rsid w:val="0020113B"/>
    <w:rsid w:val="00201948"/>
    <w:rsid w:val="002021CE"/>
    <w:rsid w:val="00206A65"/>
    <w:rsid w:val="00212D31"/>
    <w:rsid w:val="002130C7"/>
    <w:rsid w:val="002147F0"/>
    <w:rsid w:val="00215339"/>
    <w:rsid w:val="002155D9"/>
    <w:rsid w:val="00217280"/>
    <w:rsid w:val="00221661"/>
    <w:rsid w:val="002218A8"/>
    <w:rsid w:val="0022306D"/>
    <w:rsid w:val="00226574"/>
    <w:rsid w:val="0022671A"/>
    <w:rsid w:val="00226DC9"/>
    <w:rsid w:val="002278EC"/>
    <w:rsid w:val="002314AA"/>
    <w:rsid w:val="002317B6"/>
    <w:rsid w:val="00233607"/>
    <w:rsid w:val="00234431"/>
    <w:rsid w:val="002357C7"/>
    <w:rsid w:val="002367C4"/>
    <w:rsid w:val="0023722A"/>
    <w:rsid w:val="002375F7"/>
    <w:rsid w:val="00240679"/>
    <w:rsid w:val="00240C07"/>
    <w:rsid w:val="00244507"/>
    <w:rsid w:val="002518EE"/>
    <w:rsid w:val="0025679E"/>
    <w:rsid w:val="0025734A"/>
    <w:rsid w:val="00260C68"/>
    <w:rsid w:val="002648B0"/>
    <w:rsid w:val="0027262A"/>
    <w:rsid w:val="00275271"/>
    <w:rsid w:val="0027535E"/>
    <w:rsid w:val="00275AA6"/>
    <w:rsid w:val="00276DAD"/>
    <w:rsid w:val="002805FA"/>
    <w:rsid w:val="002807D5"/>
    <w:rsid w:val="00280989"/>
    <w:rsid w:val="00280D89"/>
    <w:rsid w:val="002816E5"/>
    <w:rsid w:val="00282CCD"/>
    <w:rsid w:val="00286A44"/>
    <w:rsid w:val="00287FF2"/>
    <w:rsid w:val="002936FC"/>
    <w:rsid w:val="00295580"/>
    <w:rsid w:val="00295CBC"/>
    <w:rsid w:val="00297C60"/>
    <w:rsid w:val="002A168C"/>
    <w:rsid w:val="002A2C48"/>
    <w:rsid w:val="002A3EED"/>
    <w:rsid w:val="002A40A3"/>
    <w:rsid w:val="002A4681"/>
    <w:rsid w:val="002A4A39"/>
    <w:rsid w:val="002A5A17"/>
    <w:rsid w:val="002A6169"/>
    <w:rsid w:val="002A6425"/>
    <w:rsid w:val="002B1566"/>
    <w:rsid w:val="002B2266"/>
    <w:rsid w:val="002B49E2"/>
    <w:rsid w:val="002B4F7A"/>
    <w:rsid w:val="002B7B00"/>
    <w:rsid w:val="002B7C44"/>
    <w:rsid w:val="002C1388"/>
    <w:rsid w:val="002C2546"/>
    <w:rsid w:val="002C3C6A"/>
    <w:rsid w:val="002C52D2"/>
    <w:rsid w:val="002C6901"/>
    <w:rsid w:val="002D1A82"/>
    <w:rsid w:val="002D2CF0"/>
    <w:rsid w:val="002D334B"/>
    <w:rsid w:val="002D42DB"/>
    <w:rsid w:val="002D5B7E"/>
    <w:rsid w:val="002D5E11"/>
    <w:rsid w:val="002D6A08"/>
    <w:rsid w:val="002D701F"/>
    <w:rsid w:val="002E1F3A"/>
    <w:rsid w:val="002E298A"/>
    <w:rsid w:val="002E4E3C"/>
    <w:rsid w:val="002E6513"/>
    <w:rsid w:val="002E6B1C"/>
    <w:rsid w:val="002F02A4"/>
    <w:rsid w:val="002F0377"/>
    <w:rsid w:val="002F272B"/>
    <w:rsid w:val="002F2D58"/>
    <w:rsid w:val="002F5165"/>
    <w:rsid w:val="002F60C4"/>
    <w:rsid w:val="002F7AC9"/>
    <w:rsid w:val="002F7C6D"/>
    <w:rsid w:val="003003F3"/>
    <w:rsid w:val="003027E4"/>
    <w:rsid w:val="0030332C"/>
    <w:rsid w:val="003048CB"/>
    <w:rsid w:val="00304DF8"/>
    <w:rsid w:val="0030541D"/>
    <w:rsid w:val="00307B02"/>
    <w:rsid w:val="00310867"/>
    <w:rsid w:val="00312296"/>
    <w:rsid w:val="003127AA"/>
    <w:rsid w:val="0031340E"/>
    <w:rsid w:val="00313AE2"/>
    <w:rsid w:val="00316464"/>
    <w:rsid w:val="00316F9B"/>
    <w:rsid w:val="00317FDD"/>
    <w:rsid w:val="0032073A"/>
    <w:rsid w:val="00321D8E"/>
    <w:rsid w:val="003241D1"/>
    <w:rsid w:val="00324A55"/>
    <w:rsid w:val="00325599"/>
    <w:rsid w:val="003257D3"/>
    <w:rsid w:val="00334996"/>
    <w:rsid w:val="00335205"/>
    <w:rsid w:val="00336969"/>
    <w:rsid w:val="00336C52"/>
    <w:rsid w:val="00341176"/>
    <w:rsid w:val="00341B3E"/>
    <w:rsid w:val="00341B42"/>
    <w:rsid w:val="00343153"/>
    <w:rsid w:val="00343FFB"/>
    <w:rsid w:val="00345154"/>
    <w:rsid w:val="0034560E"/>
    <w:rsid w:val="00350523"/>
    <w:rsid w:val="00352975"/>
    <w:rsid w:val="00353020"/>
    <w:rsid w:val="00356868"/>
    <w:rsid w:val="00362148"/>
    <w:rsid w:val="003636D0"/>
    <w:rsid w:val="0036485B"/>
    <w:rsid w:val="00366201"/>
    <w:rsid w:val="0036758E"/>
    <w:rsid w:val="00371A56"/>
    <w:rsid w:val="0037299D"/>
    <w:rsid w:val="00373B0D"/>
    <w:rsid w:val="00373EAD"/>
    <w:rsid w:val="00374B64"/>
    <w:rsid w:val="00375F1B"/>
    <w:rsid w:val="00376988"/>
    <w:rsid w:val="00376E6B"/>
    <w:rsid w:val="003800E7"/>
    <w:rsid w:val="0038060B"/>
    <w:rsid w:val="00381A32"/>
    <w:rsid w:val="00381A72"/>
    <w:rsid w:val="00382D2F"/>
    <w:rsid w:val="0038395C"/>
    <w:rsid w:val="00385562"/>
    <w:rsid w:val="00386E06"/>
    <w:rsid w:val="0039220E"/>
    <w:rsid w:val="003A1948"/>
    <w:rsid w:val="003A3A59"/>
    <w:rsid w:val="003A6C5D"/>
    <w:rsid w:val="003A72C6"/>
    <w:rsid w:val="003B152A"/>
    <w:rsid w:val="003B4940"/>
    <w:rsid w:val="003B545B"/>
    <w:rsid w:val="003B5F48"/>
    <w:rsid w:val="003C2A49"/>
    <w:rsid w:val="003C4840"/>
    <w:rsid w:val="003C5994"/>
    <w:rsid w:val="003D11F5"/>
    <w:rsid w:val="003D310D"/>
    <w:rsid w:val="003D3EE9"/>
    <w:rsid w:val="003E21BB"/>
    <w:rsid w:val="003E44E3"/>
    <w:rsid w:val="003E51EF"/>
    <w:rsid w:val="003E7681"/>
    <w:rsid w:val="003F0809"/>
    <w:rsid w:val="003F611C"/>
    <w:rsid w:val="003F755C"/>
    <w:rsid w:val="003F7973"/>
    <w:rsid w:val="00406B9C"/>
    <w:rsid w:val="00406F01"/>
    <w:rsid w:val="00411B36"/>
    <w:rsid w:val="004121D7"/>
    <w:rsid w:val="00416D50"/>
    <w:rsid w:val="00417772"/>
    <w:rsid w:val="00420E6A"/>
    <w:rsid w:val="00432943"/>
    <w:rsid w:val="00433818"/>
    <w:rsid w:val="00433CA9"/>
    <w:rsid w:val="0043521D"/>
    <w:rsid w:val="004360F2"/>
    <w:rsid w:val="00436100"/>
    <w:rsid w:val="00442024"/>
    <w:rsid w:val="0044254C"/>
    <w:rsid w:val="00442A67"/>
    <w:rsid w:val="00443F6A"/>
    <w:rsid w:val="0044543E"/>
    <w:rsid w:val="00445F9E"/>
    <w:rsid w:val="00446F8E"/>
    <w:rsid w:val="00450A17"/>
    <w:rsid w:val="00451824"/>
    <w:rsid w:val="00453D81"/>
    <w:rsid w:val="004605C3"/>
    <w:rsid w:val="00461C7A"/>
    <w:rsid w:val="00463ADD"/>
    <w:rsid w:val="00466321"/>
    <w:rsid w:val="00467020"/>
    <w:rsid w:val="004672AF"/>
    <w:rsid w:val="0047062B"/>
    <w:rsid w:val="004727B0"/>
    <w:rsid w:val="00473FDD"/>
    <w:rsid w:val="004760AB"/>
    <w:rsid w:val="00476711"/>
    <w:rsid w:val="00480247"/>
    <w:rsid w:val="0048081D"/>
    <w:rsid w:val="0048117E"/>
    <w:rsid w:val="00481670"/>
    <w:rsid w:val="00482DE0"/>
    <w:rsid w:val="004855F6"/>
    <w:rsid w:val="00486F0C"/>
    <w:rsid w:val="00491041"/>
    <w:rsid w:val="00492C35"/>
    <w:rsid w:val="00494670"/>
    <w:rsid w:val="00494A5D"/>
    <w:rsid w:val="004A0EB4"/>
    <w:rsid w:val="004A3823"/>
    <w:rsid w:val="004A59BB"/>
    <w:rsid w:val="004A639F"/>
    <w:rsid w:val="004B43A3"/>
    <w:rsid w:val="004B4C49"/>
    <w:rsid w:val="004B535E"/>
    <w:rsid w:val="004B58A5"/>
    <w:rsid w:val="004B6043"/>
    <w:rsid w:val="004B60AB"/>
    <w:rsid w:val="004B63D9"/>
    <w:rsid w:val="004C0882"/>
    <w:rsid w:val="004C1323"/>
    <w:rsid w:val="004C41B9"/>
    <w:rsid w:val="004C55BE"/>
    <w:rsid w:val="004C7CD9"/>
    <w:rsid w:val="004D03C7"/>
    <w:rsid w:val="004D0740"/>
    <w:rsid w:val="004D4334"/>
    <w:rsid w:val="004E024E"/>
    <w:rsid w:val="004E34B1"/>
    <w:rsid w:val="004E34D3"/>
    <w:rsid w:val="004E3CDC"/>
    <w:rsid w:val="004E5B30"/>
    <w:rsid w:val="004F0779"/>
    <w:rsid w:val="004F1230"/>
    <w:rsid w:val="004F173F"/>
    <w:rsid w:val="004F177C"/>
    <w:rsid w:val="004F2DCE"/>
    <w:rsid w:val="004F4857"/>
    <w:rsid w:val="00500082"/>
    <w:rsid w:val="005004A1"/>
    <w:rsid w:val="00500578"/>
    <w:rsid w:val="00501638"/>
    <w:rsid w:val="0050394D"/>
    <w:rsid w:val="005039CB"/>
    <w:rsid w:val="0050558F"/>
    <w:rsid w:val="005057E0"/>
    <w:rsid w:val="00506286"/>
    <w:rsid w:val="00506F96"/>
    <w:rsid w:val="0051000B"/>
    <w:rsid w:val="00510813"/>
    <w:rsid w:val="00511DE0"/>
    <w:rsid w:val="0051228B"/>
    <w:rsid w:val="005136E1"/>
    <w:rsid w:val="005169E9"/>
    <w:rsid w:val="00517ECD"/>
    <w:rsid w:val="00517F02"/>
    <w:rsid w:val="005238ED"/>
    <w:rsid w:val="0052395C"/>
    <w:rsid w:val="00524547"/>
    <w:rsid w:val="005258A2"/>
    <w:rsid w:val="00530F7C"/>
    <w:rsid w:val="0053205D"/>
    <w:rsid w:val="00532412"/>
    <w:rsid w:val="00534567"/>
    <w:rsid w:val="005349BC"/>
    <w:rsid w:val="00534F43"/>
    <w:rsid w:val="00535A84"/>
    <w:rsid w:val="00535C84"/>
    <w:rsid w:val="00536889"/>
    <w:rsid w:val="005428EA"/>
    <w:rsid w:val="00542E07"/>
    <w:rsid w:val="00547644"/>
    <w:rsid w:val="005479C6"/>
    <w:rsid w:val="0055004A"/>
    <w:rsid w:val="005518ED"/>
    <w:rsid w:val="0055399B"/>
    <w:rsid w:val="00554A7B"/>
    <w:rsid w:val="0055572C"/>
    <w:rsid w:val="005600B6"/>
    <w:rsid w:val="0056064F"/>
    <w:rsid w:val="00560F69"/>
    <w:rsid w:val="00561B84"/>
    <w:rsid w:val="00571754"/>
    <w:rsid w:val="00571D98"/>
    <w:rsid w:val="005720AE"/>
    <w:rsid w:val="005720E2"/>
    <w:rsid w:val="00574A5A"/>
    <w:rsid w:val="0058030D"/>
    <w:rsid w:val="00582045"/>
    <w:rsid w:val="00590AE3"/>
    <w:rsid w:val="005918F1"/>
    <w:rsid w:val="00591F25"/>
    <w:rsid w:val="00592979"/>
    <w:rsid w:val="00593D93"/>
    <w:rsid w:val="005941CF"/>
    <w:rsid w:val="005A06B7"/>
    <w:rsid w:val="005A1671"/>
    <w:rsid w:val="005A1675"/>
    <w:rsid w:val="005A1759"/>
    <w:rsid w:val="005A65E2"/>
    <w:rsid w:val="005A7101"/>
    <w:rsid w:val="005A792B"/>
    <w:rsid w:val="005B1B64"/>
    <w:rsid w:val="005B2A23"/>
    <w:rsid w:val="005B327E"/>
    <w:rsid w:val="005B52C3"/>
    <w:rsid w:val="005B7C9A"/>
    <w:rsid w:val="005C0FAC"/>
    <w:rsid w:val="005C1A14"/>
    <w:rsid w:val="005C1BB1"/>
    <w:rsid w:val="005C3E6E"/>
    <w:rsid w:val="005C5D17"/>
    <w:rsid w:val="005C5E7D"/>
    <w:rsid w:val="005C63BE"/>
    <w:rsid w:val="005C69FC"/>
    <w:rsid w:val="005D0369"/>
    <w:rsid w:val="005D1537"/>
    <w:rsid w:val="005D4E03"/>
    <w:rsid w:val="005D53FE"/>
    <w:rsid w:val="005D68BD"/>
    <w:rsid w:val="005D7A0F"/>
    <w:rsid w:val="005D7F2A"/>
    <w:rsid w:val="005E0438"/>
    <w:rsid w:val="005E1791"/>
    <w:rsid w:val="005E1B86"/>
    <w:rsid w:val="005E2B01"/>
    <w:rsid w:val="005E2CE6"/>
    <w:rsid w:val="005E387E"/>
    <w:rsid w:val="005E6324"/>
    <w:rsid w:val="005E6DD9"/>
    <w:rsid w:val="005E7AFB"/>
    <w:rsid w:val="005F228B"/>
    <w:rsid w:val="005F29CD"/>
    <w:rsid w:val="005F4DFB"/>
    <w:rsid w:val="005F56F4"/>
    <w:rsid w:val="005F615C"/>
    <w:rsid w:val="005F67A0"/>
    <w:rsid w:val="005F6CC0"/>
    <w:rsid w:val="00603E5B"/>
    <w:rsid w:val="00604BC8"/>
    <w:rsid w:val="006143A4"/>
    <w:rsid w:val="00615B4C"/>
    <w:rsid w:val="00615B5D"/>
    <w:rsid w:val="00616592"/>
    <w:rsid w:val="006204DA"/>
    <w:rsid w:val="0062146F"/>
    <w:rsid w:val="00621D56"/>
    <w:rsid w:val="00624FA7"/>
    <w:rsid w:val="00625C7E"/>
    <w:rsid w:val="00627492"/>
    <w:rsid w:val="006343AF"/>
    <w:rsid w:val="00635D10"/>
    <w:rsid w:val="0063634A"/>
    <w:rsid w:val="00637EDA"/>
    <w:rsid w:val="0064250D"/>
    <w:rsid w:val="006428AB"/>
    <w:rsid w:val="006445AF"/>
    <w:rsid w:val="00644A7C"/>
    <w:rsid w:val="0065094B"/>
    <w:rsid w:val="006524C4"/>
    <w:rsid w:val="00652E29"/>
    <w:rsid w:val="006535EB"/>
    <w:rsid w:val="00654A94"/>
    <w:rsid w:val="00654B30"/>
    <w:rsid w:val="0065684B"/>
    <w:rsid w:val="00656EFF"/>
    <w:rsid w:val="00663016"/>
    <w:rsid w:val="00664D9A"/>
    <w:rsid w:val="00665D9D"/>
    <w:rsid w:val="00666EE1"/>
    <w:rsid w:val="00667815"/>
    <w:rsid w:val="00667DDD"/>
    <w:rsid w:val="006702B3"/>
    <w:rsid w:val="00673F2F"/>
    <w:rsid w:val="00674605"/>
    <w:rsid w:val="006748B8"/>
    <w:rsid w:val="00680D54"/>
    <w:rsid w:val="00681206"/>
    <w:rsid w:val="00683E07"/>
    <w:rsid w:val="00684613"/>
    <w:rsid w:val="0068535B"/>
    <w:rsid w:val="00685E88"/>
    <w:rsid w:val="0068736E"/>
    <w:rsid w:val="00687B5C"/>
    <w:rsid w:val="0069290A"/>
    <w:rsid w:val="00693207"/>
    <w:rsid w:val="00693CAC"/>
    <w:rsid w:val="00697032"/>
    <w:rsid w:val="006975AC"/>
    <w:rsid w:val="006A0C83"/>
    <w:rsid w:val="006A15FB"/>
    <w:rsid w:val="006A635B"/>
    <w:rsid w:val="006A6A10"/>
    <w:rsid w:val="006A72BF"/>
    <w:rsid w:val="006A757C"/>
    <w:rsid w:val="006A7F2A"/>
    <w:rsid w:val="006B1281"/>
    <w:rsid w:val="006B2A8D"/>
    <w:rsid w:val="006B2CA6"/>
    <w:rsid w:val="006B2D62"/>
    <w:rsid w:val="006B332A"/>
    <w:rsid w:val="006B33BD"/>
    <w:rsid w:val="006B432F"/>
    <w:rsid w:val="006B4DEA"/>
    <w:rsid w:val="006B7BEF"/>
    <w:rsid w:val="006C0A17"/>
    <w:rsid w:val="006C24F3"/>
    <w:rsid w:val="006C24F8"/>
    <w:rsid w:val="006C3F75"/>
    <w:rsid w:val="006C6B33"/>
    <w:rsid w:val="006D170E"/>
    <w:rsid w:val="006D1F50"/>
    <w:rsid w:val="006D29AB"/>
    <w:rsid w:val="006E06AF"/>
    <w:rsid w:val="006E1C2B"/>
    <w:rsid w:val="006E3377"/>
    <w:rsid w:val="006E585A"/>
    <w:rsid w:val="006F010C"/>
    <w:rsid w:val="006F1789"/>
    <w:rsid w:val="006F2A64"/>
    <w:rsid w:val="006F351D"/>
    <w:rsid w:val="00703725"/>
    <w:rsid w:val="007062ED"/>
    <w:rsid w:val="00706C5D"/>
    <w:rsid w:val="007118E6"/>
    <w:rsid w:val="00715C97"/>
    <w:rsid w:val="0071605D"/>
    <w:rsid w:val="007169BE"/>
    <w:rsid w:val="007225C9"/>
    <w:rsid w:val="00730C9C"/>
    <w:rsid w:val="007315CA"/>
    <w:rsid w:val="00731678"/>
    <w:rsid w:val="00734273"/>
    <w:rsid w:val="00735CD7"/>
    <w:rsid w:val="00736BB6"/>
    <w:rsid w:val="0074125F"/>
    <w:rsid w:val="00742820"/>
    <w:rsid w:val="0074333D"/>
    <w:rsid w:val="007445C2"/>
    <w:rsid w:val="0075234B"/>
    <w:rsid w:val="00754034"/>
    <w:rsid w:val="00754BF1"/>
    <w:rsid w:val="00755A30"/>
    <w:rsid w:val="00755E1C"/>
    <w:rsid w:val="00756556"/>
    <w:rsid w:val="0076132B"/>
    <w:rsid w:val="007623AE"/>
    <w:rsid w:val="00763DFE"/>
    <w:rsid w:val="0076437C"/>
    <w:rsid w:val="0076510B"/>
    <w:rsid w:val="00765EE5"/>
    <w:rsid w:val="0076630F"/>
    <w:rsid w:val="007676A9"/>
    <w:rsid w:val="00770B19"/>
    <w:rsid w:val="00774FA0"/>
    <w:rsid w:val="007761DF"/>
    <w:rsid w:val="007764AB"/>
    <w:rsid w:val="00776620"/>
    <w:rsid w:val="00777B6D"/>
    <w:rsid w:val="00781923"/>
    <w:rsid w:val="007846D8"/>
    <w:rsid w:val="00784855"/>
    <w:rsid w:val="00784F39"/>
    <w:rsid w:val="0078545C"/>
    <w:rsid w:val="00785A5E"/>
    <w:rsid w:val="007906C4"/>
    <w:rsid w:val="007940EA"/>
    <w:rsid w:val="00794ABC"/>
    <w:rsid w:val="00794EA7"/>
    <w:rsid w:val="007967E8"/>
    <w:rsid w:val="007A081D"/>
    <w:rsid w:val="007A09EB"/>
    <w:rsid w:val="007A1EE6"/>
    <w:rsid w:val="007A63F2"/>
    <w:rsid w:val="007B1B48"/>
    <w:rsid w:val="007B235B"/>
    <w:rsid w:val="007B3254"/>
    <w:rsid w:val="007B4EA1"/>
    <w:rsid w:val="007B5D2D"/>
    <w:rsid w:val="007B68DE"/>
    <w:rsid w:val="007C1823"/>
    <w:rsid w:val="007C1857"/>
    <w:rsid w:val="007C514F"/>
    <w:rsid w:val="007C609E"/>
    <w:rsid w:val="007D0F95"/>
    <w:rsid w:val="007D13DF"/>
    <w:rsid w:val="007D7ECB"/>
    <w:rsid w:val="007E1D8A"/>
    <w:rsid w:val="007E2485"/>
    <w:rsid w:val="007E25A1"/>
    <w:rsid w:val="007E4BD2"/>
    <w:rsid w:val="007E5661"/>
    <w:rsid w:val="007E61EE"/>
    <w:rsid w:val="007E7145"/>
    <w:rsid w:val="007F1556"/>
    <w:rsid w:val="007F3916"/>
    <w:rsid w:val="007F5037"/>
    <w:rsid w:val="007F79F1"/>
    <w:rsid w:val="007F7B7D"/>
    <w:rsid w:val="00800B39"/>
    <w:rsid w:val="00801179"/>
    <w:rsid w:val="00802479"/>
    <w:rsid w:val="008047C3"/>
    <w:rsid w:val="00805372"/>
    <w:rsid w:val="00805B7B"/>
    <w:rsid w:val="008114FA"/>
    <w:rsid w:val="0081293E"/>
    <w:rsid w:val="0081414E"/>
    <w:rsid w:val="00814FFB"/>
    <w:rsid w:val="00817B06"/>
    <w:rsid w:val="00820568"/>
    <w:rsid w:val="0082766C"/>
    <w:rsid w:val="00831A80"/>
    <w:rsid w:val="008332C8"/>
    <w:rsid w:val="00833743"/>
    <w:rsid w:val="00833ACA"/>
    <w:rsid w:val="008340A4"/>
    <w:rsid w:val="00835E32"/>
    <w:rsid w:val="00836799"/>
    <w:rsid w:val="00837028"/>
    <w:rsid w:val="00837131"/>
    <w:rsid w:val="00845F57"/>
    <w:rsid w:val="00847921"/>
    <w:rsid w:val="008505A3"/>
    <w:rsid w:val="008521E0"/>
    <w:rsid w:val="008525B0"/>
    <w:rsid w:val="00852BC9"/>
    <w:rsid w:val="008544E9"/>
    <w:rsid w:val="008600F8"/>
    <w:rsid w:val="00863FEB"/>
    <w:rsid w:val="00864E1C"/>
    <w:rsid w:val="00866873"/>
    <w:rsid w:val="00867CBC"/>
    <w:rsid w:val="0087017A"/>
    <w:rsid w:val="00872086"/>
    <w:rsid w:val="008760ED"/>
    <w:rsid w:val="00876C30"/>
    <w:rsid w:val="00877017"/>
    <w:rsid w:val="008773C0"/>
    <w:rsid w:val="008774DD"/>
    <w:rsid w:val="00880364"/>
    <w:rsid w:val="00880F00"/>
    <w:rsid w:val="00881FAF"/>
    <w:rsid w:val="00886C4C"/>
    <w:rsid w:val="0088711C"/>
    <w:rsid w:val="00890DD7"/>
    <w:rsid w:val="0089261E"/>
    <w:rsid w:val="00892ECF"/>
    <w:rsid w:val="00892F06"/>
    <w:rsid w:val="00894277"/>
    <w:rsid w:val="00894285"/>
    <w:rsid w:val="00897CF6"/>
    <w:rsid w:val="008A163A"/>
    <w:rsid w:val="008A40AE"/>
    <w:rsid w:val="008A4E19"/>
    <w:rsid w:val="008A4F70"/>
    <w:rsid w:val="008A6113"/>
    <w:rsid w:val="008A622F"/>
    <w:rsid w:val="008A67C5"/>
    <w:rsid w:val="008A774E"/>
    <w:rsid w:val="008B0466"/>
    <w:rsid w:val="008B22E1"/>
    <w:rsid w:val="008B328F"/>
    <w:rsid w:val="008B3C78"/>
    <w:rsid w:val="008B4AE9"/>
    <w:rsid w:val="008B54A2"/>
    <w:rsid w:val="008B6D62"/>
    <w:rsid w:val="008C0FFB"/>
    <w:rsid w:val="008C136A"/>
    <w:rsid w:val="008C30AD"/>
    <w:rsid w:val="008C41F2"/>
    <w:rsid w:val="008C6C40"/>
    <w:rsid w:val="008D068E"/>
    <w:rsid w:val="008D0F7A"/>
    <w:rsid w:val="008D3A50"/>
    <w:rsid w:val="008D43B5"/>
    <w:rsid w:val="008D5827"/>
    <w:rsid w:val="008D63BE"/>
    <w:rsid w:val="008E0CFF"/>
    <w:rsid w:val="008E1675"/>
    <w:rsid w:val="008E387C"/>
    <w:rsid w:val="008E4150"/>
    <w:rsid w:val="008E441A"/>
    <w:rsid w:val="008E5D6B"/>
    <w:rsid w:val="008E6644"/>
    <w:rsid w:val="008E689B"/>
    <w:rsid w:val="008E76F0"/>
    <w:rsid w:val="008F15FE"/>
    <w:rsid w:val="008F18E6"/>
    <w:rsid w:val="008F249B"/>
    <w:rsid w:val="008F2A94"/>
    <w:rsid w:val="008F393D"/>
    <w:rsid w:val="008F5187"/>
    <w:rsid w:val="008F709C"/>
    <w:rsid w:val="008F74F2"/>
    <w:rsid w:val="0090312B"/>
    <w:rsid w:val="00904961"/>
    <w:rsid w:val="00906764"/>
    <w:rsid w:val="00913CCA"/>
    <w:rsid w:val="00914440"/>
    <w:rsid w:val="009170CE"/>
    <w:rsid w:val="0091736D"/>
    <w:rsid w:val="00917D55"/>
    <w:rsid w:val="009205D0"/>
    <w:rsid w:val="009215B8"/>
    <w:rsid w:val="00926860"/>
    <w:rsid w:val="009306C5"/>
    <w:rsid w:val="00931001"/>
    <w:rsid w:val="00931863"/>
    <w:rsid w:val="00933524"/>
    <w:rsid w:val="0093692B"/>
    <w:rsid w:val="00937C3B"/>
    <w:rsid w:val="0094061F"/>
    <w:rsid w:val="00940928"/>
    <w:rsid w:val="00941DBA"/>
    <w:rsid w:val="0094278D"/>
    <w:rsid w:val="00944B81"/>
    <w:rsid w:val="00945510"/>
    <w:rsid w:val="009469F2"/>
    <w:rsid w:val="00947018"/>
    <w:rsid w:val="00947D8B"/>
    <w:rsid w:val="00951208"/>
    <w:rsid w:val="0095308A"/>
    <w:rsid w:val="00955AEE"/>
    <w:rsid w:val="009561D2"/>
    <w:rsid w:val="0095640D"/>
    <w:rsid w:val="00956550"/>
    <w:rsid w:val="00956F14"/>
    <w:rsid w:val="0095715C"/>
    <w:rsid w:val="009620FD"/>
    <w:rsid w:val="0096247A"/>
    <w:rsid w:val="00965F4B"/>
    <w:rsid w:val="00966687"/>
    <w:rsid w:val="0097098B"/>
    <w:rsid w:val="00970F8A"/>
    <w:rsid w:val="00971FB5"/>
    <w:rsid w:val="00972B25"/>
    <w:rsid w:val="00972D2A"/>
    <w:rsid w:val="00973CC8"/>
    <w:rsid w:val="00975CC5"/>
    <w:rsid w:val="00976328"/>
    <w:rsid w:val="009768A3"/>
    <w:rsid w:val="00976B4E"/>
    <w:rsid w:val="00977282"/>
    <w:rsid w:val="009809E6"/>
    <w:rsid w:val="00981E28"/>
    <w:rsid w:val="00984458"/>
    <w:rsid w:val="00985283"/>
    <w:rsid w:val="009867B8"/>
    <w:rsid w:val="00987322"/>
    <w:rsid w:val="00987374"/>
    <w:rsid w:val="00990E01"/>
    <w:rsid w:val="00991F6A"/>
    <w:rsid w:val="0099652A"/>
    <w:rsid w:val="00996C63"/>
    <w:rsid w:val="00996FAD"/>
    <w:rsid w:val="00997F66"/>
    <w:rsid w:val="009A0D63"/>
    <w:rsid w:val="009A0F3B"/>
    <w:rsid w:val="009A27ED"/>
    <w:rsid w:val="009A39FC"/>
    <w:rsid w:val="009A47DA"/>
    <w:rsid w:val="009A72C7"/>
    <w:rsid w:val="009B03C9"/>
    <w:rsid w:val="009B0897"/>
    <w:rsid w:val="009B1254"/>
    <w:rsid w:val="009B488B"/>
    <w:rsid w:val="009B5422"/>
    <w:rsid w:val="009B55DC"/>
    <w:rsid w:val="009C056E"/>
    <w:rsid w:val="009C1789"/>
    <w:rsid w:val="009C17B0"/>
    <w:rsid w:val="009C656C"/>
    <w:rsid w:val="009D0701"/>
    <w:rsid w:val="009D0852"/>
    <w:rsid w:val="009D1FBF"/>
    <w:rsid w:val="009D3830"/>
    <w:rsid w:val="009D3E10"/>
    <w:rsid w:val="009D3FB5"/>
    <w:rsid w:val="009D53BD"/>
    <w:rsid w:val="009D6340"/>
    <w:rsid w:val="009D6B78"/>
    <w:rsid w:val="009E0F81"/>
    <w:rsid w:val="009E3062"/>
    <w:rsid w:val="009E399C"/>
    <w:rsid w:val="009E43C1"/>
    <w:rsid w:val="009E4575"/>
    <w:rsid w:val="009E7B76"/>
    <w:rsid w:val="009E7E95"/>
    <w:rsid w:val="009E7FCF"/>
    <w:rsid w:val="009F116F"/>
    <w:rsid w:val="009F329E"/>
    <w:rsid w:val="009F604C"/>
    <w:rsid w:val="009F6337"/>
    <w:rsid w:val="009F68AE"/>
    <w:rsid w:val="009F7ED3"/>
    <w:rsid w:val="00A02E47"/>
    <w:rsid w:val="00A03607"/>
    <w:rsid w:val="00A047FF"/>
    <w:rsid w:val="00A04FEF"/>
    <w:rsid w:val="00A065B4"/>
    <w:rsid w:val="00A07D07"/>
    <w:rsid w:val="00A122CD"/>
    <w:rsid w:val="00A12A32"/>
    <w:rsid w:val="00A14248"/>
    <w:rsid w:val="00A14947"/>
    <w:rsid w:val="00A2230C"/>
    <w:rsid w:val="00A22F84"/>
    <w:rsid w:val="00A23DC5"/>
    <w:rsid w:val="00A24E2D"/>
    <w:rsid w:val="00A25F31"/>
    <w:rsid w:val="00A26770"/>
    <w:rsid w:val="00A30721"/>
    <w:rsid w:val="00A30E15"/>
    <w:rsid w:val="00A32E98"/>
    <w:rsid w:val="00A34028"/>
    <w:rsid w:val="00A34470"/>
    <w:rsid w:val="00A35568"/>
    <w:rsid w:val="00A37056"/>
    <w:rsid w:val="00A37A51"/>
    <w:rsid w:val="00A40A7A"/>
    <w:rsid w:val="00A40C5C"/>
    <w:rsid w:val="00A42B6B"/>
    <w:rsid w:val="00A4358F"/>
    <w:rsid w:val="00A444E0"/>
    <w:rsid w:val="00A46435"/>
    <w:rsid w:val="00A46F67"/>
    <w:rsid w:val="00A506E4"/>
    <w:rsid w:val="00A50723"/>
    <w:rsid w:val="00A50F11"/>
    <w:rsid w:val="00A50F95"/>
    <w:rsid w:val="00A524FF"/>
    <w:rsid w:val="00A5393B"/>
    <w:rsid w:val="00A54AA1"/>
    <w:rsid w:val="00A556EE"/>
    <w:rsid w:val="00A568FF"/>
    <w:rsid w:val="00A60097"/>
    <w:rsid w:val="00A61496"/>
    <w:rsid w:val="00A61833"/>
    <w:rsid w:val="00A624C6"/>
    <w:rsid w:val="00A6386E"/>
    <w:rsid w:val="00A63CEC"/>
    <w:rsid w:val="00A7031E"/>
    <w:rsid w:val="00A70CB4"/>
    <w:rsid w:val="00A71BE8"/>
    <w:rsid w:val="00A72180"/>
    <w:rsid w:val="00A726B7"/>
    <w:rsid w:val="00A728B1"/>
    <w:rsid w:val="00A749DD"/>
    <w:rsid w:val="00A763DE"/>
    <w:rsid w:val="00A803D6"/>
    <w:rsid w:val="00A810ED"/>
    <w:rsid w:val="00A81282"/>
    <w:rsid w:val="00A8713F"/>
    <w:rsid w:val="00A90F29"/>
    <w:rsid w:val="00A91167"/>
    <w:rsid w:val="00A9171C"/>
    <w:rsid w:val="00A92FDF"/>
    <w:rsid w:val="00A92FFD"/>
    <w:rsid w:val="00A943CC"/>
    <w:rsid w:val="00A94A72"/>
    <w:rsid w:val="00A95975"/>
    <w:rsid w:val="00A9708D"/>
    <w:rsid w:val="00AA2396"/>
    <w:rsid w:val="00AA2C17"/>
    <w:rsid w:val="00AA4172"/>
    <w:rsid w:val="00AA70FC"/>
    <w:rsid w:val="00AB1914"/>
    <w:rsid w:val="00AB1F69"/>
    <w:rsid w:val="00AB2341"/>
    <w:rsid w:val="00AB33E4"/>
    <w:rsid w:val="00AB3880"/>
    <w:rsid w:val="00AB479A"/>
    <w:rsid w:val="00AB498A"/>
    <w:rsid w:val="00AB5330"/>
    <w:rsid w:val="00AB5557"/>
    <w:rsid w:val="00AB7747"/>
    <w:rsid w:val="00AC2532"/>
    <w:rsid w:val="00AC2B24"/>
    <w:rsid w:val="00AC3203"/>
    <w:rsid w:val="00AC409B"/>
    <w:rsid w:val="00AD1507"/>
    <w:rsid w:val="00AD1D25"/>
    <w:rsid w:val="00AD22F8"/>
    <w:rsid w:val="00AD581F"/>
    <w:rsid w:val="00AD5A70"/>
    <w:rsid w:val="00AD6ADE"/>
    <w:rsid w:val="00AD738B"/>
    <w:rsid w:val="00AE07F0"/>
    <w:rsid w:val="00AE134F"/>
    <w:rsid w:val="00AE1BF4"/>
    <w:rsid w:val="00AE2E8C"/>
    <w:rsid w:val="00AE3203"/>
    <w:rsid w:val="00AE5D97"/>
    <w:rsid w:val="00AE6794"/>
    <w:rsid w:val="00AE68BE"/>
    <w:rsid w:val="00AE6F5A"/>
    <w:rsid w:val="00AF1635"/>
    <w:rsid w:val="00AF5A2F"/>
    <w:rsid w:val="00AF6602"/>
    <w:rsid w:val="00B01110"/>
    <w:rsid w:val="00B02262"/>
    <w:rsid w:val="00B03CEC"/>
    <w:rsid w:val="00B0635E"/>
    <w:rsid w:val="00B11330"/>
    <w:rsid w:val="00B1209F"/>
    <w:rsid w:val="00B12AD0"/>
    <w:rsid w:val="00B139F5"/>
    <w:rsid w:val="00B17542"/>
    <w:rsid w:val="00B23835"/>
    <w:rsid w:val="00B24F30"/>
    <w:rsid w:val="00B25296"/>
    <w:rsid w:val="00B271AF"/>
    <w:rsid w:val="00B271D0"/>
    <w:rsid w:val="00B31ABF"/>
    <w:rsid w:val="00B32996"/>
    <w:rsid w:val="00B335AE"/>
    <w:rsid w:val="00B33DE2"/>
    <w:rsid w:val="00B36495"/>
    <w:rsid w:val="00B37989"/>
    <w:rsid w:val="00B37CE1"/>
    <w:rsid w:val="00B40ACF"/>
    <w:rsid w:val="00B41104"/>
    <w:rsid w:val="00B41857"/>
    <w:rsid w:val="00B4348E"/>
    <w:rsid w:val="00B4497B"/>
    <w:rsid w:val="00B45D54"/>
    <w:rsid w:val="00B46162"/>
    <w:rsid w:val="00B46BAA"/>
    <w:rsid w:val="00B50B5F"/>
    <w:rsid w:val="00B5169C"/>
    <w:rsid w:val="00B54128"/>
    <w:rsid w:val="00B55826"/>
    <w:rsid w:val="00B57077"/>
    <w:rsid w:val="00B576D5"/>
    <w:rsid w:val="00B60426"/>
    <w:rsid w:val="00B622DD"/>
    <w:rsid w:val="00B63522"/>
    <w:rsid w:val="00B6489F"/>
    <w:rsid w:val="00B74977"/>
    <w:rsid w:val="00B7662E"/>
    <w:rsid w:val="00B76F1D"/>
    <w:rsid w:val="00B818E3"/>
    <w:rsid w:val="00B84676"/>
    <w:rsid w:val="00B84844"/>
    <w:rsid w:val="00B85909"/>
    <w:rsid w:val="00B92A19"/>
    <w:rsid w:val="00B9544C"/>
    <w:rsid w:val="00BA29E9"/>
    <w:rsid w:val="00BA42DB"/>
    <w:rsid w:val="00BA5CEC"/>
    <w:rsid w:val="00BB10AA"/>
    <w:rsid w:val="00BB3618"/>
    <w:rsid w:val="00BC0C9E"/>
    <w:rsid w:val="00BC211F"/>
    <w:rsid w:val="00BC28D9"/>
    <w:rsid w:val="00BC32DC"/>
    <w:rsid w:val="00BD16B1"/>
    <w:rsid w:val="00BD1B51"/>
    <w:rsid w:val="00BD4624"/>
    <w:rsid w:val="00BD47F6"/>
    <w:rsid w:val="00BD4BDC"/>
    <w:rsid w:val="00BD5C55"/>
    <w:rsid w:val="00BD6EE5"/>
    <w:rsid w:val="00BD78CB"/>
    <w:rsid w:val="00BE158E"/>
    <w:rsid w:val="00BE312D"/>
    <w:rsid w:val="00BE3FCA"/>
    <w:rsid w:val="00BE4CA6"/>
    <w:rsid w:val="00BE62E8"/>
    <w:rsid w:val="00BE7C59"/>
    <w:rsid w:val="00BE7F1E"/>
    <w:rsid w:val="00BF4846"/>
    <w:rsid w:val="00BF508E"/>
    <w:rsid w:val="00BF7C61"/>
    <w:rsid w:val="00C03778"/>
    <w:rsid w:val="00C03E8C"/>
    <w:rsid w:val="00C04636"/>
    <w:rsid w:val="00C04BE1"/>
    <w:rsid w:val="00C05719"/>
    <w:rsid w:val="00C05B86"/>
    <w:rsid w:val="00C10578"/>
    <w:rsid w:val="00C13361"/>
    <w:rsid w:val="00C13BFC"/>
    <w:rsid w:val="00C1581A"/>
    <w:rsid w:val="00C15C82"/>
    <w:rsid w:val="00C17D62"/>
    <w:rsid w:val="00C20EDC"/>
    <w:rsid w:val="00C21042"/>
    <w:rsid w:val="00C21862"/>
    <w:rsid w:val="00C21FDC"/>
    <w:rsid w:val="00C243F7"/>
    <w:rsid w:val="00C24EE7"/>
    <w:rsid w:val="00C2596A"/>
    <w:rsid w:val="00C271BE"/>
    <w:rsid w:val="00C27425"/>
    <w:rsid w:val="00C328FE"/>
    <w:rsid w:val="00C33A05"/>
    <w:rsid w:val="00C33FEB"/>
    <w:rsid w:val="00C369AF"/>
    <w:rsid w:val="00C4125E"/>
    <w:rsid w:val="00C42500"/>
    <w:rsid w:val="00C43B8E"/>
    <w:rsid w:val="00C4409D"/>
    <w:rsid w:val="00C44482"/>
    <w:rsid w:val="00C455BE"/>
    <w:rsid w:val="00C5089C"/>
    <w:rsid w:val="00C51E5F"/>
    <w:rsid w:val="00C56E0F"/>
    <w:rsid w:val="00C56ED2"/>
    <w:rsid w:val="00C60506"/>
    <w:rsid w:val="00C60950"/>
    <w:rsid w:val="00C61E4B"/>
    <w:rsid w:val="00C6212D"/>
    <w:rsid w:val="00C62E3A"/>
    <w:rsid w:val="00C64060"/>
    <w:rsid w:val="00C64503"/>
    <w:rsid w:val="00C64A1F"/>
    <w:rsid w:val="00C64BFF"/>
    <w:rsid w:val="00C70066"/>
    <w:rsid w:val="00C73B5A"/>
    <w:rsid w:val="00C73BBA"/>
    <w:rsid w:val="00C75DB6"/>
    <w:rsid w:val="00C763C9"/>
    <w:rsid w:val="00C80057"/>
    <w:rsid w:val="00C82C79"/>
    <w:rsid w:val="00C84753"/>
    <w:rsid w:val="00C84A04"/>
    <w:rsid w:val="00C91611"/>
    <w:rsid w:val="00C9320F"/>
    <w:rsid w:val="00C968EB"/>
    <w:rsid w:val="00C97EE0"/>
    <w:rsid w:val="00CA3585"/>
    <w:rsid w:val="00CA3D5A"/>
    <w:rsid w:val="00CA4C7C"/>
    <w:rsid w:val="00CA5186"/>
    <w:rsid w:val="00CA5FB6"/>
    <w:rsid w:val="00CB0183"/>
    <w:rsid w:val="00CB1EA3"/>
    <w:rsid w:val="00CB2388"/>
    <w:rsid w:val="00CB31AE"/>
    <w:rsid w:val="00CB552C"/>
    <w:rsid w:val="00CB61EF"/>
    <w:rsid w:val="00CB6A9E"/>
    <w:rsid w:val="00CC1225"/>
    <w:rsid w:val="00CC2086"/>
    <w:rsid w:val="00CC2466"/>
    <w:rsid w:val="00CC2ED4"/>
    <w:rsid w:val="00CC43D6"/>
    <w:rsid w:val="00CC6181"/>
    <w:rsid w:val="00CD2BCD"/>
    <w:rsid w:val="00CD36AA"/>
    <w:rsid w:val="00CD3791"/>
    <w:rsid w:val="00CD4F34"/>
    <w:rsid w:val="00CD57E6"/>
    <w:rsid w:val="00CD65B0"/>
    <w:rsid w:val="00CE02CD"/>
    <w:rsid w:val="00CE0B0B"/>
    <w:rsid w:val="00CE10E9"/>
    <w:rsid w:val="00CE1C9E"/>
    <w:rsid w:val="00CE2274"/>
    <w:rsid w:val="00CE33B0"/>
    <w:rsid w:val="00CE76C2"/>
    <w:rsid w:val="00CE7C6E"/>
    <w:rsid w:val="00CF13D3"/>
    <w:rsid w:val="00CF1DD8"/>
    <w:rsid w:val="00CF28E7"/>
    <w:rsid w:val="00CF686B"/>
    <w:rsid w:val="00D0072E"/>
    <w:rsid w:val="00D00E32"/>
    <w:rsid w:val="00D0342A"/>
    <w:rsid w:val="00D0470B"/>
    <w:rsid w:val="00D0599A"/>
    <w:rsid w:val="00D07596"/>
    <w:rsid w:val="00D15727"/>
    <w:rsid w:val="00D16332"/>
    <w:rsid w:val="00D174EC"/>
    <w:rsid w:val="00D17DFC"/>
    <w:rsid w:val="00D2335E"/>
    <w:rsid w:val="00D24972"/>
    <w:rsid w:val="00D2515E"/>
    <w:rsid w:val="00D308ED"/>
    <w:rsid w:val="00D3122F"/>
    <w:rsid w:val="00D3339B"/>
    <w:rsid w:val="00D35868"/>
    <w:rsid w:val="00D36B4C"/>
    <w:rsid w:val="00D37548"/>
    <w:rsid w:val="00D378DF"/>
    <w:rsid w:val="00D42072"/>
    <w:rsid w:val="00D47A58"/>
    <w:rsid w:val="00D54515"/>
    <w:rsid w:val="00D56178"/>
    <w:rsid w:val="00D56CF0"/>
    <w:rsid w:val="00D56F5C"/>
    <w:rsid w:val="00D57808"/>
    <w:rsid w:val="00D6211C"/>
    <w:rsid w:val="00D621B4"/>
    <w:rsid w:val="00D627B7"/>
    <w:rsid w:val="00D62B22"/>
    <w:rsid w:val="00D7040C"/>
    <w:rsid w:val="00D704B1"/>
    <w:rsid w:val="00D70B63"/>
    <w:rsid w:val="00D718B4"/>
    <w:rsid w:val="00D72B92"/>
    <w:rsid w:val="00D72ED4"/>
    <w:rsid w:val="00D731BF"/>
    <w:rsid w:val="00D73F61"/>
    <w:rsid w:val="00D754C0"/>
    <w:rsid w:val="00D776A2"/>
    <w:rsid w:val="00D801C4"/>
    <w:rsid w:val="00D8032A"/>
    <w:rsid w:val="00D82474"/>
    <w:rsid w:val="00D85145"/>
    <w:rsid w:val="00D90836"/>
    <w:rsid w:val="00D937EF"/>
    <w:rsid w:val="00D9416F"/>
    <w:rsid w:val="00D95896"/>
    <w:rsid w:val="00D95CC6"/>
    <w:rsid w:val="00DA0D6D"/>
    <w:rsid w:val="00DA203E"/>
    <w:rsid w:val="00DA2DA3"/>
    <w:rsid w:val="00DA4882"/>
    <w:rsid w:val="00DA5279"/>
    <w:rsid w:val="00DA6615"/>
    <w:rsid w:val="00DA76AE"/>
    <w:rsid w:val="00DB181E"/>
    <w:rsid w:val="00DB1C7A"/>
    <w:rsid w:val="00DB2983"/>
    <w:rsid w:val="00DB2F49"/>
    <w:rsid w:val="00DB343D"/>
    <w:rsid w:val="00DB5579"/>
    <w:rsid w:val="00DB5734"/>
    <w:rsid w:val="00DB5CFE"/>
    <w:rsid w:val="00DB76FE"/>
    <w:rsid w:val="00DB7A16"/>
    <w:rsid w:val="00DC189F"/>
    <w:rsid w:val="00DC193E"/>
    <w:rsid w:val="00DC2297"/>
    <w:rsid w:val="00DC276F"/>
    <w:rsid w:val="00DC506A"/>
    <w:rsid w:val="00DC6148"/>
    <w:rsid w:val="00DC72A6"/>
    <w:rsid w:val="00DC7D3E"/>
    <w:rsid w:val="00DD1DC0"/>
    <w:rsid w:val="00DD2113"/>
    <w:rsid w:val="00DD265E"/>
    <w:rsid w:val="00DD336E"/>
    <w:rsid w:val="00DD40F6"/>
    <w:rsid w:val="00DD640E"/>
    <w:rsid w:val="00DE0DA3"/>
    <w:rsid w:val="00DE672C"/>
    <w:rsid w:val="00DE7853"/>
    <w:rsid w:val="00DF00DE"/>
    <w:rsid w:val="00DF1930"/>
    <w:rsid w:val="00DF514A"/>
    <w:rsid w:val="00DF6DE8"/>
    <w:rsid w:val="00E02252"/>
    <w:rsid w:val="00E0358D"/>
    <w:rsid w:val="00E0404A"/>
    <w:rsid w:val="00E06327"/>
    <w:rsid w:val="00E0669C"/>
    <w:rsid w:val="00E122D3"/>
    <w:rsid w:val="00E12506"/>
    <w:rsid w:val="00E12EEC"/>
    <w:rsid w:val="00E1300B"/>
    <w:rsid w:val="00E1644D"/>
    <w:rsid w:val="00E1682C"/>
    <w:rsid w:val="00E2064B"/>
    <w:rsid w:val="00E21FFA"/>
    <w:rsid w:val="00E22E86"/>
    <w:rsid w:val="00E244C4"/>
    <w:rsid w:val="00E25239"/>
    <w:rsid w:val="00E265B1"/>
    <w:rsid w:val="00E275B0"/>
    <w:rsid w:val="00E30A45"/>
    <w:rsid w:val="00E324AE"/>
    <w:rsid w:val="00E3535E"/>
    <w:rsid w:val="00E37080"/>
    <w:rsid w:val="00E37180"/>
    <w:rsid w:val="00E37D1F"/>
    <w:rsid w:val="00E4000F"/>
    <w:rsid w:val="00E40A6B"/>
    <w:rsid w:val="00E40D7E"/>
    <w:rsid w:val="00E412D0"/>
    <w:rsid w:val="00E43167"/>
    <w:rsid w:val="00E4584C"/>
    <w:rsid w:val="00E46D55"/>
    <w:rsid w:val="00E47CDB"/>
    <w:rsid w:val="00E53E48"/>
    <w:rsid w:val="00E566BC"/>
    <w:rsid w:val="00E60982"/>
    <w:rsid w:val="00E60C8D"/>
    <w:rsid w:val="00E6162F"/>
    <w:rsid w:val="00E6311B"/>
    <w:rsid w:val="00E657A2"/>
    <w:rsid w:val="00E65805"/>
    <w:rsid w:val="00E65D97"/>
    <w:rsid w:val="00E67EFD"/>
    <w:rsid w:val="00E702DC"/>
    <w:rsid w:val="00E71FFB"/>
    <w:rsid w:val="00E73890"/>
    <w:rsid w:val="00E74FE1"/>
    <w:rsid w:val="00E76D1D"/>
    <w:rsid w:val="00E806F8"/>
    <w:rsid w:val="00E80871"/>
    <w:rsid w:val="00E80A92"/>
    <w:rsid w:val="00E8438C"/>
    <w:rsid w:val="00E87752"/>
    <w:rsid w:val="00E8793B"/>
    <w:rsid w:val="00E90769"/>
    <w:rsid w:val="00E90F81"/>
    <w:rsid w:val="00E91A6D"/>
    <w:rsid w:val="00E9242D"/>
    <w:rsid w:val="00EA0040"/>
    <w:rsid w:val="00EA4051"/>
    <w:rsid w:val="00EA4D31"/>
    <w:rsid w:val="00EA5319"/>
    <w:rsid w:val="00EA54A9"/>
    <w:rsid w:val="00EA688E"/>
    <w:rsid w:val="00EA784B"/>
    <w:rsid w:val="00EA7982"/>
    <w:rsid w:val="00EA7B2A"/>
    <w:rsid w:val="00EB041C"/>
    <w:rsid w:val="00EB0A25"/>
    <w:rsid w:val="00EB1A6A"/>
    <w:rsid w:val="00EB220B"/>
    <w:rsid w:val="00EB2D8B"/>
    <w:rsid w:val="00EB4F27"/>
    <w:rsid w:val="00EB6DC2"/>
    <w:rsid w:val="00EB7CFA"/>
    <w:rsid w:val="00EC527B"/>
    <w:rsid w:val="00EC5874"/>
    <w:rsid w:val="00EC615E"/>
    <w:rsid w:val="00ED192D"/>
    <w:rsid w:val="00ED2187"/>
    <w:rsid w:val="00ED24C9"/>
    <w:rsid w:val="00ED261E"/>
    <w:rsid w:val="00ED30B4"/>
    <w:rsid w:val="00ED3133"/>
    <w:rsid w:val="00ED31F5"/>
    <w:rsid w:val="00ED4861"/>
    <w:rsid w:val="00ED7A6A"/>
    <w:rsid w:val="00ED7EE5"/>
    <w:rsid w:val="00EE1217"/>
    <w:rsid w:val="00EE2C5A"/>
    <w:rsid w:val="00EE3323"/>
    <w:rsid w:val="00EE5E11"/>
    <w:rsid w:val="00EE697E"/>
    <w:rsid w:val="00EF2759"/>
    <w:rsid w:val="00EF387E"/>
    <w:rsid w:val="00EF45EB"/>
    <w:rsid w:val="00EF5099"/>
    <w:rsid w:val="00EF50E7"/>
    <w:rsid w:val="00EF5E33"/>
    <w:rsid w:val="00F00075"/>
    <w:rsid w:val="00F009F2"/>
    <w:rsid w:val="00F035F8"/>
    <w:rsid w:val="00F03A3F"/>
    <w:rsid w:val="00F04D10"/>
    <w:rsid w:val="00F057A5"/>
    <w:rsid w:val="00F062A0"/>
    <w:rsid w:val="00F0637F"/>
    <w:rsid w:val="00F0744D"/>
    <w:rsid w:val="00F07822"/>
    <w:rsid w:val="00F07EBA"/>
    <w:rsid w:val="00F1055A"/>
    <w:rsid w:val="00F105DA"/>
    <w:rsid w:val="00F132FE"/>
    <w:rsid w:val="00F137B4"/>
    <w:rsid w:val="00F14E88"/>
    <w:rsid w:val="00F15260"/>
    <w:rsid w:val="00F15407"/>
    <w:rsid w:val="00F156B3"/>
    <w:rsid w:val="00F15C95"/>
    <w:rsid w:val="00F16873"/>
    <w:rsid w:val="00F2086E"/>
    <w:rsid w:val="00F22985"/>
    <w:rsid w:val="00F241AB"/>
    <w:rsid w:val="00F26E89"/>
    <w:rsid w:val="00F306DD"/>
    <w:rsid w:val="00F31382"/>
    <w:rsid w:val="00F350AF"/>
    <w:rsid w:val="00F35829"/>
    <w:rsid w:val="00F35DB2"/>
    <w:rsid w:val="00F35E6F"/>
    <w:rsid w:val="00F37678"/>
    <w:rsid w:val="00F37891"/>
    <w:rsid w:val="00F4107A"/>
    <w:rsid w:val="00F42868"/>
    <w:rsid w:val="00F465A7"/>
    <w:rsid w:val="00F4725C"/>
    <w:rsid w:val="00F50B7C"/>
    <w:rsid w:val="00F50CDC"/>
    <w:rsid w:val="00F510F0"/>
    <w:rsid w:val="00F51D79"/>
    <w:rsid w:val="00F51E60"/>
    <w:rsid w:val="00F5202D"/>
    <w:rsid w:val="00F52CF6"/>
    <w:rsid w:val="00F53513"/>
    <w:rsid w:val="00F54496"/>
    <w:rsid w:val="00F5487F"/>
    <w:rsid w:val="00F57206"/>
    <w:rsid w:val="00F576E8"/>
    <w:rsid w:val="00F61097"/>
    <w:rsid w:val="00F700B0"/>
    <w:rsid w:val="00F7101E"/>
    <w:rsid w:val="00F74345"/>
    <w:rsid w:val="00F74441"/>
    <w:rsid w:val="00F74B4D"/>
    <w:rsid w:val="00F752C2"/>
    <w:rsid w:val="00F75581"/>
    <w:rsid w:val="00F77002"/>
    <w:rsid w:val="00F77F30"/>
    <w:rsid w:val="00F804AD"/>
    <w:rsid w:val="00F82589"/>
    <w:rsid w:val="00F82752"/>
    <w:rsid w:val="00F82B19"/>
    <w:rsid w:val="00F90AA7"/>
    <w:rsid w:val="00F9212D"/>
    <w:rsid w:val="00F950D4"/>
    <w:rsid w:val="00FA06DD"/>
    <w:rsid w:val="00FA301A"/>
    <w:rsid w:val="00FA3A4C"/>
    <w:rsid w:val="00FA406A"/>
    <w:rsid w:val="00FA5CB6"/>
    <w:rsid w:val="00FA6E1E"/>
    <w:rsid w:val="00FA7132"/>
    <w:rsid w:val="00FB0C52"/>
    <w:rsid w:val="00FB500C"/>
    <w:rsid w:val="00FB5808"/>
    <w:rsid w:val="00FB7A5A"/>
    <w:rsid w:val="00FC122B"/>
    <w:rsid w:val="00FC1BF1"/>
    <w:rsid w:val="00FC66AC"/>
    <w:rsid w:val="00FD18F4"/>
    <w:rsid w:val="00FD7199"/>
    <w:rsid w:val="00FD74B4"/>
    <w:rsid w:val="00FE17F5"/>
    <w:rsid w:val="00FE4046"/>
    <w:rsid w:val="00FE67D9"/>
    <w:rsid w:val="00FF0BCC"/>
    <w:rsid w:val="00FF0E8C"/>
    <w:rsid w:val="00FF4BEA"/>
    <w:rsid w:val="00FF6FCE"/>
    <w:rsid w:val="00FF734E"/>
    <w:rsid w:val="00FF7518"/>
    <w:rsid w:val="00FF77DA"/>
    <w:rsid w:val="00FF7FD8"/>
    <w:rsid w:val="0201651A"/>
    <w:rsid w:val="03D4451D"/>
    <w:rsid w:val="05742AC8"/>
    <w:rsid w:val="06352F05"/>
    <w:rsid w:val="063E7D85"/>
    <w:rsid w:val="070875E0"/>
    <w:rsid w:val="07293586"/>
    <w:rsid w:val="07295285"/>
    <w:rsid w:val="07770C56"/>
    <w:rsid w:val="092217DD"/>
    <w:rsid w:val="093A7294"/>
    <w:rsid w:val="0BD1116D"/>
    <w:rsid w:val="0BD27BF6"/>
    <w:rsid w:val="0E110D06"/>
    <w:rsid w:val="0E4F5ED2"/>
    <w:rsid w:val="0EBB70C4"/>
    <w:rsid w:val="0F13775A"/>
    <w:rsid w:val="0F9A112B"/>
    <w:rsid w:val="106D2F64"/>
    <w:rsid w:val="10B63710"/>
    <w:rsid w:val="111C2F7A"/>
    <w:rsid w:val="113013DE"/>
    <w:rsid w:val="11876D9C"/>
    <w:rsid w:val="122B06C2"/>
    <w:rsid w:val="127E4C51"/>
    <w:rsid w:val="13951726"/>
    <w:rsid w:val="14396509"/>
    <w:rsid w:val="1447165C"/>
    <w:rsid w:val="1752072E"/>
    <w:rsid w:val="17735226"/>
    <w:rsid w:val="184A3267"/>
    <w:rsid w:val="1869193F"/>
    <w:rsid w:val="196B16E7"/>
    <w:rsid w:val="1A1C66C0"/>
    <w:rsid w:val="1A42393B"/>
    <w:rsid w:val="1B046F80"/>
    <w:rsid w:val="1B3267B5"/>
    <w:rsid w:val="1B5C0EDC"/>
    <w:rsid w:val="1BC25DC8"/>
    <w:rsid w:val="1C5E7925"/>
    <w:rsid w:val="1C887FC8"/>
    <w:rsid w:val="1D5F6196"/>
    <w:rsid w:val="1D6132A5"/>
    <w:rsid w:val="1D645145"/>
    <w:rsid w:val="1D8E56D5"/>
    <w:rsid w:val="1DC8425E"/>
    <w:rsid w:val="1E7A43DA"/>
    <w:rsid w:val="1E7F130A"/>
    <w:rsid w:val="1EB277FE"/>
    <w:rsid w:val="1EC94B54"/>
    <w:rsid w:val="1EFF2FFD"/>
    <w:rsid w:val="1FE7539E"/>
    <w:rsid w:val="20963CB8"/>
    <w:rsid w:val="20B07FB6"/>
    <w:rsid w:val="213B74B1"/>
    <w:rsid w:val="215A2310"/>
    <w:rsid w:val="21DE318A"/>
    <w:rsid w:val="21EF5B80"/>
    <w:rsid w:val="22507D9A"/>
    <w:rsid w:val="22576990"/>
    <w:rsid w:val="229C4EAB"/>
    <w:rsid w:val="238C3352"/>
    <w:rsid w:val="242105F9"/>
    <w:rsid w:val="242438FE"/>
    <w:rsid w:val="252D53FE"/>
    <w:rsid w:val="2543433B"/>
    <w:rsid w:val="25EC2D81"/>
    <w:rsid w:val="264528BD"/>
    <w:rsid w:val="26F771F1"/>
    <w:rsid w:val="27D15DD1"/>
    <w:rsid w:val="28A76295"/>
    <w:rsid w:val="29206EB8"/>
    <w:rsid w:val="29E325E0"/>
    <w:rsid w:val="2A452503"/>
    <w:rsid w:val="2ACA1641"/>
    <w:rsid w:val="2B282726"/>
    <w:rsid w:val="2B5E674A"/>
    <w:rsid w:val="2BA936A8"/>
    <w:rsid w:val="2C315A5A"/>
    <w:rsid w:val="2CEA322F"/>
    <w:rsid w:val="2D9E56F5"/>
    <w:rsid w:val="2E667F96"/>
    <w:rsid w:val="2E8226AB"/>
    <w:rsid w:val="2F832C79"/>
    <w:rsid w:val="2FEF2D58"/>
    <w:rsid w:val="304F2F3D"/>
    <w:rsid w:val="30580BC9"/>
    <w:rsid w:val="311E2ED7"/>
    <w:rsid w:val="315C449C"/>
    <w:rsid w:val="31A65375"/>
    <w:rsid w:val="31B82709"/>
    <w:rsid w:val="31D200FD"/>
    <w:rsid w:val="32400B34"/>
    <w:rsid w:val="329E6876"/>
    <w:rsid w:val="33D934D4"/>
    <w:rsid w:val="33E53D73"/>
    <w:rsid w:val="33FE2F6A"/>
    <w:rsid w:val="349618B6"/>
    <w:rsid w:val="34D126EC"/>
    <w:rsid w:val="36074A7F"/>
    <w:rsid w:val="361D5D97"/>
    <w:rsid w:val="365C1350"/>
    <w:rsid w:val="3680281D"/>
    <w:rsid w:val="36923549"/>
    <w:rsid w:val="36B75FBF"/>
    <w:rsid w:val="36FB4891"/>
    <w:rsid w:val="37E62F0B"/>
    <w:rsid w:val="38F12CD3"/>
    <w:rsid w:val="38F94775"/>
    <w:rsid w:val="39177242"/>
    <w:rsid w:val="392971ED"/>
    <w:rsid w:val="3A497F7D"/>
    <w:rsid w:val="3B3763D1"/>
    <w:rsid w:val="3CDA245A"/>
    <w:rsid w:val="3CEE0A37"/>
    <w:rsid w:val="3E8A2015"/>
    <w:rsid w:val="3F660E74"/>
    <w:rsid w:val="407A6407"/>
    <w:rsid w:val="423A3BCC"/>
    <w:rsid w:val="433A6FE6"/>
    <w:rsid w:val="4350713C"/>
    <w:rsid w:val="436653E0"/>
    <w:rsid w:val="44CD14E0"/>
    <w:rsid w:val="458946E9"/>
    <w:rsid w:val="45D81DE2"/>
    <w:rsid w:val="46D955A7"/>
    <w:rsid w:val="47133957"/>
    <w:rsid w:val="4779329E"/>
    <w:rsid w:val="47A07E0C"/>
    <w:rsid w:val="47EA2A89"/>
    <w:rsid w:val="4870272E"/>
    <w:rsid w:val="489825C7"/>
    <w:rsid w:val="49497351"/>
    <w:rsid w:val="49DC7715"/>
    <w:rsid w:val="4A023139"/>
    <w:rsid w:val="4A7B576F"/>
    <w:rsid w:val="4B0E259E"/>
    <w:rsid w:val="4C267956"/>
    <w:rsid w:val="4C4A0649"/>
    <w:rsid w:val="4CE470D3"/>
    <w:rsid w:val="4DEC4FB0"/>
    <w:rsid w:val="4E075D8A"/>
    <w:rsid w:val="4EB54CAA"/>
    <w:rsid w:val="4FC62A8C"/>
    <w:rsid w:val="4FE20F0D"/>
    <w:rsid w:val="50504C4B"/>
    <w:rsid w:val="509C6E7C"/>
    <w:rsid w:val="5162104E"/>
    <w:rsid w:val="53964048"/>
    <w:rsid w:val="53A039CC"/>
    <w:rsid w:val="53A1505A"/>
    <w:rsid w:val="54063E08"/>
    <w:rsid w:val="543437E8"/>
    <w:rsid w:val="54B6654C"/>
    <w:rsid w:val="559B174B"/>
    <w:rsid w:val="55CE0CF4"/>
    <w:rsid w:val="56B22A9C"/>
    <w:rsid w:val="57B72A76"/>
    <w:rsid w:val="580A6429"/>
    <w:rsid w:val="5A3C747D"/>
    <w:rsid w:val="5ABE2233"/>
    <w:rsid w:val="5B276D18"/>
    <w:rsid w:val="5BDF5D95"/>
    <w:rsid w:val="5BF113A5"/>
    <w:rsid w:val="5DF87A0F"/>
    <w:rsid w:val="5F1A2B43"/>
    <w:rsid w:val="5F2577A6"/>
    <w:rsid w:val="5F763683"/>
    <w:rsid w:val="5FB837BB"/>
    <w:rsid w:val="61333986"/>
    <w:rsid w:val="62364782"/>
    <w:rsid w:val="63C416EC"/>
    <w:rsid w:val="63D40BE9"/>
    <w:rsid w:val="63E0211F"/>
    <w:rsid w:val="65373578"/>
    <w:rsid w:val="65A05841"/>
    <w:rsid w:val="65AE0823"/>
    <w:rsid w:val="673F2C7A"/>
    <w:rsid w:val="67A75BB6"/>
    <w:rsid w:val="681F6961"/>
    <w:rsid w:val="68610A2F"/>
    <w:rsid w:val="68805514"/>
    <w:rsid w:val="694E2071"/>
    <w:rsid w:val="697A3B33"/>
    <w:rsid w:val="699E2456"/>
    <w:rsid w:val="6AC5495F"/>
    <w:rsid w:val="6AC93911"/>
    <w:rsid w:val="6B322639"/>
    <w:rsid w:val="6BBB5DF6"/>
    <w:rsid w:val="6C5B6ED5"/>
    <w:rsid w:val="6C636C38"/>
    <w:rsid w:val="6DB34098"/>
    <w:rsid w:val="6DB545B6"/>
    <w:rsid w:val="6DE0459B"/>
    <w:rsid w:val="6E4375A0"/>
    <w:rsid w:val="6E514CED"/>
    <w:rsid w:val="6E79491A"/>
    <w:rsid w:val="6EB563D5"/>
    <w:rsid w:val="6F225983"/>
    <w:rsid w:val="6FFC5590"/>
    <w:rsid w:val="70301DA3"/>
    <w:rsid w:val="706D1DD0"/>
    <w:rsid w:val="70856B87"/>
    <w:rsid w:val="70D527EE"/>
    <w:rsid w:val="711F256C"/>
    <w:rsid w:val="715B5300"/>
    <w:rsid w:val="715F4BD7"/>
    <w:rsid w:val="71D27F8A"/>
    <w:rsid w:val="71F744C6"/>
    <w:rsid w:val="71F960CF"/>
    <w:rsid w:val="73023225"/>
    <w:rsid w:val="731F5D5E"/>
    <w:rsid w:val="73B36CDB"/>
    <w:rsid w:val="741D62AC"/>
    <w:rsid w:val="741E793C"/>
    <w:rsid w:val="758D75E2"/>
    <w:rsid w:val="765E7A9A"/>
    <w:rsid w:val="76736282"/>
    <w:rsid w:val="77762421"/>
    <w:rsid w:val="780F09F4"/>
    <w:rsid w:val="789C4F47"/>
    <w:rsid w:val="78A90480"/>
    <w:rsid w:val="79811327"/>
    <w:rsid w:val="7A364017"/>
    <w:rsid w:val="7A8265E1"/>
    <w:rsid w:val="7A8D5644"/>
    <w:rsid w:val="7B686D42"/>
    <w:rsid w:val="7B841746"/>
    <w:rsid w:val="7C337A1C"/>
    <w:rsid w:val="7D0239FF"/>
    <w:rsid w:val="7D5E40CD"/>
    <w:rsid w:val="7D693BED"/>
    <w:rsid w:val="7EAA7A04"/>
    <w:rsid w:val="7F373140"/>
    <w:rsid w:val="7F3B0FE3"/>
    <w:rsid w:val="7FC70160"/>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ocked="1"/>
    <w:lsdException w:qFormat="1" w:uiPriority="0"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6"/>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64"/>
    <w:unhideWhenUsed/>
    <w:qFormat/>
    <w:locked/>
    <w:uiPriority w:val="0"/>
    <w:pPr>
      <w:keepNext/>
      <w:keepLines/>
      <w:spacing w:before="260" w:after="260" w:line="416" w:lineRule="auto"/>
      <w:outlineLvl w:val="1"/>
    </w:pPr>
    <w:rPr>
      <w:rFonts w:ascii="等线 Light" w:hAnsi="等线 Light" w:eastAsia="等线 Light"/>
      <w:b/>
      <w:bCs/>
      <w:sz w:val="32"/>
      <w:szCs w:val="32"/>
    </w:rPr>
  </w:style>
  <w:style w:type="paragraph" w:styleId="4">
    <w:name w:val="heading 3"/>
    <w:basedOn w:val="1"/>
    <w:next w:val="1"/>
    <w:link w:val="66"/>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link w:val="85"/>
    <w:qFormat/>
    <w:locked/>
    <w:uiPriority w:val="9"/>
    <w:pPr>
      <w:keepNext/>
      <w:keepLines/>
      <w:spacing w:before="120" w:after="120"/>
      <w:outlineLvl w:val="3"/>
    </w:pPr>
    <w:rPr>
      <w:rFonts w:ascii="宋体" w:hAnsi="宋体"/>
      <w:b/>
    </w:rPr>
  </w:style>
  <w:style w:type="character" w:default="1" w:styleId="35">
    <w:name w:val="Default Paragraph Font"/>
    <w:unhideWhenUsed/>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6">
    <w:name w:val="List 3"/>
    <w:basedOn w:val="1"/>
    <w:next w:val="1"/>
    <w:qFormat/>
    <w:uiPriority w:val="0"/>
    <w:pPr>
      <w:ind w:left="100" w:leftChars="400" w:hanging="200" w:hangingChars="200"/>
    </w:pPr>
    <w:rPr>
      <w:szCs w:val="20"/>
    </w:rPr>
  </w:style>
  <w:style w:type="paragraph" w:styleId="7">
    <w:name w:val="E-mail Signature"/>
    <w:basedOn w:val="1"/>
    <w:next w:val="8"/>
    <w:link w:val="87"/>
    <w:qFormat/>
    <w:uiPriority w:val="0"/>
    <w:pPr>
      <w:spacing w:line="460" w:lineRule="exact"/>
      <w:ind w:firstLine="200"/>
    </w:pPr>
  </w:style>
  <w:style w:type="paragraph" w:customStyle="1" w:styleId="8">
    <w:name w:val="文章"/>
    <w:basedOn w:val="1"/>
    <w:next w:val="9"/>
    <w:qFormat/>
    <w:uiPriority w:val="0"/>
    <w:pPr>
      <w:widowControl/>
      <w:ind w:firstLine="480"/>
      <w:jc w:val="center"/>
    </w:pPr>
    <w:rPr>
      <w:sz w:val="26"/>
    </w:rPr>
  </w:style>
  <w:style w:type="paragraph" w:styleId="9">
    <w:name w:val="List"/>
    <w:basedOn w:val="1"/>
    <w:next w:val="10"/>
    <w:qFormat/>
    <w:uiPriority w:val="0"/>
    <w:pPr>
      <w:ind w:left="200" w:hanging="200" w:hangingChars="200"/>
    </w:pPr>
  </w:style>
  <w:style w:type="paragraph" w:styleId="10">
    <w:name w:val="List Bullet 2"/>
    <w:basedOn w:val="1"/>
    <w:next w:val="11"/>
    <w:qFormat/>
    <w:uiPriority w:val="0"/>
    <w:pPr>
      <w:numPr>
        <w:ilvl w:val="0"/>
        <w:numId w:val="1"/>
      </w:numPr>
    </w:pPr>
  </w:style>
  <w:style w:type="paragraph" w:customStyle="1" w:styleId="11">
    <w:name w:val="xl70"/>
    <w:basedOn w:val="1"/>
    <w:next w:val="12"/>
    <w:qFormat/>
    <w:uiPriority w:val="0"/>
    <w:pPr>
      <w:widowControl/>
      <w:spacing w:before="280" w:after="280"/>
    </w:pPr>
  </w:style>
  <w:style w:type="paragraph" w:customStyle="1" w:styleId="12">
    <w:name w:val="正文缩进1"/>
    <w:basedOn w:val="1"/>
    <w:next w:val="13"/>
    <w:qFormat/>
    <w:uiPriority w:val="0"/>
    <w:pPr>
      <w:ind w:firstLine="420"/>
    </w:pPr>
    <w:rPr>
      <w:sz w:val="28"/>
    </w:rPr>
  </w:style>
  <w:style w:type="paragraph" w:customStyle="1" w:styleId="13">
    <w:name w:val="td1"/>
    <w:basedOn w:val="1"/>
    <w:next w:val="1"/>
    <w:qFormat/>
    <w:uiPriority w:val="0"/>
    <w:pPr>
      <w:widowControl/>
      <w:spacing w:before="280" w:after="280" w:line="300" w:lineRule="atLeast"/>
      <w:ind w:firstLine="200"/>
    </w:pPr>
    <w:rPr>
      <w:color w:val="000000"/>
      <w:sz w:val="18"/>
    </w:rPr>
  </w:style>
  <w:style w:type="paragraph" w:styleId="14">
    <w:name w:val="Normal Indent"/>
    <w:basedOn w:val="1"/>
    <w:link w:val="62"/>
    <w:qFormat/>
    <w:uiPriority w:val="0"/>
    <w:pPr>
      <w:ind w:firstLine="420" w:firstLineChars="200"/>
    </w:pPr>
    <w:rPr>
      <w:sz w:val="24"/>
      <w:szCs w:val="20"/>
    </w:rPr>
  </w:style>
  <w:style w:type="paragraph" w:styleId="15">
    <w:name w:val="caption"/>
    <w:basedOn w:val="1"/>
    <w:next w:val="1"/>
    <w:link w:val="71"/>
    <w:unhideWhenUsed/>
    <w:qFormat/>
    <w:locked/>
    <w:uiPriority w:val="0"/>
    <w:rPr>
      <w:rFonts w:ascii="等线 Light" w:hAnsi="等线 Light" w:eastAsia="黑体"/>
      <w:sz w:val="20"/>
      <w:szCs w:val="20"/>
    </w:rPr>
  </w:style>
  <w:style w:type="paragraph" w:styleId="16">
    <w:name w:val="Document Map"/>
    <w:basedOn w:val="1"/>
    <w:link w:val="88"/>
    <w:qFormat/>
    <w:uiPriority w:val="0"/>
    <w:rPr>
      <w:rFonts w:ascii="宋体"/>
      <w:sz w:val="18"/>
      <w:szCs w:val="18"/>
    </w:rPr>
  </w:style>
  <w:style w:type="paragraph" w:styleId="17">
    <w:name w:val="toa heading"/>
    <w:basedOn w:val="1"/>
    <w:next w:val="1"/>
    <w:unhideWhenUsed/>
    <w:qFormat/>
    <w:uiPriority w:val="99"/>
    <w:pPr>
      <w:spacing w:before="120" w:after="100" w:afterAutospacing="1"/>
      <w:jc w:val="left"/>
    </w:pPr>
    <w:rPr>
      <w:rFonts w:ascii="Calibri Light" w:hAnsi="Calibri Light"/>
      <w:color w:val="000000"/>
      <w:kern w:val="0"/>
      <w:szCs w:val="28"/>
    </w:rPr>
  </w:style>
  <w:style w:type="paragraph" w:styleId="18">
    <w:name w:val="annotation text"/>
    <w:basedOn w:val="1"/>
    <w:link w:val="54"/>
    <w:qFormat/>
    <w:uiPriority w:val="0"/>
    <w:pPr>
      <w:jc w:val="left"/>
    </w:pPr>
    <w:rPr>
      <w:kern w:val="0"/>
      <w:sz w:val="20"/>
    </w:rPr>
  </w:style>
  <w:style w:type="paragraph" w:styleId="19">
    <w:name w:val="Body Text"/>
    <w:basedOn w:val="1"/>
    <w:link w:val="45"/>
    <w:qFormat/>
    <w:uiPriority w:val="0"/>
    <w:pPr>
      <w:widowControl/>
      <w:snapToGrid w:val="0"/>
      <w:spacing w:before="60" w:after="160" w:line="259" w:lineRule="auto"/>
      <w:ind w:right="113"/>
    </w:pPr>
    <w:rPr>
      <w:kern w:val="0"/>
      <w:sz w:val="18"/>
      <w:szCs w:val="18"/>
    </w:rPr>
  </w:style>
  <w:style w:type="paragraph" w:styleId="20">
    <w:name w:val="Body Text Indent"/>
    <w:basedOn w:val="1"/>
    <w:link w:val="56"/>
    <w:qFormat/>
    <w:uiPriority w:val="0"/>
    <w:pPr>
      <w:spacing w:after="120"/>
      <w:ind w:left="420" w:leftChars="200"/>
    </w:pPr>
  </w:style>
  <w:style w:type="paragraph" w:styleId="21">
    <w:name w:val="toc 3"/>
    <w:basedOn w:val="1"/>
    <w:next w:val="1"/>
    <w:qFormat/>
    <w:locked/>
    <w:uiPriority w:val="39"/>
    <w:pPr>
      <w:ind w:left="840" w:leftChars="400"/>
    </w:pPr>
  </w:style>
  <w:style w:type="paragraph" w:styleId="22">
    <w:name w:val="Plain Text"/>
    <w:basedOn w:val="1"/>
    <w:link w:val="89"/>
    <w:qFormat/>
    <w:uiPriority w:val="0"/>
    <w:pPr>
      <w:spacing w:line="360" w:lineRule="auto"/>
      <w:ind w:left="100" w:leftChars="100" w:firstLine="200" w:firstLineChars="200"/>
    </w:pPr>
    <w:rPr>
      <w:rFonts w:ascii="宋体" w:hAnsi="Courier New"/>
      <w:szCs w:val="20"/>
    </w:rPr>
  </w:style>
  <w:style w:type="paragraph" w:styleId="23">
    <w:name w:val="Date"/>
    <w:basedOn w:val="1"/>
    <w:next w:val="1"/>
    <w:link w:val="47"/>
    <w:qFormat/>
    <w:uiPriority w:val="0"/>
    <w:pPr>
      <w:ind w:left="100" w:leftChars="2500"/>
    </w:pPr>
    <w:rPr>
      <w:kern w:val="0"/>
      <w:sz w:val="20"/>
    </w:rPr>
  </w:style>
  <w:style w:type="paragraph" w:styleId="24">
    <w:name w:val="Balloon Text"/>
    <w:basedOn w:val="1"/>
    <w:link w:val="53"/>
    <w:semiHidden/>
    <w:qFormat/>
    <w:uiPriority w:val="0"/>
    <w:rPr>
      <w:sz w:val="18"/>
      <w:szCs w:val="18"/>
    </w:rPr>
  </w:style>
  <w:style w:type="paragraph" w:styleId="25">
    <w:name w:val="footer"/>
    <w:basedOn w:val="1"/>
    <w:link w:val="44"/>
    <w:qFormat/>
    <w:uiPriority w:val="99"/>
    <w:pPr>
      <w:tabs>
        <w:tab w:val="center" w:pos="4153"/>
        <w:tab w:val="right" w:pos="8306"/>
      </w:tabs>
      <w:snapToGrid w:val="0"/>
      <w:jc w:val="left"/>
    </w:pPr>
    <w:rPr>
      <w:sz w:val="18"/>
      <w:szCs w:val="18"/>
    </w:rPr>
  </w:style>
  <w:style w:type="paragraph" w:styleId="26">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locked/>
    <w:uiPriority w:val="39"/>
  </w:style>
  <w:style w:type="paragraph" w:styleId="28">
    <w:name w:val="toc 2"/>
    <w:basedOn w:val="1"/>
    <w:next w:val="1"/>
    <w:qFormat/>
    <w:locked/>
    <w:uiPriority w:val="39"/>
    <w:pPr>
      <w:ind w:left="420" w:leftChars="200"/>
    </w:pPr>
  </w:style>
  <w:style w:type="paragraph" w:styleId="29">
    <w:name w:val="List 4"/>
    <w:basedOn w:val="1"/>
    <w:qFormat/>
    <w:uiPriority w:val="0"/>
    <w:pPr>
      <w:ind w:left="100" w:leftChars="600" w:hanging="200" w:hangingChars="200"/>
    </w:pPr>
  </w:style>
  <w:style w:type="paragraph" w:styleId="30">
    <w:name w:val="Normal (Web)"/>
    <w:basedOn w:val="1"/>
    <w:link w:val="46"/>
    <w:qFormat/>
    <w:uiPriority w:val="99"/>
    <w:pPr>
      <w:widowControl/>
      <w:spacing w:before="100" w:beforeAutospacing="1" w:after="100" w:afterAutospacing="1"/>
      <w:jc w:val="left"/>
    </w:pPr>
    <w:rPr>
      <w:rFonts w:ascii="宋体" w:hAnsi="宋体"/>
      <w:kern w:val="0"/>
      <w:sz w:val="24"/>
    </w:rPr>
  </w:style>
  <w:style w:type="paragraph" w:styleId="31">
    <w:name w:val="annotation subject"/>
    <w:basedOn w:val="18"/>
    <w:next w:val="18"/>
    <w:link w:val="57"/>
    <w:semiHidden/>
    <w:qFormat/>
    <w:uiPriority w:val="0"/>
    <w:rPr>
      <w:b/>
      <w:bCs/>
    </w:rPr>
  </w:style>
  <w:style w:type="paragraph" w:styleId="32">
    <w:name w:val="Body Text First Indent 2"/>
    <w:basedOn w:val="20"/>
    <w:link w:val="90"/>
    <w:qFormat/>
    <w:uiPriority w:val="0"/>
    <w:pPr>
      <w:ind w:firstLine="420" w:firstLineChars="200"/>
    </w:pPr>
    <w:rPr>
      <w:kern w:val="0"/>
      <w:sz w:val="24"/>
      <w:szCs w:val="20"/>
    </w:r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locked/>
    <w:uiPriority w:val="22"/>
    <w:rPr>
      <w:b/>
      <w:bCs/>
    </w:rPr>
  </w:style>
  <w:style w:type="character" w:styleId="37">
    <w:name w:val="page number"/>
    <w:basedOn w:val="35"/>
    <w:qFormat/>
    <w:uiPriority w:val="0"/>
  </w:style>
  <w:style w:type="character" w:styleId="38">
    <w:name w:val="FollowedHyperlink"/>
    <w:qFormat/>
    <w:uiPriority w:val="0"/>
    <w:rPr>
      <w:color w:val="771CAA"/>
      <w:u w:val="single"/>
    </w:rPr>
  </w:style>
  <w:style w:type="character" w:styleId="39">
    <w:name w:val="Emphasis"/>
    <w:qFormat/>
    <w:locked/>
    <w:uiPriority w:val="0"/>
    <w:rPr>
      <w:color w:val="F73131"/>
    </w:rPr>
  </w:style>
  <w:style w:type="character" w:styleId="40">
    <w:name w:val="Hyperlink"/>
    <w:unhideWhenUsed/>
    <w:qFormat/>
    <w:uiPriority w:val="99"/>
    <w:rPr>
      <w:color w:val="0563C1"/>
      <w:u w:val="single"/>
    </w:rPr>
  </w:style>
  <w:style w:type="character" w:styleId="41">
    <w:name w:val="annotation reference"/>
    <w:qFormat/>
    <w:uiPriority w:val="0"/>
    <w:rPr>
      <w:sz w:val="21"/>
    </w:rPr>
  </w:style>
  <w:style w:type="character" w:styleId="42">
    <w:name w:val="HTML Cite"/>
    <w:qFormat/>
    <w:uiPriority w:val="0"/>
    <w:rPr>
      <w:color w:val="008000"/>
    </w:rPr>
  </w:style>
  <w:style w:type="character" w:customStyle="1" w:styleId="43">
    <w:name w:val="页眉 字符"/>
    <w:link w:val="26"/>
    <w:qFormat/>
    <w:locked/>
    <w:uiPriority w:val="0"/>
    <w:rPr>
      <w:rFonts w:cs="Times New Roman"/>
      <w:sz w:val="18"/>
      <w:szCs w:val="18"/>
    </w:rPr>
  </w:style>
  <w:style w:type="character" w:customStyle="1" w:styleId="44">
    <w:name w:val="页脚 字符"/>
    <w:link w:val="25"/>
    <w:qFormat/>
    <w:locked/>
    <w:uiPriority w:val="99"/>
    <w:rPr>
      <w:rFonts w:cs="Times New Roman"/>
      <w:sz w:val="18"/>
      <w:szCs w:val="18"/>
    </w:rPr>
  </w:style>
  <w:style w:type="character" w:customStyle="1" w:styleId="45">
    <w:name w:val="正文文本 字符"/>
    <w:link w:val="19"/>
    <w:qFormat/>
    <w:locked/>
    <w:uiPriority w:val="0"/>
    <w:rPr>
      <w:sz w:val="18"/>
    </w:rPr>
  </w:style>
  <w:style w:type="character" w:customStyle="1" w:styleId="46">
    <w:name w:val="普通(网站) 字符"/>
    <w:link w:val="30"/>
    <w:qFormat/>
    <w:locked/>
    <w:uiPriority w:val="99"/>
    <w:rPr>
      <w:rFonts w:ascii="宋体" w:hAnsi="宋体" w:eastAsia="宋体"/>
      <w:sz w:val="24"/>
    </w:rPr>
  </w:style>
  <w:style w:type="character" w:customStyle="1" w:styleId="47">
    <w:name w:val="日期 字符1"/>
    <w:link w:val="23"/>
    <w:qFormat/>
    <w:locked/>
    <w:uiPriority w:val="0"/>
    <w:rPr>
      <w:rFonts w:ascii="Times New Roman" w:hAnsi="Times New Roman" w:eastAsia="宋体"/>
      <w:sz w:val="24"/>
    </w:rPr>
  </w:style>
  <w:style w:type="character" w:customStyle="1" w:styleId="48">
    <w:name w:val="日期 字符"/>
    <w:semiHidden/>
    <w:qFormat/>
    <w:uiPriority w:val="0"/>
    <w:rPr>
      <w:rFonts w:ascii="Times New Roman" w:hAnsi="Times New Roman" w:eastAsia="宋体" w:cs="Times New Roman"/>
      <w:sz w:val="24"/>
      <w:szCs w:val="24"/>
    </w:rPr>
  </w:style>
  <w:style w:type="character" w:customStyle="1" w:styleId="49">
    <w:name w:val="正文文本 字符1"/>
    <w:semiHidden/>
    <w:qFormat/>
    <w:uiPriority w:val="0"/>
    <w:rPr>
      <w:rFonts w:ascii="Times New Roman" w:hAnsi="Times New Roman" w:eastAsia="宋体" w:cs="Times New Roman"/>
      <w:sz w:val="24"/>
      <w:szCs w:val="24"/>
    </w:rPr>
  </w:style>
  <w:style w:type="paragraph" w:customStyle="1" w:styleId="50">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51">
    <w:name w:val="表格 Char"/>
    <w:link w:val="52"/>
    <w:qFormat/>
    <w:locked/>
    <w:uiPriority w:val="0"/>
    <w:rPr>
      <w:rFonts w:ascii="宋体"/>
      <w:sz w:val="21"/>
    </w:rPr>
  </w:style>
  <w:style w:type="paragraph" w:customStyle="1" w:styleId="52">
    <w:name w:val="表格"/>
    <w:basedOn w:val="1"/>
    <w:next w:val="1"/>
    <w:link w:val="51"/>
    <w:qFormat/>
    <w:uiPriority w:val="0"/>
    <w:pPr>
      <w:adjustRightInd w:val="0"/>
      <w:snapToGrid w:val="0"/>
      <w:spacing w:beforeLines="10" w:afterLines="10" w:line="259" w:lineRule="auto"/>
      <w:jc w:val="center"/>
    </w:pPr>
    <w:rPr>
      <w:rFonts w:ascii="宋体"/>
      <w:kern w:val="0"/>
      <w:sz w:val="20"/>
      <w:szCs w:val="21"/>
    </w:rPr>
  </w:style>
  <w:style w:type="character" w:customStyle="1" w:styleId="53">
    <w:name w:val="批注框文本 字符"/>
    <w:link w:val="24"/>
    <w:qFormat/>
    <w:locked/>
    <w:uiPriority w:val="0"/>
    <w:rPr>
      <w:rFonts w:ascii="Times New Roman" w:hAnsi="Times New Roman" w:eastAsia="宋体" w:cs="Times New Roman"/>
      <w:sz w:val="18"/>
      <w:szCs w:val="18"/>
    </w:rPr>
  </w:style>
  <w:style w:type="character" w:customStyle="1" w:styleId="54">
    <w:name w:val="批注文字 字符"/>
    <w:link w:val="18"/>
    <w:qFormat/>
    <w:locked/>
    <w:uiPriority w:val="0"/>
    <w:rPr>
      <w:rFonts w:ascii="Times New Roman" w:hAnsi="Times New Roman" w:eastAsia="宋体"/>
      <w:sz w:val="24"/>
    </w:rPr>
  </w:style>
  <w:style w:type="character" w:customStyle="1" w:styleId="55">
    <w:name w:val="批注文字 字符1"/>
    <w:semiHidden/>
    <w:qFormat/>
    <w:uiPriority w:val="0"/>
    <w:rPr>
      <w:rFonts w:ascii="Times New Roman" w:hAnsi="Times New Roman" w:eastAsia="宋体" w:cs="Times New Roman"/>
      <w:sz w:val="24"/>
      <w:szCs w:val="24"/>
    </w:rPr>
  </w:style>
  <w:style w:type="character" w:customStyle="1" w:styleId="56">
    <w:name w:val="正文文本缩进 字符"/>
    <w:link w:val="20"/>
    <w:qFormat/>
    <w:locked/>
    <w:uiPriority w:val="0"/>
    <w:rPr>
      <w:rFonts w:ascii="Times New Roman" w:hAnsi="Times New Roman" w:eastAsia="宋体" w:cs="Times New Roman"/>
      <w:sz w:val="24"/>
      <w:szCs w:val="24"/>
    </w:rPr>
  </w:style>
  <w:style w:type="character" w:customStyle="1" w:styleId="57">
    <w:name w:val="批注主题 字符"/>
    <w:link w:val="31"/>
    <w:qFormat/>
    <w:locked/>
    <w:uiPriority w:val="0"/>
    <w:rPr>
      <w:rFonts w:ascii="Times New Roman" w:hAnsi="Times New Roman" w:eastAsia="宋体" w:cs="Times New Roman"/>
      <w:b/>
      <w:bCs/>
      <w:kern w:val="2"/>
      <w:sz w:val="24"/>
      <w:szCs w:val="24"/>
    </w:rPr>
  </w:style>
  <w:style w:type="character" w:customStyle="1" w:styleId="58">
    <w:name w:val="普通(网站) Char"/>
    <w:qFormat/>
    <w:locked/>
    <w:uiPriority w:val="0"/>
    <w:rPr>
      <w:rFonts w:ascii="宋体" w:hAnsi="宋体" w:eastAsia="宋体"/>
      <w:sz w:val="24"/>
    </w:rPr>
  </w:style>
  <w:style w:type="paragraph" w:customStyle="1" w:styleId="59">
    <w:name w:val="Default"/>
    <w:basedOn w:val="1"/>
    <w:next w:val="1"/>
    <w:link w:val="82"/>
    <w:qFormat/>
    <w:uiPriority w:val="0"/>
    <w:pPr>
      <w:autoSpaceDE w:val="0"/>
      <w:autoSpaceDN w:val="0"/>
      <w:adjustRightInd w:val="0"/>
    </w:pPr>
    <w:rPr>
      <w:rFonts w:ascii="仿宋_GB2312" w:hAnsi="Courier New" w:eastAsia="仿宋_GB2312" w:cs="仿宋_GB2312"/>
      <w:color w:val="000000"/>
      <w:sz w:val="24"/>
    </w:rPr>
  </w:style>
  <w:style w:type="character" w:customStyle="1" w:styleId="60">
    <w:name w:val="zw Char"/>
    <w:link w:val="61"/>
    <w:qFormat/>
    <w:uiPriority w:val="0"/>
    <w:rPr>
      <w:kern w:val="2"/>
      <w:sz w:val="24"/>
    </w:rPr>
  </w:style>
  <w:style w:type="paragraph" w:customStyle="1" w:styleId="61">
    <w:name w:val="zw"/>
    <w:basedOn w:val="1"/>
    <w:link w:val="60"/>
    <w:qFormat/>
    <w:uiPriority w:val="0"/>
    <w:pPr>
      <w:spacing w:line="360" w:lineRule="auto"/>
      <w:ind w:firstLine="200" w:firstLineChars="200"/>
    </w:pPr>
    <w:rPr>
      <w:sz w:val="24"/>
      <w:szCs w:val="20"/>
    </w:rPr>
  </w:style>
  <w:style w:type="character" w:customStyle="1" w:styleId="62">
    <w:name w:val="正文缩进 字符"/>
    <w:link w:val="14"/>
    <w:qFormat/>
    <w:uiPriority w:val="0"/>
    <w:rPr>
      <w:kern w:val="2"/>
      <w:sz w:val="24"/>
    </w:rPr>
  </w:style>
  <w:style w:type="paragraph" w:customStyle="1" w:styleId="63">
    <w:name w:val="样式 小四 行距: 固定值 20 磅"/>
    <w:basedOn w:val="1"/>
    <w:qFormat/>
    <w:uiPriority w:val="0"/>
    <w:pPr>
      <w:spacing w:line="500" w:lineRule="exact"/>
      <w:ind w:firstLine="200" w:firstLineChars="200"/>
    </w:pPr>
    <w:rPr>
      <w:rFonts w:cs="宋体"/>
      <w:sz w:val="24"/>
      <w:szCs w:val="20"/>
    </w:rPr>
  </w:style>
  <w:style w:type="character" w:customStyle="1" w:styleId="64">
    <w:name w:val="标题 2 字符"/>
    <w:link w:val="3"/>
    <w:qFormat/>
    <w:uiPriority w:val="0"/>
    <w:rPr>
      <w:rFonts w:ascii="等线 Light" w:hAnsi="等线 Light" w:eastAsia="等线 Light" w:cs="Times New Roman"/>
      <w:b/>
      <w:bCs/>
      <w:kern w:val="2"/>
      <w:sz w:val="32"/>
      <w:szCs w:val="32"/>
    </w:rPr>
  </w:style>
  <w:style w:type="paragraph" w:customStyle="1" w:styleId="65">
    <w:name w:val="+正文"/>
    <w:basedOn w:val="1"/>
    <w:qFormat/>
    <w:uiPriority w:val="0"/>
    <w:pPr>
      <w:spacing w:line="360" w:lineRule="auto"/>
      <w:ind w:firstLine="200" w:firstLineChars="200"/>
    </w:pPr>
    <w:rPr>
      <w:rFonts w:eastAsia="仿宋_GB2312"/>
      <w:sz w:val="24"/>
      <w:szCs w:val="28"/>
    </w:rPr>
  </w:style>
  <w:style w:type="character" w:customStyle="1" w:styleId="66">
    <w:name w:val="标题 3 字符"/>
    <w:link w:val="4"/>
    <w:qFormat/>
    <w:uiPriority w:val="0"/>
    <w:rPr>
      <w:b/>
      <w:bCs/>
      <w:kern w:val="2"/>
      <w:sz w:val="32"/>
      <w:szCs w:val="32"/>
    </w:rPr>
  </w:style>
  <w:style w:type="character" w:customStyle="1" w:styleId="67">
    <w:name w:val="样式 djz + 首行缩进:  2 字符 Char"/>
    <w:link w:val="68"/>
    <w:qFormat/>
    <w:uiPriority w:val="0"/>
    <w:rPr>
      <w:rFonts w:cs="宋体"/>
      <w:kern w:val="2"/>
      <w:sz w:val="24"/>
      <w:szCs w:val="28"/>
    </w:rPr>
  </w:style>
  <w:style w:type="paragraph" w:customStyle="1" w:styleId="68">
    <w:name w:val="样式 djz + 首行缩进:  2 字符"/>
    <w:basedOn w:val="1"/>
    <w:link w:val="67"/>
    <w:qFormat/>
    <w:uiPriority w:val="0"/>
    <w:pPr>
      <w:spacing w:line="480" w:lineRule="auto"/>
      <w:ind w:firstLine="200" w:firstLineChars="200"/>
    </w:pPr>
    <w:rPr>
      <w:rFonts w:cs="宋体"/>
      <w:sz w:val="24"/>
      <w:szCs w:val="28"/>
    </w:rPr>
  </w:style>
  <w:style w:type="paragraph" w:customStyle="1" w:styleId="69">
    <w:name w:val="图表"/>
    <w:basedOn w:val="1"/>
    <w:qFormat/>
    <w:uiPriority w:val="0"/>
    <w:pPr>
      <w:spacing w:line="312" w:lineRule="auto"/>
      <w:jc w:val="center"/>
    </w:pPr>
    <w:rPr>
      <w:bCs/>
    </w:rPr>
  </w:style>
  <w:style w:type="paragraph" w:customStyle="1" w:styleId="70">
    <w:name w:val="正文内容"/>
    <w:basedOn w:val="1"/>
    <w:qFormat/>
    <w:uiPriority w:val="0"/>
    <w:pPr>
      <w:ind w:firstLine="200" w:firstLineChars="200"/>
    </w:pPr>
    <w:rPr>
      <w:kern w:val="0"/>
      <w:sz w:val="24"/>
    </w:rPr>
  </w:style>
  <w:style w:type="character" w:customStyle="1" w:styleId="71">
    <w:name w:val="题注 字符"/>
    <w:link w:val="15"/>
    <w:qFormat/>
    <w:uiPriority w:val="0"/>
    <w:rPr>
      <w:rFonts w:ascii="等线 Light" w:hAnsi="等线 Light" w:eastAsia="黑体"/>
      <w:kern w:val="2"/>
    </w:rPr>
  </w:style>
  <w:style w:type="paragraph" w:customStyle="1" w:styleId="72">
    <w:name w:val="表标题"/>
    <w:basedOn w:val="1"/>
    <w:next w:val="70"/>
    <w:link w:val="145"/>
    <w:qFormat/>
    <w:uiPriority w:val="0"/>
    <w:pPr>
      <w:spacing w:line="520" w:lineRule="exact"/>
      <w:jc w:val="center"/>
      <w:textAlignment w:val="baseline"/>
    </w:pPr>
    <w:rPr>
      <w:rFonts w:ascii="宋体" w:hAnsi="宋体" w:cs="宋体"/>
      <w:b/>
      <w:kern w:val="0"/>
      <w:szCs w:val="20"/>
    </w:rPr>
  </w:style>
  <w:style w:type="paragraph" w:customStyle="1" w:styleId="73">
    <w:name w:val="样式35"/>
    <w:basedOn w:val="1"/>
    <w:next w:val="1"/>
    <w:qFormat/>
    <w:uiPriority w:val="0"/>
    <w:pPr>
      <w:adjustRightInd w:val="0"/>
      <w:snapToGrid w:val="0"/>
      <w:spacing w:beforeLines="15" w:line="312" w:lineRule="auto"/>
      <w:ind w:firstLine="567"/>
      <w:jc w:val="center"/>
    </w:pPr>
    <w:rPr>
      <w:rFonts w:ascii="宋体"/>
      <w:kern w:val="0"/>
      <w:sz w:val="28"/>
      <w:szCs w:val="21"/>
    </w:rPr>
  </w:style>
  <w:style w:type="paragraph" w:customStyle="1" w:styleId="74">
    <w:name w:val="中大表格内容"/>
    <w:basedOn w:val="1"/>
    <w:link w:val="139"/>
    <w:qFormat/>
    <w:uiPriority w:val="0"/>
    <w:pPr>
      <w:wordWrap w:val="0"/>
      <w:autoSpaceDE w:val="0"/>
      <w:autoSpaceDN w:val="0"/>
      <w:adjustRightInd w:val="0"/>
      <w:jc w:val="center"/>
    </w:pPr>
    <w:rPr>
      <w:rFonts w:ascii="宋体" w:hAnsi="宋体"/>
      <w:kern w:val="0"/>
      <w:szCs w:val="21"/>
      <w:lang w:val="zh-CN"/>
    </w:rPr>
  </w:style>
  <w:style w:type="paragraph" w:customStyle="1" w:styleId="75">
    <w:name w:val="样式1"/>
    <w:basedOn w:val="1"/>
    <w:qFormat/>
    <w:uiPriority w:val="0"/>
    <w:pPr>
      <w:spacing w:after="40" w:line="300" w:lineRule="atLeast"/>
      <w:jc w:val="center"/>
      <w:outlineLvl w:val="2"/>
    </w:pPr>
    <w:rPr>
      <w:rFonts w:eastAsia="楷体_GB2312"/>
      <w:szCs w:val="20"/>
    </w:rPr>
  </w:style>
  <w:style w:type="character" w:customStyle="1" w:styleId="76">
    <w:name w:val="标题 1 字符"/>
    <w:link w:val="2"/>
    <w:qFormat/>
    <w:uiPriority w:val="99"/>
    <w:rPr>
      <w:rFonts w:eastAsia="黑体"/>
      <w:b/>
      <w:bCs/>
      <w:color w:val="000000"/>
      <w:kern w:val="44"/>
      <w:sz w:val="30"/>
      <w:szCs w:val="30"/>
    </w:rPr>
  </w:style>
  <w:style w:type="character" w:customStyle="1" w:styleId="77">
    <w:name w:val="页脚 字符1"/>
    <w:qFormat/>
    <w:locked/>
    <w:uiPriority w:val="0"/>
    <w:rPr>
      <w:rFonts w:cs="Times New Roman"/>
      <w:sz w:val="18"/>
      <w:szCs w:val="18"/>
    </w:rPr>
  </w:style>
  <w:style w:type="paragraph" w:customStyle="1" w:styleId="78">
    <w:name w:val="huanping"/>
    <w:basedOn w:val="1"/>
    <w:link w:val="80"/>
    <w:qFormat/>
    <w:uiPriority w:val="0"/>
    <w:pPr>
      <w:autoSpaceDE w:val="0"/>
      <w:autoSpaceDN w:val="0"/>
      <w:adjustRightInd w:val="0"/>
      <w:spacing w:line="360" w:lineRule="auto"/>
      <w:ind w:firstLine="200" w:firstLineChars="200"/>
    </w:pPr>
    <w:rPr>
      <w:rFonts w:cs="仿宋_GB2312"/>
      <w:color w:val="000000"/>
    </w:rPr>
  </w:style>
  <w:style w:type="paragraph" w:customStyle="1" w:styleId="79">
    <w:name w:val="WLT正文报告表"/>
    <w:basedOn w:val="1"/>
    <w:qFormat/>
    <w:uiPriority w:val="0"/>
    <w:pPr>
      <w:spacing w:line="520" w:lineRule="exact"/>
      <w:ind w:firstLine="200" w:firstLineChars="200"/>
    </w:pPr>
    <w:rPr>
      <w:bCs/>
    </w:rPr>
  </w:style>
  <w:style w:type="character" w:customStyle="1" w:styleId="80">
    <w:name w:val="huanping 字符"/>
    <w:link w:val="78"/>
    <w:qFormat/>
    <w:uiPriority w:val="0"/>
    <w:rPr>
      <w:rFonts w:cs="仿宋_GB2312"/>
      <w:color w:val="000000"/>
      <w:kern w:val="2"/>
      <w:sz w:val="21"/>
      <w:szCs w:val="24"/>
    </w:rPr>
  </w:style>
  <w:style w:type="paragraph" w:customStyle="1" w:styleId="81">
    <w:name w:val="font6"/>
    <w:basedOn w:val="1"/>
    <w:next w:val="28"/>
    <w:qFormat/>
    <w:uiPriority w:val="0"/>
    <w:pPr>
      <w:widowControl/>
      <w:spacing w:before="280" w:after="280"/>
    </w:pPr>
  </w:style>
  <w:style w:type="character" w:customStyle="1" w:styleId="82">
    <w:name w:val="Default Char"/>
    <w:link w:val="59"/>
    <w:qFormat/>
    <w:uiPriority w:val="0"/>
    <w:rPr>
      <w:rFonts w:ascii="仿宋_GB2312" w:hAnsi="Courier New" w:eastAsia="仿宋_GB2312" w:cs="仿宋_GB2312"/>
      <w:color w:val="000000"/>
      <w:kern w:val="2"/>
      <w:sz w:val="24"/>
      <w:szCs w:val="24"/>
    </w:rPr>
  </w:style>
  <w:style w:type="paragraph" w:customStyle="1" w:styleId="83">
    <w:name w:val="标题3"/>
    <w:basedOn w:val="1"/>
    <w:link w:val="84"/>
    <w:qFormat/>
    <w:uiPriority w:val="0"/>
    <w:pPr>
      <w:jc w:val="left"/>
      <w:outlineLvl w:val="2"/>
    </w:pPr>
    <w:rPr>
      <w:snapToGrid w:val="0"/>
    </w:rPr>
  </w:style>
  <w:style w:type="character" w:customStyle="1" w:styleId="84">
    <w:name w:val="标题3 字符"/>
    <w:link w:val="83"/>
    <w:qFormat/>
    <w:uiPriority w:val="0"/>
    <w:rPr>
      <w:snapToGrid w:val="0"/>
      <w:kern w:val="2"/>
      <w:sz w:val="21"/>
      <w:szCs w:val="24"/>
    </w:rPr>
  </w:style>
  <w:style w:type="character" w:customStyle="1" w:styleId="85">
    <w:name w:val="标题 4 字符"/>
    <w:basedOn w:val="35"/>
    <w:link w:val="5"/>
    <w:qFormat/>
    <w:uiPriority w:val="9"/>
    <w:rPr>
      <w:rFonts w:ascii="宋体" w:hAnsi="宋体"/>
      <w:b/>
      <w:kern w:val="2"/>
      <w:sz w:val="21"/>
      <w:szCs w:val="24"/>
    </w:rPr>
  </w:style>
  <w:style w:type="paragraph" w:customStyle="1" w:styleId="86">
    <w:name w:val="纯文本1"/>
    <w:basedOn w:val="1"/>
    <w:qFormat/>
    <w:uiPriority w:val="0"/>
    <w:pPr>
      <w:adjustRightInd w:val="0"/>
    </w:pPr>
    <w:rPr>
      <w:rFonts w:hAnsi="Courier New"/>
      <w:szCs w:val="20"/>
    </w:rPr>
  </w:style>
  <w:style w:type="character" w:customStyle="1" w:styleId="87">
    <w:name w:val="电子邮件签名 字符"/>
    <w:basedOn w:val="35"/>
    <w:link w:val="7"/>
    <w:qFormat/>
    <w:uiPriority w:val="0"/>
    <w:rPr>
      <w:kern w:val="2"/>
      <w:sz w:val="21"/>
      <w:szCs w:val="24"/>
    </w:rPr>
  </w:style>
  <w:style w:type="character" w:customStyle="1" w:styleId="88">
    <w:name w:val="文档结构图 字符"/>
    <w:basedOn w:val="35"/>
    <w:link w:val="16"/>
    <w:qFormat/>
    <w:uiPriority w:val="0"/>
    <w:rPr>
      <w:rFonts w:ascii="宋体"/>
      <w:kern w:val="2"/>
      <w:sz w:val="18"/>
      <w:szCs w:val="18"/>
    </w:rPr>
  </w:style>
  <w:style w:type="character" w:customStyle="1" w:styleId="89">
    <w:name w:val="纯文本 字符"/>
    <w:basedOn w:val="35"/>
    <w:link w:val="22"/>
    <w:qFormat/>
    <w:uiPriority w:val="0"/>
    <w:rPr>
      <w:rFonts w:ascii="宋体" w:hAnsi="Courier New"/>
      <w:kern w:val="2"/>
      <w:sz w:val="21"/>
    </w:rPr>
  </w:style>
  <w:style w:type="character" w:customStyle="1" w:styleId="90">
    <w:name w:val="正文文本首行缩进 2 字符"/>
    <w:basedOn w:val="56"/>
    <w:link w:val="32"/>
    <w:qFormat/>
    <w:uiPriority w:val="0"/>
    <w:rPr>
      <w:rFonts w:ascii="Times New Roman" w:hAnsi="Times New Roman" w:eastAsia="宋体" w:cs="Times New Roman"/>
      <w:sz w:val="24"/>
      <w:szCs w:val="24"/>
    </w:rPr>
  </w:style>
  <w:style w:type="character" w:customStyle="1" w:styleId="91">
    <w:name w:val="hover24"/>
    <w:qFormat/>
    <w:uiPriority w:val="0"/>
    <w:rPr>
      <w:color w:val="315EFB"/>
    </w:rPr>
  </w:style>
  <w:style w:type="character" w:customStyle="1" w:styleId="92">
    <w:name w:val="未处理的提及1"/>
    <w:unhideWhenUsed/>
    <w:qFormat/>
    <w:uiPriority w:val="99"/>
    <w:rPr>
      <w:color w:val="605E5C"/>
      <w:shd w:val="clear" w:color="auto" w:fill="E1DFDD"/>
    </w:rPr>
  </w:style>
  <w:style w:type="character" w:customStyle="1" w:styleId="93">
    <w:name w:val="hover25"/>
    <w:qFormat/>
    <w:uiPriority w:val="0"/>
  </w:style>
  <w:style w:type="character" w:customStyle="1" w:styleId="94">
    <w:name w:val="样式1 Char"/>
    <w:qFormat/>
    <w:uiPriority w:val="0"/>
    <w:rPr>
      <w:rFonts w:hint="eastAsia" w:ascii="仿宋_GB2312" w:eastAsia="仿宋_GB2312" w:cs="仿宋_GB2312"/>
      <w:sz w:val="28"/>
    </w:rPr>
  </w:style>
  <w:style w:type="character" w:customStyle="1" w:styleId="95">
    <w:name w:val="批注文字 Char1"/>
    <w:qFormat/>
    <w:locked/>
    <w:uiPriority w:val="0"/>
    <w:rPr>
      <w:rFonts w:ascii="Times New Roman" w:hAnsi="Times New Roman" w:eastAsia="宋体"/>
      <w:sz w:val="24"/>
    </w:rPr>
  </w:style>
  <w:style w:type="character" w:customStyle="1" w:styleId="96">
    <w:name w:val="纯文本 Char"/>
    <w:qFormat/>
    <w:uiPriority w:val="0"/>
    <w:rPr>
      <w:rFonts w:ascii="宋体" w:hAnsi="Courier New" w:cs="Courier New"/>
      <w:kern w:val="2"/>
      <w:sz w:val="21"/>
      <w:szCs w:val="21"/>
    </w:rPr>
  </w:style>
  <w:style w:type="character" w:customStyle="1" w:styleId="97">
    <w:name w:val="hover27"/>
    <w:qFormat/>
    <w:uiPriority w:val="0"/>
    <w:rPr>
      <w:color w:val="315EFB"/>
    </w:rPr>
  </w:style>
  <w:style w:type="character" w:customStyle="1" w:styleId="98">
    <w:name w:val="fontstyle01"/>
    <w:qFormat/>
    <w:uiPriority w:val="0"/>
    <w:rPr>
      <w:rFonts w:hint="eastAsia" w:ascii="宋体" w:hAnsi="宋体" w:eastAsia="宋体"/>
      <w:color w:val="000000"/>
      <w:sz w:val="52"/>
      <w:szCs w:val="52"/>
    </w:rPr>
  </w:style>
  <w:style w:type="character" w:customStyle="1" w:styleId="99">
    <w:name w:val="font51"/>
    <w:qFormat/>
    <w:uiPriority w:val="0"/>
    <w:rPr>
      <w:rFonts w:hint="eastAsia" w:ascii="宋体" w:hAnsi="宋体" w:eastAsia="宋体" w:cs="宋体"/>
      <w:color w:val="auto"/>
      <w:sz w:val="21"/>
      <w:szCs w:val="21"/>
      <w:u w:val="none"/>
    </w:rPr>
  </w:style>
  <w:style w:type="character" w:customStyle="1" w:styleId="100">
    <w:name w:val="font61"/>
    <w:qFormat/>
    <w:uiPriority w:val="0"/>
    <w:rPr>
      <w:rFonts w:hint="default" w:ascii="Times New Roman" w:hAnsi="Times New Roman" w:cs="Times New Roman"/>
      <w:color w:val="000000"/>
      <w:sz w:val="22"/>
      <w:szCs w:val="22"/>
      <w:u w:val="none"/>
    </w:rPr>
  </w:style>
  <w:style w:type="character" w:customStyle="1" w:styleId="101">
    <w:name w:val="c-icon"/>
    <w:qFormat/>
    <w:uiPriority w:val="0"/>
  </w:style>
  <w:style w:type="character" w:customStyle="1" w:styleId="102">
    <w:name w:val="hover26"/>
    <w:qFormat/>
    <w:uiPriority w:val="0"/>
  </w:style>
  <w:style w:type="character" w:customStyle="1" w:styleId="103">
    <w:name w:val="fontstyle11"/>
    <w:qFormat/>
    <w:uiPriority w:val="0"/>
    <w:rPr>
      <w:rFonts w:hint="default" w:ascii="TimesNewRomanPS-BoldMT" w:hAnsi="TimesNewRomanPS-BoldMT" w:eastAsia="TimesNewRomanPS-BoldMT" w:cs="TimesNewRomanPS-BoldMT"/>
      <w:b/>
      <w:bCs/>
      <w:color w:val="000000"/>
      <w:sz w:val="32"/>
      <w:szCs w:val="32"/>
    </w:rPr>
  </w:style>
  <w:style w:type="character" w:customStyle="1" w:styleId="104">
    <w:name w:val="fontstyle21"/>
    <w:qFormat/>
    <w:uiPriority w:val="0"/>
    <w:rPr>
      <w:rFonts w:hint="default" w:ascii="TimesNewRomanPSMT" w:hAnsi="TimesNewRomanPSMT" w:eastAsia="TimesNewRomanPSMT" w:cs="TimesNewRomanPSMT"/>
      <w:color w:val="000000"/>
      <w:sz w:val="24"/>
      <w:szCs w:val="24"/>
    </w:rPr>
  </w:style>
  <w:style w:type="character" w:customStyle="1" w:styleId="105">
    <w:name w:val="表头样式1 Char Char"/>
    <w:qFormat/>
    <w:uiPriority w:val="0"/>
    <w:rPr>
      <w:rFonts w:hint="eastAsia" w:ascii="黑体" w:hAnsi="宋体" w:eastAsia="黑体" w:cs="黑体"/>
      <w:b/>
      <w:sz w:val="24"/>
    </w:rPr>
  </w:style>
  <w:style w:type="character" w:customStyle="1" w:styleId="106">
    <w:name w:val="c-icon30"/>
    <w:qFormat/>
    <w:uiPriority w:val="0"/>
  </w:style>
  <w:style w:type="character" w:customStyle="1" w:styleId="107">
    <w:name w:val="纯文本 Char2"/>
    <w:qFormat/>
    <w:uiPriority w:val="0"/>
    <w:rPr>
      <w:rFonts w:hint="eastAsia" w:ascii="宋体" w:hAnsi="Courier New" w:eastAsia="宋体" w:cs="Angsana New"/>
      <w:lang w:bidi="th"/>
    </w:rPr>
  </w:style>
  <w:style w:type="character" w:customStyle="1" w:styleId="108">
    <w:name w:val="报告表正文 Char Char"/>
    <w:qFormat/>
    <w:uiPriority w:val="0"/>
    <w:rPr>
      <w:rFonts w:hint="eastAsia" w:ascii="楷体_GB2312" w:eastAsia="楷体_GB2312" w:cs="楷体_GB2312"/>
      <w:sz w:val="24"/>
      <w:szCs w:val="24"/>
    </w:rPr>
  </w:style>
  <w:style w:type="character" w:customStyle="1" w:styleId="109">
    <w:name w:val="页脚 Char1"/>
    <w:qFormat/>
    <w:locked/>
    <w:uiPriority w:val="99"/>
    <w:rPr>
      <w:sz w:val="18"/>
    </w:rPr>
  </w:style>
  <w:style w:type="character" w:customStyle="1" w:styleId="110">
    <w:name w:val="页眉 Char1"/>
    <w:qFormat/>
    <w:locked/>
    <w:uiPriority w:val="0"/>
    <w:rPr>
      <w:sz w:val="18"/>
    </w:rPr>
  </w:style>
  <w:style w:type="character" w:customStyle="1" w:styleId="111">
    <w:name w:val="font71"/>
    <w:qFormat/>
    <w:uiPriority w:val="0"/>
    <w:rPr>
      <w:rFonts w:hint="eastAsia" w:ascii="宋体" w:hAnsi="宋体" w:eastAsia="宋体" w:cs="宋体"/>
      <w:color w:val="000000"/>
      <w:sz w:val="22"/>
      <w:szCs w:val="22"/>
      <w:u w:val="none"/>
    </w:rPr>
  </w:style>
  <w:style w:type="paragraph" w:customStyle="1" w:styleId="112">
    <w:name w:val="A表三级标题"/>
    <w:basedOn w:val="1"/>
    <w:qFormat/>
    <w:uiPriority w:val="0"/>
    <w:pPr>
      <w:tabs>
        <w:tab w:val="left" w:pos="2940"/>
      </w:tabs>
      <w:adjustRightInd w:val="0"/>
      <w:snapToGrid w:val="0"/>
      <w:spacing w:line="348" w:lineRule="auto"/>
      <w:ind w:firstLine="200" w:firstLineChars="200"/>
    </w:pPr>
    <w:rPr>
      <w:b/>
      <w:bCs/>
      <w:sz w:val="24"/>
    </w:rPr>
  </w:style>
  <w:style w:type="paragraph" w:customStyle="1" w:styleId="113">
    <w:name w:val="表文字"/>
    <w:basedOn w:val="1"/>
    <w:qFormat/>
    <w:uiPriority w:val="0"/>
    <w:pPr>
      <w:adjustRightInd w:val="0"/>
      <w:snapToGrid w:val="0"/>
      <w:spacing w:before="15" w:beforeLines="15" w:after="15" w:afterLines="15"/>
      <w:jc w:val="center"/>
    </w:pPr>
    <w:rPr>
      <w:color w:val="000000"/>
      <w:kern w:val="0"/>
      <w:sz w:val="24"/>
      <w:szCs w:val="9"/>
    </w:rPr>
  </w:style>
  <w:style w:type="paragraph" w:customStyle="1" w:styleId="114">
    <w:name w:val="表二级标题"/>
    <w:basedOn w:val="1"/>
    <w:qFormat/>
    <w:uiPriority w:val="0"/>
    <w:pPr>
      <w:adjustRightInd w:val="0"/>
      <w:snapToGrid w:val="0"/>
      <w:spacing w:line="360" w:lineRule="auto"/>
      <w:textAlignment w:val="baseline"/>
    </w:pPr>
    <w:rPr>
      <w:b/>
      <w:bCs/>
      <w:kern w:val="0"/>
      <w:sz w:val="28"/>
      <w:szCs w:val="28"/>
    </w:rPr>
  </w:style>
  <w:style w:type="paragraph" w:styleId="115">
    <w:name w:val="No Spacing"/>
    <w:qFormat/>
    <w:uiPriority w:val="1"/>
    <w:pPr>
      <w:widowControl w:val="0"/>
      <w:adjustRightInd w:val="0"/>
      <w:snapToGrid w:val="0"/>
      <w:jc w:val="center"/>
    </w:pPr>
    <w:rPr>
      <w:rFonts w:ascii="Times New Roman" w:hAnsi="Times New Roman" w:eastAsia="宋体" w:cs="Times New Roman"/>
      <w:kern w:val="2"/>
      <w:sz w:val="24"/>
      <w:szCs w:val="24"/>
      <w:lang w:val="en-US" w:eastAsia="zh-CN" w:bidi="ar-SA"/>
    </w:rPr>
  </w:style>
  <w:style w:type="paragraph" w:customStyle="1" w:styleId="116">
    <w:name w:val="A表正文"/>
    <w:basedOn w:val="1"/>
    <w:qFormat/>
    <w:uiPriority w:val="0"/>
    <w:pPr>
      <w:spacing w:line="348" w:lineRule="auto"/>
      <w:ind w:firstLine="480" w:firstLineChars="200"/>
    </w:pPr>
    <w:rPr>
      <w:sz w:val="24"/>
    </w:rPr>
  </w:style>
  <w:style w:type="paragraph" w:customStyle="1" w:styleId="11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118">
    <w:name w:val="正文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120">
    <w:name w:val="List Paragraph"/>
    <w:basedOn w:val="1"/>
    <w:qFormat/>
    <w:uiPriority w:val="34"/>
    <w:pPr>
      <w:ind w:firstLine="420" w:firstLineChars="200"/>
    </w:pPr>
    <w:rPr>
      <w:rFonts w:ascii="Calibri" w:hAnsi="Calibri"/>
      <w:szCs w:val="22"/>
    </w:rPr>
  </w:style>
  <w:style w:type="paragraph" w:customStyle="1" w:styleId="121">
    <w:name w:val="表达式"/>
    <w:qFormat/>
    <w:uiPriority w:val="0"/>
    <w:pPr>
      <w:spacing w:before="100" w:beforeAutospacing="1" w:after="100" w:afterAutospacing="1"/>
      <w:jc w:val="center"/>
    </w:pPr>
    <w:rPr>
      <w:rFonts w:ascii="Times New Roman" w:hAnsi="Times New Roman" w:eastAsia="宋体" w:cs="Times New Roman"/>
      <w:sz w:val="24"/>
      <w:szCs w:val="24"/>
      <w:lang w:val="en-US" w:eastAsia="zh-CN" w:bidi="ar-SA"/>
    </w:rPr>
  </w:style>
  <w:style w:type="paragraph" w:customStyle="1" w:styleId="122">
    <w:name w:val="msolistparagraph"/>
    <w:basedOn w:val="1"/>
    <w:qFormat/>
    <w:uiPriority w:val="0"/>
    <w:pPr>
      <w:spacing w:line="360" w:lineRule="auto"/>
      <w:ind w:firstLine="420" w:firstLineChars="200"/>
    </w:pPr>
    <w:rPr>
      <w:rFonts w:hint="eastAsia" w:ascii="等线" w:hAnsi="等线"/>
      <w:sz w:val="24"/>
      <w:szCs w:val="22"/>
    </w:rPr>
  </w:style>
  <w:style w:type="paragraph" w:customStyle="1" w:styleId="123">
    <w:name w:val="A表格中文"/>
    <w:basedOn w:val="1"/>
    <w:qFormat/>
    <w:uiPriority w:val="0"/>
    <w:pPr>
      <w:adjustRightInd w:val="0"/>
      <w:ind w:left="-50" w:leftChars="-50" w:right="-50" w:rightChars="-50"/>
      <w:jc w:val="center"/>
    </w:pPr>
    <w:rPr>
      <w:bCs/>
      <w:szCs w:val="21"/>
    </w:rPr>
  </w:style>
  <w:style w:type="paragraph" w:customStyle="1" w:styleId="124">
    <w:name w:val="C正文"/>
    <w:basedOn w:val="1"/>
    <w:qFormat/>
    <w:uiPriority w:val="0"/>
    <w:pPr>
      <w:spacing w:line="520" w:lineRule="exact"/>
      <w:ind w:firstLine="480" w:firstLineChars="200"/>
    </w:pPr>
    <w:rPr>
      <w:sz w:val="24"/>
    </w:rPr>
  </w:style>
  <w:style w:type="paragraph" w:customStyle="1" w:styleId="125">
    <w:name w:val="表附注"/>
    <w:next w:val="126"/>
    <w:qFormat/>
    <w:uiPriority w:val="0"/>
    <w:rPr>
      <w:rFonts w:ascii="Times New Roman" w:hAnsi="Times New Roman" w:eastAsia="黑体" w:cs="Times New Roman"/>
      <w:kern w:val="2"/>
      <w:sz w:val="21"/>
      <w:szCs w:val="22"/>
      <w:lang w:val="en-US" w:eastAsia="zh-CN" w:bidi="ar-SA"/>
    </w:rPr>
  </w:style>
  <w:style w:type="paragraph" w:customStyle="1" w:styleId="126">
    <w:name w:val="报告文本"/>
    <w:qFormat/>
    <w:uiPriority w:val="0"/>
    <w:pPr>
      <w:widowControl w:val="0"/>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27">
    <w:name w:val="font31"/>
    <w:basedOn w:val="35"/>
    <w:qFormat/>
    <w:uiPriority w:val="0"/>
    <w:rPr>
      <w:rFonts w:hint="eastAsia" w:ascii="宋体" w:hAnsi="宋体" w:eastAsia="宋体" w:cs="宋体"/>
      <w:color w:val="0000FF"/>
      <w:sz w:val="21"/>
      <w:szCs w:val="21"/>
      <w:u w:val="single"/>
    </w:rPr>
  </w:style>
  <w:style w:type="character" w:customStyle="1" w:styleId="128">
    <w:name w:val="font41"/>
    <w:basedOn w:val="35"/>
    <w:qFormat/>
    <w:uiPriority w:val="0"/>
    <w:rPr>
      <w:rFonts w:hint="default" w:ascii="Times New Roman" w:hAnsi="Times New Roman" w:cs="Times New Roman"/>
      <w:color w:val="0000FF"/>
      <w:sz w:val="21"/>
      <w:szCs w:val="21"/>
      <w:u w:val="single"/>
    </w:rPr>
  </w:style>
  <w:style w:type="character" w:customStyle="1" w:styleId="129">
    <w:name w:val="font21"/>
    <w:basedOn w:val="35"/>
    <w:qFormat/>
    <w:uiPriority w:val="0"/>
    <w:rPr>
      <w:rFonts w:hint="eastAsia" w:ascii="宋体" w:hAnsi="宋体" w:eastAsia="宋体" w:cs="宋体"/>
      <w:color w:val="000000"/>
      <w:sz w:val="21"/>
      <w:szCs w:val="21"/>
      <w:u w:val="none"/>
    </w:rPr>
  </w:style>
  <w:style w:type="character" w:customStyle="1" w:styleId="130">
    <w:name w:val="font11"/>
    <w:basedOn w:val="35"/>
    <w:qFormat/>
    <w:uiPriority w:val="0"/>
    <w:rPr>
      <w:rFonts w:hint="default" w:ascii="Times New Roman" w:hAnsi="Times New Roman" w:cs="Times New Roman"/>
      <w:color w:val="000000"/>
      <w:sz w:val="21"/>
      <w:szCs w:val="21"/>
      <w:u w:val="none"/>
    </w:rPr>
  </w:style>
  <w:style w:type="table" w:customStyle="1" w:styleId="131">
    <w:name w:val="网格型1"/>
    <w:basedOn w:val="33"/>
    <w:qFormat/>
    <w:uiPriority w:val="0"/>
    <w:rPr>
      <w:rFonts w:hint="eastAsia" w:ascii="等线" w:hAnsi="等线" w:eastAsia="等线" w:cs="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2">
    <w:name w:val="表 内容"/>
    <w:basedOn w:val="1"/>
    <w:qFormat/>
    <w:uiPriority w:val="0"/>
    <w:pPr>
      <w:adjustRightInd w:val="0"/>
      <w:snapToGrid w:val="0"/>
      <w:spacing w:beforeLines="15"/>
      <w:jc w:val="center"/>
    </w:pPr>
    <w:rPr>
      <w:kern w:val="0"/>
      <w:sz w:val="20"/>
      <w:szCs w:val="21"/>
    </w:rPr>
  </w:style>
  <w:style w:type="paragraph" w:customStyle="1" w:styleId="133">
    <w:name w:val="Char Char Char Char"/>
    <w:basedOn w:val="1"/>
    <w:qFormat/>
    <w:uiPriority w:val="0"/>
    <w:pPr>
      <w:widowControl/>
      <w:adjustRightInd w:val="0"/>
      <w:snapToGrid w:val="0"/>
      <w:jc w:val="center"/>
    </w:pPr>
    <w:rPr>
      <w:kern w:val="0"/>
      <w:sz w:val="24"/>
      <w:szCs w:val="20"/>
    </w:rPr>
  </w:style>
  <w:style w:type="table" w:customStyle="1" w:styleId="134">
    <w:name w:val="网格型11"/>
    <w:basedOn w:val="33"/>
    <w:qFormat/>
    <w:uiPriority w:val="99"/>
    <w:rPr>
      <w:rFonts w:hint="eastAsia" w:ascii="等线" w:hAnsi="等线" w:eastAsia="Times New Roman" w:cs="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
    <w:name w:val="网格型2"/>
    <w:basedOn w:val="33"/>
    <w:qFormat/>
    <w:uiPriority w:val="99"/>
    <w:rPr>
      <w:rFonts w:hint="eastAsia" w:ascii="等线" w:hAnsi="等线" w:eastAsia="Times New Roman" w:cs="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6">
    <w:name w:val="中大正文"/>
    <w:basedOn w:val="1"/>
    <w:qFormat/>
    <w:uiPriority w:val="0"/>
    <w:pPr>
      <w:wordWrap w:val="0"/>
      <w:autoSpaceDE w:val="0"/>
      <w:autoSpaceDN w:val="0"/>
      <w:adjustRightInd w:val="0"/>
      <w:ind w:firstLine="200"/>
    </w:pPr>
    <w:rPr>
      <w:rFonts w:ascii="宋体" w:hAnsi="宋体"/>
      <w:kern w:val="0"/>
      <w:lang w:val="zh-CN"/>
    </w:rPr>
  </w:style>
  <w:style w:type="table" w:customStyle="1" w:styleId="137">
    <w:name w:val="网格型3"/>
    <w:basedOn w:val="33"/>
    <w:qFormat/>
    <w:uiPriority w:val="99"/>
    <w:pPr>
      <w:widowControl w:val="0"/>
      <w:jc w:val="both"/>
    </w:pPr>
    <w:rPr>
      <w:rFonts w:hint="eastAsia" w:ascii="等线" w:hAnsi="等线" w:eastAsia="Times New Roman" w:cs="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8">
    <w:name w:val="font01"/>
    <w:qFormat/>
    <w:uiPriority w:val="0"/>
    <w:rPr>
      <w:rFonts w:hint="default" w:ascii="Times New Roman" w:hAnsi="Times New Roman" w:cs="Times New Roman"/>
      <w:color w:val="FF0000"/>
      <w:sz w:val="21"/>
      <w:szCs w:val="21"/>
      <w:u w:val="none"/>
    </w:rPr>
  </w:style>
  <w:style w:type="character" w:customStyle="1" w:styleId="139">
    <w:name w:val="中大表格内容 Char"/>
    <w:link w:val="74"/>
    <w:qFormat/>
    <w:uiPriority w:val="0"/>
    <w:rPr>
      <w:rFonts w:ascii="宋体" w:hAnsi="宋体"/>
      <w:sz w:val="21"/>
      <w:szCs w:val="21"/>
      <w:lang w:val="zh-CN"/>
    </w:rPr>
  </w:style>
  <w:style w:type="table" w:customStyle="1" w:styleId="140">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41">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142">
    <w:name w:val="普通(网站)1"/>
    <w:basedOn w:val="1"/>
    <w:qFormat/>
    <w:uiPriority w:val="0"/>
    <w:pPr>
      <w:widowControl/>
      <w:snapToGrid w:val="0"/>
      <w:spacing w:before="100" w:beforeAutospacing="1" w:after="100" w:afterAutospacing="1"/>
      <w:jc w:val="left"/>
    </w:pPr>
    <w:rPr>
      <w:rFonts w:hint="eastAsia" w:ascii="宋体" w:hAnsi="宋体" w:cs="宋体"/>
      <w:sz w:val="24"/>
      <w:szCs w:val="20"/>
    </w:rPr>
  </w:style>
  <w:style w:type="paragraph" w:customStyle="1" w:styleId="143">
    <w:name w:val="ENFI正文"/>
    <w:basedOn w:val="1"/>
    <w:link w:val="144"/>
    <w:qFormat/>
    <w:uiPriority w:val="0"/>
    <w:pPr>
      <w:adjustRightInd w:val="0"/>
      <w:snapToGrid w:val="0"/>
      <w:spacing w:line="500" w:lineRule="exact"/>
      <w:ind w:firstLine="567"/>
    </w:pPr>
    <w:rPr>
      <w:snapToGrid w:val="0"/>
      <w:color w:val="000000"/>
      <w:kern w:val="0"/>
      <w:sz w:val="28"/>
    </w:rPr>
  </w:style>
  <w:style w:type="character" w:customStyle="1" w:styleId="144">
    <w:name w:val="ENFI正文 Char Char"/>
    <w:link w:val="143"/>
    <w:qFormat/>
    <w:uiPriority w:val="0"/>
    <w:rPr>
      <w:snapToGrid w:val="0"/>
      <w:color w:val="000000"/>
      <w:sz w:val="28"/>
      <w:szCs w:val="24"/>
    </w:rPr>
  </w:style>
  <w:style w:type="character" w:customStyle="1" w:styleId="145">
    <w:name w:val="表标题 Char"/>
    <w:link w:val="72"/>
    <w:qFormat/>
    <w:uiPriority w:val="0"/>
    <w:rPr>
      <w:rFonts w:ascii="宋体" w:hAnsi="宋体" w:cs="宋体"/>
      <w:b/>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4" Type="http://schemas.openxmlformats.org/officeDocument/2006/relationships/fontTable" Target="fontTable.xml"/><Relationship Id="rId73" Type="http://schemas.openxmlformats.org/officeDocument/2006/relationships/customXml" Target="../customXml/item2.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58.png"/><Relationship Id="rId7" Type="http://schemas.openxmlformats.org/officeDocument/2006/relationships/footer" Target="footer5.xml"/><Relationship Id="rId69" Type="http://schemas.openxmlformats.org/officeDocument/2006/relationships/image" Target="media/image57.png"/><Relationship Id="rId68" Type="http://schemas.openxmlformats.org/officeDocument/2006/relationships/image" Target="media/image56.png"/><Relationship Id="rId67" Type="http://schemas.openxmlformats.org/officeDocument/2006/relationships/image" Target="media/image55.png"/><Relationship Id="rId66" Type="http://schemas.openxmlformats.org/officeDocument/2006/relationships/image" Target="media/image54.png"/><Relationship Id="rId65" Type="http://schemas.openxmlformats.org/officeDocument/2006/relationships/image" Target="media/image53.png"/><Relationship Id="rId64" Type="http://schemas.openxmlformats.org/officeDocument/2006/relationships/image" Target="media/image52.png"/><Relationship Id="rId63" Type="http://schemas.openxmlformats.org/officeDocument/2006/relationships/image" Target="media/image51.png"/><Relationship Id="rId62" Type="http://schemas.openxmlformats.org/officeDocument/2006/relationships/image" Target="media/image50.png"/><Relationship Id="rId61" Type="http://schemas.openxmlformats.org/officeDocument/2006/relationships/image" Target="media/image49.png"/><Relationship Id="rId60" Type="http://schemas.openxmlformats.org/officeDocument/2006/relationships/image" Target="media/image48.png"/><Relationship Id="rId6" Type="http://schemas.openxmlformats.org/officeDocument/2006/relationships/footer" Target="footer4.xml"/><Relationship Id="rId59" Type="http://schemas.openxmlformats.org/officeDocument/2006/relationships/image" Target="media/image47.png"/><Relationship Id="rId58" Type="http://schemas.openxmlformats.org/officeDocument/2006/relationships/image" Target="media/image46.png"/><Relationship Id="rId57" Type="http://schemas.openxmlformats.org/officeDocument/2006/relationships/image" Target="media/image45.png"/><Relationship Id="rId56" Type="http://schemas.openxmlformats.org/officeDocument/2006/relationships/image" Target="media/image44.png"/><Relationship Id="rId55" Type="http://schemas.openxmlformats.org/officeDocument/2006/relationships/image" Target="media/image43.png"/><Relationship Id="rId54" Type="http://schemas.openxmlformats.org/officeDocument/2006/relationships/image" Target="media/image42.png"/><Relationship Id="rId53" Type="http://schemas.openxmlformats.org/officeDocument/2006/relationships/image" Target="media/image41.png"/><Relationship Id="rId52" Type="http://schemas.openxmlformats.org/officeDocument/2006/relationships/image" Target="media/image40.png"/><Relationship Id="rId51" Type="http://schemas.openxmlformats.org/officeDocument/2006/relationships/image" Target="media/image39.png"/><Relationship Id="rId50" Type="http://schemas.openxmlformats.org/officeDocument/2006/relationships/image" Target="media/image38.png"/><Relationship Id="rId5" Type="http://schemas.openxmlformats.org/officeDocument/2006/relationships/footer" Target="footer3.xml"/><Relationship Id="rId49" Type="http://schemas.openxmlformats.org/officeDocument/2006/relationships/image" Target="media/image37.png"/><Relationship Id="rId48" Type="http://schemas.openxmlformats.org/officeDocument/2006/relationships/image" Target="media/image36.png"/><Relationship Id="rId47" Type="http://schemas.openxmlformats.org/officeDocument/2006/relationships/image" Target="media/image35.png"/><Relationship Id="rId46" Type="http://schemas.openxmlformats.org/officeDocument/2006/relationships/image" Target="media/image34.png"/><Relationship Id="rId45" Type="http://schemas.openxmlformats.org/officeDocument/2006/relationships/image" Target="../&#25105;&#30340;&#25991;&#26723;/WeChat%252525252525252525252525252520Files/wxid_3l0sv4lkd72c22/&#25105;&#30340;&#25991;&#26723;/Documents%25252525252525252525252525252525252520and%25252525252525252525252525252525252520Settings/Administrator/Application%25252525252525252525252525252525252520Data/Tencent/Users/282169695/QQ/WinTemp/RichOle/M_V)S~%25252525252525252525252525252525252525%2525252525252525252525252525252525257d%25252525252525252525252525252525252525_H%25252525252525252525252525252525252560%25252525252525252525252525252525252525Z%25252525252525252525252525252525252525M@Y153IY.jpg" TargetMode="External"/><Relationship Id="rId44" Type="http://schemas.openxmlformats.org/officeDocument/2006/relationships/image" Target="media/image33.jpeg"/><Relationship Id="rId43" Type="http://schemas.openxmlformats.org/officeDocument/2006/relationships/image" Target="media/image32.wmf"/><Relationship Id="rId42" Type="http://schemas.openxmlformats.org/officeDocument/2006/relationships/image" Target="media/image31.wmf"/><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footer" Target="footer2.xml"/><Relationship Id="rId39" Type="http://schemas.openxmlformats.org/officeDocument/2006/relationships/image" Target="../&#25105;&#30340;&#25991;&#26723;/WeChat%252525252525252525252525252520Files/wxid_3l0sv4lkd72c22/&#25105;&#30340;&#25991;&#26723;/Documents%25252525252525252525252525252525252520and%25252525252525252525252525252525252520Settings/Administrator/Application%25252525252525252525252525252525252520Data/Tencent/Users/282169695/QQ/WinTemp/RichOle/~~1%25252525252525252525252525252525252525DI0LT@1QHXYK79L%2525252525252525252525252525252525255bB9L.jpg" TargetMode="External"/><Relationship Id="rId38" Type="http://schemas.openxmlformats.org/officeDocument/2006/relationships/image" Target="media/image28.jpeg"/><Relationship Id="rId37" Type="http://schemas.openxmlformats.org/officeDocument/2006/relationships/image" Target="media/image27.wmf"/><Relationship Id="rId36" Type="http://schemas.openxmlformats.org/officeDocument/2006/relationships/image" Target="media/image26.wmf"/><Relationship Id="rId35" Type="http://schemas.openxmlformats.org/officeDocument/2006/relationships/image" Target="media/image25.wmf"/><Relationship Id="rId34" Type="http://schemas.openxmlformats.org/officeDocument/2006/relationships/image" Target="media/image24.wmf"/><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footer" Target="foot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824C02-F942-4801-802A-6EB1C49D8006}">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108</Pages>
  <Words>122</Words>
  <Characters>188</Characters>
  <Lines>830</Lines>
  <Paragraphs>233</Paragraphs>
  <TotalTime>0</TotalTime>
  <ScaleCrop>false</ScaleCrop>
  <LinksUpToDate>false</LinksUpToDate>
  <CharactersWithSpaces>199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2022-11-28T07:41:00Z</dcterms:created>
  <dc:creator>lhj</dc:creator>
  <cp:lastModifiedBy>昌恒</cp:lastModifiedBy>
  <cp:lastPrinted>2025-06-03T06:27:00Z</cp:lastPrinted>
  <dcterms:modified xsi:type="dcterms:W3CDTF">2025-06-03T06:45:30Z</dcterms:modified>
  <cp:revision>882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9F9A1B5AACFE4543A13D24193D65F02C_13</vt:lpwstr>
  </property>
  <property fmtid="{D5CDD505-2E9C-101B-9397-08002B2CF9AE}" pid="4" name="KSOTemplateDocerSaveRecord">
    <vt:lpwstr>eyJoZGlkIjoiYjkwZDU5YWM3MDY2ZDA5ZWI2ZTJmNDJjNWRmZWZlOTAiLCJ1c2VySWQiOiI0MjYwNDA4MzUifQ==</vt:lpwstr>
  </property>
</Properties>
</file>