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21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63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序号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技术指标</w:t>
            </w:r>
          </w:p>
        </w:tc>
        <w:tc>
          <w:tcPr>
            <w:tcW w:w="6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具体技术要求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自动校准亮度曲线</w:t>
            </w:r>
          </w:p>
        </w:tc>
        <w:tc>
          <w:tcPr>
            <w:tcW w:w="6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显示器可以自动校准亮度曲线，完全符合dicom3.14标准，提供国家知识产权局认可的证明材料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基本参数</w:t>
            </w:r>
          </w:p>
        </w:tc>
        <w:tc>
          <w:tcPr>
            <w:tcW w:w="6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≧</w:t>
            </w:r>
            <w:r>
              <w:rPr>
                <w:rFonts w:ascii="宋体" w:hAnsi="宋体" w:cs="宋体"/>
                <w:kern w:val="0"/>
              </w:rPr>
              <w:t>30</w:t>
            </w:r>
            <w:r>
              <w:rPr>
                <w:rFonts w:hint="eastAsia" w:ascii="宋体" w:hAnsi="宋体" w:cs="宋体"/>
                <w:kern w:val="0"/>
              </w:rPr>
              <w:t>英寸，分辨率≧</w:t>
            </w:r>
            <w:r>
              <w:rPr>
                <w:rFonts w:ascii="宋体" w:hAnsi="宋体" w:cs="宋体"/>
                <w:kern w:val="0"/>
              </w:rPr>
              <w:t>3280×2048</w:t>
            </w:r>
            <w:r>
              <w:rPr>
                <w:rFonts w:hint="eastAsia" w:ascii="宋体" w:hAnsi="宋体" w:cs="宋体"/>
                <w:kern w:val="0"/>
              </w:rPr>
              <w:t>，点距≦</w:t>
            </w:r>
            <w:r>
              <w:rPr>
                <w:rFonts w:ascii="宋体" w:hAnsi="宋体" w:cs="宋体"/>
                <w:kern w:val="0"/>
              </w:rPr>
              <w:t>0.197×0.197mm</w:t>
            </w:r>
            <w:r>
              <w:rPr>
                <w:rFonts w:hint="eastAsia" w:ascii="宋体" w:hAnsi="宋体" w:cs="宋体"/>
                <w:kern w:val="0"/>
              </w:rPr>
              <w:t>，最大亮度≧</w:t>
            </w:r>
            <w:r>
              <w:rPr>
                <w:rFonts w:ascii="宋体" w:hAnsi="宋体" w:cs="宋体"/>
                <w:kern w:val="0"/>
              </w:rPr>
              <w:t>13</w:t>
            </w:r>
            <w:r>
              <w:rPr>
                <w:rFonts w:hint="eastAsia" w:ascii="宋体" w:hAnsi="宋体" w:cs="宋体"/>
                <w:kern w:val="0"/>
              </w:rPr>
              <w:t>00cd/m²，对比度≧2</w:t>
            </w:r>
            <w:r>
              <w:rPr>
                <w:rFonts w:ascii="宋体" w:hAnsi="宋体" w:cs="宋体"/>
                <w:kern w:val="0"/>
              </w:rPr>
              <w:t>00</w:t>
            </w:r>
            <w:r>
              <w:rPr>
                <w:rFonts w:hint="eastAsia" w:ascii="宋体" w:hAnsi="宋体" w:cs="宋体"/>
                <w:kern w:val="0"/>
              </w:rPr>
              <w:t>0：1 ，响应时间≦</w:t>
            </w:r>
            <w:r>
              <w:rPr>
                <w:rFonts w:ascii="宋体" w:hAnsi="宋体" w:cs="宋体"/>
                <w:kern w:val="0"/>
              </w:rPr>
              <w:t>28ms</w:t>
            </w:r>
            <w:r>
              <w:rPr>
                <w:rFonts w:hint="eastAsia" w:ascii="宋体" w:hAnsi="宋体" w:cs="宋体"/>
                <w:kern w:val="0"/>
              </w:rPr>
              <w:t>（</w:t>
            </w:r>
            <w:r>
              <w:rPr>
                <w:rFonts w:ascii="宋体" w:hAnsi="宋体" w:cs="宋体"/>
                <w:kern w:val="0"/>
              </w:rPr>
              <w:t>Ton≤13</w:t>
            </w:r>
            <w:r>
              <w:rPr>
                <w:rFonts w:hint="eastAsia" w:ascii="宋体" w:hAnsi="宋体" w:cs="宋体"/>
                <w:kern w:val="0"/>
              </w:rPr>
              <w:t>m</w:t>
            </w:r>
            <w:r>
              <w:rPr>
                <w:rFonts w:ascii="宋体" w:hAnsi="宋体" w:cs="宋体"/>
                <w:kern w:val="0"/>
              </w:rPr>
              <w:t>s，Toff≤15ms</w:t>
            </w:r>
            <w:r>
              <w:rPr>
                <w:rFonts w:hint="eastAsia" w:ascii="宋体" w:hAnsi="宋体" w:cs="宋体"/>
                <w:kern w:val="0"/>
              </w:rPr>
              <w:t>），可视角度≥17</w:t>
            </w:r>
            <w:r>
              <w:rPr>
                <w:rFonts w:ascii="宋体" w:hAnsi="宋体" w:cs="宋体"/>
                <w:kern w:val="0"/>
              </w:rPr>
              <w:t>8</w:t>
            </w:r>
            <w:r>
              <w:rPr>
                <w:rFonts w:hint="eastAsia" w:ascii="宋体" w:hAnsi="宋体" w:cs="宋体"/>
                <w:kern w:val="0"/>
              </w:rPr>
              <w:t>°（CR≥10）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动态校正</w:t>
            </w:r>
          </w:p>
        </w:tc>
        <w:tc>
          <w:tcPr>
            <w:tcW w:w="6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显示器LUT表可以动态生成，DICOM曲线可以在</w:t>
            </w:r>
            <w:r>
              <w:rPr>
                <w:rFonts w:ascii="宋体" w:hAnsi="宋体" w:cs="宋体"/>
                <w:kern w:val="0"/>
              </w:rPr>
              <w:t>2</w:t>
            </w:r>
            <w:r>
              <w:rPr>
                <w:rFonts w:hint="eastAsia" w:ascii="宋体" w:hAnsi="宋体" w:cs="宋体"/>
                <w:kern w:val="0"/>
              </w:rPr>
              <w:t>00-</w:t>
            </w:r>
            <w:r>
              <w:rPr>
                <w:rFonts w:ascii="宋体" w:hAnsi="宋体" w:cs="宋体"/>
                <w:kern w:val="0"/>
              </w:rPr>
              <w:t>5</w:t>
            </w:r>
            <w:r>
              <w:rPr>
                <w:rFonts w:hint="eastAsia" w:ascii="宋体" w:hAnsi="宋体" w:cs="宋体"/>
                <w:kern w:val="0"/>
              </w:rPr>
              <w:t>00cd/m2固定亮度下动态调节,提供国家知识产权局认可的证明材料以及</w:t>
            </w:r>
            <w:r>
              <w:rPr>
                <w:rFonts w:ascii="宋体" w:hAnsi="宋体" w:cs="宋体"/>
                <w:kern w:val="0"/>
              </w:rPr>
              <w:t>通过中国合格评定国家认定委员会（CNAS）认可的第三方机构出具的，盖有中国合格评定国家认定委员会（CNAS）公章的检测报告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亮度均匀性</w:t>
            </w:r>
          </w:p>
        </w:tc>
        <w:tc>
          <w:tcPr>
            <w:tcW w:w="6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显示器具有亮度均匀性调节功能，确保全屏幕亮度均衡，提供国家知识产权局认可的证明材料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色彩</w:t>
            </w:r>
          </w:p>
        </w:tc>
        <w:tc>
          <w:tcPr>
            <w:tcW w:w="6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色彩度≧4.398T</w:t>
            </w:r>
            <w:r>
              <w:rPr>
                <w:rFonts w:ascii="宋体" w:hAnsi="宋体" w:cs="宋体"/>
                <w:kern w:val="0"/>
              </w:rPr>
              <w:t>rillion</w:t>
            </w:r>
            <w:r>
              <w:rPr>
                <w:rFonts w:hint="eastAsia" w:ascii="宋体" w:hAnsi="宋体" w:cs="宋体"/>
                <w:kern w:val="0"/>
              </w:rPr>
              <w:t>(</w:t>
            </w:r>
            <w:r>
              <w:rPr>
                <w:rFonts w:ascii="宋体" w:hAnsi="宋体" w:cs="宋体"/>
                <w:kern w:val="0"/>
              </w:rPr>
              <w:t>42</w:t>
            </w:r>
            <w:r>
              <w:rPr>
                <w:rFonts w:hint="eastAsia" w:ascii="宋体" w:hAnsi="宋体" w:cs="宋体"/>
                <w:kern w:val="0"/>
              </w:rPr>
              <w:t>bit)，提供国家知识产权局认可的证明材料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视频端口</w:t>
            </w:r>
          </w:p>
        </w:tc>
        <w:tc>
          <w:tcPr>
            <w:tcW w:w="6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输入接口：DVI-D×</w:t>
            </w:r>
            <w:r>
              <w:rPr>
                <w:rFonts w:ascii="宋体" w:hAnsi="宋体" w:cs="宋体"/>
                <w:kern w:val="0"/>
              </w:rPr>
              <w:t>1</w:t>
            </w:r>
            <w:r>
              <w:rPr>
                <w:rFonts w:hint="eastAsia" w:ascii="宋体" w:hAnsi="宋体" w:cs="宋体"/>
                <w:kern w:val="0"/>
              </w:rPr>
              <w:t>、DP×1。</w:t>
            </w:r>
            <w:r>
              <w:rPr>
                <w:rFonts w:ascii="宋体" w:hAnsi="宋体" w:cs="宋体"/>
                <w:kern w:val="0"/>
              </w:rPr>
              <w:t>提供</w:t>
            </w:r>
            <w:r>
              <w:rPr>
                <w:rFonts w:hint="eastAsia" w:ascii="宋体" w:hAnsi="宋体" w:cs="宋体"/>
                <w:kern w:val="0"/>
              </w:rPr>
              <w:t>产品说明书内显示器接口示意图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观片灯功能</w:t>
            </w:r>
          </w:p>
        </w:tc>
        <w:tc>
          <w:tcPr>
            <w:tcW w:w="6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显示器具有自动切换阅片灯模式的功能，可通过触控按键快速打开观片灯模式，方便医生查看胶片，提供国家知识产权局认可的证明材料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前置感光功能</w:t>
            </w:r>
          </w:p>
        </w:tc>
        <w:tc>
          <w:tcPr>
            <w:tcW w:w="6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显示器具有前置感光探头，可控制该探头前</w:t>
            </w:r>
            <w:r>
              <w:rPr>
                <w:rFonts w:ascii="宋体" w:hAnsi="宋体" w:cs="宋体"/>
                <w:kern w:val="0"/>
              </w:rPr>
              <w:t>实时监测显示器输出</w:t>
            </w:r>
            <w:r>
              <w:rPr>
                <w:rFonts w:hint="eastAsia" w:ascii="宋体" w:hAnsi="宋体" w:cs="宋体"/>
                <w:kern w:val="0"/>
              </w:rPr>
              <w:t>亮</w:t>
            </w:r>
            <w:r>
              <w:rPr>
                <w:rFonts w:ascii="宋体" w:hAnsi="宋体" w:cs="宋体"/>
                <w:kern w:val="0"/>
              </w:rPr>
              <w:t>度</w:t>
            </w:r>
            <w:r>
              <w:rPr>
                <w:rFonts w:hint="eastAsia" w:ascii="宋体" w:hAnsi="宋体" w:cs="宋体"/>
                <w:kern w:val="0"/>
              </w:rPr>
              <w:t>，并</w:t>
            </w:r>
            <w:r>
              <w:rPr>
                <w:rFonts w:ascii="宋体" w:hAnsi="宋体" w:cs="宋体"/>
                <w:kern w:val="0"/>
              </w:rPr>
              <w:t>对DICOM进行精确</w:t>
            </w:r>
            <w:r>
              <w:rPr>
                <w:rFonts w:hint="eastAsia" w:ascii="宋体" w:hAnsi="宋体" w:cs="宋体"/>
                <w:kern w:val="0"/>
              </w:rPr>
              <w:t>校正，提供国家版权局认可的证明材料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环境光自适应</w:t>
            </w:r>
          </w:p>
        </w:tc>
        <w:tc>
          <w:tcPr>
            <w:tcW w:w="6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显示器可根据环境光自适应调整亮度，可以侦测使用环境的环境光数据，进一步调节显示器的显示效果，更符合人眼观察能力，展现图像，应用于各种亮度环境下，</w:t>
            </w:r>
            <w:r>
              <w:rPr>
                <w:rFonts w:ascii="宋体" w:hAnsi="宋体" w:cs="宋体"/>
                <w:kern w:val="0"/>
              </w:rPr>
              <w:t>提供</w:t>
            </w:r>
            <w:r>
              <w:rPr>
                <w:rFonts w:hint="eastAsia" w:ascii="宋体" w:hAnsi="宋体" w:cs="宋体"/>
                <w:kern w:val="0"/>
              </w:rPr>
              <w:t>该</w:t>
            </w:r>
            <w:r>
              <w:rPr>
                <w:rFonts w:ascii="宋体" w:hAnsi="宋体" w:cs="宋体"/>
                <w:kern w:val="0"/>
              </w:rPr>
              <w:t>功能的产品</w:t>
            </w:r>
            <w:r>
              <w:rPr>
                <w:rFonts w:hint="eastAsia" w:ascii="宋体" w:hAnsi="宋体" w:cs="宋体"/>
                <w:kern w:val="0"/>
              </w:rPr>
              <w:t>说明书复印件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亮度快捷切换</w:t>
            </w:r>
          </w:p>
        </w:tc>
        <w:tc>
          <w:tcPr>
            <w:tcW w:w="6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显示器可通过触控按键一键切换亮度，方便医生在高亮度下观察图像细节，</w:t>
            </w:r>
            <w:r>
              <w:rPr>
                <w:rFonts w:ascii="宋体" w:hAnsi="宋体" w:cs="宋体"/>
                <w:kern w:val="0"/>
              </w:rPr>
              <w:t>提供</w:t>
            </w:r>
            <w:r>
              <w:rPr>
                <w:rFonts w:hint="eastAsia" w:ascii="宋体" w:hAnsi="宋体" w:cs="宋体"/>
                <w:kern w:val="0"/>
              </w:rPr>
              <w:t>该</w:t>
            </w:r>
            <w:r>
              <w:rPr>
                <w:rFonts w:ascii="宋体" w:hAnsi="宋体" w:cs="宋体"/>
                <w:kern w:val="0"/>
              </w:rPr>
              <w:t>功能的产品</w:t>
            </w:r>
            <w:r>
              <w:rPr>
                <w:rFonts w:hint="eastAsia" w:ascii="宋体" w:hAnsi="宋体" w:cs="宋体"/>
                <w:kern w:val="0"/>
              </w:rPr>
              <w:t>说明书复印件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</w:rPr>
            </w:pPr>
            <w:r>
              <w:rPr>
                <w:rFonts w:hint="eastAsia" w:ascii="宋体" w:hAnsi="宋体" w:cs="Arial"/>
                <w:kern w:val="0"/>
              </w:rPr>
              <w:t>一键增亮</w:t>
            </w:r>
          </w:p>
        </w:tc>
        <w:tc>
          <w:tcPr>
            <w:tcW w:w="6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通过调用一键增亮功能，可迅速提高显示器亮度，在提高诊断效率的同时保护医生视力，提供该产品说明书内的证明材料，国家知识产权局认可的证明材料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</w:rPr>
            </w:pPr>
            <w:r>
              <w:rPr>
                <w:rFonts w:hint="eastAsia" w:ascii="宋体" w:hAnsi="宋体" w:cs="Arial"/>
                <w:kern w:val="0"/>
              </w:rPr>
              <w:t>电源配置</w:t>
            </w:r>
          </w:p>
        </w:tc>
        <w:tc>
          <w:tcPr>
            <w:tcW w:w="6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电源要求为24V DC-6.25A，需提供中国强制认证证书内的电源要求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</w:rPr>
            </w:pPr>
            <w:r>
              <w:rPr>
                <w:rFonts w:ascii="宋体" w:hAnsi="宋体" w:cs="宋体"/>
                <w:kern w:val="0"/>
              </w:rPr>
              <w:t>1</w:t>
            </w:r>
            <w:r>
              <w:rPr>
                <w:rFonts w:hint="eastAsia" w:ascii="宋体" w:hAnsi="宋体" w:cs="宋体"/>
                <w:kern w:val="0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人体感应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显示器</w:t>
            </w:r>
            <w:r>
              <w:rPr>
                <w:rFonts w:ascii="宋体" w:hAnsi="宋体" w:cs="宋体"/>
                <w:kern w:val="0"/>
              </w:rPr>
              <w:t>前方具有两个生命体探头</w:t>
            </w:r>
            <w:r>
              <w:rPr>
                <w:rFonts w:hint="eastAsia" w:ascii="宋体" w:hAnsi="宋体" w:cs="宋体"/>
                <w:kern w:val="0"/>
              </w:rPr>
              <w:t>，</w:t>
            </w:r>
            <w:r>
              <w:rPr>
                <w:rFonts w:ascii="宋体" w:hAnsi="宋体" w:cs="宋体"/>
                <w:kern w:val="0"/>
              </w:rPr>
              <w:t xml:space="preserve"> 可</w:t>
            </w:r>
            <w:r>
              <w:rPr>
                <w:rFonts w:hint="eastAsia" w:ascii="宋体" w:hAnsi="宋体" w:cs="宋体"/>
                <w:kern w:val="0"/>
              </w:rPr>
              <w:t>探测前方是否有</w:t>
            </w:r>
            <w:r>
              <w:rPr>
                <w:rFonts w:ascii="宋体" w:hAnsi="宋体" w:cs="宋体"/>
                <w:kern w:val="0"/>
              </w:rPr>
              <w:t>使用人员，自动待机或唤醒显示器，</w:t>
            </w:r>
            <w:r>
              <w:rPr>
                <w:rFonts w:hint="eastAsia" w:ascii="宋体" w:hAnsi="宋体" w:cs="宋体"/>
                <w:kern w:val="0"/>
              </w:rPr>
              <w:t>用于消除医用显示器残影并自行保养</w:t>
            </w:r>
            <w:r>
              <w:rPr>
                <w:rFonts w:ascii="宋体" w:hAnsi="宋体" w:cs="宋体"/>
                <w:kern w:val="0"/>
              </w:rPr>
              <w:t>延长显示器寿命</w:t>
            </w:r>
            <w:r>
              <w:rPr>
                <w:rFonts w:hint="eastAsia" w:ascii="宋体" w:hAnsi="宋体" w:cs="宋体"/>
                <w:kern w:val="0"/>
              </w:rPr>
              <w:t>，</w:t>
            </w:r>
            <w:r>
              <w:rPr>
                <w:rFonts w:ascii="宋体" w:hAnsi="宋体" w:cs="宋体"/>
                <w:kern w:val="0"/>
              </w:rPr>
              <w:t>并更好地实现节能</w:t>
            </w:r>
            <w:r>
              <w:rPr>
                <w:rFonts w:hint="eastAsia" w:ascii="宋体" w:hAnsi="宋体" w:cs="宋体"/>
                <w:kern w:val="0"/>
              </w:rPr>
              <w:t>，提供产品说明书内该功能使用说明材料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</w:rPr>
            </w:pPr>
            <w:r>
              <w:rPr>
                <w:rFonts w:hint="eastAsia" w:ascii="宋体" w:hAnsi="宋体" w:cs="Arial"/>
                <w:kern w:val="0"/>
              </w:rPr>
              <w:t>残影消除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消除因为屏幕本身差异和使用后衰减不同造成的两个屏显不一致，显示更准确完美的一致性。提供国家知识产权局认可的证明材料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</w:rPr>
            </w:pPr>
            <w:r>
              <w:rPr>
                <w:rFonts w:hint="eastAsia" w:ascii="宋体" w:hAnsi="宋体" w:cs="Arial"/>
                <w:kern w:val="0"/>
              </w:rPr>
              <w:t>16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聚光灯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通过管理系统开启聚光灯功能，可对鼠标移动轨迹进行准确的识别，能对部分显示内容着重显示，聚光灯形状可选择圆形和矩形，尺寸可选择小、中、大，可设定热键快速开启聚光灯，提供软件功能截图和国家知识产权局认可的证明材料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</w:rPr>
            </w:pPr>
            <w:r>
              <w:rPr>
                <w:rFonts w:hint="eastAsia" w:ascii="宋体" w:hAnsi="宋体" w:cs="Arial"/>
                <w:kern w:val="0"/>
              </w:rPr>
              <w:t>17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屏幕克隆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通过管理系统开启屏幕克隆功能，可将源显示器的画面拼接之后克隆至目标显示器，可设定开关热键，通过热键快速开启屏幕克隆功能，提供软件功能截图。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</w:rPr>
            </w:pPr>
            <w:r>
              <w:rPr>
                <w:rFonts w:hint="eastAsia" w:ascii="宋体" w:hAnsi="宋体" w:cs="Arial"/>
                <w:kern w:val="0"/>
              </w:rPr>
              <w:t>18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老化检测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显示器可自动进行老化检测，并实时校正，提供“显示器的自动老化检测系统”专利证明材料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</w:rPr>
            </w:pPr>
            <w:r>
              <w:rPr>
                <w:rFonts w:hint="eastAsia" w:ascii="宋体" w:hAnsi="宋体" w:cs="Arial"/>
                <w:kern w:val="0"/>
              </w:rPr>
              <w:t>19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神经网络颜色校准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显示器可以实现色彩的精确校准，有效解决了在不同场景使用不同信号源的情况下，显示器对同一显示画面的表现存在的差异性难题，提高显示器图像显示质量，减少不必要的误差，提供“一种基于神经网络的显示器颜色校准系统及方法”专利证明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</w:rPr>
            </w:pPr>
            <w:r>
              <w:rPr>
                <w:rFonts w:hint="eastAsia" w:ascii="宋体" w:hAnsi="宋体" w:cs="Arial"/>
                <w:kern w:val="0"/>
              </w:rPr>
              <w:t>20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鼠标快速定位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通过管理系统开启鼠标快速定位功能，在高分辨率显示器快速定位到鼠标位置，可设定开关热键，通过热键快速开启鼠标快速定位功能，提供软件功能截图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</w:rPr>
            </w:pPr>
            <w:r>
              <w:rPr>
                <w:rFonts w:hint="eastAsia" w:ascii="宋体" w:hAnsi="宋体" w:cs="Arial"/>
                <w:kern w:val="0"/>
              </w:rPr>
              <w:t>21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截图功能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通过管理系统开启截图功能，可在不依赖第三方软件的情况下对屏幕画面进行截图，并且自由选择所需的截图区域与保存方式，可设定开关热键，通过热键快速开启截图功能，提供该功能的软件截图。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</w:rPr>
            </w:pPr>
            <w:r>
              <w:rPr>
                <w:rFonts w:hint="eastAsia" w:ascii="宋体" w:hAnsi="宋体" w:cs="Arial"/>
                <w:kern w:val="0"/>
              </w:rPr>
              <w:t>22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护眼提醒功能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通过管理系统开启护眼提示，可设定提示时间间隔，提供软件功能截图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</w:rPr>
            </w:pPr>
            <w:r>
              <w:rPr>
                <w:rFonts w:hint="eastAsia" w:ascii="宋体" w:hAnsi="宋体" w:cs="Arial"/>
                <w:kern w:val="0"/>
              </w:rPr>
              <w:t>23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产品证书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提供软件相关的如显示专家软件计算机软件著作权登记证书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</w:rPr>
            </w:pPr>
            <w:r>
              <w:rPr>
                <w:rFonts w:hint="eastAsia" w:ascii="宋体" w:hAnsi="宋体" w:cs="Arial"/>
                <w:kern w:val="0"/>
              </w:rPr>
              <w:t>24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虚拟显示器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通过管理系统开启虚拟显示器功能，可在一个显示器上根据需要将显示区域分割成最多4块区域，每块区域单独显示，布局模式≥5种，可设定开关热键，通过热键快速开启虚拟显示器功能，提供软件功能截图。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</w:rPr>
            </w:pPr>
            <w:r>
              <w:rPr>
                <w:rFonts w:hint="eastAsia" w:ascii="宋体" w:hAnsi="宋体" w:cs="Arial"/>
                <w:kern w:val="0"/>
              </w:rPr>
              <w:t>25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cs="Arial"/>
                <w:kern w:val="0"/>
              </w:rPr>
            </w:pPr>
            <w:r>
              <w:rPr>
                <w:rFonts w:hint="eastAsia" w:ascii="宋体" w:hAnsi="宋体" w:cs="Arial"/>
                <w:kern w:val="0"/>
              </w:rPr>
              <w:t>C</w:t>
            </w:r>
            <w:r>
              <w:rPr>
                <w:rFonts w:ascii="宋体" w:hAnsi="宋体" w:cs="Arial"/>
                <w:kern w:val="0"/>
              </w:rPr>
              <w:t>CC</w:t>
            </w:r>
            <w:r>
              <w:rPr>
                <w:rFonts w:hint="eastAsia" w:ascii="宋体" w:hAnsi="宋体" w:cs="Arial"/>
                <w:kern w:val="0"/>
              </w:rPr>
              <w:t>认证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Arial"/>
                <w:kern w:val="0"/>
              </w:rPr>
            </w:pPr>
            <w:r>
              <w:rPr>
                <w:rFonts w:ascii="宋体" w:hAnsi="宋体" w:cs="Arial"/>
                <w:kern w:val="0"/>
              </w:rPr>
              <w:t>产品获得CCC强制认证，并且3C认证证书上委托人、生产者（制造商）和生产企业名称须完全一致。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</w:rPr>
            </w:pPr>
            <w:r>
              <w:rPr>
                <w:rFonts w:hint="eastAsia" w:ascii="宋体" w:hAnsi="宋体" w:cs="Arial"/>
                <w:kern w:val="0"/>
              </w:rPr>
              <w:t>26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cs="Arial"/>
                <w:kern w:val="0"/>
              </w:rPr>
            </w:pPr>
            <w:r>
              <w:rPr>
                <w:rFonts w:hint="eastAsia" w:ascii="宋体" w:hAnsi="宋体" w:cs="Arial"/>
                <w:kern w:val="0"/>
              </w:rPr>
              <w:t>节能认证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Arial"/>
                <w:kern w:val="0"/>
              </w:rPr>
            </w:pPr>
            <w:r>
              <w:rPr>
                <w:rFonts w:ascii="宋体" w:hAnsi="宋体" w:cs="Arial"/>
                <w:kern w:val="0"/>
              </w:rPr>
              <w:t>产品获得中国节能产品认证，并且节能认证证书上委托人、生产者和生产企业名称须完全一致 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</w:rPr>
            </w:pPr>
            <w:r>
              <w:rPr>
                <w:rFonts w:hint="eastAsia" w:ascii="宋体" w:hAnsi="宋体" w:cs="Arial"/>
                <w:kern w:val="0"/>
              </w:rPr>
              <w:t>27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4"/>
              </w:rPr>
              <w:t>质量控制软件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智能化专业显示器质量保证软件，具有医用显示器质量检测、校准和提供书面报告的功能，提供软件功能截图或者照片。</w:t>
            </w:r>
          </w:p>
          <w:p>
            <w:pPr>
              <w:pStyle w:val="5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软件设置模块提供≥12个不可变更的标准QC策略库，此类策略只可查看，不支持修改。</w:t>
            </w:r>
          </w:p>
          <w:p>
            <w:pPr>
              <w:pStyle w:val="5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软件首页可查看连接专业显示器的基本信息，配置QA计划任务，选择QC策略，锁定菜单，设置环境照度，阅片环境，工程码等。</w:t>
            </w:r>
          </w:p>
          <w:p>
            <w:pPr>
              <w:pStyle w:val="5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性能检测模块可对显示器进行专业的性能检测，以判别当前显示器是否符合医用DICOM诊断标准。性能检测完成后，会显示本次检测的结果。</w:t>
            </w:r>
          </w:p>
          <w:p>
            <w:pPr>
              <w:pStyle w:val="5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校准功能模块主要用于对显示器的DICOM 曲线进行标准型校准，校准执行完毕后，会呈现出此次校准的结果。</w:t>
            </w:r>
          </w:p>
          <w:p>
            <w:pPr>
              <w:pStyle w:val="5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报告模块主要用于展示检测和校准的历史记录，可通过机型、SN、操作类型、结果、QC策略、操作人、日期范围、显示器类型等进行精确定位。</w:t>
            </w:r>
          </w:p>
          <w:p>
            <w:pPr>
              <w:pStyle w:val="5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提供医用显示器质量管理系统计算机软件著作权登记证书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B5CB891"/>
    <w:multiLevelType w:val="singleLevel"/>
    <w:tmpl w:val="DB5CB891"/>
    <w:lvl w:ilvl="0" w:tentative="0">
      <w:start w:val="1"/>
      <w:numFmt w:val="decimal"/>
      <w:pStyle w:val="5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YWFiZDE2MTYyZjUyNDI0MGVlZTBiYWFlOTI3YzUifQ=="/>
  </w:docVars>
  <w:rsids>
    <w:rsidRoot w:val="5D7F78D8"/>
    <w:rsid w:val="000B4D19"/>
    <w:rsid w:val="000E50AE"/>
    <w:rsid w:val="00196639"/>
    <w:rsid w:val="0022511E"/>
    <w:rsid w:val="005C5F16"/>
    <w:rsid w:val="009D1539"/>
    <w:rsid w:val="00C83D4C"/>
    <w:rsid w:val="06AE3A70"/>
    <w:rsid w:val="429606CF"/>
    <w:rsid w:val="57BC5F5C"/>
    <w:rsid w:val="5D7F78D8"/>
    <w:rsid w:val="70A21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numPr>
        <w:ilvl w:val="0"/>
        <w:numId w:val="1"/>
      </w:numPr>
      <w:adjustRightInd w:val="0"/>
      <w:snapToGrid w:val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350</Words>
  <Characters>1999</Characters>
  <Lines>16</Lines>
  <Paragraphs>4</Paragraphs>
  <TotalTime>14</TotalTime>
  <ScaleCrop>false</ScaleCrop>
  <LinksUpToDate>false</LinksUpToDate>
  <CharactersWithSpaces>2345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2025-05-29T11:34:00Z</dcterms:created>
  <dc:creator>一年</dc:creator>
  <cp:lastModifiedBy> ZLX </cp:lastModifiedBy>
  <dcterms:modified xsi:type="dcterms:W3CDTF">2025-06-04T07:17:08Z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  <property fmtid="{D5CDD505-2E9C-101B-9397-08002B2CF9AE}" pid="3" name="ICV">
    <vt:lpwstr>63C6609ACE294A30BD53F270634433E8_11</vt:lpwstr>
  </property>
</Properties>
</file>