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5E3C10">
      <w:pPr>
        <w:spacing w:before="2496" w:beforeLines="800" w:line="360" w:lineRule="auto"/>
        <w:jc w:val="center"/>
        <w:rPr>
          <w:rFonts w:ascii="Times New Roman" w:hAnsi="Times New Roman" w:eastAsia="方正小标宋_GBK"/>
          <w:sz w:val="44"/>
          <w:szCs w:val="44"/>
        </w:rPr>
      </w:pPr>
      <w:r>
        <w:rPr>
          <w:rFonts w:hint="eastAsia" w:ascii="Times New Roman" w:hAnsi="Times New Roman" w:eastAsia="方正小标宋_GBK"/>
          <w:sz w:val="52"/>
          <w:szCs w:val="52"/>
        </w:rPr>
        <w:t>博罗县域副中心发展总体规划</w:t>
      </w:r>
    </w:p>
    <w:p w14:paraId="6632E523">
      <w:pPr>
        <w:spacing w:line="360" w:lineRule="auto"/>
        <w:jc w:val="center"/>
        <w:rPr>
          <w:rFonts w:ascii="Times New Roman" w:hAnsi="Times New Roman" w:eastAsia="方正小标宋_GBK"/>
          <w:sz w:val="44"/>
          <w:szCs w:val="44"/>
        </w:rPr>
      </w:pPr>
      <w:r>
        <w:rPr>
          <w:rFonts w:hint="eastAsia" w:ascii="Times New Roman" w:hAnsi="Times New Roman" w:eastAsia="方正小标宋_GBK"/>
          <w:sz w:val="52"/>
          <w:szCs w:val="52"/>
        </w:rPr>
        <w:t>（</w:t>
      </w:r>
      <w:r>
        <w:rPr>
          <w:rFonts w:ascii="Times New Roman" w:hAnsi="Times New Roman" w:eastAsia="方正小标宋_GBK"/>
          <w:sz w:val="52"/>
          <w:szCs w:val="52"/>
        </w:rPr>
        <w:t>2024</w:t>
      </w:r>
      <w:r>
        <w:rPr>
          <w:rFonts w:hint="eastAsia" w:ascii="Times New Roman" w:hAnsi="Times New Roman" w:eastAsia="方正小标宋_GBK"/>
          <w:sz w:val="52"/>
          <w:szCs w:val="52"/>
        </w:rPr>
        <w:t>—</w:t>
      </w:r>
      <w:r>
        <w:rPr>
          <w:rFonts w:ascii="Times New Roman" w:hAnsi="Times New Roman" w:eastAsia="方正小标宋_GBK"/>
          <w:sz w:val="52"/>
          <w:szCs w:val="52"/>
        </w:rPr>
        <w:t>2035</w:t>
      </w:r>
      <w:r>
        <w:rPr>
          <w:rFonts w:hint="eastAsia" w:ascii="Times New Roman" w:hAnsi="Times New Roman" w:eastAsia="方正小标宋_GBK"/>
          <w:sz w:val="52"/>
          <w:szCs w:val="52"/>
        </w:rPr>
        <w:t>年）</w:t>
      </w:r>
    </w:p>
    <w:p w14:paraId="498D59D0">
      <w:pPr>
        <w:spacing w:line="360" w:lineRule="auto"/>
        <w:jc w:val="center"/>
        <w:rPr>
          <w:rFonts w:hint="eastAsia" w:ascii="Times New Roman" w:hAnsi="Times New Roman" w:eastAsia="方正小标宋_GBK"/>
          <w:sz w:val="44"/>
          <w:szCs w:val="44"/>
          <w:lang w:eastAsia="zh-CN"/>
        </w:rPr>
      </w:pPr>
      <w:r>
        <w:rPr>
          <w:rFonts w:hint="eastAsia" w:ascii="Times New Roman" w:hAnsi="Times New Roman" w:eastAsia="方正小标宋_GBK"/>
          <w:sz w:val="44"/>
          <w:szCs w:val="44"/>
          <w:lang w:val="en-US" w:eastAsia="zh-CN"/>
        </w:rPr>
        <w:t xml:space="preserve">   </w:t>
      </w:r>
    </w:p>
    <w:p w14:paraId="4EBB6232">
      <w:pPr>
        <w:spacing w:before="6240" w:beforeLines="2000"/>
        <w:jc w:val="center"/>
        <w:rPr>
          <w:rFonts w:hint="eastAsia" w:ascii="方正公文小标宋" w:hAnsi="方正公文小标宋" w:eastAsia="方正公文小标宋" w:cs="方正公文小标宋"/>
          <w:sz w:val="32"/>
          <w:szCs w:val="32"/>
        </w:rPr>
      </w:pPr>
      <w:r>
        <w:rPr>
          <w:rFonts w:hint="eastAsia" w:ascii="Times New Roman" w:hAnsi="Times New Roman" w:eastAsia="黑体" w:cs="黑体"/>
          <w:sz w:val="32"/>
          <w:szCs w:val="32"/>
        </w:rPr>
        <w:t>博罗县发展和改革局</w:t>
      </w:r>
    </w:p>
    <w:p w14:paraId="05B2E5A5">
      <w:pPr>
        <w:spacing w:line="360" w:lineRule="auto"/>
        <w:jc w:val="center"/>
        <w:rPr>
          <w:rFonts w:ascii="Times New Roman" w:hAnsi="Times New Roman" w:eastAsia="黑体" w:cs="Times New Roman"/>
          <w:sz w:val="32"/>
          <w:szCs w:val="32"/>
        </w:rPr>
      </w:pPr>
      <w:r>
        <w:rPr>
          <w:rFonts w:ascii="Times New Roman" w:hAnsi="Times New Roman" w:eastAsia="黑体" w:cs="黑体"/>
          <w:sz w:val="32"/>
          <w:szCs w:val="32"/>
        </w:rPr>
        <w:t>202</w:t>
      </w:r>
      <w:r>
        <w:rPr>
          <w:rFonts w:hint="eastAsia" w:ascii="Times New Roman" w:hAnsi="Times New Roman" w:eastAsia="黑体" w:cs="黑体"/>
          <w:sz w:val="32"/>
          <w:szCs w:val="32"/>
        </w:rPr>
        <w:t>5</w:t>
      </w:r>
      <w:r>
        <w:rPr>
          <w:rFonts w:ascii="Times New Roman" w:hAnsi="Times New Roman" w:eastAsia="黑体" w:cs="黑体"/>
          <w:sz w:val="32"/>
          <w:szCs w:val="32"/>
        </w:rPr>
        <w:t>年</w:t>
      </w:r>
      <w:r>
        <w:rPr>
          <w:rFonts w:hint="eastAsia" w:ascii="Times New Roman" w:hAnsi="Times New Roman" w:eastAsia="黑体" w:cs="黑体"/>
          <w:sz w:val="32"/>
          <w:szCs w:val="32"/>
        </w:rPr>
        <w:t>5</w:t>
      </w:r>
      <w:r>
        <w:rPr>
          <w:rFonts w:ascii="Times New Roman" w:hAnsi="Times New Roman" w:eastAsia="黑体" w:cs="黑体"/>
          <w:sz w:val="32"/>
          <w:szCs w:val="32"/>
        </w:rPr>
        <w:t>月</w:t>
      </w:r>
    </w:p>
    <w:p w14:paraId="3B209760">
      <w:pPr>
        <w:rPr>
          <w:rFonts w:ascii="Times New Roman" w:hAnsi="Times New Roman" w:eastAsia="微软雅黑"/>
          <w:sz w:val="40"/>
          <w:szCs w:val="40"/>
        </w:rPr>
      </w:pPr>
    </w:p>
    <w:p w14:paraId="6C5C0CB2">
      <w:pPr>
        <w:rPr>
          <w:rFonts w:ascii="Times New Roman" w:hAnsi="Times New Roman" w:eastAsia="微软雅黑"/>
          <w:sz w:val="40"/>
          <w:szCs w:val="40"/>
        </w:rPr>
        <w:sectPr>
          <w:footerReference r:id="rId4" w:type="default"/>
          <w:pgSz w:w="11906" w:h="16838"/>
          <w:pgMar w:top="1440" w:right="1800" w:bottom="1440" w:left="1800" w:header="851" w:footer="992" w:gutter="0"/>
          <w:pgNumType w:start="1"/>
          <w:cols w:space="425" w:num="1"/>
          <w:docGrid w:type="lines" w:linePitch="312" w:charSpace="0"/>
        </w:sectPr>
      </w:pPr>
    </w:p>
    <w:sdt>
      <w:sdtPr>
        <w:rPr>
          <w:rFonts w:hint="eastAsia" w:ascii="Times New Roman" w:hAnsi="Times New Roman" w:eastAsia="黑体" w:cs="黑体"/>
          <w:sz w:val="30"/>
          <w:szCs w:val="30"/>
        </w:rPr>
        <w:id w:val="147473714"/>
        <w15:color w:val="DBDBDB"/>
        <w:docPartObj>
          <w:docPartGallery w:val="Table of Contents"/>
          <w:docPartUnique/>
        </w:docPartObj>
      </w:sdtPr>
      <w:sdtEndPr>
        <w:rPr>
          <w:rFonts w:hint="eastAsia" w:ascii="Times New Roman" w:hAnsi="Times New Roman" w:eastAsia="黑体" w:cs="黑体"/>
          <w:b/>
          <w:sz w:val="32"/>
          <w:szCs w:val="32"/>
        </w:rPr>
      </w:sdtEndPr>
      <w:sdtContent>
        <w:p w14:paraId="22600C2A">
          <w:pPr>
            <w:spacing w:before="156" w:beforeLines="50" w:after="156" w:afterLines="50" w:line="440" w:lineRule="exact"/>
            <w:jc w:val="center"/>
            <w:rPr>
              <w:rFonts w:ascii="Times New Roman" w:hAnsi="Times New Roman" w:eastAsia="黑体" w:cs="Times New Roman"/>
              <w:sz w:val="30"/>
              <w:szCs w:val="30"/>
            </w:rPr>
          </w:pPr>
          <w:r>
            <w:rPr>
              <w:rFonts w:hint="eastAsia" w:ascii="Times New Roman" w:hAnsi="Times New Roman" w:eastAsia="黑体" w:cs="Times New Roman"/>
              <w:sz w:val="30"/>
              <w:szCs w:val="30"/>
            </w:rPr>
            <w:t>目</w:t>
          </w:r>
          <w:r>
            <w:rPr>
              <w:rFonts w:ascii="Times New Roman" w:hAnsi="Times New Roman" w:eastAsia="黑体" w:cs="Times New Roman"/>
              <w:sz w:val="30"/>
              <w:szCs w:val="30"/>
            </w:rPr>
            <w:t xml:space="preserve">  </w:t>
          </w:r>
          <w:r>
            <w:rPr>
              <w:rFonts w:hint="eastAsia" w:ascii="Times New Roman" w:hAnsi="Times New Roman" w:eastAsia="黑体" w:cs="Times New Roman"/>
              <w:sz w:val="30"/>
              <w:szCs w:val="30"/>
            </w:rPr>
            <w:t>录</w:t>
          </w:r>
        </w:p>
        <w:p w14:paraId="59BF78B4">
          <w:pPr>
            <w:pStyle w:val="14"/>
            <w:tabs>
              <w:tab w:val="right" w:leader="dot" w:pos="8296"/>
            </w:tabs>
            <w:spacing w:line="400" w:lineRule="exact"/>
            <w:rPr>
              <w:rFonts w:hint="eastAsia" w:ascii="Times New Roman" w:hAnsi="Times New Roman" w:eastAsia="黑体"/>
              <w:sz w:val="28"/>
              <w:szCs w:val="32"/>
            </w:rPr>
          </w:pPr>
          <w:r>
            <w:rPr>
              <w:rFonts w:hint="eastAsia" w:ascii="Times New Roman" w:hAnsi="Times New Roman" w:eastAsia="黑体" w:cs="Times New Roman"/>
            </w:rPr>
            <w:fldChar w:fldCharType="begin"/>
          </w:r>
          <w:r>
            <w:rPr>
              <w:rFonts w:ascii="Times New Roman" w:hAnsi="Times New Roman" w:eastAsia="黑体" w:cs="Times New Roman"/>
            </w:rPr>
            <w:instrText xml:space="preserve">TOC \o "1-2" \h \u </w:instrText>
          </w:r>
          <w:r>
            <w:rPr>
              <w:rFonts w:hint="eastAsia" w:ascii="Times New Roman" w:hAnsi="Times New Roman" w:eastAsia="黑体" w:cs="Times New Roman"/>
            </w:rPr>
            <w:fldChar w:fldCharType="separate"/>
          </w:r>
          <w:r>
            <w:fldChar w:fldCharType="begin"/>
          </w:r>
          <w:r>
            <w:instrText xml:space="preserve"> HYPERLINK \l "_Toc198247179" </w:instrText>
          </w:r>
          <w:r>
            <w:fldChar w:fldCharType="separate"/>
          </w:r>
          <w:r>
            <w:rPr>
              <w:rStyle w:val="24"/>
              <w:rFonts w:hint="eastAsia" w:ascii="Times New Roman" w:hAnsi="Times New Roman" w:eastAsia="黑体"/>
              <w:sz w:val="24"/>
              <w:szCs w:val="28"/>
            </w:rPr>
            <w:t>前</w:t>
          </w:r>
          <w:r>
            <w:rPr>
              <w:rStyle w:val="24"/>
              <w:rFonts w:ascii="Times New Roman" w:hAnsi="Times New Roman" w:eastAsia="黑体"/>
              <w:sz w:val="24"/>
              <w:szCs w:val="28"/>
            </w:rPr>
            <w:t xml:space="preserve"> </w:t>
          </w:r>
          <w:r>
            <w:rPr>
              <w:rStyle w:val="24"/>
              <w:rFonts w:hint="eastAsia" w:ascii="Times New Roman" w:hAnsi="Times New Roman" w:eastAsia="黑体"/>
              <w:sz w:val="24"/>
              <w:szCs w:val="28"/>
            </w:rPr>
            <w:t>言</w:t>
          </w:r>
          <w:r>
            <w:rPr>
              <w:rFonts w:hint="eastAsia" w:ascii="Times New Roman" w:hAnsi="Times New Roman" w:eastAsia="黑体"/>
              <w:sz w:val="24"/>
              <w:szCs w:val="28"/>
            </w:rPr>
            <w:tab/>
          </w:r>
          <w:r>
            <w:rPr>
              <w:rFonts w:hint="eastAsia" w:ascii="Times New Roman" w:hAnsi="Times New Roman" w:eastAsia="黑体"/>
              <w:sz w:val="24"/>
              <w:szCs w:val="28"/>
            </w:rPr>
            <w:fldChar w:fldCharType="begin"/>
          </w:r>
          <w:r>
            <w:rPr>
              <w:rFonts w:hint="eastAsia" w:ascii="Times New Roman" w:hAnsi="Times New Roman" w:eastAsia="黑体"/>
              <w:sz w:val="24"/>
              <w:szCs w:val="28"/>
            </w:rPr>
            <w:instrText xml:space="preserve"> PAGEREF _Toc198247179 \h </w:instrText>
          </w:r>
          <w:r>
            <w:rPr>
              <w:rFonts w:hint="eastAsia" w:ascii="Times New Roman" w:hAnsi="Times New Roman" w:eastAsia="黑体"/>
              <w:sz w:val="24"/>
              <w:szCs w:val="28"/>
            </w:rPr>
            <w:fldChar w:fldCharType="separate"/>
          </w:r>
          <w:r>
            <w:rPr>
              <w:rFonts w:ascii="Times New Roman" w:hAnsi="Times New Roman" w:eastAsia="黑体"/>
              <w:sz w:val="24"/>
              <w:szCs w:val="28"/>
            </w:rPr>
            <w:t>1</w:t>
          </w:r>
          <w:r>
            <w:rPr>
              <w:rFonts w:hint="eastAsia" w:ascii="Times New Roman" w:hAnsi="Times New Roman" w:eastAsia="黑体"/>
              <w:sz w:val="24"/>
              <w:szCs w:val="28"/>
            </w:rPr>
            <w:fldChar w:fldCharType="end"/>
          </w:r>
          <w:r>
            <w:rPr>
              <w:rFonts w:hint="eastAsia" w:ascii="Times New Roman" w:hAnsi="Times New Roman" w:eastAsia="黑体"/>
              <w:sz w:val="24"/>
              <w:szCs w:val="28"/>
            </w:rPr>
            <w:fldChar w:fldCharType="end"/>
          </w:r>
        </w:p>
        <w:p w14:paraId="21867C3E">
          <w:pPr>
            <w:pStyle w:val="14"/>
            <w:tabs>
              <w:tab w:val="right" w:leader="dot" w:pos="8296"/>
            </w:tabs>
            <w:spacing w:line="400" w:lineRule="exact"/>
            <w:rPr>
              <w:rFonts w:hint="eastAsia" w:ascii="Times New Roman" w:hAnsi="Times New Roman"/>
              <w:sz w:val="22"/>
              <w:szCs w:val="24"/>
            </w:rPr>
          </w:pPr>
          <w:r>
            <w:fldChar w:fldCharType="begin"/>
          </w:r>
          <w:r>
            <w:instrText xml:space="preserve"> HYPERLINK \l "_Toc198247180" </w:instrText>
          </w:r>
          <w:r>
            <w:fldChar w:fldCharType="separate"/>
          </w:r>
          <w:r>
            <w:rPr>
              <w:rStyle w:val="24"/>
              <w:rFonts w:hint="eastAsia" w:ascii="Times New Roman" w:hAnsi="Times New Roman" w:eastAsia="黑体"/>
              <w:sz w:val="24"/>
              <w:szCs w:val="28"/>
            </w:rPr>
            <w:t>第一章</w:t>
          </w:r>
          <w:r>
            <w:rPr>
              <w:rStyle w:val="24"/>
              <w:rFonts w:ascii="Times New Roman" w:hAnsi="Times New Roman" w:eastAsia="黑体"/>
              <w:sz w:val="24"/>
              <w:szCs w:val="28"/>
            </w:rPr>
            <w:t xml:space="preserve"> </w:t>
          </w:r>
          <w:r>
            <w:rPr>
              <w:rStyle w:val="24"/>
              <w:rFonts w:hint="eastAsia" w:ascii="Times New Roman" w:hAnsi="Times New Roman" w:eastAsia="黑体"/>
              <w:sz w:val="24"/>
              <w:szCs w:val="28"/>
            </w:rPr>
            <w:t>总则</w:t>
          </w:r>
          <w:r>
            <w:rPr>
              <w:rFonts w:hint="eastAsia" w:ascii="Times New Roman" w:hAnsi="Times New Roman" w:eastAsia="黑体"/>
              <w:sz w:val="24"/>
              <w:szCs w:val="28"/>
            </w:rPr>
            <w:tab/>
          </w:r>
          <w:r>
            <w:rPr>
              <w:rFonts w:hint="eastAsia" w:ascii="Times New Roman" w:hAnsi="Times New Roman" w:eastAsia="黑体"/>
              <w:sz w:val="24"/>
              <w:szCs w:val="28"/>
            </w:rPr>
            <w:fldChar w:fldCharType="begin"/>
          </w:r>
          <w:r>
            <w:rPr>
              <w:rFonts w:hint="eastAsia" w:ascii="Times New Roman" w:hAnsi="Times New Roman" w:eastAsia="黑体"/>
              <w:sz w:val="24"/>
              <w:szCs w:val="28"/>
            </w:rPr>
            <w:instrText xml:space="preserve"> PAGEREF _Toc198247180 \h </w:instrText>
          </w:r>
          <w:r>
            <w:rPr>
              <w:rFonts w:hint="eastAsia" w:ascii="Times New Roman" w:hAnsi="Times New Roman" w:eastAsia="黑体"/>
              <w:sz w:val="24"/>
              <w:szCs w:val="28"/>
            </w:rPr>
            <w:fldChar w:fldCharType="separate"/>
          </w:r>
          <w:r>
            <w:rPr>
              <w:rFonts w:ascii="Times New Roman" w:hAnsi="Times New Roman" w:eastAsia="黑体"/>
              <w:sz w:val="24"/>
              <w:szCs w:val="28"/>
            </w:rPr>
            <w:t>2</w:t>
          </w:r>
          <w:r>
            <w:rPr>
              <w:rFonts w:hint="eastAsia" w:ascii="Times New Roman" w:hAnsi="Times New Roman" w:eastAsia="黑体"/>
              <w:sz w:val="24"/>
              <w:szCs w:val="28"/>
            </w:rPr>
            <w:fldChar w:fldCharType="end"/>
          </w:r>
          <w:r>
            <w:rPr>
              <w:rFonts w:hint="eastAsia" w:ascii="Times New Roman" w:hAnsi="Times New Roman" w:eastAsia="黑体"/>
              <w:sz w:val="24"/>
              <w:szCs w:val="28"/>
            </w:rPr>
            <w:fldChar w:fldCharType="end"/>
          </w:r>
        </w:p>
        <w:p w14:paraId="3F590AC0">
          <w:pPr>
            <w:pStyle w:val="16"/>
            <w:tabs>
              <w:tab w:val="right" w:leader="dot" w:pos="8296"/>
            </w:tabs>
            <w:spacing w:line="400" w:lineRule="exact"/>
            <w:rPr>
              <w:rFonts w:hint="eastAsia" w:ascii="Times New Roman" w:hAnsi="Times New Roman" w:eastAsia="宋体"/>
              <w:sz w:val="28"/>
              <w:szCs w:val="32"/>
            </w:rPr>
          </w:pPr>
          <w:r>
            <w:fldChar w:fldCharType="begin"/>
          </w:r>
          <w:r>
            <w:instrText xml:space="preserve"> HYPERLINK \l "_Toc198247181" </w:instrText>
          </w:r>
          <w:r>
            <w:fldChar w:fldCharType="separate"/>
          </w:r>
          <w:r>
            <w:rPr>
              <w:rStyle w:val="24"/>
              <w:rFonts w:hint="eastAsia" w:ascii="Times New Roman" w:hAnsi="Times New Roman" w:eastAsia="宋体"/>
              <w:sz w:val="24"/>
              <w:szCs w:val="28"/>
            </w:rPr>
            <w:t>第一节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编制目的</w:t>
          </w:r>
          <w:r>
            <w:rPr>
              <w:rFonts w:hint="eastAsia" w:ascii="Times New Roman" w:hAnsi="Times New Roman" w:eastAsia="宋体"/>
              <w:sz w:val="24"/>
              <w:szCs w:val="28"/>
            </w:rPr>
            <w:tab/>
          </w:r>
          <w:r>
            <w:rPr>
              <w:rFonts w:hint="eastAsia" w:ascii="Times New Roman" w:hAnsi="Times New Roman" w:eastAsia="宋体"/>
              <w:sz w:val="24"/>
              <w:szCs w:val="28"/>
            </w:rPr>
            <w:fldChar w:fldCharType="begin"/>
          </w:r>
          <w:r>
            <w:rPr>
              <w:rFonts w:hint="eastAsia" w:ascii="Times New Roman" w:hAnsi="Times New Roman" w:eastAsia="宋体"/>
              <w:sz w:val="24"/>
              <w:szCs w:val="28"/>
            </w:rPr>
            <w:instrText xml:space="preserve"> PAGEREF _Toc198247181 \h </w:instrText>
          </w:r>
          <w:r>
            <w:rPr>
              <w:rFonts w:hint="eastAsia" w:ascii="Times New Roman" w:hAnsi="Times New Roman" w:eastAsia="宋体"/>
              <w:sz w:val="24"/>
              <w:szCs w:val="28"/>
            </w:rPr>
            <w:fldChar w:fldCharType="separate"/>
          </w:r>
          <w:r>
            <w:rPr>
              <w:rFonts w:ascii="Times New Roman" w:hAnsi="Times New Roman" w:eastAsia="宋体"/>
              <w:sz w:val="24"/>
              <w:szCs w:val="28"/>
            </w:rPr>
            <w:t>2</w:t>
          </w:r>
          <w:r>
            <w:rPr>
              <w:rFonts w:hint="eastAsia" w:ascii="Times New Roman" w:hAnsi="Times New Roman" w:eastAsia="宋体"/>
              <w:sz w:val="24"/>
              <w:szCs w:val="28"/>
            </w:rPr>
            <w:fldChar w:fldCharType="end"/>
          </w:r>
          <w:r>
            <w:rPr>
              <w:rFonts w:hint="eastAsia" w:ascii="Times New Roman" w:hAnsi="Times New Roman" w:eastAsia="宋体"/>
              <w:sz w:val="24"/>
              <w:szCs w:val="28"/>
            </w:rPr>
            <w:fldChar w:fldCharType="end"/>
          </w:r>
        </w:p>
        <w:p w14:paraId="55FE3261">
          <w:pPr>
            <w:pStyle w:val="16"/>
            <w:tabs>
              <w:tab w:val="right" w:leader="dot" w:pos="8296"/>
            </w:tabs>
            <w:spacing w:line="400" w:lineRule="exact"/>
            <w:rPr>
              <w:rFonts w:hint="eastAsia" w:ascii="Times New Roman" w:hAnsi="Times New Roman" w:eastAsia="宋体"/>
              <w:sz w:val="28"/>
              <w:szCs w:val="32"/>
            </w:rPr>
          </w:pPr>
          <w:r>
            <w:fldChar w:fldCharType="begin"/>
          </w:r>
          <w:r>
            <w:instrText xml:space="preserve"> HYPERLINK \l "_Toc198247182" </w:instrText>
          </w:r>
          <w:r>
            <w:fldChar w:fldCharType="separate"/>
          </w:r>
          <w:r>
            <w:rPr>
              <w:rStyle w:val="24"/>
              <w:rFonts w:hint="eastAsia" w:ascii="Times New Roman" w:hAnsi="Times New Roman" w:eastAsia="宋体"/>
              <w:sz w:val="24"/>
              <w:szCs w:val="28"/>
            </w:rPr>
            <w:t>第二节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规划依据</w:t>
          </w:r>
          <w:r>
            <w:rPr>
              <w:rFonts w:hint="eastAsia" w:ascii="Times New Roman" w:hAnsi="Times New Roman" w:eastAsia="宋体"/>
              <w:sz w:val="24"/>
              <w:szCs w:val="28"/>
            </w:rPr>
            <w:tab/>
          </w:r>
          <w:r>
            <w:rPr>
              <w:rFonts w:hint="eastAsia" w:ascii="Times New Roman" w:hAnsi="Times New Roman" w:eastAsia="宋体"/>
              <w:sz w:val="24"/>
              <w:szCs w:val="28"/>
            </w:rPr>
            <w:fldChar w:fldCharType="begin"/>
          </w:r>
          <w:r>
            <w:rPr>
              <w:rFonts w:hint="eastAsia" w:ascii="Times New Roman" w:hAnsi="Times New Roman" w:eastAsia="宋体"/>
              <w:sz w:val="24"/>
              <w:szCs w:val="28"/>
            </w:rPr>
            <w:instrText xml:space="preserve"> PAGEREF _Toc198247182 \h </w:instrText>
          </w:r>
          <w:r>
            <w:rPr>
              <w:rFonts w:hint="eastAsia" w:ascii="Times New Roman" w:hAnsi="Times New Roman" w:eastAsia="宋体"/>
              <w:sz w:val="24"/>
              <w:szCs w:val="28"/>
            </w:rPr>
            <w:fldChar w:fldCharType="separate"/>
          </w:r>
          <w:r>
            <w:rPr>
              <w:rFonts w:ascii="Times New Roman" w:hAnsi="Times New Roman" w:eastAsia="宋体"/>
              <w:sz w:val="24"/>
              <w:szCs w:val="28"/>
            </w:rPr>
            <w:t>2</w:t>
          </w:r>
          <w:r>
            <w:rPr>
              <w:rFonts w:hint="eastAsia" w:ascii="Times New Roman" w:hAnsi="Times New Roman" w:eastAsia="宋体"/>
              <w:sz w:val="24"/>
              <w:szCs w:val="28"/>
            </w:rPr>
            <w:fldChar w:fldCharType="end"/>
          </w:r>
          <w:r>
            <w:rPr>
              <w:rFonts w:hint="eastAsia" w:ascii="Times New Roman" w:hAnsi="Times New Roman" w:eastAsia="宋体"/>
              <w:sz w:val="24"/>
              <w:szCs w:val="28"/>
            </w:rPr>
            <w:fldChar w:fldCharType="end"/>
          </w:r>
        </w:p>
        <w:p w14:paraId="13DF89C9">
          <w:pPr>
            <w:pStyle w:val="16"/>
            <w:tabs>
              <w:tab w:val="right" w:leader="dot" w:pos="8296"/>
            </w:tabs>
            <w:spacing w:line="400" w:lineRule="exact"/>
            <w:rPr>
              <w:rFonts w:hint="eastAsia" w:ascii="Times New Roman" w:hAnsi="Times New Roman" w:eastAsia="宋体"/>
              <w:sz w:val="28"/>
              <w:szCs w:val="32"/>
            </w:rPr>
          </w:pPr>
          <w:r>
            <w:fldChar w:fldCharType="begin"/>
          </w:r>
          <w:r>
            <w:instrText xml:space="preserve"> HYPERLINK \l "_Toc198247183" </w:instrText>
          </w:r>
          <w:r>
            <w:fldChar w:fldCharType="separate"/>
          </w:r>
          <w:r>
            <w:rPr>
              <w:rStyle w:val="24"/>
              <w:rFonts w:hint="eastAsia" w:ascii="Times New Roman" w:hAnsi="Times New Roman" w:eastAsia="宋体"/>
              <w:sz w:val="24"/>
              <w:szCs w:val="28"/>
            </w:rPr>
            <w:t>第三节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规划范围</w:t>
          </w:r>
          <w:r>
            <w:rPr>
              <w:rFonts w:hint="eastAsia" w:ascii="Times New Roman" w:hAnsi="Times New Roman" w:eastAsia="宋体"/>
              <w:sz w:val="24"/>
              <w:szCs w:val="28"/>
            </w:rPr>
            <w:tab/>
          </w:r>
          <w:r>
            <w:rPr>
              <w:rFonts w:hint="eastAsia" w:ascii="Times New Roman" w:hAnsi="Times New Roman" w:eastAsia="宋体"/>
              <w:sz w:val="24"/>
              <w:szCs w:val="28"/>
            </w:rPr>
            <w:fldChar w:fldCharType="begin"/>
          </w:r>
          <w:r>
            <w:rPr>
              <w:rFonts w:hint="eastAsia" w:ascii="Times New Roman" w:hAnsi="Times New Roman" w:eastAsia="宋体"/>
              <w:sz w:val="24"/>
              <w:szCs w:val="28"/>
            </w:rPr>
            <w:instrText xml:space="preserve"> PAGEREF _Toc198247183 \h </w:instrText>
          </w:r>
          <w:r>
            <w:rPr>
              <w:rFonts w:hint="eastAsia" w:ascii="Times New Roman" w:hAnsi="Times New Roman" w:eastAsia="宋体"/>
              <w:sz w:val="24"/>
              <w:szCs w:val="28"/>
            </w:rPr>
            <w:fldChar w:fldCharType="separate"/>
          </w:r>
          <w:r>
            <w:rPr>
              <w:rFonts w:ascii="Times New Roman" w:hAnsi="Times New Roman" w:eastAsia="宋体"/>
              <w:sz w:val="24"/>
              <w:szCs w:val="28"/>
            </w:rPr>
            <w:t>3</w:t>
          </w:r>
          <w:r>
            <w:rPr>
              <w:rFonts w:hint="eastAsia" w:ascii="Times New Roman" w:hAnsi="Times New Roman" w:eastAsia="宋体"/>
              <w:sz w:val="24"/>
              <w:szCs w:val="28"/>
            </w:rPr>
            <w:fldChar w:fldCharType="end"/>
          </w:r>
          <w:r>
            <w:rPr>
              <w:rFonts w:hint="eastAsia" w:ascii="Times New Roman" w:hAnsi="Times New Roman" w:eastAsia="宋体"/>
              <w:sz w:val="24"/>
              <w:szCs w:val="28"/>
            </w:rPr>
            <w:fldChar w:fldCharType="end"/>
          </w:r>
        </w:p>
        <w:p w14:paraId="01B58FA2">
          <w:pPr>
            <w:pStyle w:val="16"/>
            <w:tabs>
              <w:tab w:val="right" w:leader="dot" w:pos="8296"/>
            </w:tabs>
            <w:spacing w:line="400" w:lineRule="exact"/>
            <w:rPr>
              <w:rFonts w:hint="eastAsia" w:ascii="Times New Roman" w:hAnsi="Times New Roman"/>
              <w:sz w:val="22"/>
              <w:szCs w:val="24"/>
            </w:rPr>
          </w:pPr>
          <w:r>
            <w:fldChar w:fldCharType="begin"/>
          </w:r>
          <w:r>
            <w:instrText xml:space="preserve"> HYPERLINK \l "_Toc198247184" </w:instrText>
          </w:r>
          <w:r>
            <w:fldChar w:fldCharType="separate"/>
          </w:r>
          <w:r>
            <w:rPr>
              <w:rStyle w:val="24"/>
              <w:rFonts w:hint="eastAsia" w:ascii="Times New Roman" w:hAnsi="Times New Roman" w:eastAsia="宋体"/>
              <w:sz w:val="24"/>
              <w:szCs w:val="28"/>
            </w:rPr>
            <w:t>第四节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规划期限</w:t>
          </w:r>
          <w:r>
            <w:rPr>
              <w:rFonts w:hint="eastAsia" w:ascii="Times New Roman" w:hAnsi="Times New Roman" w:eastAsia="宋体"/>
              <w:sz w:val="24"/>
              <w:szCs w:val="28"/>
            </w:rPr>
            <w:tab/>
          </w:r>
          <w:r>
            <w:rPr>
              <w:rFonts w:hint="eastAsia" w:ascii="Times New Roman" w:hAnsi="Times New Roman" w:eastAsia="宋体"/>
              <w:sz w:val="24"/>
              <w:szCs w:val="28"/>
            </w:rPr>
            <w:fldChar w:fldCharType="begin"/>
          </w:r>
          <w:r>
            <w:rPr>
              <w:rFonts w:hint="eastAsia" w:ascii="Times New Roman" w:hAnsi="Times New Roman" w:eastAsia="宋体"/>
              <w:sz w:val="24"/>
              <w:szCs w:val="28"/>
            </w:rPr>
            <w:instrText xml:space="preserve"> PAGEREF _Toc198247184 \h </w:instrText>
          </w:r>
          <w:r>
            <w:rPr>
              <w:rFonts w:hint="eastAsia" w:ascii="Times New Roman" w:hAnsi="Times New Roman" w:eastAsia="宋体"/>
              <w:sz w:val="24"/>
              <w:szCs w:val="28"/>
            </w:rPr>
            <w:fldChar w:fldCharType="separate"/>
          </w:r>
          <w:r>
            <w:rPr>
              <w:rFonts w:ascii="Times New Roman" w:hAnsi="Times New Roman" w:eastAsia="宋体"/>
              <w:sz w:val="24"/>
              <w:szCs w:val="28"/>
            </w:rPr>
            <w:t>4</w:t>
          </w:r>
          <w:r>
            <w:rPr>
              <w:rFonts w:hint="eastAsia" w:ascii="Times New Roman" w:hAnsi="Times New Roman" w:eastAsia="宋体"/>
              <w:sz w:val="24"/>
              <w:szCs w:val="28"/>
            </w:rPr>
            <w:fldChar w:fldCharType="end"/>
          </w:r>
          <w:r>
            <w:rPr>
              <w:rFonts w:hint="eastAsia" w:ascii="Times New Roman" w:hAnsi="Times New Roman" w:eastAsia="宋体"/>
              <w:sz w:val="24"/>
              <w:szCs w:val="28"/>
            </w:rPr>
            <w:fldChar w:fldCharType="end"/>
          </w:r>
        </w:p>
        <w:p w14:paraId="2D53E264">
          <w:pPr>
            <w:pStyle w:val="14"/>
            <w:tabs>
              <w:tab w:val="right" w:leader="dot" w:pos="8296"/>
            </w:tabs>
            <w:spacing w:line="400" w:lineRule="exact"/>
            <w:rPr>
              <w:rFonts w:hint="eastAsia" w:ascii="Times New Roman" w:hAnsi="Times New Roman"/>
              <w:sz w:val="22"/>
              <w:szCs w:val="24"/>
            </w:rPr>
          </w:pPr>
          <w:r>
            <w:fldChar w:fldCharType="begin"/>
          </w:r>
          <w:r>
            <w:instrText xml:space="preserve"> HYPERLINK \l "_Toc198247185" </w:instrText>
          </w:r>
          <w:r>
            <w:fldChar w:fldCharType="separate"/>
          </w:r>
          <w:r>
            <w:rPr>
              <w:rStyle w:val="24"/>
              <w:rFonts w:hint="eastAsia" w:ascii="Times New Roman" w:hAnsi="Times New Roman" w:eastAsia="黑体"/>
              <w:sz w:val="24"/>
              <w:szCs w:val="28"/>
            </w:rPr>
            <w:t>第二章</w:t>
          </w:r>
          <w:r>
            <w:rPr>
              <w:rStyle w:val="24"/>
              <w:rFonts w:ascii="Times New Roman" w:hAnsi="Times New Roman" w:eastAsia="黑体"/>
              <w:sz w:val="24"/>
              <w:szCs w:val="28"/>
            </w:rPr>
            <w:t xml:space="preserve"> </w:t>
          </w:r>
          <w:r>
            <w:rPr>
              <w:rStyle w:val="24"/>
              <w:rFonts w:hint="eastAsia" w:ascii="Times New Roman" w:hAnsi="Times New Roman" w:eastAsia="黑体"/>
              <w:sz w:val="24"/>
              <w:szCs w:val="28"/>
            </w:rPr>
            <w:t>发展基础与形势</w:t>
          </w:r>
          <w:r>
            <w:rPr>
              <w:rStyle w:val="24"/>
              <w:rFonts w:hint="eastAsia" w:ascii="Times New Roman" w:hAnsi="Times New Roman" w:eastAsia="黑体"/>
              <w:sz w:val="24"/>
              <w:szCs w:val="28"/>
            </w:rPr>
            <w:tab/>
          </w:r>
          <w:r>
            <w:rPr>
              <w:rStyle w:val="24"/>
              <w:rFonts w:hint="eastAsia" w:ascii="Times New Roman" w:hAnsi="Times New Roman" w:eastAsia="黑体"/>
              <w:sz w:val="24"/>
              <w:szCs w:val="28"/>
            </w:rPr>
            <w:fldChar w:fldCharType="begin"/>
          </w:r>
          <w:r>
            <w:rPr>
              <w:rStyle w:val="24"/>
              <w:rFonts w:hint="eastAsia" w:ascii="Times New Roman" w:hAnsi="Times New Roman" w:eastAsia="黑体"/>
              <w:sz w:val="24"/>
              <w:szCs w:val="28"/>
            </w:rPr>
            <w:instrText xml:space="preserve"> PAGEREF _Toc198247185 \h </w:instrText>
          </w:r>
          <w:r>
            <w:rPr>
              <w:rStyle w:val="24"/>
              <w:rFonts w:hint="eastAsia" w:ascii="Times New Roman" w:hAnsi="Times New Roman" w:eastAsia="黑体"/>
              <w:sz w:val="24"/>
              <w:szCs w:val="28"/>
            </w:rPr>
            <w:fldChar w:fldCharType="separate"/>
          </w:r>
          <w:r>
            <w:rPr>
              <w:rStyle w:val="24"/>
              <w:rFonts w:ascii="Times New Roman" w:hAnsi="Times New Roman" w:eastAsia="黑体"/>
              <w:sz w:val="24"/>
              <w:szCs w:val="28"/>
            </w:rPr>
            <w:t>5</w:t>
          </w:r>
          <w:r>
            <w:rPr>
              <w:rStyle w:val="24"/>
              <w:rFonts w:hint="eastAsia" w:ascii="Times New Roman" w:hAnsi="Times New Roman" w:eastAsia="黑体"/>
              <w:sz w:val="24"/>
              <w:szCs w:val="28"/>
            </w:rPr>
            <w:fldChar w:fldCharType="end"/>
          </w:r>
          <w:r>
            <w:rPr>
              <w:rStyle w:val="24"/>
              <w:rFonts w:hint="eastAsia" w:ascii="Times New Roman" w:hAnsi="Times New Roman" w:eastAsia="黑体"/>
              <w:sz w:val="24"/>
              <w:szCs w:val="28"/>
            </w:rPr>
            <w:fldChar w:fldCharType="end"/>
          </w:r>
        </w:p>
        <w:p w14:paraId="0620D413">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"_Toc198247187" </w:instrText>
          </w:r>
          <w:r>
            <w:fldChar w:fldCharType="separate"/>
          </w:r>
          <w:r>
            <w:rPr>
              <w:rStyle w:val="24"/>
              <w:rFonts w:hint="eastAsia" w:ascii="Times New Roman" w:hAnsi="Times New Roman" w:eastAsia="宋体"/>
              <w:sz w:val="24"/>
              <w:szCs w:val="28"/>
            </w:rPr>
            <w:t>第五节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发展基础</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_Toc198247187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5</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34749ACB">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"_Toc198247188" </w:instrText>
          </w:r>
          <w:r>
            <w:fldChar w:fldCharType="separate"/>
          </w:r>
          <w:r>
            <w:rPr>
              <w:rStyle w:val="24"/>
              <w:rFonts w:hint="eastAsia" w:ascii="Times New Roman" w:hAnsi="Times New Roman" w:eastAsia="宋体"/>
              <w:sz w:val="24"/>
              <w:szCs w:val="28"/>
            </w:rPr>
            <w:t>第六节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发展形势</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_Toc198247188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8</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786338EE">
          <w:pPr>
            <w:pStyle w:val="16"/>
            <w:tabs>
              <w:tab w:val="right" w:leader="dot" w:pos="8296"/>
            </w:tabs>
            <w:spacing w:line="400" w:lineRule="exact"/>
            <w:rPr>
              <w:rFonts w:hint="eastAsia" w:ascii="Times New Roman" w:hAnsi="Times New Roman"/>
              <w:sz w:val="22"/>
              <w:szCs w:val="24"/>
            </w:rPr>
          </w:pPr>
          <w:r>
            <w:fldChar w:fldCharType="begin"/>
          </w:r>
          <w:r>
            <w:instrText xml:space="preserve"> HYPERLINK \l "_Toc198247189" </w:instrText>
          </w:r>
          <w:r>
            <w:fldChar w:fldCharType="separate"/>
          </w:r>
          <w:r>
            <w:rPr>
              <w:rStyle w:val="24"/>
              <w:rFonts w:hint="eastAsia" w:ascii="Times New Roman" w:hAnsi="Times New Roman" w:eastAsia="宋体"/>
              <w:sz w:val="24"/>
              <w:szCs w:val="28"/>
            </w:rPr>
            <w:t>第七节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面临挑战</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_Toc198247189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9</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118C04D7">
          <w:pPr>
            <w:pStyle w:val="14"/>
            <w:tabs>
              <w:tab w:val="right" w:leader="dot" w:pos="8296"/>
            </w:tabs>
            <w:spacing w:line="400" w:lineRule="exact"/>
            <w:rPr>
              <w:rFonts w:hint="eastAsia" w:ascii="Times New Roman" w:hAnsi="Times New Roman"/>
              <w:sz w:val="22"/>
              <w:szCs w:val="24"/>
            </w:rPr>
          </w:pPr>
          <w:r>
            <w:fldChar w:fldCharType="begin"/>
          </w:r>
          <w:r>
            <w:instrText xml:space="preserve"> HYPERLINK \l "_Toc198247190" </w:instrText>
          </w:r>
          <w:r>
            <w:fldChar w:fldCharType="separate"/>
          </w:r>
          <w:r>
            <w:rPr>
              <w:rStyle w:val="24"/>
              <w:rFonts w:hint="eastAsia" w:ascii="Times New Roman" w:hAnsi="Times New Roman" w:eastAsia="黑体"/>
              <w:sz w:val="24"/>
              <w:szCs w:val="28"/>
            </w:rPr>
            <w:t>第三章</w:t>
          </w:r>
          <w:r>
            <w:rPr>
              <w:rStyle w:val="24"/>
              <w:rFonts w:ascii="Times New Roman" w:hAnsi="Times New Roman" w:eastAsia="黑体"/>
              <w:sz w:val="24"/>
              <w:szCs w:val="28"/>
            </w:rPr>
            <w:t xml:space="preserve"> </w:t>
          </w:r>
          <w:r>
            <w:rPr>
              <w:rStyle w:val="24"/>
              <w:rFonts w:hint="eastAsia" w:ascii="Times New Roman" w:hAnsi="Times New Roman" w:eastAsia="黑体"/>
              <w:sz w:val="24"/>
              <w:szCs w:val="28"/>
            </w:rPr>
            <w:t>总体要求</w:t>
          </w:r>
          <w:r>
            <w:rPr>
              <w:rStyle w:val="24"/>
              <w:rFonts w:hint="eastAsia" w:ascii="Times New Roman" w:hAnsi="Times New Roman" w:eastAsia="黑体"/>
              <w:sz w:val="24"/>
              <w:szCs w:val="28"/>
            </w:rPr>
            <w:tab/>
          </w:r>
          <w:r>
            <w:rPr>
              <w:rStyle w:val="24"/>
              <w:rFonts w:hint="eastAsia" w:ascii="Times New Roman" w:hAnsi="Times New Roman" w:eastAsia="黑体"/>
              <w:sz w:val="24"/>
              <w:szCs w:val="28"/>
            </w:rPr>
            <w:fldChar w:fldCharType="begin"/>
          </w:r>
          <w:r>
            <w:rPr>
              <w:rStyle w:val="24"/>
              <w:rFonts w:hint="eastAsia" w:ascii="Times New Roman" w:hAnsi="Times New Roman" w:eastAsia="黑体"/>
              <w:sz w:val="24"/>
              <w:szCs w:val="28"/>
            </w:rPr>
            <w:instrText xml:space="preserve"> PAGEREF _Toc198247190 \h </w:instrText>
          </w:r>
          <w:r>
            <w:rPr>
              <w:rStyle w:val="24"/>
              <w:rFonts w:hint="eastAsia" w:ascii="Times New Roman" w:hAnsi="Times New Roman" w:eastAsia="黑体"/>
              <w:sz w:val="24"/>
              <w:szCs w:val="28"/>
            </w:rPr>
            <w:fldChar w:fldCharType="separate"/>
          </w:r>
          <w:r>
            <w:rPr>
              <w:rStyle w:val="24"/>
              <w:rFonts w:ascii="Times New Roman" w:hAnsi="Times New Roman" w:eastAsia="黑体"/>
              <w:sz w:val="24"/>
              <w:szCs w:val="28"/>
            </w:rPr>
            <w:t>11</w:t>
          </w:r>
          <w:r>
            <w:rPr>
              <w:rStyle w:val="24"/>
              <w:rFonts w:hint="eastAsia" w:ascii="Times New Roman" w:hAnsi="Times New Roman" w:eastAsia="黑体"/>
              <w:sz w:val="24"/>
              <w:szCs w:val="28"/>
            </w:rPr>
            <w:fldChar w:fldCharType="end"/>
          </w:r>
          <w:r>
            <w:rPr>
              <w:rStyle w:val="24"/>
              <w:rFonts w:hint="eastAsia" w:ascii="Times New Roman" w:hAnsi="Times New Roman" w:eastAsia="黑体"/>
              <w:sz w:val="24"/>
              <w:szCs w:val="28"/>
            </w:rPr>
            <w:fldChar w:fldCharType="end"/>
          </w:r>
        </w:p>
        <w:p w14:paraId="43A261AE">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"_Toc198247191" </w:instrText>
          </w:r>
          <w:r>
            <w:fldChar w:fldCharType="separate"/>
          </w:r>
          <w:r>
            <w:rPr>
              <w:rStyle w:val="24"/>
              <w:rFonts w:hint="eastAsia" w:ascii="Times New Roman" w:hAnsi="Times New Roman" w:eastAsia="宋体"/>
              <w:sz w:val="24"/>
              <w:szCs w:val="28"/>
            </w:rPr>
            <w:t>第八节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指导思想</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_Toc198247191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11</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478A252E">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"_Toc198247192" </w:instrText>
          </w:r>
          <w:r>
            <w:fldChar w:fldCharType="separate"/>
          </w:r>
          <w:r>
            <w:rPr>
              <w:rStyle w:val="24"/>
              <w:rFonts w:hint="eastAsia" w:ascii="Times New Roman" w:hAnsi="Times New Roman" w:eastAsia="宋体"/>
              <w:sz w:val="24"/>
              <w:szCs w:val="28"/>
            </w:rPr>
            <w:t>第九节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基本原则</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_Toc198247192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11</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19C12ECE">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"_Toc198247193" </w:instrText>
          </w:r>
          <w:r>
            <w:fldChar w:fldCharType="separate"/>
          </w:r>
          <w:r>
            <w:rPr>
              <w:rStyle w:val="24"/>
              <w:rFonts w:hint="eastAsia" w:ascii="Times New Roman" w:hAnsi="Times New Roman" w:eastAsia="宋体"/>
              <w:sz w:val="24"/>
              <w:szCs w:val="28"/>
            </w:rPr>
            <w:t>第十节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战略定位</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_Toc198247193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12</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232D4731">
          <w:pPr>
            <w:pStyle w:val="16"/>
            <w:tabs>
              <w:tab w:val="right" w:leader="dot" w:pos="8296"/>
            </w:tabs>
            <w:spacing w:line="400" w:lineRule="exact"/>
            <w:rPr>
              <w:rFonts w:hint="eastAsia" w:ascii="Times New Roman" w:hAnsi="Times New Roman"/>
              <w:sz w:val="22"/>
              <w:szCs w:val="24"/>
            </w:rPr>
          </w:pPr>
          <w:r>
            <w:fldChar w:fldCharType="begin"/>
          </w:r>
          <w:r>
            <w:instrText xml:space="preserve"> HYPERLINK \l "_Toc198247194" </w:instrText>
          </w:r>
          <w:r>
            <w:fldChar w:fldCharType="separate"/>
          </w:r>
          <w:r>
            <w:rPr>
              <w:rStyle w:val="24"/>
              <w:rFonts w:hint="eastAsia" w:ascii="Times New Roman" w:hAnsi="Times New Roman" w:eastAsia="宋体"/>
              <w:sz w:val="24"/>
              <w:szCs w:val="28"/>
            </w:rPr>
            <w:t>第十一节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发展目标</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_Toc198247194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14</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1B10D8AD">
          <w:pPr>
            <w:pStyle w:val="14"/>
            <w:tabs>
              <w:tab w:val="right" w:leader="dot" w:pos="8296"/>
            </w:tabs>
            <w:spacing w:line="400" w:lineRule="exact"/>
            <w:rPr>
              <w:rFonts w:hint="eastAsia" w:ascii="Times New Roman" w:hAnsi="Times New Roman"/>
              <w:sz w:val="22"/>
              <w:szCs w:val="24"/>
            </w:rPr>
          </w:pPr>
          <w:r>
            <w:fldChar w:fldCharType="begin"/>
          </w:r>
          <w:r>
            <w:instrText xml:space="preserve"> HYPERLINK \l "_Toc198247195" </w:instrText>
          </w:r>
          <w:r>
            <w:fldChar w:fldCharType="separate"/>
          </w:r>
          <w:r>
            <w:rPr>
              <w:rStyle w:val="24"/>
              <w:rFonts w:hint="eastAsia" w:ascii="Times New Roman" w:hAnsi="Times New Roman" w:eastAsia="黑体"/>
              <w:sz w:val="24"/>
              <w:szCs w:val="28"/>
            </w:rPr>
            <w:t>第四章</w:t>
          </w:r>
          <w:r>
            <w:rPr>
              <w:rStyle w:val="24"/>
              <w:rFonts w:ascii="Times New Roman" w:hAnsi="Times New Roman" w:eastAsia="黑体"/>
              <w:sz w:val="24"/>
              <w:szCs w:val="28"/>
            </w:rPr>
            <w:t xml:space="preserve"> </w:t>
          </w:r>
          <w:r>
            <w:rPr>
              <w:rStyle w:val="24"/>
              <w:rFonts w:hint="eastAsia" w:ascii="Times New Roman" w:hAnsi="Times New Roman" w:eastAsia="黑体"/>
              <w:sz w:val="24"/>
              <w:szCs w:val="28"/>
            </w:rPr>
            <w:t>构筑全域生态城市发展新格局</w:t>
          </w:r>
          <w:r>
            <w:rPr>
              <w:rStyle w:val="24"/>
              <w:rFonts w:hint="eastAsia" w:ascii="Times New Roman" w:hAnsi="Times New Roman" w:eastAsia="黑体"/>
              <w:sz w:val="24"/>
              <w:szCs w:val="28"/>
            </w:rPr>
            <w:tab/>
          </w:r>
          <w:r>
            <w:rPr>
              <w:rStyle w:val="24"/>
              <w:rFonts w:hint="eastAsia" w:ascii="Times New Roman" w:hAnsi="Times New Roman" w:eastAsia="黑体"/>
              <w:sz w:val="24"/>
              <w:szCs w:val="28"/>
            </w:rPr>
            <w:fldChar w:fldCharType="begin"/>
          </w:r>
          <w:r>
            <w:rPr>
              <w:rStyle w:val="24"/>
              <w:rFonts w:hint="eastAsia" w:ascii="Times New Roman" w:hAnsi="Times New Roman" w:eastAsia="黑体"/>
              <w:sz w:val="24"/>
              <w:szCs w:val="28"/>
            </w:rPr>
            <w:instrText xml:space="preserve"> PAGEREF _Toc198247195 \h </w:instrText>
          </w:r>
          <w:r>
            <w:rPr>
              <w:rStyle w:val="24"/>
              <w:rFonts w:hint="eastAsia" w:ascii="Times New Roman" w:hAnsi="Times New Roman" w:eastAsia="黑体"/>
              <w:sz w:val="24"/>
              <w:szCs w:val="28"/>
            </w:rPr>
            <w:fldChar w:fldCharType="separate"/>
          </w:r>
          <w:r>
            <w:rPr>
              <w:rStyle w:val="24"/>
              <w:rFonts w:ascii="Times New Roman" w:hAnsi="Times New Roman" w:eastAsia="黑体"/>
              <w:sz w:val="24"/>
              <w:szCs w:val="28"/>
            </w:rPr>
            <w:t>16</w:t>
          </w:r>
          <w:r>
            <w:rPr>
              <w:rStyle w:val="24"/>
              <w:rFonts w:hint="eastAsia" w:ascii="Times New Roman" w:hAnsi="Times New Roman" w:eastAsia="黑体"/>
              <w:sz w:val="24"/>
              <w:szCs w:val="28"/>
            </w:rPr>
            <w:fldChar w:fldCharType="end"/>
          </w:r>
          <w:r>
            <w:rPr>
              <w:rStyle w:val="24"/>
              <w:rFonts w:hint="eastAsia" w:ascii="Times New Roman" w:hAnsi="Times New Roman" w:eastAsia="黑体"/>
              <w:sz w:val="24"/>
              <w:szCs w:val="28"/>
            </w:rPr>
            <w:fldChar w:fldCharType="end"/>
          </w:r>
        </w:p>
        <w:p w14:paraId="70552F53">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"_Toc198247196" </w:instrText>
          </w:r>
          <w:r>
            <w:fldChar w:fldCharType="separate"/>
          </w:r>
          <w:r>
            <w:rPr>
              <w:rStyle w:val="24"/>
              <w:rFonts w:hint="eastAsia" w:ascii="Times New Roman" w:hAnsi="Times New Roman" w:eastAsia="宋体"/>
              <w:sz w:val="24"/>
              <w:szCs w:val="28"/>
            </w:rPr>
            <w:t>第十二节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构筑“南承北启、西融东联”的区域协同格局</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_Toc198247196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16</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0F057220">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"_Toc198247197" </w:instrText>
          </w:r>
          <w:r>
            <w:fldChar w:fldCharType="separate"/>
          </w:r>
          <w:r>
            <w:rPr>
              <w:rStyle w:val="24"/>
              <w:rFonts w:hint="eastAsia" w:ascii="Times New Roman" w:hAnsi="Times New Roman" w:eastAsia="宋体"/>
              <w:sz w:val="24"/>
              <w:szCs w:val="28"/>
            </w:rPr>
            <w:t>第十三节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打造“三足鼎立、簇群发展”的县域城镇化新格局</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_Toc198247197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17</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5EF7E98C">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"_Toc198247199" </w:instrText>
          </w:r>
          <w:r>
            <w:fldChar w:fldCharType="separate"/>
          </w:r>
          <w:r>
            <w:rPr>
              <w:rStyle w:val="24"/>
              <w:rFonts w:hint="eastAsia" w:ascii="Times New Roman" w:hAnsi="Times New Roman" w:eastAsia="宋体"/>
              <w:sz w:val="24"/>
              <w:szCs w:val="28"/>
            </w:rPr>
            <w:t>第十四节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构建“蓝绿交织、生态组团式”城市空间格局</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_Toc198247199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19</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67C79B57">
          <w:pPr>
            <w:pStyle w:val="16"/>
            <w:tabs>
              <w:tab w:val="right" w:leader="dot" w:pos="8296"/>
            </w:tabs>
            <w:spacing w:line="400" w:lineRule="exact"/>
            <w:rPr>
              <w:rFonts w:hint="eastAsia" w:ascii="Times New Roman" w:hAnsi="Times New Roman"/>
              <w:sz w:val="22"/>
              <w:szCs w:val="24"/>
            </w:rPr>
          </w:pPr>
          <w:r>
            <w:fldChar w:fldCharType="begin"/>
          </w:r>
          <w:r>
            <w:instrText xml:space="preserve"> HYPERLINK \l "_Toc198247200" </w:instrText>
          </w:r>
          <w:r>
            <w:fldChar w:fldCharType="separate"/>
          </w:r>
          <w:r>
            <w:rPr>
              <w:rStyle w:val="24"/>
              <w:rFonts w:hint="eastAsia" w:ascii="Times New Roman" w:hAnsi="Times New Roman" w:eastAsia="宋体"/>
              <w:sz w:val="24"/>
              <w:szCs w:val="28"/>
            </w:rPr>
            <w:t>第十五节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加强“空间布局优、底线约束强”的全域国土用途管制</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_Toc198247200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19</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6F9F3FA1">
          <w:pPr>
            <w:pStyle w:val="14"/>
            <w:tabs>
              <w:tab w:val="right" w:leader="dot" w:pos="8296"/>
            </w:tabs>
            <w:spacing w:line="400" w:lineRule="exact"/>
            <w:rPr>
              <w:rFonts w:hint="eastAsia" w:ascii="Times New Roman" w:hAnsi="Times New Roman"/>
              <w:sz w:val="22"/>
              <w:szCs w:val="24"/>
            </w:rPr>
          </w:pPr>
          <w:r>
            <w:fldChar w:fldCharType="begin"/>
          </w:r>
          <w:r>
            <w:instrText xml:space="preserve"> HYPERLINK \l "_Toc198247201" </w:instrText>
          </w:r>
          <w:r>
            <w:fldChar w:fldCharType="separate"/>
          </w:r>
          <w:r>
            <w:rPr>
              <w:rStyle w:val="24"/>
              <w:rFonts w:hint="eastAsia" w:ascii="Times New Roman" w:hAnsi="Times New Roman" w:eastAsia="黑体"/>
              <w:sz w:val="24"/>
              <w:szCs w:val="28"/>
            </w:rPr>
            <w:t>第五章</w:t>
          </w:r>
          <w:r>
            <w:rPr>
              <w:rStyle w:val="24"/>
              <w:rFonts w:ascii="Times New Roman" w:hAnsi="Times New Roman" w:eastAsia="黑体"/>
              <w:sz w:val="24"/>
              <w:szCs w:val="28"/>
            </w:rPr>
            <w:t xml:space="preserve"> </w:t>
          </w:r>
          <w:r>
            <w:rPr>
              <w:rStyle w:val="24"/>
              <w:rFonts w:hint="eastAsia" w:ascii="Times New Roman" w:hAnsi="Times New Roman" w:eastAsia="黑体"/>
              <w:sz w:val="24"/>
              <w:szCs w:val="28"/>
            </w:rPr>
            <w:t>打造珠江东岸创新产业新高地</w:t>
          </w:r>
          <w:r>
            <w:rPr>
              <w:rStyle w:val="24"/>
              <w:rFonts w:hint="eastAsia" w:ascii="Times New Roman" w:hAnsi="Times New Roman" w:eastAsia="黑体"/>
              <w:sz w:val="24"/>
              <w:szCs w:val="28"/>
            </w:rPr>
            <w:tab/>
          </w:r>
          <w:r>
            <w:rPr>
              <w:rStyle w:val="24"/>
              <w:rFonts w:hint="eastAsia" w:ascii="Times New Roman" w:hAnsi="Times New Roman" w:eastAsia="黑体"/>
              <w:sz w:val="24"/>
              <w:szCs w:val="28"/>
            </w:rPr>
            <w:fldChar w:fldCharType="begin"/>
          </w:r>
          <w:r>
            <w:rPr>
              <w:rStyle w:val="24"/>
              <w:rFonts w:hint="eastAsia" w:ascii="Times New Roman" w:hAnsi="Times New Roman" w:eastAsia="黑体"/>
              <w:sz w:val="24"/>
              <w:szCs w:val="28"/>
            </w:rPr>
            <w:instrText xml:space="preserve"> PAGEREF _Toc198247201 \h </w:instrText>
          </w:r>
          <w:r>
            <w:rPr>
              <w:rStyle w:val="24"/>
              <w:rFonts w:hint="eastAsia" w:ascii="Times New Roman" w:hAnsi="Times New Roman" w:eastAsia="黑体"/>
              <w:sz w:val="24"/>
              <w:szCs w:val="28"/>
            </w:rPr>
            <w:fldChar w:fldCharType="separate"/>
          </w:r>
          <w:r>
            <w:rPr>
              <w:rStyle w:val="24"/>
              <w:rFonts w:ascii="Times New Roman" w:hAnsi="Times New Roman" w:eastAsia="黑体"/>
              <w:sz w:val="24"/>
              <w:szCs w:val="28"/>
            </w:rPr>
            <w:t>22</w:t>
          </w:r>
          <w:r>
            <w:rPr>
              <w:rStyle w:val="24"/>
              <w:rFonts w:hint="eastAsia" w:ascii="Times New Roman" w:hAnsi="Times New Roman" w:eastAsia="黑体"/>
              <w:sz w:val="24"/>
              <w:szCs w:val="28"/>
            </w:rPr>
            <w:fldChar w:fldCharType="end"/>
          </w:r>
          <w:r>
            <w:rPr>
              <w:rStyle w:val="24"/>
              <w:rFonts w:hint="eastAsia" w:ascii="Times New Roman" w:hAnsi="Times New Roman" w:eastAsia="黑体"/>
              <w:sz w:val="24"/>
              <w:szCs w:val="28"/>
            </w:rPr>
            <w:fldChar w:fldCharType="end"/>
          </w:r>
        </w:p>
        <w:p w14:paraId="4B58FA53">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"_Toc198247202" </w:instrText>
          </w:r>
          <w:r>
            <w:fldChar w:fldCharType="separate"/>
          </w:r>
          <w:r>
            <w:rPr>
              <w:rStyle w:val="24"/>
              <w:rFonts w:hint="eastAsia" w:ascii="Times New Roman" w:hAnsi="Times New Roman" w:eastAsia="宋体"/>
              <w:sz w:val="24"/>
              <w:szCs w:val="28"/>
            </w:rPr>
            <w:t>第十六节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培育创新引领的先进制造业产业集群</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_Toc198247202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22</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2F881F4A">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"_Toc198247205" </w:instrText>
          </w:r>
          <w:r>
            <w:fldChar w:fldCharType="separate"/>
          </w:r>
          <w:r>
            <w:rPr>
              <w:rStyle w:val="24"/>
              <w:rFonts w:hint="eastAsia" w:ascii="Times New Roman" w:hAnsi="Times New Roman" w:eastAsia="宋体"/>
              <w:sz w:val="24"/>
              <w:szCs w:val="28"/>
            </w:rPr>
            <w:t>第十七节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打造环“南昆山—罗浮山”引领区生产性服务业集聚中心</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_Toc198247205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24</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14252B42">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"_Toc198247208" </w:instrText>
          </w:r>
          <w:r>
            <w:fldChar w:fldCharType="separate"/>
          </w:r>
          <w:r>
            <w:rPr>
              <w:rStyle w:val="24"/>
              <w:rFonts w:hint="eastAsia" w:ascii="Times New Roman" w:hAnsi="Times New Roman" w:eastAsia="宋体"/>
              <w:sz w:val="24"/>
              <w:szCs w:val="28"/>
            </w:rPr>
            <w:t>第十八节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建设珠江东岸现代都市农业新高地</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_Toc198247208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26</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70F9407D">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"_Toc198247209" </w:instrText>
          </w:r>
          <w:r>
            <w:fldChar w:fldCharType="separate"/>
          </w:r>
          <w:r>
            <w:rPr>
              <w:rStyle w:val="24"/>
              <w:rFonts w:hint="eastAsia" w:ascii="Times New Roman" w:hAnsi="Times New Roman" w:eastAsia="宋体"/>
              <w:sz w:val="24"/>
              <w:szCs w:val="28"/>
            </w:rPr>
            <w:t>第十九节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前瞻布局未来产业和科创成果转化中试集聚区</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_Toc198247209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27</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252C007C">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"_Toc198247211" </w:instrText>
          </w:r>
          <w:r>
            <w:fldChar w:fldCharType="separate"/>
          </w:r>
          <w:r>
            <w:rPr>
              <w:rStyle w:val="24"/>
              <w:rFonts w:hint="eastAsia" w:ascii="Times New Roman" w:hAnsi="Times New Roman" w:eastAsia="宋体"/>
              <w:sz w:val="24"/>
              <w:szCs w:val="28"/>
            </w:rPr>
            <w:t>第二十节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构建独具特色的区域性消费中心</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_Toc198247211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28</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241B5F4E">
          <w:pPr>
            <w:pStyle w:val="16"/>
            <w:tabs>
              <w:tab w:val="right" w:leader="dot" w:pos="8296"/>
            </w:tabs>
            <w:spacing w:line="400" w:lineRule="exact"/>
            <w:rPr>
              <w:rFonts w:hint="eastAsia" w:ascii="Times New Roman" w:hAnsi="Times New Roman"/>
              <w:sz w:val="22"/>
              <w:szCs w:val="24"/>
            </w:rPr>
          </w:pPr>
          <w:r>
            <w:fldChar w:fldCharType="begin"/>
          </w:r>
          <w:r>
            <w:instrText xml:space="preserve"> HYPERLINK \l "_Toc198247212" </w:instrText>
          </w:r>
          <w:r>
            <w:fldChar w:fldCharType="separate"/>
          </w:r>
          <w:r>
            <w:rPr>
              <w:rStyle w:val="24"/>
              <w:rFonts w:hint="eastAsia" w:ascii="Times New Roman" w:hAnsi="Times New Roman" w:eastAsia="宋体"/>
              <w:sz w:val="24"/>
              <w:szCs w:val="28"/>
            </w:rPr>
            <w:t>第二十一节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构筑“内软外新、</w:t>
          </w:r>
          <w:r>
            <w:rPr>
              <w:rStyle w:val="24"/>
              <w:rFonts w:ascii="Times New Roman" w:hAnsi="Times New Roman" w:eastAsia="宋体"/>
              <w:sz w:val="24"/>
              <w:szCs w:val="28"/>
            </w:rPr>
            <w:t>U</w:t>
          </w:r>
          <w:r>
            <w:rPr>
              <w:rStyle w:val="24"/>
              <w:rFonts w:hint="eastAsia" w:ascii="Times New Roman" w:hAnsi="Times New Roman" w:eastAsia="宋体"/>
              <w:sz w:val="24"/>
              <w:szCs w:val="28"/>
            </w:rPr>
            <w:t>型集聚”产业空间布局</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_Toc198247212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30</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4923E709">
          <w:pPr>
            <w:pStyle w:val="14"/>
            <w:tabs>
              <w:tab w:val="right" w:leader="dot" w:pos="8296"/>
            </w:tabs>
            <w:spacing w:line="400" w:lineRule="exact"/>
            <w:rPr>
              <w:rFonts w:hint="eastAsia" w:ascii="Times New Roman" w:hAnsi="Times New Roman"/>
              <w:sz w:val="22"/>
              <w:szCs w:val="24"/>
            </w:rPr>
          </w:pPr>
          <w:r>
            <w:fldChar w:fldCharType="begin"/>
          </w:r>
          <w:r>
            <w:instrText xml:space="preserve"> HYPERLINK \l "_Toc198247213" </w:instrText>
          </w:r>
          <w:r>
            <w:fldChar w:fldCharType="separate"/>
          </w:r>
          <w:r>
            <w:rPr>
              <w:rStyle w:val="24"/>
              <w:rFonts w:hint="eastAsia" w:ascii="Times New Roman" w:hAnsi="Times New Roman" w:eastAsia="黑体"/>
              <w:sz w:val="24"/>
              <w:szCs w:val="28"/>
            </w:rPr>
            <w:t>第六章</w:t>
          </w:r>
          <w:r>
            <w:rPr>
              <w:rStyle w:val="24"/>
              <w:rFonts w:ascii="Times New Roman" w:hAnsi="Times New Roman" w:eastAsia="黑体"/>
              <w:sz w:val="24"/>
              <w:szCs w:val="28"/>
            </w:rPr>
            <w:t xml:space="preserve"> </w:t>
          </w:r>
          <w:r>
            <w:rPr>
              <w:rStyle w:val="24"/>
              <w:rFonts w:hint="eastAsia" w:ascii="Times New Roman" w:hAnsi="Times New Roman" w:eastAsia="黑体"/>
              <w:sz w:val="24"/>
              <w:szCs w:val="28"/>
            </w:rPr>
            <w:t>建设城乡共同繁荣高质量发展新设施</w:t>
          </w:r>
          <w:r>
            <w:rPr>
              <w:rStyle w:val="24"/>
              <w:rFonts w:hint="eastAsia" w:ascii="Times New Roman" w:hAnsi="Times New Roman" w:eastAsia="黑体"/>
              <w:sz w:val="24"/>
              <w:szCs w:val="28"/>
            </w:rPr>
            <w:tab/>
          </w:r>
          <w:r>
            <w:rPr>
              <w:rStyle w:val="24"/>
              <w:rFonts w:hint="eastAsia" w:ascii="Times New Roman" w:hAnsi="Times New Roman" w:eastAsia="黑体"/>
              <w:sz w:val="24"/>
              <w:szCs w:val="28"/>
            </w:rPr>
            <w:fldChar w:fldCharType="begin"/>
          </w:r>
          <w:r>
            <w:rPr>
              <w:rStyle w:val="24"/>
              <w:rFonts w:hint="eastAsia" w:ascii="Times New Roman" w:hAnsi="Times New Roman" w:eastAsia="黑体"/>
              <w:sz w:val="24"/>
              <w:szCs w:val="28"/>
            </w:rPr>
            <w:instrText xml:space="preserve"> PAGEREF _Toc198247213 \h </w:instrText>
          </w:r>
          <w:r>
            <w:rPr>
              <w:rStyle w:val="24"/>
              <w:rFonts w:hint="eastAsia" w:ascii="Times New Roman" w:hAnsi="Times New Roman" w:eastAsia="黑体"/>
              <w:sz w:val="24"/>
              <w:szCs w:val="28"/>
            </w:rPr>
            <w:fldChar w:fldCharType="separate"/>
          </w:r>
          <w:r>
            <w:rPr>
              <w:rStyle w:val="24"/>
              <w:rFonts w:ascii="Times New Roman" w:hAnsi="Times New Roman" w:eastAsia="黑体"/>
              <w:sz w:val="24"/>
              <w:szCs w:val="28"/>
            </w:rPr>
            <w:t>31</w:t>
          </w:r>
          <w:r>
            <w:rPr>
              <w:rStyle w:val="24"/>
              <w:rFonts w:hint="eastAsia" w:ascii="Times New Roman" w:hAnsi="Times New Roman" w:eastAsia="黑体"/>
              <w:sz w:val="24"/>
              <w:szCs w:val="28"/>
            </w:rPr>
            <w:fldChar w:fldCharType="end"/>
          </w:r>
          <w:r>
            <w:rPr>
              <w:rStyle w:val="24"/>
              <w:rFonts w:hint="eastAsia" w:ascii="Times New Roman" w:hAnsi="Times New Roman" w:eastAsia="黑体"/>
              <w:sz w:val="24"/>
              <w:szCs w:val="28"/>
            </w:rPr>
            <w:fldChar w:fldCharType="end"/>
          </w:r>
        </w:p>
        <w:p w14:paraId="01632ADA">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"_Toc198247214" </w:instrText>
          </w:r>
          <w:r>
            <w:fldChar w:fldCharType="separate"/>
          </w:r>
          <w:r>
            <w:rPr>
              <w:rStyle w:val="24"/>
              <w:rFonts w:hint="eastAsia" w:ascii="Times New Roman" w:hAnsi="Times New Roman" w:eastAsia="宋体"/>
              <w:sz w:val="24"/>
              <w:szCs w:val="28"/>
            </w:rPr>
            <w:t>第二十二节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完善住有宜居、职住平衡的美好城市</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_Toc198247214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31</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546F93DB">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"_Toc198247216" </w:instrText>
          </w:r>
          <w:r>
            <w:fldChar w:fldCharType="separate"/>
          </w:r>
          <w:r>
            <w:rPr>
              <w:rStyle w:val="24"/>
              <w:rFonts w:hint="eastAsia" w:ascii="Times New Roman" w:hAnsi="Times New Roman" w:eastAsia="宋体"/>
              <w:sz w:val="24"/>
              <w:szCs w:val="28"/>
            </w:rPr>
            <w:t>第二十三节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建设全龄友好、触手可及的幸福城市</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_Toc198247216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32</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57882E45">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"_Toc198247241" </w:instrText>
          </w:r>
          <w:r>
            <w:fldChar w:fldCharType="separate"/>
          </w:r>
          <w:r>
            <w:rPr>
              <w:rStyle w:val="24"/>
              <w:rFonts w:hint="eastAsia" w:ascii="Times New Roman" w:hAnsi="Times New Roman" w:eastAsia="宋体"/>
              <w:sz w:val="24"/>
              <w:szCs w:val="28"/>
            </w:rPr>
            <w:t>第二十四节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完善智慧高效、环境永续的绿色城市</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_Toc198247241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37</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1E640015">
          <w:pPr>
            <w:pStyle w:val="16"/>
            <w:tabs>
              <w:tab w:val="right" w:leader="dot" w:pos="8296"/>
            </w:tabs>
            <w:spacing w:line="400" w:lineRule="exact"/>
            <w:rPr>
              <w:rFonts w:hint="eastAsia" w:ascii="Times New Roman" w:hAnsi="Times New Roman"/>
              <w:sz w:val="22"/>
              <w:szCs w:val="24"/>
            </w:rPr>
          </w:pPr>
          <w:r>
            <w:fldChar w:fldCharType="begin"/>
          </w:r>
          <w:r>
            <w:instrText xml:space="preserve"> HYPERLINK \l "_Toc198247242" </w:instrText>
          </w:r>
          <w:r>
            <w:fldChar w:fldCharType="separate"/>
          </w:r>
          <w:r>
            <w:rPr>
              <w:rStyle w:val="24"/>
              <w:rFonts w:hint="eastAsia" w:ascii="Times New Roman" w:hAnsi="Times New Roman" w:eastAsia="宋体"/>
              <w:sz w:val="24"/>
              <w:szCs w:val="28"/>
            </w:rPr>
            <w:t>第二十五节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完善韧性稳固、健康和谐的安全城市</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_Toc198247242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39</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7D63F87F">
          <w:pPr>
            <w:pStyle w:val="14"/>
            <w:tabs>
              <w:tab w:val="right" w:leader="dot" w:pos="8296"/>
            </w:tabs>
            <w:spacing w:line="400" w:lineRule="exact"/>
            <w:rPr>
              <w:rFonts w:hint="eastAsia" w:ascii="Times New Roman" w:hAnsi="Times New Roman"/>
              <w:sz w:val="22"/>
              <w:szCs w:val="24"/>
            </w:rPr>
          </w:pPr>
          <w:r>
            <w:fldChar w:fldCharType="begin"/>
          </w:r>
          <w:r>
            <w:instrText xml:space="preserve"> HYPERLINK \l "_Toc198247243" </w:instrText>
          </w:r>
          <w:r>
            <w:fldChar w:fldCharType="separate"/>
          </w:r>
          <w:r>
            <w:rPr>
              <w:rStyle w:val="24"/>
              <w:rFonts w:hint="eastAsia" w:ascii="Times New Roman" w:hAnsi="Times New Roman" w:eastAsia="黑体"/>
              <w:sz w:val="24"/>
              <w:szCs w:val="28"/>
            </w:rPr>
            <w:t>第七章</w:t>
          </w:r>
          <w:r>
            <w:rPr>
              <w:rStyle w:val="24"/>
              <w:rFonts w:ascii="Times New Roman" w:hAnsi="Times New Roman" w:eastAsia="黑体"/>
              <w:sz w:val="24"/>
              <w:szCs w:val="28"/>
            </w:rPr>
            <w:t xml:space="preserve"> </w:t>
          </w:r>
          <w:r>
            <w:rPr>
              <w:rStyle w:val="24"/>
              <w:rFonts w:hint="eastAsia" w:ascii="Times New Roman" w:hAnsi="Times New Roman" w:eastAsia="黑体"/>
              <w:sz w:val="24"/>
              <w:szCs w:val="28"/>
            </w:rPr>
            <w:t>构建要素畅通多向衔接开放新通道</w:t>
          </w:r>
          <w:r>
            <w:rPr>
              <w:rStyle w:val="24"/>
              <w:rFonts w:hint="eastAsia" w:ascii="Times New Roman" w:hAnsi="Times New Roman" w:eastAsia="黑体"/>
              <w:sz w:val="24"/>
              <w:szCs w:val="28"/>
            </w:rPr>
            <w:tab/>
          </w:r>
          <w:r>
            <w:rPr>
              <w:rStyle w:val="24"/>
              <w:rFonts w:hint="eastAsia" w:ascii="Times New Roman" w:hAnsi="Times New Roman" w:eastAsia="黑体"/>
              <w:sz w:val="24"/>
              <w:szCs w:val="28"/>
            </w:rPr>
            <w:fldChar w:fldCharType="begin"/>
          </w:r>
          <w:r>
            <w:rPr>
              <w:rStyle w:val="24"/>
              <w:rFonts w:hint="eastAsia" w:ascii="Times New Roman" w:hAnsi="Times New Roman" w:eastAsia="黑体"/>
              <w:sz w:val="24"/>
              <w:szCs w:val="28"/>
            </w:rPr>
            <w:instrText xml:space="preserve"> PAGEREF _Toc198247243 \h </w:instrText>
          </w:r>
          <w:r>
            <w:rPr>
              <w:rStyle w:val="24"/>
              <w:rFonts w:hint="eastAsia" w:ascii="Times New Roman" w:hAnsi="Times New Roman" w:eastAsia="黑体"/>
              <w:sz w:val="24"/>
              <w:szCs w:val="28"/>
            </w:rPr>
            <w:fldChar w:fldCharType="separate"/>
          </w:r>
          <w:r>
            <w:rPr>
              <w:rStyle w:val="24"/>
              <w:rFonts w:ascii="Times New Roman" w:hAnsi="Times New Roman" w:eastAsia="黑体"/>
              <w:sz w:val="24"/>
              <w:szCs w:val="28"/>
            </w:rPr>
            <w:t>42</w:t>
          </w:r>
          <w:r>
            <w:rPr>
              <w:rStyle w:val="24"/>
              <w:rFonts w:hint="eastAsia" w:ascii="Times New Roman" w:hAnsi="Times New Roman" w:eastAsia="黑体"/>
              <w:sz w:val="24"/>
              <w:szCs w:val="28"/>
            </w:rPr>
            <w:fldChar w:fldCharType="end"/>
          </w:r>
          <w:r>
            <w:rPr>
              <w:rStyle w:val="24"/>
              <w:rFonts w:hint="eastAsia" w:ascii="Times New Roman" w:hAnsi="Times New Roman" w:eastAsia="黑体"/>
              <w:sz w:val="24"/>
              <w:szCs w:val="28"/>
            </w:rPr>
            <w:fldChar w:fldCharType="end"/>
          </w:r>
        </w:p>
        <w:p w14:paraId="7F411C4A">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"_Toc198247244" </w:instrText>
          </w:r>
          <w:r>
            <w:fldChar w:fldCharType="separate"/>
          </w:r>
          <w:r>
            <w:rPr>
              <w:rStyle w:val="24"/>
              <w:rFonts w:hint="eastAsia" w:ascii="Times New Roman" w:hAnsi="Times New Roman" w:eastAsia="宋体"/>
              <w:sz w:val="24"/>
              <w:szCs w:val="28"/>
            </w:rPr>
            <w:t>第二十六节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打造链接全球、直通全国的枢纽门户</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_Toc198247244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42</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7FE74255">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"_Toc198247245" </w:instrText>
          </w:r>
          <w:r>
            <w:fldChar w:fldCharType="separate"/>
          </w:r>
          <w:r>
            <w:rPr>
              <w:rStyle w:val="24"/>
              <w:rFonts w:hint="eastAsia" w:ascii="Times New Roman" w:hAnsi="Times New Roman" w:eastAsia="宋体"/>
              <w:sz w:val="24"/>
              <w:szCs w:val="28"/>
            </w:rPr>
            <w:t>第二十七节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畅通跨界共享、区域协同的开放通道</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_Toc198247245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44</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65E8B608">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"_Toc198247246" </w:instrText>
          </w:r>
          <w:r>
            <w:fldChar w:fldCharType="separate"/>
          </w:r>
          <w:r>
            <w:rPr>
              <w:rStyle w:val="24"/>
              <w:rFonts w:hint="eastAsia" w:ascii="Times New Roman" w:hAnsi="Times New Roman" w:eastAsia="宋体"/>
              <w:sz w:val="24"/>
              <w:szCs w:val="28"/>
            </w:rPr>
            <w:t>第二十八节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建设活力开放、高效便捷的城市交通</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_Toc198247246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45</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2B9C3430">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"_Toc198247247" </w:instrText>
          </w:r>
          <w:r>
            <w:fldChar w:fldCharType="separate"/>
          </w:r>
          <w:r>
            <w:rPr>
              <w:rStyle w:val="24"/>
              <w:rFonts w:hint="eastAsia" w:ascii="Times New Roman" w:hAnsi="Times New Roman" w:eastAsia="宋体"/>
              <w:sz w:val="24"/>
              <w:szCs w:val="28"/>
            </w:rPr>
            <w:t>第二十九节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构建干支结合、多元复合的公交体系</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_Toc198247247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47</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228AE2C4">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"_Toc198247248" </w:instrText>
          </w:r>
          <w:r>
            <w:fldChar w:fldCharType="separate"/>
          </w:r>
          <w:r>
            <w:rPr>
              <w:rStyle w:val="24"/>
              <w:rFonts w:hint="eastAsia" w:ascii="Times New Roman" w:hAnsi="Times New Roman" w:eastAsia="宋体"/>
              <w:sz w:val="24"/>
              <w:szCs w:val="28"/>
            </w:rPr>
            <w:t>第三十节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构筑环城串绿、城野交融的游憩系统</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_Toc198247248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48</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452A3E10">
          <w:pPr>
            <w:pStyle w:val="16"/>
            <w:tabs>
              <w:tab w:val="right" w:leader="dot" w:pos="8296"/>
            </w:tabs>
            <w:spacing w:line="400" w:lineRule="exact"/>
            <w:rPr>
              <w:rFonts w:hint="eastAsia" w:ascii="Times New Roman" w:hAnsi="Times New Roman"/>
              <w:sz w:val="22"/>
              <w:szCs w:val="24"/>
            </w:rPr>
          </w:pPr>
          <w:r>
            <w:fldChar w:fldCharType="begin"/>
          </w:r>
          <w:r>
            <w:instrText xml:space="preserve"> HYPERLINK \l "_Toc198247249" </w:instrText>
          </w:r>
          <w:r>
            <w:fldChar w:fldCharType="separate"/>
          </w:r>
          <w:r>
            <w:rPr>
              <w:rStyle w:val="24"/>
              <w:rFonts w:hint="eastAsia" w:ascii="Times New Roman" w:hAnsi="Times New Roman" w:eastAsia="宋体"/>
              <w:sz w:val="24"/>
              <w:szCs w:val="28"/>
            </w:rPr>
            <w:t>第三十一节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提升换乘便捷、品质出行的交通服务</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_Toc198247249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49</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009BC2E2">
          <w:pPr>
            <w:pStyle w:val="14"/>
            <w:tabs>
              <w:tab w:val="right" w:leader="dot" w:pos="8296"/>
            </w:tabs>
            <w:spacing w:line="400" w:lineRule="exact"/>
            <w:rPr>
              <w:rFonts w:hint="eastAsia" w:ascii="Times New Roman" w:hAnsi="Times New Roman"/>
              <w:sz w:val="22"/>
              <w:szCs w:val="24"/>
            </w:rPr>
          </w:pPr>
          <w:r>
            <w:fldChar w:fldCharType="begin"/>
          </w:r>
          <w:r>
            <w:instrText xml:space="preserve"> HYPERLINK \l "_Toc198247250" </w:instrText>
          </w:r>
          <w:r>
            <w:fldChar w:fldCharType="separate"/>
          </w:r>
          <w:r>
            <w:rPr>
              <w:rStyle w:val="24"/>
              <w:rFonts w:hint="eastAsia" w:ascii="Times New Roman" w:hAnsi="Times New Roman" w:eastAsia="黑体"/>
              <w:sz w:val="24"/>
              <w:szCs w:val="28"/>
            </w:rPr>
            <w:t>第八章</w:t>
          </w:r>
          <w:r>
            <w:rPr>
              <w:rStyle w:val="24"/>
              <w:rFonts w:ascii="Times New Roman" w:hAnsi="Times New Roman" w:eastAsia="黑体"/>
              <w:sz w:val="24"/>
              <w:szCs w:val="28"/>
            </w:rPr>
            <w:t xml:space="preserve"> </w:t>
          </w:r>
          <w:r>
            <w:rPr>
              <w:rStyle w:val="24"/>
              <w:rFonts w:hint="eastAsia" w:ascii="Times New Roman" w:hAnsi="Times New Roman" w:eastAsia="黑体"/>
              <w:sz w:val="24"/>
              <w:szCs w:val="28"/>
            </w:rPr>
            <w:t>塑造罗浮风格岭南特色镇村新风貌</w:t>
          </w:r>
          <w:r>
            <w:rPr>
              <w:rStyle w:val="24"/>
              <w:rFonts w:hint="eastAsia" w:ascii="Times New Roman" w:hAnsi="Times New Roman" w:eastAsia="黑体"/>
              <w:sz w:val="24"/>
              <w:szCs w:val="28"/>
            </w:rPr>
            <w:tab/>
          </w:r>
          <w:r>
            <w:rPr>
              <w:rStyle w:val="24"/>
              <w:rFonts w:hint="eastAsia" w:ascii="Times New Roman" w:hAnsi="Times New Roman" w:eastAsia="黑体"/>
              <w:sz w:val="24"/>
              <w:szCs w:val="28"/>
            </w:rPr>
            <w:fldChar w:fldCharType="begin"/>
          </w:r>
          <w:r>
            <w:rPr>
              <w:rStyle w:val="24"/>
              <w:rFonts w:hint="eastAsia" w:ascii="Times New Roman" w:hAnsi="Times New Roman" w:eastAsia="黑体"/>
              <w:sz w:val="24"/>
              <w:szCs w:val="28"/>
            </w:rPr>
            <w:instrText xml:space="preserve"> PAGEREF _Toc198247250 \h </w:instrText>
          </w:r>
          <w:r>
            <w:rPr>
              <w:rStyle w:val="24"/>
              <w:rFonts w:hint="eastAsia" w:ascii="Times New Roman" w:hAnsi="Times New Roman" w:eastAsia="黑体"/>
              <w:sz w:val="24"/>
              <w:szCs w:val="28"/>
            </w:rPr>
            <w:fldChar w:fldCharType="separate"/>
          </w:r>
          <w:r>
            <w:rPr>
              <w:rStyle w:val="24"/>
              <w:rFonts w:ascii="Times New Roman" w:hAnsi="Times New Roman" w:eastAsia="黑体"/>
              <w:sz w:val="24"/>
              <w:szCs w:val="28"/>
            </w:rPr>
            <w:t>51</w:t>
          </w:r>
          <w:r>
            <w:rPr>
              <w:rStyle w:val="24"/>
              <w:rFonts w:hint="eastAsia" w:ascii="Times New Roman" w:hAnsi="Times New Roman" w:eastAsia="黑体"/>
              <w:sz w:val="24"/>
              <w:szCs w:val="28"/>
            </w:rPr>
            <w:fldChar w:fldCharType="end"/>
          </w:r>
          <w:r>
            <w:rPr>
              <w:rStyle w:val="24"/>
              <w:rFonts w:hint="eastAsia" w:ascii="Times New Roman" w:hAnsi="Times New Roman" w:eastAsia="黑体"/>
              <w:sz w:val="24"/>
              <w:szCs w:val="28"/>
            </w:rPr>
            <w:fldChar w:fldCharType="end"/>
          </w:r>
        </w:p>
        <w:p w14:paraId="72900E1F">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"_Toc198247251" </w:instrText>
          </w:r>
          <w:r>
            <w:fldChar w:fldCharType="separate"/>
          </w:r>
          <w:r>
            <w:rPr>
              <w:rStyle w:val="24"/>
              <w:rFonts w:hint="eastAsia" w:ascii="Times New Roman" w:hAnsi="Times New Roman" w:eastAsia="宋体"/>
              <w:sz w:val="24"/>
              <w:szCs w:val="28"/>
            </w:rPr>
            <w:t>第三十二节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加强历史文化保护传承</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_Toc198247251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51</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1B7ABA0B">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"_Toc198247258" </w:instrText>
          </w:r>
          <w:r>
            <w:fldChar w:fldCharType="separate"/>
          </w:r>
          <w:r>
            <w:rPr>
              <w:rStyle w:val="24"/>
              <w:rFonts w:hint="eastAsia" w:ascii="Times New Roman" w:hAnsi="Times New Roman" w:eastAsia="宋体"/>
              <w:sz w:val="24"/>
              <w:szCs w:val="28"/>
            </w:rPr>
            <w:t>第三十三节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推进绿美城市建设</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_Toc198247258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53</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4E4003E6">
          <w:pPr>
            <w:pStyle w:val="16"/>
            <w:tabs>
              <w:tab w:val="right" w:leader="dot" w:pos="8296"/>
            </w:tabs>
            <w:spacing w:line="400" w:lineRule="exact"/>
            <w:rPr>
              <w:rFonts w:hint="eastAsia" w:ascii="Times New Roman" w:hAnsi="Times New Roman"/>
              <w:sz w:val="22"/>
              <w:szCs w:val="24"/>
            </w:rPr>
          </w:pPr>
          <w:r>
            <w:fldChar w:fldCharType="begin"/>
          </w:r>
          <w:r>
            <w:instrText xml:space="preserve"> HYPERLINK \l "_Toc198247259" </w:instrText>
          </w:r>
          <w:r>
            <w:fldChar w:fldCharType="separate"/>
          </w:r>
          <w:r>
            <w:rPr>
              <w:rStyle w:val="24"/>
              <w:rFonts w:hint="eastAsia" w:ascii="Times New Roman" w:hAnsi="Times New Roman" w:eastAsia="宋体"/>
              <w:sz w:val="24"/>
              <w:szCs w:val="28"/>
            </w:rPr>
            <w:t>第三十四节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分类引导村庄发展</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_Toc198247259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56</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08E26879">
          <w:pPr>
            <w:pStyle w:val="14"/>
            <w:tabs>
              <w:tab w:val="right" w:leader="dot" w:pos="8296"/>
            </w:tabs>
            <w:spacing w:line="400" w:lineRule="exact"/>
            <w:rPr>
              <w:rFonts w:hint="eastAsia" w:ascii="Times New Roman" w:hAnsi="Times New Roman"/>
              <w:sz w:val="22"/>
              <w:szCs w:val="24"/>
            </w:rPr>
          </w:pPr>
          <w:r>
            <w:fldChar w:fldCharType="begin"/>
          </w:r>
          <w:r>
            <w:instrText xml:space="preserve"> HYPERLINK \l "_Toc198247260" </w:instrText>
          </w:r>
          <w:r>
            <w:fldChar w:fldCharType="separate"/>
          </w:r>
          <w:r>
            <w:rPr>
              <w:rStyle w:val="24"/>
              <w:rFonts w:hint="eastAsia" w:ascii="Times New Roman" w:hAnsi="Times New Roman" w:eastAsia="黑体"/>
              <w:sz w:val="24"/>
              <w:szCs w:val="28"/>
            </w:rPr>
            <w:t>第九章</w:t>
          </w:r>
          <w:r>
            <w:rPr>
              <w:rStyle w:val="24"/>
              <w:rFonts w:ascii="Times New Roman" w:hAnsi="Times New Roman" w:eastAsia="黑体"/>
              <w:sz w:val="24"/>
              <w:szCs w:val="28"/>
            </w:rPr>
            <w:t xml:space="preserve"> </w:t>
          </w:r>
          <w:r>
            <w:rPr>
              <w:rStyle w:val="24"/>
              <w:rFonts w:hint="eastAsia" w:ascii="Times New Roman" w:hAnsi="Times New Roman" w:eastAsia="黑体"/>
              <w:sz w:val="24"/>
              <w:szCs w:val="28"/>
            </w:rPr>
            <w:t>彰显现代社会美好生活治理新体系</w:t>
          </w:r>
          <w:r>
            <w:rPr>
              <w:rStyle w:val="24"/>
              <w:rFonts w:hint="eastAsia" w:ascii="Times New Roman" w:hAnsi="Times New Roman" w:eastAsia="黑体"/>
              <w:sz w:val="24"/>
              <w:szCs w:val="28"/>
            </w:rPr>
            <w:tab/>
          </w:r>
          <w:r>
            <w:rPr>
              <w:rStyle w:val="24"/>
              <w:rFonts w:hint="eastAsia" w:ascii="Times New Roman" w:hAnsi="Times New Roman" w:eastAsia="黑体"/>
              <w:sz w:val="24"/>
              <w:szCs w:val="28"/>
            </w:rPr>
            <w:fldChar w:fldCharType="begin"/>
          </w:r>
          <w:r>
            <w:rPr>
              <w:rStyle w:val="24"/>
              <w:rFonts w:hint="eastAsia" w:ascii="Times New Roman" w:hAnsi="Times New Roman" w:eastAsia="黑体"/>
              <w:sz w:val="24"/>
              <w:szCs w:val="28"/>
            </w:rPr>
            <w:instrText xml:space="preserve"> PAGEREF _Toc198247260 \h </w:instrText>
          </w:r>
          <w:r>
            <w:rPr>
              <w:rStyle w:val="24"/>
              <w:rFonts w:hint="eastAsia" w:ascii="Times New Roman" w:hAnsi="Times New Roman" w:eastAsia="黑体"/>
              <w:sz w:val="24"/>
              <w:szCs w:val="28"/>
            </w:rPr>
            <w:fldChar w:fldCharType="separate"/>
          </w:r>
          <w:r>
            <w:rPr>
              <w:rStyle w:val="24"/>
              <w:rFonts w:ascii="Times New Roman" w:hAnsi="Times New Roman" w:eastAsia="黑体"/>
              <w:sz w:val="24"/>
              <w:szCs w:val="28"/>
            </w:rPr>
            <w:t>59</w:t>
          </w:r>
          <w:r>
            <w:rPr>
              <w:rStyle w:val="24"/>
              <w:rFonts w:hint="eastAsia" w:ascii="Times New Roman" w:hAnsi="Times New Roman" w:eastAsia="黑体"/>
              <w:sz w:val="24"/>
              <w:szCs w:val="28"/>
            </w:rPr>
            <w:fldChar w:fldCharType="end"/>
          </w:r>
          <w:r>
            <w:rPr>
              <w:rStyle w:val="24"/>
              <w:rFonts w:hint="eastAsia" w:ascii="Times New Roman" w:hAnsi="Times New Roman" w:eastAsia="黑体"/>
              <w:sz w:val="24"/>
              <w:szCs w:val="28"/>
            </w:rPr>
            <w:fldChar w:fldCharType="end"/>
          </w:r>
        </w:p>
        <w:p w14:paraId="70CE9C3B">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"_Toc198247261" </w:instrText>
          </w:r>
          <w:r>
            <w:fldChar w:fldCharType="separate"/>
          </w:r>
          <w:r>
            <w:rPr>
              <w:rStyle w:val="24"/>
              <w:rFonts w:hint="eastAsia" w:ascii="Times New Roman" w:hAnsi="Times New Roman" w:eastAsia="宋体"/>
              <w:sz w:val="24"/>
              <w:szCs w:val="28"/>
            </w:rPr>
            <w:t>第三十五节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实施全域土地综合整治</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_Toc198247261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59</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414C7F11">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"_Toc198247262" </w:instrText>
          </w:r>
          <w:r>
            <w:fldChar w:fldCharType="separate"/>
          </w:r>
          <w:r>
            <w:rPr>
              <w:rStyle w:val="24"/>
              <w:rFonts w:hint="eastAsia" w:ascii="Times New Roman" w:hAnsi="Times New Roman" w:eastAsia="宋体"/>
              <w:sz w:val="24"/>
              <w:szCs w:val="28"/>
            </w:rPr>
            <w:t>第三十六节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加强生态保护与修复</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_Toc198247262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61</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2EB37DED">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"_Toc198247264" </w:instrText>
          </w:r>
          <w:r>
            <w:fldChar w:fldCharType="separate"/>
          </w:r>
          <w:r>
            <w:rPr>
              <w:rStyle w:val="24"/>
              <w:rFonts w:hint="eastAsia" w:ascii="Times New Roman" w:hAnsi="Times New Roman" w:eastAsia="宋体"/>
              <w:sz w:val="24"/>
              <w:szCs w:val="28"/>
            </w:rPr>
            <w:t>第三十七节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加快推进城市更新</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_Toc198247264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62</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36F2C344">
          <w:pPr>
            <w:pStyle w:val="16"/>
            <w:tabs>
              <w:tab w:val="right" w:leader="dot" w:pos="8296"/>
            </w:tabs>
            <w:spacing w:line="400" w:lineRule="exact"/>
            <w:rPr>
              <w:rFonts w:hint="eastAsia" w:ascii="Times New Roman" w:hAnsi="Times New Roman"/>
              <w:sz w:val="22"/>
              <w:szCs w:val="24"/>
            </w:rPr>
          </w:pPr>
          <w:r>
            <w:fldChar w:fldCharType="begin"/>
          </w:r>
          <w:r>
            <w:instrText xml:space="preserve"> HYPERLINK \l "_Toc198247265" </w:instrText>
          </w:r>
          <w:r>
            <w:fldChar w:fldCharType="separate"/>
          </w:r>
          <w:r>
            <w:rPr>
              <w:rStyle w:val="24"/>
              <w:rFonts w:hint="eastAsia" w:ascii="Times New Roman" w:hAnsi="Times New Roman" w:eastAsia="宋体"/>
              <w:sz w:val="24"/>
              <w:szCs w:val="28"/>
            </w:rPr>
            <w:t>第三十八节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提升城市治理水平</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_Toc198247265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62</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1A39DD33">
          <w:pPr>
            <w:pStyle w:val="14"/>
            <w:tabs>
              <w:tab w:val="right" w:leader="dot" w:pos="8296"/>
            </w:tabs>
            <w:spacing w:line="400" w:lineRule="exact"/>
            <w:rPr>
              <w:rFonts w:hint="eastAsia" w:ascii="Times New Roman" w:hAnsi="Times New Roman"/>
              <w:sz w:val="22"/>
              <w:szCs w:val="24"/>
            </w:rPr>
          </w:pPr>
          <w:r>
            <w:fldChar w:fldCharType="begin"/>
          </w:r>
          <w:r>
            <w:instrText xml:space="preserve"> HYPERLINK \l "_Toc198247266" </w:instrText>
          </w:r>
          <w:r>
            <w:fldChar w:fldCharType="separate"/>
          </w:r>
          <w:r>
            <w:rPr>
              <w:rStyle w:val="24"/>
              <w:rFonts w:hint="eastAsia" w:ascii="Times New Roman" w:hAnsi="Times New Roman" w:eastAsia="黑体"/>
              <w:sz w:val="24"/>
              <w:szCs w:val="28"/>
            </w:rPr>
            <w:t>第十章</w:t>
          </w:r>
          <w:r>
            <w:rPr>
              <w:rStyle w:val="24"/>
              <w:rFonts w:ascii="Times New Roman" w:hAnsi="Times New Roman" w:eastAsia="黑体"/>
              <w:sz w:val="24"/>
              <w:szCs w:val="28"/>
            </w:rPr>
            <w:t xml:space="preserve"> </w:t>
          </w:r>
          <w:r>
            <w:rPr>
              <w:rStyle w:val="24"/>
              <w:rFonts w:hint="eastAsia" w:ascii="Times New Roman" w:hAnsi="Times New Roman" w:eastAsia="黑体"/>
              <w:sz w:val="24"/>
              <w:szCs w:val="28"/>
            </w:rPr>
            <w:t>打造高能级大型产业集聚区</w:t>
          </w:r>
          <w:r>
            <w:rPr>
              <w:rStyle w:val="24"/>
              <w:rFonts w:hint="eastAsia" w:ascii="Times New Roman" w:hAnsi="Times New Roman" w:eastAsia="黑体"/>
              <w:sz w:val="24"/>
              <w:szCs w:val="28"/>
            </w:rPr>
            <w:tab/>
          </w:r>
          <w:r>
            <w:rPr>
              <w:rStyle w:val="24"/>
              <w:rFonts w:hint="eastAsia" w:ascii="Times New Roman" w:hAnsi="Times New Roman" w:eastAsia="黑体"/>
              <w:sz w:val="24"/>
              <w:szCs w:val="28"/>
            </w:rPr>
            <w:fldChar w:fldCharType="begin"/>
          </w:r>
          <w:r>
            <w:rPr>
              <w:rStyle w:val="24"/>
              <w:rFonts w:hint="eastAsia" w:ascii="Times New Roman" w:hAnsi="Times New Roman" w:eastAsia="黑体"/>
              <w:sz w:val="24"/>
              <w:szCs w:val="28"/>
            </w:rPr>
            <w:instrText xml:space="preserve"> PAGEREF _Toc198247266 \h </w:instrText>
          </w:r>
          <w:r>
            <w:rPr>
              <w:rStyle w:val="24"/>
              <w:rFonts w:hint="eastAsia" w:ascii="Times New Roman" w:hAnsi="Times New Roman" w:eastAsia="黑体"/>
              <w:sz w:val="24"/>
              <w:szCs w:val="28"/>
            </w:rPr>
            <w:fldChar w:fldCharType="separate"/>
          </w:r>
          <w:r>
            <w:rPr>
              <w:rStyle w:val="24"/>
              <w:rFonts w:ascii="Times New Roman" w:hAnsi="Times New Roman" w:eastAsia="黑体"/>
              <w:sz w:val="24"/>
              <w:szCs w:val="28"/>
            </w:rPr>
            <w:t>64</w:t>
          </w:r>
          <w:r>
            <w:rPr>
              <w:rStyle w:val="24"/>
              <w:rFonts w:hint="eastAsia" w:ascii="Times New Roman" w:hAnsi="Times New Roman" w:eastAsia="黑体"/>
              <w:sz w:val="24"/>
              <w:szCs w:val="28"/>
            </w:rPr>
            <w:fldChar w:fldCharType="end"/>
          </w:r>
          <w:r>
            <w:rPr>
              <w:rStyle w:val="24"/>
              <w:rFonts w:hint="eastAsia" w:ascii="Times New Roman" w:hAnsi="Times New Roman" w:eastAsia="黑体"/>
              <w:sz w:val="24"/>
              <w:szCs w:val="28"/>
            </w:rPr>
            <w:fldChar w:fldCharType="end"/>
          </w:r>
        </w:p>
        <w:p w14:paraId="38E7AAAB">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"_Toc198247267" </w:instrText>
          </w:r>
          <w:r>
            <w:fldChar w:fldCharType="separate"/>
          </w:r>
          <w:r>
            <w:rPr>
              <w:rStyle w:val="24"/>
              <w:rFonts w:hint="eastAsia" w:ascii="Times New Roman" w:hAnsi="Times New Roman" w:eastAsia="宋体"/>
              <w:sz w:val="24"/>
              <w:szCs w:val="28"/>
            </w:rPr>
            <w:t>第三十九节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集聚区目标定位</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_Toc198247267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64</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2A8B445B">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"_Toc198247268" </w:instrText>
          </w:r>
          <w:r>
            <w:fldChar w:fldCharType="separate"/>
          </w:r>
          <w:r>
            <w:rPr>
              <w:rStyle w:val="24"/>
              <w:rFonts w:hint="eastAsia" w:ascii="Times New Roman" w:hAnsi="Times New Roman" w:eastAsia="宋体"/>
              <w:sz w:val="24"/>
              <w:szCs w:val="28"/>
            </w:rPr>
            <w:t>第四十节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集聚区主导产业</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_Toc198247268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66</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3BCA0F8E">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"_Toc198247269" </w:instrText>
          </w:r>
          <w:r>
            <w:fldChar w:fldCharType="separate"/>
          </w:r>
          <w:r>
            <w:rPr>
              <w:rStyle w:val="24"/>
              <w:rFonts w:hint="eastAsia" w:ascii="Times New Roman" w:hAnsi="Times New Roman" w:eastAsia="宋体"/>
              <w:sz w:val="24"/>
              <w:szCs w:val="28"/>
            </w:rPr>
            <w:t>第四十一节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集聚区功能布局</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_Toc198247269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75</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51C392C7">
          <w:pPr>
            <w:pStyle w:val="16"/>
            <w:tabs>
              <w:tab w:val="right" w:leader="dot" w:pos="8296"/>
            </w:tabs>
            <w:spacing w:line="400" w:lineRule="exact"/>
            <w:rPr>
              <w:rFonts w:hint="eastAsia" w:ascii="Times New Roman" w:hAnsi="Times New Roman"/>
              <w:sz w:val="22"/>
              <w:szCs w:val="24"/>
            </w:rPr>
          </w:pPr>
          <w:r>
            <w:fldChar w:fldCharType="begin"/>
          </w:r>
          <w:r>
            <w:instrText xml:space="preserve"> HYPERLINK \l "_Toc198247270" </w:instrText>
          </w:r>
          <w:r>
            <w:fldChar w:fldCharType="separate"/>
          </w:r>
          <w:r>
            <w:rPr>
              <w:rStyle w:val="24"/>
              <w:rFonts w:hint="eastAsia" w:ascii="Times New Roman" w:hAnsi="Times New Roman" w:eastAsia="宋体"/>
              <w:sz w:val="24"/>
              <w:szCs w:val="28"/>
            </w:rPr>
            <w:t>第四十二节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集聚区近期建设重点</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_Toc198247270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76</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56E2AE1D">
          <w:pPr>
            <w:pStyle w:val="14"/>
            <w:tabs>
              <w:tab w:val="right" w:leader="dot" w:pos="8296"/>
            </w:tabs>
            <w:spacing w:line="400" w:lineRule="exact"/>
            <w:rPr>
              <w:rFonts w:hint="eastAsia" w:ascii="Times New Roman" w:hAnsi="Times New Roman"/>
              <w:sz w:val="22"/>
              <w:szCs w:val="24"/>
            </w:rPr>
          </w:pPr>
          <w:r>
            <w:fldChar w:fldCharType="begin"/>
          </w:r>
          <w:r>
            <w:instrText xml:space="preserve"> HYPERLINK \l "_Toc198247271" </w:instrText>
          </w:r>
          <w:r>
            <w:fldChar w:fldCharType="separate"/>
          </w:r>
          <w:r>
            <w:rPr>
              <w:rStyle w:val="24"/>
              <w:rFonts w:hint="eastAsia" w:ascii="Times New Roman" w:hAnsi="Times New Roman" w:eastAsia="黑体"/>
              <w:sz w:val="24"/>
              <w:szCs w:val="28"/>
            </w:rPr>
            <w:t>第十一章</w:t>
          </w:r>
          <w:r>
            <w:rPr>
              <w:rStyle w:val="24"/>
              <w:rFonts w:ascii="Times New Roman" w:hAnsi="Times New Roman" w:eastAsia="黑体"/>
              <w:sz w:val="24"/>
              <w:szCs w:val="28"/>
            </w:rPr>
            <w:t xml:space="preserve"> </w:t>
          </w:r>
          <w:r>
            <w:rPr>
              <w:rStyle w:val="24"/>
              <w:rFonts w:hint="eastAsia" w:ascii="Times New Roman" w:hAnsi="Times New Roman" w:eastAsia="黑体"/>
              <w:sz w:val="24"/>
              <w:szCs w:val="28"/>
            </w:rPr>
            <w:t>建设起步区生态智慧新城</w:t>
          </w:r>
          <w:r>
            <w:rPr>
              <w:rStyle w:val="24"/>
              <w:rFonts w:hint="eastAsia" w:ascii="Times New Roman" w:hAnsi="Times New Roman" w:eastAsia="黑体"/>
              <w:sz w:val="24"/>
              <w:szCs w:val="28"/>
            </w:rPr>
            <w:tab/>
          </w:r>
          <w:r>
            <w:rPr>
              <w:rStyle w:val="24"/>
              <w:rFonts w:hint="eastAsia" w:ascii="Times New Roman" w:hAnsi="Times New Roman" w:eastAsia="黑体"/>
              <w:sz w:val="24"/>
              <w:szCs w:val="28"/>
            </w:rPr>
            <w:fldChar w:fldCharType="begin"/>
          </w:r>
          <w:r>
            <w:rPr>
              <w:rStyle w:val="24"/>
              <w:rFonts w:hint="eastAsia" w:ascii="Times New Roman" w:hAnsi="Times New Roman" w:eastAsia="黑体"/>
              <w:sz w:val="24"/>
              <w:szCs w:val="28"/>
            </w:rPr>
            <w:instrText xml:space="preserve"> PAGEREF _Toc198247271 \h </w:instrText>
          </w:r>
          <w:r>
            <w:rPr>
              <w:rStyle w:val="24"/>
              <w:rFonts w:hint="eastAsia" w:ascii="Times New Roman" w:hAnsi="Times New Roman" w:eastAsia="黑体"/>
              <w:sz w:val="24"/>
              <w:szCs w:val="28"/>
            </w:rPr>
            <w:fldChar w:fldCharType="separate"/>
          </w:r>
          <w:r>
            <w:rPr>
              <w:rStyle w:val="24"/>
              <w:rFonts w:ascii="Times New Roman" w:hAnsi="Times New Roman" w:eastAsia="黑体"/>
              <w:sz w:val="24"/>
              <w:szCs w:val="28"/>
            </w:rPr>
            <w:t>78</w:t>
          </w:r>
          <w:r>
            <w:rPr>
              <w:rStyle w:val="24"/>
              <w:rFonts w:hint="eastAsia" w:ascii="Times New Roman" w:hAnsi="Times New Roman" w:eastAsia="黑体"/>
              <w:sz w:val="24"/>
              <w:szCs w:val="28"/>
            </w:rPr>
            <w:fldChar w:fldCharType="end"/>
          </w:r>
          <w:r>
            <w:rPr>
              <w:rStyle w:val="24"/>
              <w:rFonts w:hint="eastAsia" w:ascii="Times New Roman" w:hAnsi="Times New Roman" w:eastAsia="黑体"/>
              <w:sz w:val="24"/>
              <w:szCs w:val="28"/>
            </w:rPr>
            <w:fldChar w:fldCharType="end"/>
          </w:r>
        </w:p>
        <w:p w14:paraId="513E75DC">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"_Toc198247272" </w:instrText>
          </w:r>
          <w:r>
            <w:fldChar w:fldCharType="separate"/>
          </w:r>
          <w:r>
            <w:rPr>
              <w:rStyle w:val="24"/>
              <w:rFonts w:hint="eastAsia" w:ascii="Times New Roman" w:hAnsi="Times New Roman" w:eastAsia="宋体"/>
              <w:sz w:val="24"/>
              <w:szCs w:val="28"/>
            </w:rPr>
            <w:t>第四十三节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起步区目标愿景</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_Toc198247272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78</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643C6544">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"_Toc198247274" </w:instrText>
          </w:r>
          <w:r>
            <w:fldChar w:fldCharType="separate"/>
          </w:r>
          <w:r>
            <w:rPr>
              <w:rStyle w:val="24"/>
              <w:rFonts w:hint="eastAsia" w:ascii="Times New Roman" w:hAnsi="Times New Roman" w:eastAsia="宋体"/>
              <w:sz w:val="24"/>
              <w:szCs w:val="28"/>
            </w:rPr>
            <w:t>第四十四节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起步区建设规模</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_Toc198247274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79</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7C05D491">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"_Toc198247275" </w:instrText>
          </w:r>
          <w:r>
            <w:fldChar w:fldCharType="separate"/>
          </w:r>
          <w:r>
            <w:rPr>
              <w:rStyle w:val="24"/>
              <w:rFonts w:hint="eastAsia" w:ascii="Times New Roman" w:hAnsi="Times New Roman" w:eastAsia="宋体"/>
              <w:sz w:val="24"/>
              <w:szCs w:val="28"/>
            </w:rPr>
            <w:t>第四十五节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起步区总体城市设计</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_Toc198247275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79</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06B8A9FA">
          <w:pPr>
            <w:pStyle w:val="16"/>
            <w:tabs>
              <w:tab w:val="right" w:leader="dot" w:pos="8296"/>
            </w:tabs>
            <w:spacing w:line="400" w:lineRule="exact"/>
            <w:rPr>
              <w:rFonts w:hint="eastAsia" w:ascii="Times New Roman" w:hAnsi="Times New Roman"/>
              <w:sz w:val="22"/>
              <w:szCs w:val="24"/>
            </w:rPr>
          </w:pPr>
          <w:r>
            <w:fldChar w:fldCharType="begin"/>
          </w:r>
          <w:r>
            <w:instrText xml:space="preserve"> HYPERLINK \l "_Toc198247276" </w:instrText>
          </w:r>
          <w:r>
            <w:fldChar w:fldCharType="separate"/>
          </w:r>
          <w:r>
            <w:rPr>
              <w:rStyle w:val="24"/>
              <w:rFonts w:hint="eastAsia" w:ascii="Times New Roman" w:hAnsi="Times New Roman" w:eastAsia="宋体"/>
              <w:sz w:val="24"/>
              <w:szCs w:val="28"/>
            </w:rPr>
            <w:t>第四十六节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起步区生态城市近期建设重点</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_Toc198247276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82</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755D937D">
          <w:pPr>
            <w:pStyle w:val="14"/>
            <w:tabs>
              <w:tab w:val="right" w:leader="dot" w:pos="8296"/>
            </w:tabs>
            <w:spacing w:line="400" w:lineRule="exact"/>
            <w:rPr>
              <w:rFonts w:hint="eastAsia" w:ascii="Times New Roman" w:hAnsi="Times New Roman"/>
              <w:sz w:val="22"/>
              <w:szCs w:val="24"/>
            </w:rPr>
          </w:pPr>
          <w:r>
            <w:fldChar w:fldCharType="begin"/>
          </w:r>
          <w:r>
            <w:instrText xml:space="preserve"> HYPERLINK \l "_Toc198247277" </w:instrText>
          </w:r>
          <w:r>
            <w:fldChar w:fldCharType="separate"/>
          </w:r>
          <w:r>
            <w:rPr>
              <w:rStyle w:val="24"/>
              <w:rFonts w:hint="eastAsia" w:ascii="Times New Roman" w:hAnsi="Times New Roman" w:eastAsia="黑体"/>
              <w:sz w:val="24"/>
              <w:szCs w:val="28"/>
            </w:rPr>
            <w:t>第十二章</w:t>
          </w:r>
          <w:r>
            <w:rPr>
              <w:rStyle w:val="24"/>
              <w:rFonts w:ascii="Times New Roman" w:hAnsi="Times New Roman" w:eastAsia="黑体"/>
              <w:sz w:val="24"/>
              <w:szCs w:val="28"/>
            </w:rPr>
            <w:t xml:space="preserve"> </w:t>
          </w:r>
          <w:r>
            <w:rPr>
              <w:rStyle w:val="24"/>
              <w:rFonts w:hint="eastAsia" w:ascii="Times New Roman" w:hAnsi="Times New Roman" w:eastAsia="黑体"/>
              <w:sz w:val="24"/>
              <w:szCs w:val="28"/>
            </w:rPr>
            <w:t>规划有序有效实施保障</w:t>
          </w:r>
          <w:r>
            <w:rPr>
              <w:rStyle w:val="24"/>
              <w:rFonts w:hint="eastAsia" w:ascii="Times New Roman" w:hAnsi="Times New Roman" w:eastAsia="黑体"/>
              <w:sz w:val="24"/>
              <w:szCs w:val="28"/>
            </w:rPr>
            <w:tab/>
          </w:r>
          <w:r>
            <w:rPr>
              <w:rStyle w:val="24"/>
              <w:rFonts w:hint="eastAsia" w:ascii="Times New Roman" w:hAnsi="Times New Roman" w:eastAsia="黑体"/>
              <w:sz w:val="24"/>
              <w:szCs w:val="28"/>
            </w:rPr>
            <w:fldChar w:fldCharType="begin"/>
          </w:r>
          <w:r>
            <w:rPr>
              <w:rStyle w:val="24"/>
              <w:rFonts w:hint="eastAsia" w:ascii="Times New Roman" w:hAnsi="Times New Roman" w:eastAsia="黑体"/>
              <w:sz w:val="24"/>
              <w:szCs w:val="28"/>
            </w:rPr>
            <w:instrText xml:space="preserve"> PAGEREF _Toc198247277 \h </w:instrText>
          </w:r>
          <w:r>
            <w:rPr>
              <w:rStyle w:val="24"/>
              <w:rFonts w:hint="eastAsia" w:ascii="Times New Roman" w:hAnsi="Times New Roman" w:eastAsia="黑体"/>
              <w:sz w:val="24"/>
              <w:szCs w:val="28"/>
            </w:rPr>
            <w:fldChar w:fldCharType="separate"/>
          </w:r>
          <w:r>
            <w:rPr>
              <w:rStyle w:val="24"/>
              <w:rFonts w:ascii="Times New Roman" w:hAnsi="Times New Roman" w:eastAsia="黑体"/>
              <w:sz w:val="24"/>
              <w:szCs w:val="28"/>
            </w:rPr>
            <w:t>85</w:t>
          </w:r>
          <w:r>
            <w:rPr>
              <w:rStyle w:val="24"/>
              <w:rFonts w:hint="eastAsia" w:ascii="Times New Roman" w:hAnsi="Times New Roman" w:eastAsia="黑体"/>
              <w:sz w:val="24"/>
              <w:szCs w:val="28"/>
            </w:rPr>
            <w:fldChar w:fldCharType="end"/>
          </w:r>
          <w:r>
            <w:rPr>
              <w:rStyle w:val="24"/>
              <w:rFonts w:hint="eastAsia" w:ascii="Times New Roman" w:hAnsi="Times New Roman" w:eastAsia="黑体"/>
              <w:sz w:val="24"/>
              <w:szCs w:val="28"/>
            </w:rPr>
            <w:fldChar w:fldCharType="end"/>
          </w:r>
        </w:p>
        <w:p w14:paraId="21F0210B">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"_Toc198247278" </w:instrText>
          </w:r>
          <w:r>
            <w:fldChar w:fldCharType="separate"/>
          </w:r>
          <w:r>
            <w:rPr>
              <w:rStyle w:val="24"/>
              <w:rFonts w:hint="eastAsia" w:ascii="Times New Roman" w:hAnsi="Times New Roman" w:eastAsia="宋体"/>
              <w:sz w:val="24"/>
              <w:szCs w:val="28"/>
            </w:rPr>
            <w:t>第四十七节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加强体制机制建设</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_Toc198247278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85</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14305593">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"_Toc198247279" </w:instrText>
          </w:r>
          <w:r>
            <w:fldChar w:fldCharType="separate"/>
          </w:r>
          <w:r>
            <w:rPr>
              <w:rStyle w:val="24"/>
              <w:rFonts w:hint="eastAsia" w:ascii="Times New Roman" w:hAnsi="Times New Roman" w:eastAsia="宋体"/>
              <w:sz w:val="24"/>
              <w:szCs w:val="28"/>
            </w:rPr>
            <w:t>第四十八节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强化用地要素保障</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_Toc198247279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85</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1D4FB32F">
          <w:pPr>
            <w:pStyle w:val="16"/>
            <w:tabs>
              <w:tab w:val="right" w:leader="dot" w:pos="8296"/>
            </w:tabs>
            <w:spacing w:line="400" w:lineRule="exact"/>
            <w:rPr>
              <w:rStyle w:val="24"/>
              <w:rFonts w:hint="eastAsia" w:ascii="Times New Roman" w:hAnsi="Times New Roman" w:eastAsia="宋体"/>
              <w:sz w:val="24"/>
              <w:szCs w:val="28"/>
            </w:rPr>
          </w:pPr>
          <w:r>
            <w:fldChar w:fldCharType="begin"/>
          </w:r>
          <w:r>
            <w:instrText xml:space="preserve"> HYPERLINK \l "_Toc198247280" </w:instrText>
          </w:r>
          <w:r>
            <w:fldChar w:fldCharType="separate"/>
          </w:r>
          <w:r>
            <w:rPr>
              <w:rStyle w:val="24"/>
              <w:rFonts w:hint="eastAsia" w:ascii="Times New Roman" w:hAnsi="Times New Roman" w:eastAsia="宋体"/>
              <w:sz w:val="24"/>
              <w:szCs w:val="28"/>
            </w:rPr>
            <w:t>第四十九节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强化资金要素保障</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_Toc198247280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86</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1599D031">
          <w:pPr>
            <w:pStyle w:val="16"/>
            <w:tabs>
              <w:tab w:val="right" w:leader="dot" w:pos="8296"/>
            </w:tabs>
            <w:spacing w:line="400" w:lineRule="exact"/>
            <w:rPr>
              <w:rFonts w:hint="eastAsia" w:ascii="Times New Roman" w:hAnsi="Times New Roman"/>
              <w:sz w:val="22"/>
              <w:szCs w:val="24"/>
            </w:rPr>
          </w:pPr>
          <w:r>
            <w:fldChar w:fldCharType="begin"/>
          </w:r>
          <w:r>
            <w:instrText xml:space="preserve"> HYPERLINK \l "_Toc198247281" </w:instrText>
          </w:r>
          <w:r>
            <w:fldChar w:fldCharType="separate"/>
          </w:r>
          <w:r>
            <w:rPr>
              <w:rStyle w:val="24"/>
              <w:rFonts w:hint="eastAsia" w:ascii="Times New Roman" w:hAnsi="Times New Roman" w:eastAsia="宋体"/>
              <w:sz w:val="24"/>
              <w:szCs w:val="28"/>
            </w:rPr>
            <w:t>第五十节</w:t>
          </w:r>
          <w:r>
            <w:rPr>
              <w:rStyle w:val="24"/>
              <w:rFonts w:ascii="Times New Roman" w:hAnsi="Times New Roman" w:eastAsia="宋体"/>
              <w:sz w:val="24"/>
              <w:szCs w:val="28"/>
            </w:rPr>
            <w:t xml:space="preserve"> </w:t>
          </w:r>
          <w:r>
            <w:rPr>
              <w:rStyle w:val="24"/>
              <w:rFonts w:hint="eastAsia" w:ascii="Times New Roman" w:hAnsi="Times New Roman" w:eastAsia="宋体"/>
              <w:sz w:val="24"/>
              <w:szCs w:val="28"/>
            </w:rPr>
            <w:t>强化人才要素保障</w:t>
          </w:r>
          <w:r>
            <w:rPr>
              <w:rStyle w:val="24"/>
              <w:rFonts w:hint="eastAsia" w:ascii="Times New Roman" w:hAnsi="Times New Roman" w:eastAsia="宋体"/>
              <w:sz w:val="24"/>
              <w:szCs w:val="28"/>
            </w:rPr>
            <w:tab/>
          </w:r>
          <w:r>
            <w:rPr>
              <w:rStyle w:val="24"/>
              <w:rFonts w:hint="eastAsia" w:ascii="Times New Roman" w:hAnsi="Times New Roman" w:eastAsia="宋体"/>
              <w:sz w:val="24"/>
              <w:szCs w:val="28"/>
            </w:rPr>
            <w:fldChar w:fldCharType="begin"/>
          </w:r>
          <w:r>
            <w:rPr>
              <w:rStyle w:val="24"/>
              <w:rFonts w:hint="eastAsia" w:ascii="Times New Roman" w:hAnsi="Times New Roman" w:eastAsia="宋体"/>
              <w:sz w:val="24"/>
              <w:szCs w:val="28"/>
            </w:rPr>
            <w:instrText xml:space="preserve"> PAGEREF _Toc198247281 \h </w:instrText>
          </w:r>
          <w:r>
            <w:rPr>
              <w:rStyle w:val="24"/>
              <w:rFonts w:hint="eastAsia" w:ascii="Times New Roman" w:hAnsi="Times New Roman" w:eastAsia="宋体"/>
              <w:sz w:val="24"/>
              <w:szCs w:val="28"/>
            </w:rPr>
            <w:fldChar w:fldCharType="separate"/>
          </w:r>
          <w:r>
            <w:rPr>
              <w:rStyle w:val="24"/>
              <w:rFonts w:ascii="Times New Roman" w:hAnsi="Times New Roman" w:eastAsia="宋体"/>
              <w:sz w:val="24"/>
              <w:szCs w:val="28"/>
            </w:rPr>
            <w:t>86</w:t>
          </w:r>
          <w:r>
            <w:rPr>
              <w:rStyle w:val="24"/>
              <w:rFonts w:hint="eastAsia" w:ascii="Times New Roman" w:hAnsi="Times New Roman" w:eastAsia="宋体"/>
              <w:sz w:val="24"/>
              <w:szCs w:val="28"/>
            </w:rPr>
            <w:fldChar w:fldCharType="end"/>
          </w:r>
          <w:r>
            <w:rPr>
              <w:rStyle w:val="24"/>
              <w:rFonts w:hint="eastAsia" w:ascii="Times New Roman" w:hAnsi="Times New Roman" w:eastAsia="宋体"/>
              <w:sz w:val="24"/>
              <w:szCs w:val="28"/>
            </w:rPr>
            <w:fldChar w:fldCharType="end"/>
          </w:r>
        </w:p>
        <w:p w14:paraId="48D4B188">
          <w:pPr>
            <w:pStyle w:val="14"/>
            <w:tabs>
              <w:tab w:val="right" w:leader="dot" w:pos="8296"/>
            </w:tabs>
            <w:spacing w:line="400" w:lineRule="exact"/>
            <w:rPr>
              <w:rFonts w:hint="eastAsia" w:ascii="Times New Roman" w:hAnsi="Times New Roman"/>
              <w:sz w:val="22"/>
              <w:szCs w:val="24"/>
            </w:rPr>
          </w:pPr>
          <w:r>
            <w:fldChar w:fldCharType="begin"/>
          </w:r>
          <w:r>
            <w:instrText xml:space="preserve"> HYPERLINK \l "_Toc198247282" </w:instrText>
          </w:r>
          <w:r>
            <w:fldChar w:fldCharType="separate"/>
          </w:r>
          <w:r>
            <w:rPr>
              <w:rStyle w:val="24"/>
              <w:rFonts w:hint="eastAsia" w:ascii="Times New Roman" w:hAnsi="Times New Roman" w:eastAsia="黑体"/>
              <w:sz w:val="24"/>
              <w:szCs w:val="28"/>
            </w:rPr>
            <w:t>附表</w:t>
          </w:r>
          <w:r>
            <w:rPr>
              <w:rStyle w:val="24"/>
              <w:rFonts w:hint="eastAsia" w:ascii="Times New Roman" w:hAnsi="Times New Roman" w:eastAsia="黑体"/>
              <w:sz w:val="24"/>
              <w:szCs w:val="28"/>
            </w:rPr>
            <w:tab/>
          </w:r>
          <w:r>
            <w:rPr>
              <w:rStyle w:val="24"/>
              <w:rFonts w:hint="eastAsia" w:ascii="Times New Roman" w:hAnsi="Times New Roman" w:eastAsia="黑体"/>
              <w:sz w:val="24"/>
              <w:szCs w:val="28"/>
            </w:rPr>
            <w:fldChar w:fldCharType="begin"/>
          </w:r>
          <w:r>
            <w:rPr>
              <w:rStyle w:val="24"/>
              <w:rFonts w:hint="eastAsia" w:ascii="Times New Roman" w:hAnsi="Times New Roman" w:eastAsia="黑体"/>
              <w:sz w:val="24"/>
              <w:szCs w:val="28"/>
            </w:rPr>
            <w:instrText xml:space="preserve"> PAGEREF _Toc198247282 \h </w:instrText>
          </w:r>
          <w:r>
            <w:rPr>
              <w:rStyle w:val="24"/>
              <w:rFonts w:hint="eastAsia" w:ascii="Times New Roman" w:hAnsi="Times New Roman" w:eastAsia="黑体"/>
              <w:sz w:val="24"/>
              <w:szCs w:val="28"/>
            </w:rPr>
            <w:fldChar w:fldCharType="separate"/>
          </w:r>
          <w:r>
            <w:rPr>
              <w:rStyle w:val="24"/>
              <w:rFonts w:ascii="Times New Roman" w:hAnsi="Times New Roman" w:eastAsia="黑体"/>
              <w:sz w:val="24"/>
              <w:szCs w:val="28"/>
            </w:rPr>
            <w:t>87</w:t>
          </w:r>
          <w:r>
            <w:rPr>
              <w:rStyle w:val="24"/>
              <w:rFonts w:hint="eastAsia" w:ascii="Times New Roman" w:hAnsi="Times New Roman" w:eastAsia="黑体"/>
              <w:sz w:val="24"/>
              <w:szCs w:val="28"/>
            </w:rPr>
            <w:fldChar w:fldCharType="end"/>
          </w:r>
          <w:r>
            <w:rPr>
              <w:rStyle w:val="24"/>
              <w:rFonts w:hint="eastAsia" w:ascii="Times New Roman" w:hAnsi="Times New Roman" w:eastAsia="黑体"/>
              <w:sz w:val="24"/>
              <w:szCs w:val="28"/>
            </w:rPr>
            <w:fldChar w:fldCharType="end"/>
          </w:r>
        </w:p>
        <w:p w14:paraId="22AB7E0F">
          <w:pPr>
            <w:pStyle w:val="14"/>
            <w:tabs>
              <w:tab w:val="right" w:leader="dot" w:pos="8296"/>
            </w:tabs>
            <w:spacing w:line="400" w:lineRule="exact"/>
            <w:rPr>
              <w:rFonts w:hint="eastAsia" w:ascii="Times New Roman" w:hAnsi="Times New Roman"/>
              <w:sz w:val="22"/>
              <w:szCs w:val="24"/>
            </w:rPr>
          </w:pPr>
          <w:r>
            <w:fldChar w:fldCharType="begin"/>
          </w:r>
          <w:r>
            <w:instrText xml:space="preserve"> HYPERLINK \l "_Toc198247285" </w:instrText>
          </w:r>
          <w:r>
            <w:fldChar w:fldCharType="separate"/>
          </w:r>
          <w:r>
            <w:rPr>
              <w:rStyle w:val="24"/>
              <w:rFonts w:hint="eastAsia" w:ascii="Times New Roman" w:hAnsi="Times New Roman" w:eastAsia="黑体"/>
              <w:sz w:val="24"/>
              <w:szCs w:val="28"/>
            </w:rPr>
            <w:t>附图</w:t>
          </w:r>
          <w:r>
            <w:rPr>
              <w:rStyle w:val="24"/>
              <w:rFonts w:hint="eastAsia" w:ascii="Times New Roman" w:hAnsi="Times New Roman" w:eastAsia="黑体"/>
              <w:sz w:val="24"/>
              <w:szCs w:val="28"/>
            </w:rPr>
            <w:tab/>
          </w:r>
          <w:r>
            <w:rPr>
              <w:rStyle w:val="24"/>
              <w:rFonts w:hint="eastAsia" w:ascii="Times New Roman" w:hAnsi="Times New Roman" w:eastAsia="黑体"/>
              <w:sz w:val="24"/>
              <w:szCs w:val="28"/>
            </w:rPr>
            <w:fldChar w:fldCharType="begin"/>
          </w:r>
          <w:r>
            <w:rPr>
              <w:rStyle w:val="24"/>
              <w:rFonts w:hint="eastAsia" w:ascii="Times New Roman" w:hAnsi="Times New Roman" w:eastAsia="黑体"/>
              <w:sz w:val="24"/>
              <w:szCs w:val="28"/>
            </w:rPr>
            <w:instrText xml:space="preserve"> PAGEREF _Toc198247285 \h </w:instrText>
          </w:r>
          <w:r>
            <w:rPr>
              <w:rStyle w:val="24"/>
              <w:rFonts w:hint="eastAsia" w:ascii="Times New Roman" w:hAnsi="Times New Roman" w:eastAsia="黑体"/>
              <w:sz w:val="24"/>
              <w:szCs w:val="28"/>
            </w:rPr>
            <w:fldChar w:fldCharType="separate"/>
          </w:r>
          <w:r>
            <w:rPr>
              <w:rStyle w:val="24"/>
              <w:rFonts w:ascii="Times New Roman" w:hAnsi="Times New Roman" w:eastAsia="黑体"/>
              <w:sz w:val="24"/>
              <w:szCs w:val="28"/>
            </w:rPr>
            <w:t>98</w:t>
          </w:r>
          <w:r>
            <w:rPr>
              <w:rStyle w:val="24"/>
              <w:rFonts w:hint="eastAsia" w:ascii="Times New Roman" w:hAnsi="Times New Roman" w:eastAsia="黑体"/>
              <w:sz w:val="24"/>
              <w:szCs w:val="28"/>
            </w:rPr>
            <w:fldChar w:fldCharType="end"/>
          </w:r>
          <w:r>
            <w:rPr>
              <w:rStyle w:val="24"/>
              <w:rFonts w:hint="eastAsia" w:ascii="Times New Roman" w:hAnsi="Times New Roman" w:eastAsia="黑体"/>
              <w:sz w:val="24"/>
              <w:szCs w:val="28"/>
            </w:rPr>
            <w:fldChar w:fldCharType="end"/>
          </w:r>
        </w:p>
        <w:p w14:paraId="280FBC26">
          <w:pPr>
            <w:pStyle w:val="14"/>
            <w:tabs>
              <w:tab w:val="right" w:leader="dot" w:pos="8296"/>
            </w:tabs>
            <w:spacing w:line="400" w:lineRule="exact"/>
            <w:rPr>
              <w:rFonts w:hint="eastAsia" w:ascii="Times New Roman" w:hAnsi="Times New Roman"/>
              <w:sz w:val="22"/>
              <w:szCs w:val="24"/>
            </w:rPr>
          </w:pPr>
          <w:r>
            <w:fldChar w:fldCharType="begin"/>
          </w:r>
          <w:r>
            <w:instrText xml:space="preserve"> HYPERLINK \l "_Toc198247287" </w:instrText>
          </w:r>
          <w:r>
            <w:fldChar w:fldCharType="separate"/>
          </w:r>
          <w:r>
            <w:rPr>
              <w:rStyle w:val="24"/>
              <w:rFonts w:hint="eastAsia" w:ascii="Times New Roman" w:hAnsi="Times New Roman" w:eastAsia="黑体"/>
              <w:sz w:val="24"/>
              <w:szCs w:val="28"/>
            </w:rPr>
            <w:t>附件</w:t>
          </w:r>
          <w:r>
            <w:rPr>
              <w:rStyle w:val="24"/>
              <w:rFonts w:hint="eastAsia" w:ascii="Times New Roman" w:hAnsi="Times New Roman" w:eastAsia="黑体"/>
              <w:sz w:val="24"/>
              <w:szCs w:val="28"/>
            </w:rPr>
            <w:tab/>
          </w:r>
          <w:r>
            <w:rPr>
              <w:rStyle w:val="24"/>
              <w:rFonts w:hint="eastAsia" w:ascii="Times New Roman" w:hAnsi="Times New Roman" w:eastAsia="黑体"/>
              <w:sz w:val="24"/>
              <w:szCs w:val="28"/>
            </w:rPr>
            <w:fldChar w:fldCharType="begin"/>
          </w:r>
          <w:r>
            <w:rPr>
              <w:rStyle w:val="24"/>
              <w:rFonts w:hint="eastAsia" w:ascii="Times New Roman" w:hAnsi="Times New Roman" w:eastAsia="黑体"/>
              <w:sz w:val="24"/>
              <w:szCs w:val="28"/>
            </w:rPr>
            <w:instrText xml:space="preserve"> PAGEREF _Toc198247287 \h </w:instrText>
          </w:r>
          <w:r>
            <w:rPr>
              <w:rStyle w:val="24"/>
              <w:rFonts w:hint="eastAsia" w:ascii="Times New Roman" w:hAnsi="Times New Roman" w:eastAsia="黑体"/>
              <w:sz w:val="24"/>
              <w:szCs w:val="28"/>
            </w:rPr>
            <w:fldChar w:fldCharType="separate"/>
          </w:r>
          <w:r>
            <w:rPr>
              <w:rStyle w:val="24"/>
              <w:rFonts w:ascii="Times New Roman" w:hAnsi="Times New Roman" w:eastAsia="黑体"/>
              <w:sz w:val="24"/>
              <w:szCs w:val="28"/>
            </w:rPr>
            <w:t>99</w:t>
          </w:r>
          <w:r>
            <w:rPr>
              <w:rStyle w:val="24"/>
              <w:rFonts w:hint="eastAsia" w:ascii="Times New Roman" w:hAnsi="Times New Roman" w:eastAsia="黑体"/>
              <w:sz w:val="24"/>
              <w:szCs w:val="28"/>
            </w:rPr>
            <w:fldChar w:fldCharType="end"/>
          </w:r>
          <w:r>
            <w:rPr>
              <w:rStyle w:val="24"/>
              <w:rFonts w:hint="eastAsia" w:ascii="Times New Roman" w:hAnsi="Times New Roman" w:eastAsia="黑体"/>
              <w:sz w:val="24"/>
              <w:szCs w:val="28"/>
            </w:rPr>
            <w:fldChar w:fldCharType="end"/>
          </w:r>
        </w:p>
        <w:p w14:paraId="505B8631">
          <w:pPr>
            <w:pStyle w:val="16"/>
            <w:tabs>
              <w:tab w:val="right" w:leader="dot" w:pos="8306"/>
            </w:tabs>
            <w:spacing w:line="400" w:lineRule="exact"/>
            <w:ind w:left="0" w:leftChars="0" w:right="-1155" w:rightChars="-550"/>
            <w:jc w:val="center"/>
            <w:rPr>
              <w:rFonts w:ascii="Times New Roman" w:hAnsi="Times New Roman"/>
              <w:b/>
            </w:rPr>
          </w:pPr>
          <w:r>
            <w:rPr>
              <w:rFonts w:hint="eastAsia" w:ascii="Times New Roman" w:hAnsi="Times New Roman" w:eastAsia="黑体" w:cs="Times New Roman"/>
            </w:rPr>
            <w:fldChar w:fldCharType="end"/>
          </w:r>
        </w:p>
      </w:sdtContent>
    </w:sdt>
    <w:p w14:paraId="6237EF4C">
      <w:pPr>
        <w:rPr>
          <w:rFonts w:ascii="Times New Roman" w:hAnsi="Times New Roman"/>
          <w:b/>
        </w:rPr>
      </w:pPr>
    </w:p>
    <w:p w14:paraId="16E42D39">
      <w:pPr>
        <w:snapToGrid w:val="0"/>
        <w:spacing w:before="156" w:beforeLines="50" w:after="156" w:afterLines="50" w:line="600" w:lineRule="exact"/>
        <w:ind w:firstLine="800" w:firstLineChars="250"/>
        <w:jc w:val="center"/>
        <w:outlineLvl w:val="0"/>
        <w:rPr>
          <w:rFonts w:ascii="Times New Roman" w:hAnsi="Times New Roman" w:eastAsia="黑体" w:cs="黑体"/>
          <w:kern w:val="1"/>
          <w:sz w:val="32"/>
          <w:szCs w:val="32"/>
          <w14:ligatures w14:val="none"/>
        </w:rPr>
        <w:sectPr>
          <w:footerReference r:id="rId5" w:type="default"/>
          <w:pgSz w:w="11906" w:h="16838"/>
          <w:pgMar w:top="1440" w:right="1800" w:bottom="1440" w:left="1800" w:header="851" w:footer="992" w:gutter="0"/>
          <w:pgNumType w:fmt="upperRoman" w:start="1"/>
          <w:cols w:space="425" w:num="1"/>
          <w:docGrid w:type="lines" w:linePitch="312" w:charSpace="0"/>
        </w:sectPr>
      </w:pPr>
    </w:p>
    <w:p w14:paraId="4AA7ABCA">
      <w:pPr>
        <w:pStyle w:val="3"/>
        <w:keepNext w:val="0"/>
        <w:keepLines w:val="0"/>
        <w:spacing w:before="312" w:beforeLines="100" w:after="312" w:afterLines="100" w:line="360" w:lineRule="auto"/>
        <w:jc w:val="center"/>
        <w:rPr>
          <w:rFonts w:ascii="Times New Roman" w:hAnsi="Times New Roman" w:eastAsia="黑体"/>
          <w:b w:val="0"/>
          <w:bCs w:val="0"/>
          <w:sz w:val="40"/>
          <w:szCs w:val="40"/>
        </w:rPr>
      </w:pPr>
      <w:bookmarkStart w:id="0" w:name="_Toc198247179"/>
      <w:bookmarkStart w:id="1" w:name="_Toc21265"/>
      <w:r>
        <w:rPr>
          <w:rFonts w:hint="eastAsia" w:ascii="Times New Roman" w:hAnsi="Times New Roman" w:eastAsia="黑体"/>
          <w:b w:val="0"/>
          <w:bCs w:val="0"/>
          <w:sz w:val="40"/>
          <w:szCs w:val="40"/>
        </w:rPr>
        <w:t>前 言</w:t>
      </w:r>
      <w:bookmarkEnd w:id="0"/>
      <w:bookmarkEnd w:id="1"/>
    </w:p>
    <w:p w14:paraId="1D76342F">
      <w:pPr>
        <w:spacing w:line="360" w:lineRule="auto"/>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规划建设好</w:t>
      </w:r>
      <w:bookmarkStart w:id="2" w:name="_Hlk181818852"/>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博罗县域副中心</w:t>
      </w:r>
      <w:bookmarkEnd w:id="2"/>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是全面落实广东省委、省政府关于深入实施“百县千镇万村高质量发展工程”</w:t>
      </w:r>
      <w:r>
        <w:rPr>
          <w:rFonts w:hint="eastAsia" w:ascii="Times New Roman" w:hAnsi="Times New Roman"/>
        </w:rPr>
        <w:t xml:space="preserve"> </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促进城乡区域协调发展的重大战略部署，是惠州深度参与粤港澳大湾区和环南昆山—罗浮山县镇村高质量发展引领区建设的重要抓手，是博罗推进以县城为重要载体的新型城镇化建设的重大举措，对博罗建设惠州西部地区高能级增长极，全面推动县镇村高质量发展具有重要意义。</w:t>
      </w:r>
    </w:p>
    <w:p w14:paraId="5ABCB3B5">
      <w:pPr>
        <w:spacing w:line="360" w:lineRule="auto"/>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博罗县域副中心位于惠州市博罗县西南部，东连博罗县城，西接广州增城区，南与东莞市区隔东江相望，北靠长宁镇，规划范围约192.11平方公里，包括石湾、园洲2个建制镇，涵盖省级开发区—惠州博罗产业园区（博西片区）和市千亿级重点工业园区—博罗产业园两大产业园区，是东江中下游咽喉要地和水陆交通枢纽，也是博罗县域工业经济中心和城镇化主战场。</w:t>
      </w:r>
    </w:p>
    <w:p w14:paraId="14470F48">
      <w:pPr>
        <w:spacing w:line="360" w:lineRule="auto"/>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本规划期限为2024—2035年，规划统筹空间资源、产业资源、人口资源、生态资源和城镇服务资源，并与博罗县经济社会发展规划、国土空间总体规划和生态环境保护规划紧密衔接，全方位塑造现代化生态智慧城市，经法定程序审批通过后，是指导博罗县域副中心当前和今后一个时期改革发展建设的行动纲领和编制相关专项规划的重要依据。</w:t>
      </w:r>
    </w:p>
    <w:p w14:paraId="0521FF8C">
      <w:pPr>
        <w:rPr>
          <w:rFonts w:ascii="Times New Roman" w:hAnsi="Times New Roman" w:eastAsia="黑体"/>
        </w:rPr>
        <w:sectPr>
          <w:footerReference r:id="rId6" w:type="default"/>
          <w:pgSz w:w="11906" w:h="16838"/>
          <w:pgMar w:top="1440" w:right="1786" w:bottom="1440" w:left="1786" w:header="851" w:footer="992" w:gutter="0"/>
          <w:pgNumType w:start="1"/>
          <w:cols w:space="0" w:num="1"/>
          <w:docGrid w:type="lines" w:linePitch="312" w:charSpace="0"/>
        </w:sectPr>
      </w:pPr>
    </w:p>
    <w:p w14:paraId="04554ECB">
      <w:pPr>
        <w:pStyle w:val="3"/>
        <w:keepNext w:val="0"/>
        <w:keepLines w:val="0"/>
        <w:spacing w:before="312" w:beforeLines="100" w:after="312" w:afterLines="100" w:line="360" w:lineRule="auto"/>
        <w:jc w:val="center"/>
        <w:rPr>
          <w:rFonts w:ascii="Times New Roman" w:hAnsi="Times New Roman" w:eastAsia="黑体" w:cs="黑体"/>
          <w:kern w:val="1"/>
          <w:sz w:val="40"/>
          <w:szCs w:val="40"/>
          <w14:ligatures w14:val="none"/>
        </w:rPr>
      </w:pPr>
      <w:bookmarkStart w:id="3" w:name="_Toc198247180"/>
      <w:bookmarkStart w:id="4" w:name="_Toc25090"/>
      <w:r>
        <w:rPr>
          <w:rFonts w:hint="eastAsia" w:ascii="Times New Roman" w:hAnsi="Times New Roman" w:eastAsia="黑体"/>
          <w:b w:val="0"/>
          <w:bCs w:val="0"/>
          <w:sz w:val="40"/>
          <w:szCs w:val="40"/>
        </w:rPr>
        <w:t>第一章 总则</w:t>
      </w:r>
      <w:bookmarkEnd w:id="3"/>
      <w:bookmarkEnd w:id="4"/>
    </w:p>
    <w:p w14:paraId="57BC664F">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5" w:name="_Toc29463"/>
      <w:bookmarkStart w:id="6" w:name="_Toc198247181"/>
      <w:r>
        <w:rPr>
          <w:rFonts w:hint="eastAsia" w:ascii="Times New Roman" w:hAnsi="Times New Roman" w:eastAsia="黑体"/>
          <w:b w:val="0"/>
          <w:bCs w:val="0"/>
        </w:rPr>
        <w:t>编制目的</w:t>
      </w:r>
      <w:bookmarkEnd w:id="5"/>
      <w:bookmarkEnd w:id="6"/>
    </w:p>
    <w:p w14:paraId="71ADD71D">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博罗县域副中心（以下简称“县域副中心”）作为博罗县加快推进以县城为重要载体的新型城镇化建设的重要组成部分，是新时期促进城乡融合发展的重要抓手，是深入实施“百县千镇万村高质量发展工程”推动博罗县镇村高质量发展的具体行动，为进一步明确博罗县域副中心的战略定位、发展目标和重点任务，梳理并</w:t>
      </w:r>
      <w:r>
        <w:rPr>
          <w:rFonts w:hint="eastAsia" w:ascii="Times New Roman" w:hAnsi="Times New Roman" w:eastAsia="仿宋_GB2312" w:cs="仿宋_GB2312"/>
          <w:color w:val="000000"/>
          <w:kern w:val="0"/>
          <w:sz w:val="31"/>
          <w:szCs w:val="31"/>
          <w:lang w:bidi="ar"/>
        </w:rPr>
        <w:t>识别出未来发展的潜力地区和近期建设行动计划，</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加快打造全县经济发展新增长极，实现县城主中心、县域副中心“遥相呼应、相互支撑、共同发展”的城镇化发展新格局，全面增强博罗县域副中心的创新力、竞争力和辐射带动力，特编制本规划。</w:t>
      </w:r>
    </w:p>
    <w:p w14:paraId="35225B63">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7" w:name="_Toc198247182"/>
      <w:bookmarkStart w:id="8" w:name="_Toc398"/>
      <w:r>
        <w:rPr>
          <w:rFonts w:hint="eastAsia" w:ascii="Times New Roman" w:hAnsi="Times New Roman" w:eastAsia="黑体"/>
          <w:b w:val="0"/>
          <w:bCs w:val="0"/>
        </w:rPr>
        <w:t>规划依据</w:t>
      </w:r>
      <w:bookmarkEnd w:id="7"/>
      <w:bookmarkEnd w:id="8"/>
    </w:p>
    <w:p w14:paraId="0218B584">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（1）《中华人民共和国城乡规划法》（2019年修正）</w:t>
      </w:r>
    </w:p>
    <w:p w14:paraId="08F8468C">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（2）《中华人民共和国土地管理法》（2019年修正）</w:t>
      </w:r>
    </w:p>
    <w:p w14:paraId="37B7282D">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（3）《中华人民共和国环境保护法》（2014年修订）</w:t>
      </w:r>
    </w:p>
    <w:p w14:paraId="088D237A">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（4）《中华人民共和国文物保护法》（2017年修订）</w:t>
      </w:r>
    </w:p>
    <w:p w14:paraId="2996C169">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（5）《城市规划编制办法》（2006年）</w:t>
      </w:r>
    </w:p>
    <w:p w14:paraId="17869491">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（6）《中共广东省委关于实施“百县千镇万村高质量发展工程”促进城乡区域协调发展的决定》</w:t>
      </w:r>
    </w:p>
    <w:p w14:paraId="20FE33BA">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（7）《中共广东省委办公厅 广东省人民政府办公厅&lt;关于全面推进“百县千镇万村高质量发展工程”促进城乡区域协调发展的实施意见&gt;的通知》（粤办发〔2023〕5号）</w:t>
      </w:r>
    </w:p>
    <w:p w14:paraId="53133120">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（8）《中共广东省委办公厅 广东省人民政府办公厅关于推进环南昆山—罗浮山县镇村高质量发展引领区建设的意见》（粤办发〔2024〕58号）</w:t>
      </w:r>
    </w:p>
    <w:p w14:paraId="22506833">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bookmarkStart w:id="9" w:name="_Hlk173327341"/>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（9）《环南昆山—罗浮山县镇村</w:t>
      </w:r>
      <w:bookmarkStart w:id="10" w:name="_Hlk173327310"/>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高质量发展</w:t>
      </w:r>
      <w:bookmarkEnd w:id="9"/>
      <w:bookmarkEnd w:id="10"/>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引领区总体规划纲要》</w:t>
      </w:r>
    </w:p>
    <w:p w14:paraId="619A9C49">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（10）《博罗县国土空间总体规划（2021—2035年）》</w:t>
      </w:r>
    </w:p>
    <w:p w14:paraId="036A8427">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（11）《博罗县石湾镇国土空间总体规划（2021—2035年）》</w:t>
      </w:r>
    </w:p>
    <w:p w14:paraId="285C784D">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（12）《博罗县园洲镇国土空间总体规划（2021—2035年）》</w:t>
      </w:r>
    </w:p>
    <w:p w14:paraId="7E7FFB49">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（13）《惠州市博罗县全域土地综合整治项目实施方案》</w:t>
      </w:r>
    </w:p>
    <w:p w14:paraId="0ED80D25">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（14）《博罗县“三线一单”生态环境分区管控研究报告》</w:t>
      </w:r>
    </w:p>
    <w:p w14:paraId="117CEE08">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（15）国家、广东省及惠州市层面相关法律法规、政策文件及标准规范</w:t>
      </w:r>
    </w:p>
    <w:p w14:paraId="00C4551E">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1" w:name="_Toc198247183"/>
      <w:bookmarkStart w:id="12" w:name="_Toc24244"/>
      <w:r>
        <w:rPr>
          <w:rFonts w:hint="eastAsia" w:ascii="Times New Roman" w:hAnsi="Times New Roman" w:eastAsia="黑体"/>
          <w:b w:val="0"/>
          <w:bCs w:val="0"/>
        </w:rPr>
        <w:t>规划范围</w:t>
      </w:r>
      <w:bookmarkEnd w:id="11"/>
      <w:bookmarkEnd w:id="12"/>
    </w:p>
    <w:p w14:paraId="070219D2">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博罗县域副中心规划范围为石湾镇、园洲镇两个建制镇行政区域范围，包括石湾、水上、园洲、九潭4个社区，石湾村、上南村等39个行政村，总用地面积约192.11平方公里，</w:t>
      </w:r>
      <w:r>
        <w:rPr>
          <w:rFonts w:hint="eastAsia" w:ascii="Times New Roman" w:hAnsi="Times New Roman" w:eastAsia="方正仿宋_GBK"/>
          <w:spacing w:val="3"/>
          <w:sz w:val="32"/>
          <w:szCs w:val="32"/>
        </w:rPr>
        <w:t>其中石湾镇81.35平方公里，园洲镇110.76平方公里。规划范围还</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涵盖</w:t>
      </w:r>
      <w:bookmarkStart w:id="13" w:name="OLE_LINK18"/>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省级开发区—惠州博罗产业园区（博西片区）和市千亿级重点工业园区—博罗产业园</w:t>
      </w:r>
      <w:bookmarkEnd w:id="13"/>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w:t>
      </w:r>
    </w:p>
    <w:p w14:paraId="76A5506C">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4" w:name="_Toc1174"/>
      <w:bookmarkStart w:id="15" w:name="_Toc198247184"/>
      <w:r>
        <w:rPr>
          <w:rFonts w:hint="eastAsia" w:ascii="Times New Roman" w:hAnsi="Times New Roman" w:eastAsia="黑体"/>
          <w:b w:val="0"/>
          <w:bCs w:val="0"/>
        </w:rPr>
        <w:t>规划期限</w:t>
      </w:r>
      <w:bookmarkEnd w:id="14"/>
      <w:bookmarkEnd w:id="15"/>
    </w:p>
    <w:p w14:paraId="3F0B4159">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规划期限为2024—2035年，基期年为2023年，近期至2027年，远期至2035年。</w:t>
      </w:r>
    </w:p>
    <w:p w14:paraId="2DD6CA2D">
      <w:pPr>
        <w:spacing w:line="360" w:lineRule="auto"/>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p>
    <w:p w14:paraId="2416E7D5">
      <w:pPr>
        <w:spacing w:line="360" w:lineRule="auto"/>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sectPr>
          <w:pgSz w:w="11906" w:h="16838"/>
          <w:pgMar w:top="1440" w:right="1800" w:bottom="1440" w:left="1800" w:header="851" w:footer="992" w:gutter="0"/>
          <w:cols w:space="425" w:num="1"/>
          <w:docGrid w:type="lines" w:linePitch="312" w:charSpace="0"/>
        </w:sectPr>
      </w:pPr>
    </w:p>
    <w:p w14:paraId="1DC894CC">
      <w:pPr>
        <w:pStyle w:val="3"/>
        <w:keepNext w:val="0"/>
        <w:keepLines w:val="0"/>
        <w:spacing w:before="312" w:beforeLines="100" w:after="312" w:afterLines="100" w:line="240" w:lineRule="auto"/>
        <w:jc w:val="center"/>
        <w:rPr>
          <w:rFonts w:ascii="Times New Roman" w:hAnsi="Times New Roman" w:eastAsia="黑体"/>
          <w:b w:val="0"/>
          <w:bCs w:val="0"/>
          <w:sz w:val="40"/>
          <w:szCs w:val="40"/>
        </w:rPr>
      </w:pPr>
      <w:bookmarkStart w:id="16" w:name="_Toc5665"/>
      <w:bookmarkStart w:id="17" w:name="_Toc198247185"/>
      <w:r>
        <w:rPr>
          <w:rFonts w:hint="eastAsia" w:ascii="Times New Roman" w:hAnsi="Times New Roman" w:eastAsia="黑体"/>
          <w:b w:val="0"/>
          <w:bCs w:val="0"/>
          <w:sz w:val="40"/>
          <w:szCs w:val="40"/>
        </w:rPr>
        <w:t>第二章 发展基础与形势</w:t>
      </w:r>
      <w:bookmarkEnd w:id="16"/>
      <w:bookmarkEnd w:id="17"/>
    </w:p>
    <w:p w14:paraId="3301155A">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博罗县域副中心具备产业基础雄厚、人口集聚度高、文化底蕴深厚、城镇建设先进等中心镇特点，也面临</w:t>
      </w:r>
      <w:bookmarkStart w:id="18" w:name="OLE_LINK3"/>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环南昆山-罗浮山县镇村高质量发展引领区（以下简称“环‘南昆山-罗浮山’引领区”）、广州东部中心</w:t>
      </w:r>
      <w:bookmarkStart w:id="19" w:name="OLE_LINK4"/>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、东莞东部工业园和广深科技创新走廊（以下简称“广深科创走廊”）等区域协同发展重大机遇。</w:t>
      </w:r>
      <w:bookmarkEnd w:id="18"/>
      <w:bookmarkEnd w:id="19"/>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站在新的历史起点，博罗县域副中心应以全省“百县千镇万村高质量发展工程”为牵引，充分发挥通山达海水陆交通枢纽、相对低成本的生产生活方式、低密度的人居环境和高品质的滨水资源等比较优势，激发改革、科技、文化三大动力源，系统解决服务能级低、功能不协同、辐射带动弱、管理不现代等现实问题，推动博罗县域副中心跨越式发展。</w:t>
      </w:r>
    </w:p>
    <w:p w14:paraId="5BD1C27B">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20" w:name="_Toc198247186"/>
      <w:bookmarkEnd w:id="20"/>
      <w:bookmarkStart w:id="21" w:name="_Toc26206"/>
      <w:bookmarkStart w:id="22" w:name="_Toc198247187"/>
      <w:r>
        <w:rPr>
          <w:rFonts w:hint="eastAsia" w:ascii="Times New Roman" w:hAnsi="Times New Roman" w:eastAsia="黑体"/>
          <w:b w:val="0"/>
          <w:bCs w:val="0"/>
        </w:rPr>
        <w:t>发展基础</w:t>
      </w:r>
      <w:bookmarkEnd w:id="21"/>
      <w:bookmarkEnd w:id="22"/>
    </w:p>
    <w:p w14:paraId="4D6C9117">
      <w:pPr>
        <w:spacing w:line="600" w:lineRule="exact"/>
        <w:ind w:firstLine="640" w:firstLineChars="200"/>
        <w:rPr>
          <w:rFonts w:ascii="Times New Roman" w:hAnsi="Times New Roman" w:eastAsia="仿宋_GB2312" w:cs="Times New Roman"/>
          <w:color w:val="000000" w:themeColor="text1"/>
          <w:kern w:val="0"/>
          <w14:textFill>
            <w14:solidFill>
              <w14:schemeClr w14:val="tx1"/>
            </w14:solidFill>
          </w14:textFill>
          <w14:ligatures w14:val="none"/>
        </w:rPr>
      </w:pPr>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地理位置优越，是广州、深圳两大都市圈与环南昆山—罗浮山引领区的几何中心。</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博罗县域副中心位于惠州市博罗县西部，坐拥东江水、背倚罗浮山，东连博罗县城，西接广州增城区，南与东莞市区隔东江相望，北靠长宁镇，是</w:t>
      </w:r>
      <w:bookmarkStart w:id="23" w:name="_Hlk181903710"/>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广州都市圈、深圳都市圈与环南昆山—罗浮山县镇村高质量发展引领区（以下简称“环‘南昆山—罗浮山’引领区”）的几何中心</w:t>
      </w:r>
      <w:bookmarkEnd w:id="23"/>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，东距博罗县城</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30</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公里，南距东莞市区</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15</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公里，西距广州市区</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50</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公里，北距国家</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5A</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级旅游景区—罗浮山风景名胜区</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5</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公里，区域位置优越。此外，博罗县域副中心还拥有相对低成本的生产生活方式、低密度的人居空间和低强度的土地开发等区域比较优势，以及底气足的镇域经济和品质高的滨水资源等自身发展基础，有条件打造成为环“南昆山—罗浮山”引领区的枢纽门户和综合功能承载地。</w:t>
      </w:r>
    </w:p>
    <w:p w14:paraId="7D5EB024">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产业基础扎实，是广深科创走廊转化和深圳、东莞</w:t>
      </w:r>
      <w:bookmarkStart w:id="24" w:name="_Hlk181909197"/>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两市优质</w:t>
      </w:r>
      <w:bookmarkEnd w:id="24"/>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产业外溢的重要首选地。</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博罗县域副中心拥有省级开发区—惠州博罗产业园区（博西片区）和市千亿级重点工业园区—博罗产业园两大园区，是广深科技创新走廊科创成果转移转化重要承接地和深圳、东莞两地市产业外溢重要首选地，初步形成电子信息、智能装备制造、新能源、新材料等现代化产业体系。截至</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2023</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年底，博罗县域副中心地区生产总值达</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277.06</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亿元，规模以上工业企业</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522</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家，规模以上工业总产值</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630.23</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亿元，规模以上工业增加值</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156.85</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亿元，是博罗县工业经济中心。常住人口约</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34.66</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万人，实际管理和服务人口已达</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40</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多万，常住人口城镇化率达</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78.3%</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，是博罗县人口城镇化的主阵地之一。</w:t>
      </w:r>
    </w:p>
    <w:p w14:paraId="51E74A18">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蓝绿本底优越，是东江、沙河两大河流交汇区和通山达海入田园的理想栖息地。</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博罗县域副中心蓝绿生态本底优越，是流经博罗县境内的东江、沙河两大河流唯一的交汇区，渠涌水网密布，基塘资源丰富，南面东江环绕，沙河干流及各级支流以及人工水道、排渠等纵贯全域，蓝绿空间总面积达</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72.21</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平方公里，占县域副中心总面积的</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37.59%</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。博罗县域副中心地处博西平原，整体地势平坦开阔，耕地资源丰富，土壤深厚肥沃，农产品丰富，耕地总面积</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41.42</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平方公里，占县域副中心的</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21.56%</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，曾被誉为“东江粮仓”“鱼米之乡”。</w:t>
      </w:r>
    </w:p>
    <w:p w14:paraId="27FD9B37">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文化底蕴深厚，是岭南文化、罗浮文化和客家文化等多元文化交融的荟萃地。</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博罗县域副中心具有与罗浮山文化交汇、古今呼应的传承优势，广府文化、客家文化、红色文化、侨乡文化和</w:t>
      </w:r>
      <w:bookmarkStart w:id="25" w:name="_Hlk181904966"/>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现代都市</w:t>
      </w:r>
      <w:bookmarkEnd w:id="25"/>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文化</w:t>
      </w:r>
      <w:bookmarkStart w:id="26" w:name="_Hlk181904983"/>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在此交融荟萃</w:t>
      </w:r>
      <w:bookmarkEnd w:id="26"/>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，文化底蕴深厚，文化遗产丰富，拥有明月寺等</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6</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处文物保护单位，以及</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8</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处不可移动文物，涌现出李文甫、陈志仁、李源等英雄人物。溯源罗浮山历史，古人多取东江水道乘舟至沙河，在石湾、园洲等镇上岸后通过陆路交通至罗浮山，东江、沙河自古就是水运交通要道，在区域商贸往来、山货交易、直通港澳等方面具有悠久的历史传承和独特地位。</w:t>
      </w:r>
    </w:p>
    <w:p w14:paraId="59D5F792">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空间发展广阔，是珠江东岸大规模成片连片开发潜力区和现代化滨江城镇建设的最佳实践地。</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博罗县域副中心划定城镇开发边界面积约</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77.32</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平方公里，占全县总量的</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33.90%</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。新增城镇集中建设区</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10.43</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平方公里，占全县新增面积的</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41.72%</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w:t>
      </w:r>
      <w:bookmarkStart w:id="27" w:name="_Hlk181905173"/>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城镇开发边界划定面积和新增集中建设区面积均居全县首位</w:t>
      </w:r>
      <w:bookmarkEnd w:id="27"/>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，是博罗可成片连片开发最大潜力区。根据</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2020</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年国土变更调查数据，博罗县域副中心国土开发强度达到</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38.39%</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，可承载常住人口规模在</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70</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万—</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100</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万，建成区达</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60</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平方公里的中等城市条件。</w:t>
      </w:r>
    </w:p>
    <w:p w14:paraId="00878F6F">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28" w:name="_Toc198247188"/>
      <w:bookmarkStart w:id="29" w:name="_Toc31679"/>
      <w:r>
        <w:rPr>
          <w:rFonts w:hint="eastAsia" w:ascii="Times New Roman" w:hAnsi="Times New Roman" w:eastAsia="黑体"/>
          <w:b w:val="0"/>
          <w:bCs w:val="0"/>
        </w:rPr>
        <w:t>发展形势</w:t>
      </w:r>
      <w:bookmarkEnd w:id="28"/>
      <w:bookmarkEnd w:id="29"/>
    </w:p>
    <w:p w14:paraId="7DE1443F">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广东省深入实施“百千万高质量发展工程”，有利于博罗县域副中心全方位提升高质量发展能级。</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2022</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年</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12</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月</w:t>
      </w:r>
      <w:r>
        <w:rPr>
          <w:rFonts w:ascii="Times New Roman" w:hAnsi="Times New Roman" w:eastAsia="仿宋_GB2312" w:cs="Times New Roman"/>
          <w:color w:val="000000" w:themeColor="text1"/>
          <w:kern w:val="0"/>
          <w:sz w:val="32"/>
          <w:szCs w:val="32"/>
          <w14:textFill>
            <w14:solidFill>
              <w14:schemeClr w14:val="tx1"/>
            </w14:solidFill>
          </w14:textFill>
          <w14:ligatures w14:val="none"/>
        </w:rPr>
        <w:t>8</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日，《中共广东省委关于实施“百县千镇万村高质量发展工程”促进城乡区域协调发展的决定》出台，明确提出：突出发展一批区位优势较好、经济实力较强、未来潜力较大的中心镇，有条件的打造成为县域副中心、发展成为小城市。博罗县域副中心是以园洲、石湾两个省级中心镇为载体进行组合打造，在全省县域层面是先例，伴随“百县千镇万村高质量发展工程”纵深推进，可为县域副中心发展提供有力的资金、金融、土地等支持。</w:t>
      </w:r>
    </w:p>
    <w:p w14:paraId="29F29F61">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bookmarkStart w:id="30" w:name="_Hlk181906084"/>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环“南昆山—罗浮山”引领区</w:t>
      </w:r>
      <w:bookmarkEnd w:id="30"/>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建设，有利于博罗县域副中心打造高端要素集聚区和综合功能承载地。</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建设环“南昆山—罗浮山”引领区是省委作出的重大决策部署，是“百千万高质量发展工程”的重要内容，是博罗县的重大发展机遇，引领区注重县镇村现代化建设，促进区域城乡共同繁荣发展。县域副中心整体被纳入环“南昆山—罗浮山”引领区建设范围，可为县域副中心提供人流、物流、信息流、资金流等重要流量。在引领区品牌效应和资源优势的双重加持下，博罗县域副中心进入发展快车道，基础设施不断完善，人气不断汇聚，各类产业蓬勃发展，为下来打造成县镇村现代化建设样板打下基础。</w:t>
      </w:r>
    </w:p>
    <w:p w14:paraId="2F8BF902">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广州东进战略纵深推进，有利于博罗县域副中心协同共建</w:t>
      </w:r>
      <w:bookmarkStart w:id="31" w:name="OLE_LINK9"/>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珠江—东江高质量发展带</w:t>
      </w:r>
      <w:bookmarkEnd w:id="31"/>
      <w:bookmarkStart w:id="32" w:name="OLE_LINK12"/>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打造增博</w:t>
      </w:r>
      <w:bookmarkStart w:id="33" w:name="_Hlk198206736"/>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跨界地区新动力源</w:t>
      </w:r>
      <w:bookmarkEnd w:id="32"/>
      <w:bookmarkEnd w:id="33"/>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广州正在推进东进战略，将黄埔、增城两区打造成为广州东部中心，博罗县域副中心是博罗西部地区高质量发展的百年大计，与广州东部中心相向发展，可共同建设珠江—东江高质量发展带，为县域副中心促进完善城市级服务配套，打造东江流域服务核心提供支撑。同时，县域副中心传统产业和新兴产业与广州东进战略重点发展的高新技术产业和现代服务业具有较强的互补性，可产业协作共同打造“珠江—东江”高质量发展带和跨界地区新动力源。</w:t>
      </w:r>
    </w:p>
    <w:p w14:paraId="50CDEEF3">
      <w:pPr>
        <w:spacing w:line="600" w:lineRule="exact"/>
        <w:ind w:firstLine="640" w:firstLineChars="200"/>
        <w:rPr>
          <w:rFonts w:ascii="Times New Roman" w:hAnsi="Times New Roman" w:eastAsia="仿宋_GB2312" w:cs="Times New Roman"/>
          <w:color w:val="000000" w:themeColor="text1"/>
          <w:kern w:val="0"/>
          <w:sz w:val="32"/>
          <w:szCs w:val="32"/>
          <w14:textFill>
            <w14:solidFill>
              <w14:schemeClr w14:val="tx1"/>
            </w14:solidFill>
          </w14:textFill>
          <w14:ligatures w14:val="none"/>
        </w:rPr>
      </w:pPr>
      <w:bookmarkStart w:id="34" w:name="OLE_LINK8"/>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深莞</w:t>
      </w:r>
      <w:bookmarkStart w:id="35" w:name="OLE_LINK7"/>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优质资源要素外溢</w:t>
      </w:r>
      <w:bookmarkEnd w:id="34"/>
      <w:bookmarkEnd w:id="35"/>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，有利于博罗县域副中心</w:t>
      </w:r>
      <w:bookmarkStart w:id="36" w:name="OLE_LINK10"/>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优化升级产业链供应链创新链</w:t>
      </w:r>
      <w:bookmarkEnd w:id="36"/>
      <w:bookmarkStart w:id="37" w:name="OLE_LINK11"/>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锻造新质生产力</w:t>
      </w:r>
      <w:bookmarkEnd w:id="37"/>
      <w:r>
        <w:rPr>
          <w:rFonts w:hint="eastAsia" w:ascii="楷体_GB2312" w:hAnsi="楷体_GB2312" w:eastAsia="楷体_GB2312" w:cs="楷体_GB2312"/>
          <w:color w:val="000000" w:themeColor="text1"/>
          <w:kern w:val="0"/>
          <w:sz w:val="32"/>
          <w:szCs w:val="32"/>
          <w14:textFill>
            <w14:solidFill>
              <w14:schemeClr w14:val="tx1"/>
            </w14:solidFill>
          </w14:textFill>
          <w14:ligatures w14:val="none"/>
        </w:rPr>
        <w:t>。</w:t>
      </w:r>
      <w:r>
        <w:rPr>
          <w:rFonts w:hint="eastAsia" w:ascii="Times New Roman" w:hAnsi="Times New Roman" w:eastAsia="仿宋_GB2312" w:cs="Times New Roman"/>
          <w:color w:val="000000" w:themeColor="text1"/>
          <w:kern w:val="0"/>
          <w:sz w:val="32"/>
          <w:szCs w:val="32"/>
          <w14:textFill>
            <w14:solidFill>
              <w14:schemeClr w14:val="tx1"/>
            </w14:solidFill>
          </w14:textFill>
          <w14:ligatures w14:val="none"/>
        </w:rPr>
        <w:t>广州、深圳、东莞等超大特大城市不断瘦身健体，有序疏解一般性制造业、区域性物流基地、专业市场等功能和设施，以及过度集中的医疗和高等教育等公共服务资源。博罗县域副中心毗邻广深莞和广深科技创新走廊的绝佳地理位置，可承接广深莞产业和科创资源外溢，有利于带动产业升级，激发创新活力，优化营商环境等，实现与穗莞深协同发展，推动县域副中心迈向高质量发展的新台阶。</w:t>
      </w:r>
    </w:p>
    <w:p w14:paraId="0754B45A">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38" w:name="_Toc198247189"/>
      <w:bookmarkStart w:id="39" w:name="_Toc11076"/>
      <w:r>
        <w:rPr>
          <w:rFonts w:hint="eastAsia" w:ascii="Times New Roman" w:hAnsi="Times New Roman" w:eastAsia="黑体"/>
          <w:b w:val="0"/>
          <w:bCs w:val="0"/>
        </w:rPr>
        <w:t>面临挑战</w:t>
      </w:r>
      <w:bookmarkEnd w:id="38"/>
      <w:bookmarkEnd w:id="39"/>
    </w:p>
    <w:p w14:paraId="57978C87">
      <w:pPr>
        <w:spacing w:line="600" w:lineRule="exact"/>
        <w:ind w:firstLine="641"/>
        <w:rPr>
          <w:rFonts w:ascii="仿宋_GB2312" w:hAnsi="仿宋_GB2312" w:eastAsia="仿宋_GB2312" w:cs="仿宋_GB2312"/>
          <w:color w:val="000000" w:themeColor="text1"/>
          <w:kern w:val="0"/>
          <w:sz w:val="32"/>
          <w:szCs w:val="32"/>
          <w14:textFill>
            <w14:solidFill>
              <w14:schemeClr w14:val="tx1"/>
            </w14:solidFill>
          </w14:textFill>
          <w14:ligatures w14:val="none"/>
        </w:rPr>
      </w:pP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当前，博罗县域副中心还存在不少问题和短板：</w:t>
      </w:r>
      <w:r>
        <w:rPr>
          <w:rFonts w:hint="eastAsia" w:ascii="仿宋_GB2312" w:hAnsi="仿宋_GB2312" w:eastAsia="仿宋_GB2312" w:cs="仿宋_GB2312"/>
          <w:b/>
          <w:bCs/>
          <w:color w:val="000000" w:themeColor="text1"/>
          <w:kern w:val="0"/>
          <w:sz w:val="32"/>
          <w:szCs w:val="32"/>
          <w14:textFill>
            <w14:solidFill>
              <w14:schemeClr w14:val="tx1"/>
            </w14:solidFill>
          </w14:textFill>
          <w14:ligatures w14:val="none"/>
        </w:rPr>
        <w:t>一是</w:t>
      </w: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城市级配套不足。园洲、石湾两镇缺乏高等级的教育、医疗、文体以及大型商业综合体，镇级公共服务配套无法满足县域副中心中等城市功能需要，也不能匹配未来产业发展需求。</w:t>
      </w:r>
      <w:r>
        <w:rPr>
          <w:rFonts w:hint="eastAsia" w:ascii="仿宋_GB2312" w:hAnsi="仿宋_GB2312" w:eastAsia="仿宋_GB2312" w:cs="仿宋_GB2312"/>
          <w:b/>
          <w:bCs/>
          <w:color w:val="000000" w:themeColor="text1"/>
          <w:kern w:val="0"/>
          <w:sz w:val="32"/>
          <w:szCs w:val="32"/>
          <w14:textFill>
            <w14:solidFill>
              <w14:schemeClr w14:val="tx1"/>
            </w14:solidFill>
          </w14:textFill>
          <w14:ligatures w14:val="none"/>
        </w:rPr>
        <w:t>二是</w:t>
      </w: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产业能级不高集群少，省级开发区—惠州博罗产业园区在</w:t>
      </w:r>
      <w:r>
        <w:rPr>
          <w:rFonts w:ascii="仿宋_GB2312" w:hAnsi="仿宋_GB2312" w:eastAsia="仿宋_GB2312" w:cs="仿宋_GB2312"/>
          <w:color w:val="000000" w:themeColor="text1"/>
          <w:kern w:val="0"/>
          <w:sz w:val="32"/>
          <w:szCs w:val="32"/>
          <w14:textFill>
            <w14:solidFill>
              <w14:schemeClr w14:val="tx1"/>
            </w14:solidFill>
          </w14:textFill>
          <w14:ligatures w14:val="none"/>
        </w:rPr>
        <w:t>2024</w:t>
      </w: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年珠三角</w:t>
      </w:r>
      <w:r>
        <w:rPr>
          <w:rFonts w:ascii="仿宋_GB2312" w:hAnsi="仿宋_GB2312" w:eastAsia="仿宋_GB2312" w:cs="仿宋_GB2312"/>
          <w:color w:val="000000" w:themeColor="text1"/>
          <w:kern w:val="0"/>
          <w:sz w:val="32"/>
          <w:szCs w:val="32"/>
          <w14:textFill>
            <w14:solidFill>
              <w14:schemeClr w14:val="tx1"/>
            </w14:solidFill>
          </w14:textFill>
          <w14:ligatures w14:val="none"/>
        </w:rPr>
        <w:t>20</w:t>
      </w: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个省产业园考核中获评优秀，但园区在县域副中心的规划面积仅为</w:t>
      </w:r>
      <w:r>
        <w:rPr>
          <w:rFonts w:ascii="仿宋_GB2312" w:hAnsi="仿宋_GB2312" w:eastAsia="仿宋_GB2312" w:cs="仿宋_GB2312"/>
          <w:color w:val="000000" w:themeColor="text1"/>
          <w:kern w:val="0"/>
          <w:sz w:val="32"/>
          <w:szCs w:val="32"/>
          <w14:textFill>
            <w14:solidFill>
              <w14:schemeClr w14:val="tx1"/>
            </w14:solidFill>
          </w14:textFill>
          <w14:ligatures w14:val="none"/>
        </w:rPr>
        <w:t>1.46</w:t>
      </w: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平方公里，且已开发建设完毕。现状产业以电子信息、电气机械与器材、纺织服装等传统制造业为主，龙头和链主企业较少，尚未真正形成分工明确、协作紧密、联动发展的产业集群。此外，研发孵化、科技金融等创新创业功能缺乏，产业整体处在中低端。</w:t>
      </w:r>
      <w:r>
        <w:rPr>
          <w:rFonts w:hint="eastAsia" w:ascii="仿宋_GB2312" w:hAnsi="仿宋_GB2312" w:eastAsia="仿宋_GB2312" w:cs="仿宋_GB2312"/>
          <w:b/>
          <w:bCs/>
          <w:color w:val="000000" w:themeColor="text1"/>
          <w:kern w:val="0"/>
          <w:sz w:val="32"/>
          <w:szCs w:val="32"/>
          <w14:textFill>
            <w14:solidFill>
              <w14:schemeClr w14:val="tx1"/>
            </w14:solidFill>
          </w14:textFill>
          <w14:ligatures w14:val="none"/>
        </w:rPr>
        <w:t>三是</w:t>
      </w: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滨江城市建设水平不高，县域副中心江与城关系缺少规划统筹、协同不足，滨江空间未能充分利用，滨江一线景观风貌不佳，公园内部景观品质不高，与当地传统文化、民俗艺术结合不足，城市宜居水平和吸引力有待提升。</w:t>
      </w:r>
      <w:r>
        <w:rPr>
          <w:rFonts w:hint="eastAsia" w:ascii="仿宋_GB2312" w:hAnsi="仿宋_GB2312" w:eastAsia="仿宋_GB2312" w:cs="仿宋_GB2312"/>
          <w:b/>
          <w:bCs/>
          <w:color w:val="000000" w:themeColor="text1"/>
          <w:kern w:val="0"/>
          <w:sz w:val="32"/>
          <w:szCs w:val="32"/>
          <w14:textFill>
            <w14:solidFill>
              <w14:schemeClr w14:val="tx1"/>
            </w14:solidFill>
          </w14:textFill>
          <w14:ligatures w14:val="none"/>
        </w:rPr>
        <w:t>四是</w:t>
      </w: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对外快速联通能力不足。县域副中心东西向与博罗县城、广州中心城区联系紧靠广惠高速和广汕公路（国道</w:t>
      </w:r>
      <w:r>
        <w:rPr>
          <w:rFonts w:ascii="仿宋_GB2312" w:hAnsi="仿宋_GB2312" w:eastAsia="仿宋_GB2312" w:cs="仿宋_GB2312"/>
          <w:color w:val="000000" w:themeColor="text1"/>
          <w:kern w:val="0"/>
          <w:sz w:val="32"/>
          <w:szCs w:val="32"/>
          <w14:textFill>
            <w14:solidFill>
              <w14:schemeClr w14:val="tx1"/>
            </w14:solidFill>
          </w14:textFill>
          <w14:ligatures w14:val="none"/>
        </w:rPr>
        <w:t>G324</w:t>
      </w: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线），时长在</w:t>
      </w:r>
      <w:r>
        <w:rPr>
          <w:rFonts w:ascii="仿宋_GB2312" w:hAnsi="仿宋_GB2312" w:eastAsia="仿宋_GB2312" w:cs="仿宋_GB2312"/>
          <w:color w:val="000000" w:themeColor="text1"/>
          <w:kern w:val="0"/>
          <w:sz w:val="32"/>
          <w:szCs w:val="32"/>
          <w14:textFill>
            <w14:solidFill>
              <w14:schemeClr w14:val="tx1"/>
            </w14:solidFill>
          </w14:textFill>
          <w14:ligatures w14:val="none"/>
        </w:rPr>
        <w:t>40</w:t>
      </w: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分钟以上。与东莞过江通道能力明显不足，石湾大桥、石洲大桥、罗浮山大桥建设时间早、标准低，为三类危桥，长期处于“撑破肚”超负荷运行。与长宁镇、罗浮山联系路网等级低、通而不畅。此外，县域副中心还没有一个大型的综合性交通枢纽，与密集的人口、发达的工业经济不匹配。</w:t>
      </w:r>
      <w:r>
        <w:rPr>
          <w:rFonts w:hint="eastAsia" w:ascii="仿宋_GB2312" w:hAnsi="仿宋_GB2312" w:eastAsia="仿宋_GB2312" w:cs="仿宋_GB2312"/>
          <w:b/>
          <w:bCs/>
          <w:color w:val="000000" w:themeColor="text1"/>
          <w:kern w:val="0"/>
          <w:sz w:val="32"/>
          <w:szCs w:val="32"/>
          <w14:textFill>
            <w14:solidFill>
              <w14:schemeClr w14:val="tx1"/>
            </w14:solidFill>
          </w14:textFill>
          <w14:ligatures w14:val="none"/>
        </w:rPr>
        <w:t>五是</w:t>
      </w:r>
      <w:r>
        <w:rPr>
          <w:rFonts w:hint="eastAsia" w:ascii="仿宋_GB2312" w:hAnsi="仿宋_GB2312" w:eastAsia="仿宋_GB2312" w:cs="仿宋_GB2312"/>
          <w:color w:val="000000" w:themeColor="text1"/>
          <w:kern w:val="0"/>
          <w:sz w:val="32"/>
          <w:szCs w:val="32"/>
          <w14:textFill>
            <w14:solidFill>
              <w14:schemeClr w14:val="tx1"/>
            </w14:solidFill>
          </w14:textFill>
          <w14:ligatures w14:val="none"/>
        </w:rPr>
        <w:t>管理机制还不畅，县域副中心现有镇级管理机构无法统一管理副中心事务，急需成立一个管理机构统筹管理副中心具体工作，下放县级审批权限。</w:t>
      </w:r>
    </w:p>
    <w:p w14:paraId="6BF6FAD8">
      <w:pPr>
        <w:spacing w:line="360" w:lineRule="auto"/>
        <w:ind w:firstLine="640" w:firstLineChars="200"/>
        <w:rPr>
          <w:rFonts w:ascii="仿宋_GB2312" w:hAnsi="仿宋_GB2312" w:eastAsia="仿宋_GB2312" w:cs="仿宋_GB2312"/>
          <w:color w:val="000000" w:themeColor="text1"/>
          <w:kern w:val="0"/>
          <w:sz w:val="32"/>
          <w:szCs w:val="32"/>
          <w14:textFill>
            <w14:solidFill>
              <w14:schemeClr w14:val="tx1"/>
            </w14:solidFill>
          </w14:textFill>
          <w14:ligatures w14:val="none"/>
        </w:rPr>
        <w:sectPr>
          <w:pgSz w:w="11906" w:h="16838"/>
          <w:pgMar w:top="1440" w:right="1800" w:bottom="1440" w:left="1800" w:header="851" w:footer="992" w:gutter="0"/>
          <w:cols w:space="425" w:num="1"/>
          <w:docGrid w:type="lines" w:linePitch="312" w:charSpace="0"/>
        </w:sectPr>
      </w:pPr>
    </w:p>
    <w:p w14:paraId="7D022E92">
      <w:pPr>
        <w:pStyle w:val="3"/>
        <w:keepNext w:val="0"/>
        <w:keepLines w:val="0"/>
        <w:spacing w:before="312" w:beforeLines="100" w:after="312" w:afterLines="100" w:line="360" w:lineRule="auto"/>
        <w:jc w:val="center"/>
        <w:rPr>
          <w:rFonts w:ascii="Times New Roman" w:hAnsi="Times New Roman" w:eastAsia="黑体" w:cs="黑体"/>
          <w:kern w:val="1"/>
          <w:sz w:val="40"/>
          <w:szCs w:val="40"/>
          <w14:ligatures w14:val="none"/>
        </w:rPr>
      </w:pPr>
      <w:bookmarkStart w:id="40" w:name="_Toc2027"/>
      <w:bookmarkStart w:id="41" w:name="_Toc198247190"/>
      <w:r>
        <w:rPr>
          <w:rFonts w:hint="eastAsia" w:ascii="Times New Roman" w:hAnsi="Times New Roman" w:eastAsia="黑体"/>
          <w:b w:val="0"/>
          <w:bCs w:val="0"/>
          <w:sz w:val="40"/>
          <w:szCs w:val="40"/>
        </w:rPr>
        <w:t>第三章 总体要求</w:t>
      </w:r>
      <w:bookmarkEnd w:id="40"/>
      <w:bookmarkEnd w:id="41"/>
    </w:p>
    <w:p w14:paraId="57C18BDA">
      <w:pPr>
        <w:pStyle w:val="4"/>
        <w:keepNext w:val="0"/>
        <w:keepLines w:val="0"/>
        <w:numPr>
          <w:ilvl w:val="1"/>
          <w:numId w:val="1"/>
        </w:numPr>
        <w:spacing w:before="0" w:after="0" w:line="360" w:lineRule="auto"/>
        <w:ind w:firstLine="0"/>
        <w:jc w:val="center"/>
        <w:rPr>
          <w:rFonts w:ascii="Times New Roman" w:hAnsi="Times New Roman" w:eastAsia="黑体" w:cs="黑体"/>
          <w:bCs w:val="0"/>
          <w14:ligatures w14:val="none"/>
        </w:rPr>
      </w:pPr>
      <w:bookmarkStart w:id="42" w:name="_Toc198247191"/>
      <w:bookmarkStart w:id="43" w:name="_Toc16836"/>
      <w:r>
        <w:rPr>
          <w:rFonts w:hint="eastAsia" w:ascii="Times New Roman" w:hAnsi="Times New Roman" w:eastAsia="黑体"/>
          <w:b w:val="0"/>
          <w:bCs w:val="0"/>
        </w:rPr>
        <w:t>指导思想</w:t>
      </w:r>
      <w:bookmarkEnd w:id="42"/>
      <w:bookmarkEnd w:id="43"/>
    </w:p>
    <w:p w14:paraId="371F0AEE">
      <w:pPr>
        <w:spacing w:line="600" w:lineRule="exact"/>
        <w:ind w:firstLine="640" w:firstLineChars="200"/>
        <w:rPr>
          <w:rFonts w:ascii="Times New Roman" w:hAnsi="Times New Roman" w:eastAsia="仿宋_GB2312" w:cs="楷体_GB2312"/>
          <w:kern w:val="0"/>
          <w:sz w:val="28"/>
          <w:szCs w:val="28"/>
        </w:rPr>
      </w:pPr>
      <w:r>
        <w:rPr>
          <w:rFonts w:hint="eastAsia" w:ascii="Times New Roman" w:hAnsi="Times New Roman" w:eastAsia="仿宋_GB2312" w:cs="仿宋_GB2312"/>
          <w:kern w:val="0"/>
          <w:sz w:val="32"/>
          <w:szCs w:val="32"/>
        </w:rPr>
        <w:t>坚持以习近平新时代中国特色社会主义思想为指导，全面贯彻党的二十大和二十届二中、三中全会精神，深入贯彻落实习近平总书记对广东系列重要讲话和重要指示精神，围绕省委“1310”具体部署，顺应区域协调规律、城乡发展规律和产业集聚规律，整合各类资源，重塑发展新优势，将县域副中心建成珠江东岸创新产业高地、“环南昆山—罗浮山”引领区综合服务中心、现代化生态智慧城市标杆，引领带动周边地区一体化发展，打造成为惠州市乃至全省“百县千镇万村高质量发展工程”示范样板。</w:t>
      </w:r>
    </w:p>
    <w:p w14:paraId="3CF3130B">
      <w:pPr>
        <w:pStyle w:val="4"/>
        <w:keepNext w:val="0"/>
        <w:keepLines w:val="0"/>
        <w:numPr>
          <w:ilvl w:val="1"/>
          <w:numId w:val="1"/>
        </w:numPr>
        <w:spacing w:before="0" w:after="0" w:line="360" w:lineRule="auto"/>
        <w:ind w:firstLine="0"/>
        <w:jc w:val="center"/>
        <w:rPr>
          <w:rFonts w:ascii="Times New Roman" w:hAnsi="Times New Roman" w:eastAsia="黑体" w:cs="黑体"/>
          <w:bCs w:val="0"/>
          <w14:ligatures w14:val="none"/>
        </w:rPr>
      </w:pPr>
      <w:bookmarkStart w:id="44" w:name="_Toc12412"/>
      <w:bookmarkStart w:id="45" w:name="_Toc198247192"/>
      <w:r>
        <w:rPr>
          <w:rFonts w:hint="eastAsia" w:ascii="Times New Roman" w:hAnsi="Times New Roman" w:eastAsia="黑体"/>
          <w:b w:val="0"/>
          <w:bCs w:val="0"/>
        </w:rPr>
        <w:t>基本原则</w:t>
      </w:r>
      <w:bookmarkEnd w:id="44"/>
      <w:bookmarkEnd w:id="45"/>
    </w:p>
    <w:p w14:paraId="13C72A6F">
      <w:pPr>
        <w:spacing w:line="600" w:lineRule="exact"/>
        <w:ind w:firstLine="640" w:firstLineChars="200"/>
        <w:rPr>
          <w:rFonts w:ascii="Times New Roman" w:hAnsi="Times New Roman" w:eastAsia="仿宋_GB2312" w:cs="仿宋_GB2312"/>
          <w:kern w:val="0"/>
          <w:sz w:val="32"/>
          <w:szCs w:val="32"/>
        </w:rPr>
      </w:pPr>
      <w:r>
        <w:rPr>
          <w:rFonts w:hint="eastAsia" w:ascii="楷体_GB2312" w:hAnsi="楷体_GB2312" w:eastAsia="楷体_GB2312" w:cs="楷体_GB2312"/>
          <w:kern w:val="0"/>
          <w:sz w:val="32"/>
          <w:szCs w:val="32"/>
        </w:rPr>
        <w:t>对标先进，高位谋划。</w:t>
      </w:r>
      <w:r>
        <w:rPr>
          <w:rFonts w:hint="eastAsia" w:ascii="Times New Roman" w:hAnsi="Times New Roman" w:eastAsia="仿宋_GB2312" w:cs="仿宋_GB2312"/>
          <w:kern w:val="0"/>
          <w:sz w:val="32"/>
          <w:szCs w:val="32"/>
        </w:rPr>
        <w:t>落实《环南昆山—罗浮山县镇村高质量发展引领区总体规划纲要》，对标国内县域副中心先进做法，进行高水平设计、高质量打造、高品质运营，把县域副中心打造成为高端要素集聚区、高端产业引领区、高品质生活示范区，彰显县域副中心发展实力、一流品质和博罗特色。</w:t>
      </w:r>
    </w:p>
    <w:p w14:paraId="37E758BB">
      <w:pPr>
        <w:spacing w:line="600" w:lineRule="exact"/>
        <w:ind w:firstLine="640" w:firstLineChars="200"/>
        <w:rPr>
          <w:rFonts w:ascii="Times New Roman" w:hAnsi="Times New Roman" w:eastAsia="仿宋_GB2312" w:cs="仿宋_GB2312"/>
          <w:kern w:val="0"/>
          <w:sz w:val="32"/>
          <w:szCs w:val="32"/>
        </w:rPr>
      </w:pPr>
      <w:r>
        <w:rPr>
          <w:rFonts w:hint="eastAsia" w:ascii="楷体_GB2312" w:hAnsi="楷体_GB2312" w:eastAsia="楷体_GB2312" w:cs="楷体_GB2312"/>
          <w:kern w:val="0"/>
          <w:sz w:val="32"/>
          <w:szCs w:val="32"/>
        </w:rPr>
        <w:t>产业引领，创新赋能。</w:t>
      </w:r>
      <w:r>
        <w:rPr>
          <w:rFonts w:ascii="Times New Roman" w:hAnsi="Times New Roman" w:eastAsia="仿宋_GB2312" w:cs="仿宋_GB2312"/>
          <w:kern w:val="0"/>
          <w:sz w:val="32"/>
          <w:szCs w:val="32"/>
        </w:rPr>
        <w:t>立足资源禀赋、产业基础和区位优势，顺应“高端化、智能化、绿色化”融合趋势，主动承接湾区资源外溢，积极探索科技创新转化、制造业协同联动、生态价值赋能路径，</w:t>
      </w:r>
      <w:r>
        <w:rPr>
          <w:rFonts w:hint="eastAsia" w:ascii="Times New Roman" w:hAnsi="Times New Roman" w:eastAsia="仿宋_GB2312" w:cs="仿宋_GB2312"/>
          <w:kern w:val="0"/>
          <w:sz w:val="32"/>
          <w:szCs w:val="32"/>
        </w:rPr>
        <w:t>补齐补强结构性、功能性发展短板，</w:t>
      </w:r>
      <w:r>
        <w:rPr>
          <w:rFonts w:ascii="Times New Roman" w:hAnsi="Times New Roman" w:eastAsia="仿宋_GB2312" w:cs="仿宋_GB2312"/>
          <w:kern w:val="0"/>
          <w:sz w:val="32"/>
          <w:szCs w:val="32"/>
        </w:rPr>
        <w:t>发展新质生产力，推进</w:t>
      </w:r>
      <w:r>
        <w:rPr>
          <w:rFonts w:hint="eastAsia" w:ascii="Times New Roman" w:hAnsi="Times New Roman" w:eastAsia="仿宋_GB2312" w:cs="仿宋_GB2312"/>
          <w:kern w:val="0"/>
          <w:sz w:val="32"/>
          <w:szCs w:val="32"/>
        </w:rPr>
        <w:t>县域副中心</w:t>
      </w:r>
      <w:r>
        <w:rPr>
          <w:rFonts w:ascii="Times New Roman" w:hAnsi="Times New Roman" w:eastAsia="仿宋_GB2312" w:cs="仿宋_GB2312"/>
          <w:kern w:val="0"/>
          <w:sz w:val="32"/>
          <w:szCs w:val="32"/>
        </w:rPr>
        <w:t>新型工业化</w:t>
      </w:r>
      <w:r>
        <w:rPr>
          <w:rFonts w:hint="eastAsia" w:ascii="Times New Roman" w:hAnsi="Times New Roman" w:eastAsia="仿宋_GB2312" w:cs="仿宋_GB2312"/>
          <w:kern w:val="0"/>
          <w:sz w:val="32"/>
          <w:szCs w:val="32"/>
        </w:rPr>
        <w:t>、</w:t>
      </w:r>
      <w:r>
        <w:rPr>
          <w:rFonts w:ascii="Times New Roman" w:hAnsi="Times New Roman" w:eastAsia="仿宋_GB2312" w:cs="仿宋_GB2312"/>
          <w:kern w:val="0"/>
          <w:sz w:val="32"/>
          <w:szCs w:val="32"/>
        </w:rPr>
        <w:t>生态产业化</w:t>
      </w:r>
      <w:r>
        <w:rPr>
          <w:rFonts w:hint="eastAsia" w:ascii="Times New Roman" w:hAnsi="Times New Roman" w:eastAsia="仿宋_GB2312" w:cs="仿宋_GB2312"/>
          <w:kern w:val="0"/>
          <w:sz w:val="32"/>
          <w:szCs w:val="32"/>
        </w:rPr>
        <w:t>齐头并进。</w:t>
      </w:r>
    </w:p>
    <w:p w14:paraId="60DC6E11">
      <w:pPr>
        <w:spacing w:line="600" w:lineRule="exact"/>
        <w:ind w:firstLine="640" w:firstLineChars="200"/>
        <w:rPr>
          <w:rFonts w:ascii="Times New Roman" w:hAnsi="Times New Roman" w:eastAsia="仿宋_GB2312" w:cs="仿宋_GB2312"/>
          <w:kern w:val="0"/>
          <w:sz w:val="32"/>
          <w:szCs w:val="32"/>
        </w:rPr>
      </w:pPr>
      <w:r>
        <w:rPr>
          <w:rFonts w:hint="eastAsia" w:ascii="楷体_GB2312" w:hAnsi="楷体_GB2312" w:eastAsia="楷体_GB2312" w:cs="楷体_GB2312"/>
          <w:kern w:val="0"/>
          <w:sz w:val="32"/>
          <w:szCs w:val="32"/>
        </w:rPr>
        <w:t>生态优先，绿色低碳。</w:t>
      </w:r>
      <w:r>
        <w:rPr>
          <w:rFonts w:hint="eastAsia" w:ascii="Times New Roman" w:hAnsi="Times New Roman" w:eastAsia="仿宋_GB2312" w:cs="仿宋_GB2312"/>
          <w:kern w:val="0"/>
          <w:sz w:val="32"/>
          <w:szCs w:val="32"/>
        </w:rPr>
        <w:t>以“绿美广东”生态建设为牵引，加强生态环境保护、提升可持续发展水平，充分融入岭南水乡特质，将县域副中心生态景观转化为发展优势，推动经济社会发展全面绿色转型，提升城乡建设绿色低碳发展质量，形成节约资源和保护环境的产业结构、生产方式、生活方式、空间格局。</w:t>
      </w:r>
    </w:p>
    <w:p w14:paraId="19C920D0">
      <w:pPr>
        <w:spacing w:line="600" w:lineRule="exact"/>
        <w:ind w:firstLine="640" w:firstLineChars="200"/>
        <w:rPr>
          <w:rFonts w:ascii="Times New Roman" w:hAnsi="Times New Roman" w:eastAsia="仿宋_GB2312" w:cs="仿宋_GB2312"/>
          <w:kern w:val="0"/>
          <w:sz w:val="32"/>
          <w:szCs w:val="32"/>
        </w:rPr>
      </w:pPr>
      <w:r>
        <w:rPr>
          <w:rFonts w:hint="eastAsia" w:ascii="楷体_GB2312" w:hAnsi="楷体_GB2312" w:eastAsia="楷体_GB2312" w:cs="楷体_GB2312"/>
          <w:kern w:val="0"/>
          <w:sz w:val="32"/>
          <w:szCs w:val="32"/>
        </w:rPr>
        <w:t>品质提升，共享发展。</w:t>
      </w:r>
      <w:r>
        <w:rPr>
          <w:rFonts w:hint="eastAsia" w:ascii="Times New Roman" w:hAnsi="Times New Roman" w:eastAsia="仿宋_GB2312" w:cs="仿宋_GB2312"/>
          <w:kern w:val="0"/>
          <w:sz w:val="32"/>
          <w:szCs w:val="32"/>
        </w:rPr>
        <w:t>坚持发展为了人民、发展依靠人民、发展成果由人民共享，充分调动人民积极性、主动性、创造性，增强发展动力。突出以人为核心的新型城镇化，全方位展示副中心品质品位、气质气派、特点特色，提升城乡居民生活水平，使全体人民在共建共享发展中有更多获得感和幸福感。</w:t>
      </w:r>
    </w:p>
    <w:p w14:paraId="17E4BCD8">
      <w:pPr>
        <w:spacing w:line="600" w:lineRule="exact"/>
        <w:ind w:firstLine="640" w:firstLineChars="200"/>
        <w:rPr>
          <w:rFonts w:ascii="Times New Roman" w:hAnsi="Times New Roman" w:eastAsia="仿宋_GB2312" w:cs="仿宋_GB2312"/>
          <w:kern w:val="0"/>
          <w:sz w:val="32"/>
          <w:szCs w:val="32"/>
        </w:rPr>
      </w:pPr>
      <w:r>
        <w:rPr>
          <w:rFonts w:hint="eastAsia" w:ascii="楷体_GB2312" w:hAnsi="楷体_GB2312" w:eastAsia="楷体_GB2312" w:cs="楷体_GB2312"/>
          <w:kern w:val="0"/>
          <w:sz w:val="32"/>
          <w:szCs w:val="32"/>
        </w:rPr>
        <w:t>主副结合、区域协同。</w:t>
      </w:r>
      <w:r>
        <w:rPr>
          <w:rFonts w:hint="eastAsia" w:ascii="Times New Roman" w:hAnsi="Times New Roman" w:eastAsia="仿宋_GB2312" w:cs="仿宋_GB2312"/>
          <w:kern w:val="0"/>
          <w:sz w:val="32"/>
          <w:szCs w:val="32"/>
        </w:rPr>
        <w:t>全面对接粤港澳大湾区国家战略和环“南昆山—罗浮山”引领区重大发展格局，立足博罗“一主一副”战略布局，统筹谋划县域副中心</w:t>
      </w:r>
      <w:r>
        <w:rPr>
          <w:rFonts w:ascii="Times New Roman" w:hAnsi="Times New Roman" w:eastAsia="仿宋_GB2312" w:cs="仿宋_GB2312"/>
          <w:kern w:val="0"/>
          <w:sz w:val="32"/>
          <w:szCs w:val="32"/>
        </w:rPr>
        <w:t>与周边</w:t>
      </w:r>
      <w:r>
        <w:rPr>
          <w:rFonts w:hint="eastAsia" w:ascii="Times New Roman" w:hAnsi="Times New Roman" w:eastAsia="仿宋_GB2312" w:cs="仿宋_GB2312"/>
          <w:kern w:val="0"/>
          <w:sz w:val="32"/>
          <w:szCs w:val="32"/>
        </w:rPr>
        <w:t>城市组团、博罗县城主中心、北部城镇组团和罗浮山生态组团的功能结构、生态共治、交通互通和发展协同，引领带动博罗县主—副中心共同发展，集中突破，提升整体吸引力、集聚力和综合承载力。</w:t>
      </w:r>
    </w:p>
    <w:p w14:paraId="3D2D60F1">
      <w:pPr>
        <w:pStyle w:val="4"/>
        <w:keepNext w:val="0"/>
        <w:keepLines w:val="0"/>
        <w:numPr>
          <w:ilvl w:val="1"/>
          <w:numId w:val="1"/>
        </w:numPr>
        <w:spacing w:before="0" w:after="0" w:line="360" w:lineRule="auto"/>
        <w:ind w:firstLine="0"/>
        <w:jc w:val="center"/>
        <w:rPr>
          <w:rFonts w:ascii="Times New Roman" w:hAnsi="Times New Roman" w:eastAsia="黑体" w:cs="黑体"/>
          <w:bCs w:val="0"/>
          <w14:ligatures w14:val="none"/>
        </w:rPr>
      </w:pPr>
      <w:bookmarkStart w:id="46" w:name="_Toc198247193"/>
      <w:bookmarkStart w:id="47" w:name="_Toc11389"/>
      <w:r>
        <w:rPr>
          <w:rFonts w:hint="eastAsia" w:ascii="Times New Roman" w:hAnsi="Times New Roman" w:eastAsia="黑体"/>
          <w:b w:val="0"/>
          <w:bCs w:val="0"/>
        </w:rPr>
        <w:t>战略定位</w:t>
      </w:r>
      <w:bookmarkEnd w:id="46"/>
      <w:bookmarkEnd w:id="47"/>
    </w:p>
    <w:p w14:paraId="10ECD96B">
      <w:pPr>
        <w:spacing w:line="600" w:lineRule="exact"/>
        <w:ind w:firstLine="640" w:firstLineChars="200"/>
        <w:rPr>
          <w:rFonts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博罗县域副中心是博罗参与粤港澳大湾区区域协作的重要一极。重点统筹好县域副中心与县城主中心“主”与“副”协调发展关系，实现以副辅主、主副共兴；统筹好县域副中心与园洲、石湾两个美丽圩镇的互补发展关系，实现以城带乡、城乡共荣；统筹好与广州东部中心、东莞北部区域的协作发展关系，将县域副中心建设成为穗莞惠三地市交界地区休闲消费中心，实现以点带面、区域共进。</w:t>
      </w:r>
    </w:p>
    <w:p w14:paraId="695D8582">
      <w:pPr>
        <w:spacing w:line="600" w:lineRule="exact"/>
        <w:ind w:firstLine="640" w:firstLineChars="200"/>
        <w:rPr>
          <w:rFonts w:ascii="Times New Roman" w:hAnsi="Times New Roman" w:eastAsia="仿宋_GB2312" w:cs="仿宋_GB2312"/>
          <w:kern w:val="0"/>
          <w:sz w:val="32"/>
          <w:szCs w:val="32"/>
        </w:rPr>
      </w:pPr>
      <w:r>
        <w:rPr>
          <w:rFonts w:hint="eastAsia" w:ascii="Times New Roman" w:hAnsi="Times New Roman" w:eastAsia="楷体_GB2312" w:cs="仿宋_GB2312"/>
          <w:kern w:val="0"/>
          <w:sz w:val="32"/>
          <w:szCs w:val="32"/>
        </w:rPr>
        <w:t>珠江东岸创新产业高地。</w:t>
      </w:r>
      <w:r>
        <w:rPr>
          <w:rFonts w:hint="eastAsia" w:ascii="Times New Roman" w:hAnsi="Times New Roman" w:eastAsia="仿宋_GB2312" w:cs="仿宋_GB2312"/>
          <w:kern w:val="0"/>
          <w:sz w:val="32"/>
          <w:szCs w:val="32"/>
        </w:rPr>
        <w:t>围绕县域副中心功能定位，承接粤港澳大湾区核心城市</w:t>
      </w:r>
      <w:r>
        <w:rPr>
          <w:rFonts w:ascii="Times New Roman" w:hAnsi="Times New Roman" w:eastAsia="仿宋_GB2312" w:cs="仿宋_GB2312"/>
          <w:kern w:val="0"/>
          <w:sz w:val="32"/>
          <w:szCs w:val="32"/>
        </w:rPr>
        <w:t>技术和服务外溢</w:t>
      </w:r>
      <w:r>
        <w:rPr>
          <w:rFonts w:hint="eastAsia" w:ascii="Times New Roman" w:hAnsi="Times New Roman" w:eastAsia="仿宋_GB2312" w:cs="仿宋_GB2312"/>
          <w:kern w:val="0"/>
          <w:sz w:val="32"/>
          <w:szCs w:val="32"/>
        </w:rPr>
        <w:t>，高标准规划建设惠州博罗产业园区和博罗智能装备产业园区两大园区，</w:t>
      </w:r>
      <w:r>
        <w:rPr>
          <w:rFonts w:ascii="Times New Roman" w:hAnsi="Times New Roman" w:eastAsia="仿宋_GB2312" w:cs="仿宋_GB2312"/>
          <w:kern w:val="0"/>
          <w:sz w:val="32"/>
          <w:szCs w:val="32"/>
        </w:rPr>
        <w:t>形成引领创新发展的前沿</w:t>
      </w:r>
      <w:r>
        <w:rPr>
          <w:rFonts w:hint="eastAsia" w:ascii="Times New Roman" w:hAnsi="Times New Roman" w:eastAsia="仿宋_GB2312" w:cs="仿宋_GB2312"/>
          <w:kern w:val="0"/>
          <w:sz w:val="32"/>
          <w:szCs w:val="32"/>
        </w:rPr>
        <w:t>创新产业</w:t>
      </w:r>
      <w:r>
        <w:rPr>
          <w:rFonts w:ascii="Times New Roman" w:hAnsi="Times New Roman" w:eastAsia="仿宋_GB2312" w:cs="仿宋_GB2312"/>
          <w:kern w:val="0"/>
          <w:sz w:val="32"/>
          <w:szCs w:val="32"/>
        </w:rPr>
        <w:t>界面，破解当前分散扁平、重点平台高端职能欠缺的发展困境</w:t>
      </w:r>
      <w:r>
        <w:rPr>
          <w:rFonts w:hint="eastAsia" w:ascii="Times New Roman" w:hAnsi="Times New Roman" w:eastAsia="仿宋_GB2312" w:cs="仿宋_GB2312"/>
          <w:kern w:val="0"/>
          <w:sz w:val="32"/>
          <w:szCs w:val="32"/>
        </w:rPr>
        <w:t>，聚力打造珠江东岸创新产业高地。</w:t>
      </w:r>
    </w:p>
    <w:p w14:paraId="43D7A970">
      <w:pPr>
        <w:spacing w:line="600" w:lineRule="exact"/>
        <w:ind w:firstLine="640" w:firstLineChars="200"/>
        <w:rPr>
          <w:rFonts w:ascii="Times New Roman" w:hAnsi="Times New Roman" w:eastAsia="仿宋_GB2312" w:cs="仿宋_GB2312"/>
          <w:kern w:val="0"/>
          <w:sz w:val="32"/>
          <w:szCs w:val="32"/>
        </w:rPr>
      </w:pPr>
      <w:r>
        <w:rPr>
          <w:rFonts w:hint="eastAsia" w:ascii="Times New Roman" w:hAnsi="Times New Roman" w:eastAsia="楷体_GB2312" w:cs="仿宋_GB2312"/>
          <w:kern w:val="0"/>
          <w:sz w:val="32"/>
          <w:szCs w:val="32"/>
        </w:rPr>
        <w:t>环“南昆山—罗浮山”</w:t>
      </w:r>
      <w:r>
        <w:rPr>
          <w:rFonts w:ascii="Times New Roman" w:hAnsi="Times New Roman" w:eastAsia="楷体_GB2312" w:cs="仿宋_GB2312"/>
          <w:kern w:val="0"/>
          <w:sz w:val="32"/>
          <w:szCs w:val="32"/>
        </w:rPr>
        <w:t>引领区综合服务中心</w:t>
      </w:r>
      <w:r>
        <w:rPr>
          <w:rFonts w:hint="eastAsia" w:ascii="Times New Roman" w:hAnsi="Times New Roman" w:eastAsia="楷体_GB2312" w:cs="仿宋_GB2312"/>
          <w:kern w:val="0"/>
          <w:sz w:val="32"/>
          <w:szCs w:val="32"/>
        </w:rPr>
        <w:t>。</w:t>
      </w:r>
      <w:r>
        <w:rPr>
          <w:rFonts w:hint="eastAsia" w:ascii="Times New Roman" w:hAnsi="Times New Roman" w:eastAsia="仿宋_GB2312" w:cs="仿宋_GB2312"/>
          <w:kern w:val="0"/>
          <w:sz w:val="32"/>
          <w:szCs w:val="32"/>
        </w:rPr>
        <w:t>以智能制造为特色，建成集工作、生活和休闲为一体的现代新型宜居城区和县级公共中心。以就业岗位为基础，以山水环境为特色，完善县域副中心的生活服务设施，适应多领域的就业者居住需要。坚持以人为本，推动新建区与老镇区的包容互促，提高民生保障和公共服务供给水平。</w:t>
      </w:r>
    </w:p>
    <w:p w14:paraId="438C0607">
      <w:pPr>
        <w:spacing w:line="600" w:lineRule="exact"/>
        <w:ind w:firstLine="640" w:firstLineChars="200"/>
        <w:rPr>
          <w:rFonts w:ascii="Times New Roman" w:hAnsi="Times New Roman" w:eastAsia="仿宋_GB2312" w:cs="仿宋_GB2312"/>
          <w:kern w:val="0"/>
          <w:sz w:val="32"/>
          <w:szCs w:val="32"/>
        </w:rPr>
      </w:pPr>
      <w:r>
        <w:rPr>
          <w:rFonts w:ascii="Times New Roman" w:hAnsi="Times New Roman" w:eastAsia="楷体_GB2312" w:cs="仿宋_GB2312"/>
          <w:kern w:val="0"/>
          <w:sz w:val="32"/>
          <w:szCs w:val="32"/>
        </w:rPr>
        <w:t>现代化生态智慧城市标杆</w:t>
      </w:r>
      <w:r>
        <w:rPr>
          <w:rFonts w:hint="eastAsia" w:ascii="Times New Roman" w:hAnsi="Times New Roman" w:eastAsia="楷体_GB2312" w:cs="仿宋_GB2312"/>
          <w:kern w:val="0"/>
          <w:sz w:val="32"/>
          <w:szCs w:val="32"/>
        </w:rPr>
        <w:t>。</w:t>
      </w:r>
      <w:r>
        <w:rPr>
          <w:rFonts w:hint="eastAsia" w:ascii="Times New Roman" w:hAnsi="Times New Roman" w:eastAsia="仿宋_GB2312" w:cs="仿宋_GB2312"/>
          <w:kern w:val="0"/>
          <w:sz w:val="32"/>
          <w:szCs w:val="32"/>
        </w:rPr>
        <w:t>坚持生态优先，贯彻绿水青山就是金山银山理念，呵护蓝绿空间；坚持绿色发展，使用再生能源、发展绿色交通，强化废物和水资源的再生利用，形成绿色低碳型城区。坚持智慧智能，落实惠州数字城市建设要求，提升智慧化、智能化水平，在“智慧园区”“智慧城区”建设上作出示范。</w:t>
      </w:r>
    </w:p>
    <w:p w14:paraId="6DD01A4D">
      <w:pPr>
        <w:pStyle w:val="4"/>
        <w:keepNext w:val="0"/>
        <w:keepLines w:val="0"/>
        <w:numPr>
          <w:ilvl w:val="1"/>
          <w:numId w:val="1"/>
        </w:numPr>
        <w:spacing w:before="0" w:after="0" w:line="360" w:lineRule="auto"/>
        <w:ind w:firstLine="0"/>
        <w:jc w:val="center"/>
        <w:rPr>
          <w:rFonts w:ascii="Times New Roman" w:hAnsi="Times New Roman" w:eastAsia="黑体" w:cs="黑体"/>
          <w:bCs w:val="0"/>
          <w14:ligatures w14:val="none"/>
        </w:rPr>
      </w:pPr>
      <w:bookmarkStart w:id="48" w:name="_Toc18737"/>
      <w:bookmarkStart w:id="49" w:name="_Toc198247194"/>
      <w:r>
        <w:rPr>
          <w:rFonts w:hint="eastAsia" w:ascii="Times New Roman" w:hAnsi="Times New Roman" w:eastAsia="黑体"/>
          <w:b w:val="0"/>
          <w:bCs w:val="0"/>
        </w:rPr>
        <w:t>发展目标</w:t>
      </w:r>
      <w:bookmarkEnd w:id="48"/>
      <w:bookmarkEnd w:id="49"/>
    </w:p>
    <w:p w14:paraId="638DDB0E">
      <w:pPr>
        <w:spacing w:line="600" w:lineRule="exact"/>
        <w:ind w:firstLine="640" w:firstLineChars="200"/>
        <w:rPr>
          <w:rFonts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按照“三年出形象，五年成规模，十年树标杆”的要求，以及建成“未来之城、精致之城、时尚之城、创新之城”的总体目标，县域副中心发展的阶段性目标为：</w:t>
      </w:r>
    </w:p>
    <w:p w14:paraId="54199541">
      <w:pPr>
        <w:spacing w:line="600" w:lineRule="exact"/>
        <w:ind w:firstLine="640" w:firstLineChars="200"/>
        <w:rPr>
          <w:rFonts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到2027年，县域副中心常住人口规模控制在 40万，实际管理总人口控制在50 万。地区生产总值约500亿元，建设用地总规模控制在75 平方公里以内，工业总产值突破1000亿元。县域副中心综合</w:t>
      </w:r>
      <w:r>
        <w:rPr>
          <w:rFonts w:ascii="Times New Roman" w:hAnsi="Times New Roman" w:eastAsia="仿宋_GB2312" w:cs="仿宋_GB2312"/>
          <w:kern w:val="0"/>
          <w:sz w:val="32"/>
          <w:szCs w:val="32"/>
        </w:rPr>
        <w:t>承载能力稳步提升，</w:t>
      </w:r>
      <w:r>
        <w:rPr>
          <w:rFonts w:hint="eastAsia" w:ascii="Times New Roman" w:hAnsi="Times New Roman" w:eastAsia="仿宋_GB2312" w:cs="仿宋_GB2312"/>
          <w:kern w:val="0"/>
          <w:sz w:val="32"/>
          <w:szCs w:val="32"/>
        </w:rPr>
        <w:t>休闲消费职能</w:t>
      </w:r>
      <w:r>
        <w:rPr>
          <w:rFonts w:ascii="Times New Roman" w:hAnsi="Times New Roman" w:eastAsia="仿宋_GB2312" w:cs="仿宋_GB2312"/>
          <w:kern w:val="0"/>
          <w:sz w:val="32"/>
          <w:szCs w:val="32"/>
        </w:rPr>
        <w:t>显著增强，现代产业体系基本构建，品质新城日益凸显，生态环境持续改善，</w:t>
      </w:r>
      <w:r>
        <w:rPr>
          <w:rFonts w:hint="eastAsia" w:ascii="Times New Roman" w:hAnsi="Times New Roman" w:eastAsia="仿宋_GB2312" w:cs="仿宋_GB2312"/>
          <w:kern w:val="0"/>
          <w:sz w:val="32"/>
          <w:szCs w:val="32"/>
        </w:rPr>
        <w:t>成为博罗县高质量奋进千亿级经济强县的新增长极。</w:t>
      </w:r>
    </w:p>
    <w:p w14:paraId="669140BF">
      <w:pPr>
        <w:spacing w:line="600" w:lineRule="exact"/>
        <w:ind w:firstLine="640" w:firstLineChars="200"/>
        <w:rPr>
          <w:rFonts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到2035年，县域副中心常住人口规模控制在70万，实际管理总人口控制在100 万。地区生产总值约1000亿元，建设用地总规模控制在80 平方公里以内，工业总产值突破2000亿元</w:t>
      </w:r>
      <w:r>
        <w:rPr>
          <w:rFonts w:ascii="Times New Roman" w:hAnsi="Times New Roman" w:eastAsia="仿宋_GB2312" w:cs="仿宋_GB2312"/>
          <w:kern w:val="0"/>
          <w:sz w:val="32"/>
          <w:szCs w:val="32"/>
        </w:rPr>
        <w:t>。</w:t>
      </w:r>
      <w:r>
        <w:rPr>
          <w:rFonts w:hint="eastAsia" w:ascii="Times New Roman" w:hAnsi="Times New Roman" w:eastAsia="仿宋_GB2312" w:cs="仿宋_GB2312"/>
          <w:kern w:val="0"/>
          <w:sz w:val="32"/>
          <w:szCs w:val="32"/>
        </w:rPr>
        <w:t>县域副中心</w:t>
      </w:r>
      <w:r>
        <w:rPr>
          <w:rFonts w:ascii="Times New Roman" w:hAnsi="Times New Roman" w:eastAsia="仿宋_GB2312" w:cs="仿宋_GB2312"/>
          <w:kern w:val="0"/>
          <w:sz w:val="32"/>
          <w:szCs w:val="32"/>
        </w:rPr>
        <w:t>综合实力大幅提升，辐射带动作用显著增强，珠江东岸创新产业高地</w:t>
      </w:r>
      <w:r>
        <w:rPr>
          <w:rFonts w:hint="eastAsia" w:ascii="Times New Roman" w:hAnsi="Times New Roman" w:eastAsia="仿宋_GB2312" w:cs="仿宋_GB2312"/>
          <w:kern w:val="0"/>
          <w:sz w:val="32"/>
          <w:szCs w:val="32"/>
        </w:rPr>
        <w:t>、“环南昆山—罗浮山”引领区</w:t>
      </w:r>
      <w:r>
        <w:rPr>
          <w:rFonts w:ascii="Times New Roman" w:hAnsi="Times New Roman" w:eastAsia="仿宋_GB2312" w:cs="仿宋_GB2312"/>
          <w:kern w:val="0"/>
          <w:sz w:val="32"/>
          <w:szCs w:val="32"/>
        </w:rPr>
        <w:t>综合服务中心</w:t>
      </w:r>
      <w:r>
        <w:rPr>
          <w:rFonts w:hint="eastAsia" w:ascii="Times New Roman" w:hAnsi="Times New Roman" w:eastAsia="仿宋_GB2312" w:cs="仿宋_GB2312"/>
          <w:kern w:val="0"/>
          <w:sz w:val="32"/>
          <w:szCs w:val="32"/>
        </w:rPr>
        <w:t>、</w:t>
      </w:r>
      <w:r>
        <w:rPr>
          <w:rFonts w:ascii="Times New Roman" w:hAnsi="Times New Roman" w:eastAsia="仿宋_GB2312" w:cs="仿宋_GB2312"/>
          <w:kern w:val="0"/>
          <w:sz w:val="32"/>
          <w:szCs w:val="32"/>
        </w:rPr>
        <w:t>现代化生态智慧城市标杆全面形成，成为“环南昆山</w:t>
      </w:r>
      <w:r>
        <w:rPr>
          <w:rFonts w:hint="eastAsia" w:ascii="Times New Roman" w:hAnsi="Times New Roman" w:eastAsia="仿宋_GB2312" w:cs="仿宋_GB2312"/>
          <w:kern w:val="0"/>
          <w:sz w:val="32"/>
          <w:szCs w:val="32"/>
        </w:rPr>
        <w:t>—</w:t>
      </w:r>
      <w:r>
        <w:rPr>
          <w:rFonts w:ascii="Times New Roman" w:hAnsi="Times New Roman" w:eastAsia="仿宋_GB2312" w:cs="仿宋_GB2312"/>
          <w:kern w:val="0"/>
          <w:sz w:val="32"/>
          <w:szCs w:val="32"/>
        </w:rPr>
        <w:t>罗浮山”引领区重要支点</w:t>
      </w:r>
      <w:r>
        <w:rPr>
          <w:rFonts w:hint="eastAsia" w:ascii="Times New Roman" w:hAnsi="Times New Roman" w:eastAsia="仿宋_GB2312" w:cs="仿宋_GB2312"/>
          <w:kern w:val="0"/>
          <w:sz w:val="32"/>
          <w:szCs w:val="32"/>
        </w:rPr>
        <w:t>和博罗县</w:t>
      </w:r>
      <w:r>
        <w:rPr>
          <w:rFonts w:ascii="Times New Roman" w:hAnsi="Times New Roman" w:eastAsia="仿宋_GB2312" w:cs="仿宋_GB2312"/>
          <w:kern w:val="0"/>
          <w:sz w:val="32"/>
          <w:szCs w:val="32"/>
        </w:rPr>
        <w:t>经济社会发展的重要引擎。</w:t>
      </w:r>
    </w:p>
    <w:p w14:paraId="6D6DC19E">
      <w:pPr>
        <w:jc w:val="center"/>
        <w:rPr>
          <w:rFonts w:ascii="Times New Roman" w:hAnsi="Times New Roman" w:eastAsia="楷体_GB2312" w:cs="楷体_GB2312"/>
          <w:b/>
          <w:bCs/>
          <w:kern w:val="0"/>
          <w:sz w:val="28"/>
          <w:szCs w:val="28"/>
        </w:rPr>
      </w:pPr>
      <w:r>
        <w:rPr>
          <w:rFonts w:hint="eastAsia" w:ascii="Times New Roman" w:hAnsi="Times New Roman" w:eastAsia="楷体_GB2312" w:cs="楷体_GB2312"/>
          <w:b/>
          <w:bCs/>
          <w:kern w:val="0"/>
          <w:sz w:val="28"/>
          <w:szCs w:val="28"/>
        </w:rPr>
        <w:t>表1—1 博罗县域副中心主要发展指标表</w:t>
      </w:r>
    </w:p>
    <w:tbl>
      <w:tblPr>
        <w:tblStyle w:val="20"/>
        <w:tblW w:w="572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9"/>
        <w:gridCol w:w="735"/>
        <w:gridCol w:w="2659"/>
        <w:gridCol w:w="1118"/>
        <w:gridCol w:w="1164"/>
        <w:gridCol w:w="1018"/>
        <w:gridCol w:w="1027"/>
        <w:gridCol w:w="1162"/>
      </w:tblGrid>
      <w:tr w14:paraId="53F30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46" w:type="pct"/>
            <w:vAlign w:val="center"/>
          </w:tcPr>
          <w:p w14:paraId="26A9A942">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类别</w:t>
            </w:r>
          </w:p>
        </w:tc>
        <w:tc>
          <w:tcPr>
            <w:tcW w:w="377" w:type="pct"/>
            <w:vAlign w:val="center"/>
          </w:tcPr>
          <w:p w14:paraId="55CF2151">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序号</w:t>
            </w:r>
          </w:p>
        </w:tc>
        <w:tc>
          <w:tcPr>
            <w:tcW w:w="1362" w:type="pct"/>
            <w:vAlign w:val="center"/>
          </w:tcPr>
          <w:p w14:paraId="063E0030">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指标名称</w:t>
            </w:r>
          </w:p>
        </w:tc>
        <w:tc>
          <w:tcPr>
            <w:tcW w:w="572" w:type="pct"/>
            <w:vAlign w:val="center"/>
          </w:tcPr>
          <w:p w14:paraId="1399EA29">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单位</w:t>
            </w:r>
          </w:p>
        </w:tc>
        <w:tc>
          <w:tcPr>
            <w:tcW w:w="596" w:type="pct"/>
            <w:vAlign w:val="center"/>
          </w:tcPr>
          <w:p w14:paraId="12B8EDA1">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202</w:t>
            </w:r>
            <w:r>
              <w:rPr>
                <w:rFonts w:ascii="Times New Roman" w:hAnsi="Times New Roman" w:eastAsia="仿宋_GB2312" w:cs="楷体_GB2312"/>
                <w:b/>
                <w:bCs/>
                <w:kern w:val="0"/>
                <w:sz w:val="22"/>
              </w:rPr>
              <w:t>3</w:t>
            </w:r>
            <w:r>
              <w:rPr>
                <w:rFonts w:hint="eastAsia" w:ascii="Times New Roman" w:hAnsi="Times New Roman" w:eastAsia="仿宋_GB2312" w:cs="楷体_GB2312"/>
                <w:b/>
                <w:bCs/>
                <w:kern w:val="0"/>
                <w:sz w:val="22"/>
              </w:rPr>
              <w:t>年</w:t>
            </w:r>
          </w:p>
        </w:tc>
        <w:tc>
          <w:tcPr>
            <w:tcW w:w="521" w:type="pct"/>
            <w:vAlign w:val="center"/>
          </w:tcPr>
          <w:p w14:paraId="5B80FEF2">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2027年</w:t>
            </w:r>
          </w:p>
        </w:tc>
        <w:tc>
          <w:tcPr>
            <w:tcW w:w="526" w:type="pct"/>
            <w:vAlign w:val="center"/>
          </w:tcPr>
          <w:p w14:paraId="7EC1725C">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2035年</w:t>
            </w:r>
          </w:p>
        </w:tc>
        <w:tc>
          <w:tcPr>
            <w:tcW w:w="595" w:type="pct"/>
            <w:vAlign w:val="center"/>
          </w:tcPr>
          <w:p w14:paraId="5E4D3B91">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指标属性</w:t>
            </w:r>
          </w:p>
        </w:tc>
      </w:tr>
      <w:tr w14:paraId="386CF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restart"/>
            <w:vAlign w:val="center"/>
          </w:tcPr>
          <w:p w14:paraId="2D19EDC8">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综合实力</w:t>
            </w:r>
          </w:p>
        </w:tc>
        <w:tc>
          <w:tcPr>
            <w:tcW w:w="377" w:type="pct"/>
            <w:vAlign w:val="center"/>
          </w:tcPr>
          <w:p w14:paraId="56C3DD1C">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w:t>
            </w:r>
          </w:p>
        </w:tc>
        <w:tc>
          <w:tcPr>
            <w:tcW w:w="1362" w:type="pct"/>
            <w:vAlign w:val="center"/>
          </w:tcPr>
          <w:p w14:paraId="330651A4">
            <w:pPr>
              <w:jc w:val="left"/>
              <w:rPr>
                <w:rFonts w:ascii="Times New Roman" w:hAnsi="Times New Roman" w:eastAsia="仿宋_GB2312" w:cs="楷体_GB2312"/>
                <w:kern w:val="0"/>
                <w:sz w:val="22"/>
              </w:rPr>
            </w:pPr>
            <w:r>
              <w:rPr>
                <w:rFonts w:hint="eastAsia" w:ascii="Times New Roman" w:hAnsi="Times New Roman" w:eastAsia="仿宋_GB2312" w:cs="楷体_GB2312"/>
                <w:kern w:val="0"/>
                <w:sz w:val="22"/>
              </w:rPr>
              <w:t>地区生产总值</w:t>
            </w:r>
          </w:p>
        </w:tc>
        <w:tc>
          <w:tcPr>
            <w:tcW w:w="572" w:type="pct"/>
            <w:vAlign w:val="center"/>
          </w:tcPr>
          <w:p w14:paraId="1476CB96">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亿元</w:t>
            </w:r>
          </w:p>
        </w:tc>
        <w:tc>
          <w:tcPr>
            <w:tcW w:w="596" w:type="pct"/>
            <w:vAlign w:val="center"/>
          </w:tcPr>
          <w:p w14:paraId="2C6CE627">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277</w:t>
            </w:r>
          </w:p>
        </w:tc>
        <w:tc>
          <w:tcPr>
            <w:tcW w:w="521" w:type="pct"/>
            <w:vAlign w:val="center"/>
          </w:tcPr>
          <w:p w14:paraId="68C62388">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w:t>
            </w:r>
            <w:r>
              <w:rPr>
                <w:rFonts w:hint="eastAsia" w:ascii="Times New Roman" w:hAnsi="Times New Roman" w:eastAsia="仿宋_GB2312" w:cs="楷体_GB2312"/>
                <w:kern w:val="0"/>
                <w:sz w:val="22"/>
              </w:rPr>
              <w:t>500</w:t>
            </w:r>
          </w:p>
        </w:tc>
        <w:tc>
          <w:tcPr>
            <w:tcW w:w="526" w:type="pct"/>
            <w:vAlign w:val="center"/>
          </w:tcPr>
          <w:p w14:paraId="144E0F8C">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w:t>
            </w:r>
            <w:r>
              <w:rPr>
                <w:rFonts w:hint="eastAsia" w:ascii="Times New Roman" w:hAnsi="Times New Roman" w:eastAsia="仿宋_GB2312" w:cs="楷体_GB2312"/>
                <w:kern w:val="0"/>
                <w:sz w:val="22"/>
              </w:rPr>
              <w:t>1000</w:t>
            </w:r>
          </w:p>
        </w:tc>
        <w:tc>
          <w:tcPr>
            <w:tcW w:w="595" w:type="pct"/>
            <w:vAlign w:val="center"/>
          </w:tcPr>
          <w:p w14:paraId="11B719FF">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预期性</w:t>
            </w:r>
          </w:p>
        </w:tc>
      </w:tr>
      <w:tr w14:paraId="6F7C1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14:paraId="486FAE1D">
            <w:pPr>
              <w:jc w:val="center"/>
              <w:rPr>
                <w:rFonts w:ascii="Times New Roman" w:hAnsi="Times New Roman" w:eastAsia="仿宋_GB2312" w:cs="楷体_GB2312"/>
                <w:b/>
                <w:bCs/>
                <w:kern w:val="0"/>
                <w:sz w:val="22"/>
              </w:rPr>
            </w:pPr>
          </w:p>
        </w:tc>
        <w:tc>
          <w:tcPr>
            <w:tcW w:w="377" w:type="pct"/>
            <w:vAlign w:val="center"/>
          </w:tcPr>
          <w:p w14:paraId="7F775E68">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2</w:t>
            </w:r>
          </w:p>
        </w:tc>
        <w:tc>
          <w:tcPr>
            <w:tcW w:w="1362" w:type="pct"/>
            <w:vAlign w:val="center"/>
          </w:tcPr>
          <w:p w14:paraId="216DADC0">
            <w:pPr>
              <w:jc w:val="left"/>
              <w:rPr>
                <w:rFonts w:ascii="Times New Roman" w:hAnsi="Times New Roman" w:eastAsia="仿宋_GB2312" w:cs="楷体_GB2312"/>
                <w:kern w:val="0"/>
                <w:sz w:val="22"/>
              </w:rPr>
            </w:pPr>
            <w:r>
              <w:rPr>
                <w:rFonts w:hint="eastAsia" w:ascii="Times New Roman" w:hAnsi="Times New Roman" w:eastAsia="仿宋_GB2312" w:cs="楷体_GB2312"/>
                <w:kern w:val="0"/>
                <w:sz w:val="22"/>
              </w:rPr>
              <w:t>工业总产值</w:t>
            </w:r>
          </w:p>
        </w:tc>
        <w:tc>
          <w:tcPr>
            <w:tcW w:w="572" w:type="pct"/>
            <w:vAlign w:val="center"/>
          </w:tcPr>
          <w:p w14:paraId="07AF5CDF">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亿元</w:t>
            </w:r>
          </w:p>
        </w:tc>
        <w:tc>
          <w:tcPr>
            <w:tcW w:w="596" w:type="pct"/>
            <w:vAlign w:val="center"/>
          </w:tcPr>
          <w:p w14:paraId="6D8A7A60">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630.23</w:t>
            </w:r>
          </w:p>
        </w:tc>
        <w:tc>
          <w:tcPr>
            <w:tcW w:w="521" w:type="pct"/>
            <w:vAlign w:val="center"/>
          </w:tcPr>
          <w:p w14:paraId="7485AAE2">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w:t>
            </w:r>
            <w:r>
              <w:rPr>
                <w:rFonts w:hint="eastAsia" w:ascii="Times New Roman" w:hAnsi="Times New Roman" w:eastAsia="仿宋_GB2312" w:cs="楷体_GB2312"/>
                <w:kern w:val="0"/>
                <w:sz w:val="22"/>
              </w:rPr>
              <w:t>1000</w:t>
            </w:r>
          </w:p>
        </w:tc>
        <w:tc>
          <w:tcPr>
            <w:tcW w:w="526" w:type="pct"/>
            <w:vAlign w:val="center"/>
          </w:tcPr>
          <w:p w14:paraId="46F9A39A">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w:t>
            </w:r>
            <w:r>
              <w:rPr>
                <w:rFonts w:hint="eastAsia" w:ascii="Times New Roman" w:hAnsi="Times New Roman" w:eastAsia="仿宋_GB2312" w:cs="楷体_GB2312"/>
                <w:kern w:val="0"/>
                <w:sz w:val="22"/>
              </w:rPr>
              <w:t>2000</w:t>
            </w:r>
          </w:p>
        </w:tc>
        <w:tc>
          <w:tcPr>
            <w:tcW w:w="595" w:type="pct"/>
            <w:vAlign w:val="center"/>
          </w:tcPr>
          <w:p w14:paraId="72061C64">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预期性</w:t>
            </w:r>
          </w:p>
        </w:tc>
      </w:tr>
      <w:tr w14:paraId="58616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14:paraId="05F88017">
            <w:pPr>
              <w:jc w:val="center"/>
              <w:rPr>
                <w:rFonts w:ascii="Times New Roman" w:hAnsi="Times New Roman" w:eastAsia="仿宋_GB2312" w:cs="楷体_GB2312"/>
                <w:b/>
                <w:bCs/>
                <w:kern w:val="0"/>
                <w:sz w:val="22"/>
              </w:rPr>
            </w:pPr>
          </w:p>
        </w:tc>
        <w:tc>
          <w:tcPr>
            <w:tcW w:w="377" w:type="pct"/>
            <w:shd w:val="clear" w:color="auto" w:fill="auto"/>
            <w:vAlign w:val="center"/>
          </w:tcPr>
          <w:p w14:paraId="2956A4A2">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3</w:t>
            </w:r>
          </w:p>
        </w:tc>
        <w:tc>
          <w:tcPr>
            <w:tcW w:w="1362" w:type="pct"/>
            <w:vAlign w:val="center"/>
          </w:tcPr>
          <w:p w14:paraId="7BF6B01E">
            <w:pPr>
              <w:jc w:val="left"/>
              <w:rPr>
                <w:rFonts w:ascii="Times New Roman" w:hAnsi="Times New Roman" w:eastAsia="仿宋_GB2312" w:cs="楷体_GB2312"/>
                <w:kern w:val="0"/>
                <w:sz w:val="22"/>
              </w:rPr>
            </w:pPr>
            <w:r>
              <w:rPr>
                <w:rFonts w:hint="eastAsia" w:ascii="Times New Roman" w:hAnsi="Times New Roman" w:eastAsia="仿宋_GB2312" w:cs="楷体_GB2312"/>
                <w:kern w:val="0"/>
                <w:sz w:val="22"/>
              </w:rPr>
              <w:t>高新技术产业产值占规模以上工业总产值比重</w:t>
            </w:r>
          </w:p>
        </w:tc>
        <w:tc>
          <w:tcPr>
            <w:tcW w:w="572" w:type="pct"/>
            <w:vAlign w:val="center"/>
          </w:tcPr>
          <w:p w14:paraId="41CF63DD">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96" w:type="pct"/>
            <w:vAlign w:val="center"/>
          </w:tcPr>
          <w:p w14:paraId="4C36DD97">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21" w:type="pct"/>
            <w:vAlign w:val="center"/>
          </w:tcPr>
          <w:p w14:paraId="6FDFCE8E">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≥30</w:t>
            </w:r>
          </w:p>
        </w:tc>
        <w:tc>
          <w:tcPr>
            <w:tcW w:w="526" w:type="pct"/>
            <w:vAlign w:val="center"/>
          </w:tcPr>
          <w:p w14:paraId="78042295">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≥50</w:t>
            </w:r>
          </w:p>
        </w:tc>
        <w:tc>
          <w:tcPr>
            <w:tcW w:w="595" w:type="pct"/>
            <w:vAlign w:val="center"/>
          </w:tcPr>
          <w:p w14:paraId="51AF97DA">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预期性</w:t>
            </w:r>
          </w:p>
        </w:tc>
      </w:tr>
      <w:tr w14:paraId="1953F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14:paraId="2C62F749">
            <w:pPr>
              <w:jc w:val="center"/>
              <w:rPr>
                <w:rFonts w:ascii="Times New Roman" w:hAnsi="Times New Roman" w:eastAsia="仿宋_GB2312" w:cs="楷体_GB2312"/>
                <w:b/>
                <w:bCs/>
                <w:kern w:val="0"/>
                <w:sz w:val="22"/>
              </w:rPr>
            </w:pPr>
          </w:p>
        </w:tc>
        <w:tc>
          <w:tcPr>
            <w:tcW w:w="377" w:type="pct"/>
            <w:shd w:val="clear" w:color="auto" w:fill="auto"/>
            <w:vAlign w:val="center"/>
          </w:tcPr>
          <w:p w14:paraId="6BB57852">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4</w:t>
            </w:r>
          </w:p>
        </w:tc>
        <w:tc>
          <w:tcPr>
            <w:tcW w:w="1362" w:type="pct"/>
            <w:vAlign w:val="center"/>
          </w:tcPr>
          <w:p w14:paraId="2BD5C299">
            <w:pPr>
              <w:jc w:val="left"/>
              <w:rPr>
                <w:rFonts w:ascii="Times New Roman" w:hAnsi="Times New Roman" w:eastAsia="仿宋_GB2312" w:cs="楷体_GB2312"/>
                <w:kern w:val="0"/>
                <w:sz w:val="22"/>
              </w:rPr>
            </w:pPr>
            <w:r>
              <w:rPr>
                <w:rFonts w:hint="eastAsia" w:ascii="Times New Roman" w:hAnsi="Times New Roman" w:eastAsia="仿宋_GB2312" w:cs="楷体_GB2312"/>
                <w:kern w:val="0"/>
                <w:sz w:val="22"/>
              </w:rPr>
              <w:t>研发经费投入增长</w:t>
            </w:r>
          </w:p>
        </w:tc>
        <w:tc>
          <w:tcPr>
            <w:tcW w:w="572" w:type="pct"/>
            <w:vAlign w:val="center"/>
          </w:tcPr>
          <w:p w14:paraId="42973522">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96" w:type="pct"/>
            <w:vAlign w:val="center"/>
          </w:tcPr>
          <w:p w14:paraId="3DDE331E">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21" w:type="pct"/>
            <w:vAlign w:val="center"/>
          </w:tcPr>
          <w:p w14:paraId="105BD09B">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8</w:t>
            </w:r>
          </w:p>
        </w:tc>
        <w:tc>
          <w:tcPr>
            <w:tcW w:w="526" w:type="pct"/>
            <w:vAlign w:val="center"/>
          </w:tcPr>
          <w:p w14:paraId="2D5E8175">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12</w:t>
            </w:r>
          </w:p>
        </w:tc>
        <w:tc>
          <w:tcPr>
            <w:tcW w:w="595" w:type="pct"/>
            <w:vAlign w:val="center"/>
          </w:tcPr>
          <w:p w14:paraId="1D99335B">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预期性</w:t>
            </w:r>
          </w:p>
        </w:tc>
      </w:tr>
      <w:tr w14:paraId="7F137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restart"/>
            <w:vAlign w:val="center"/>
          </w:tcPr>
          <w:p w14:paraId="45911276">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人口与城镇化</w:t>
            </w:r>
          </w:p>
        </w:tc>
        <w:tc>
          <w:tcPr>
            <w:tcW w:w="377" w:type="pct"/>
            <w:shd w:val="clear" w:color="auto" w:fill="auto"/>
            <w:vAlign w:val="center"/>
          </w:tcPr>
          <w:p w14:paraId="697E17E0">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5</w:t>
            </w:r>
          </w:p>
        </w:tc>
        <w:tc>
          <w:tcPr>
            <w:tcW w:w="1362" w:type="pct"/>
            <w:vAlign w:val="center"/>
          </w:tcPr>
          <w:p w14:paraId="2566D281">
            <w:pPr>
              <w:jc w:val="left"/>
              <w:rPr>
                <w:rFonts w:ascii="Times New Roman" w:hAnsi="Times New Roman" w:eastAsia="仿宋_GB2312" w:cs="楷体_GB2312"/>
                <w:kern w:val="0"/>
                <w:sz w:val="22"/>
              </w:rPr>
            </w:pPr>
            <w:r>
              <w:rPr>
                <w:rFonts w:hint="eastAsia" w:ascii="Times New Roman" w:hAnsi="Times New Roman" w:eastAsia="仿宋_GB2312" w:cs="楷体_GB2312"/>
                <w:kern w:val="0"/>
                <w:sz w:val="22"/>
              </w:rPr>
              <w:t>常住人口</w:t>
            </w:r>
          </w:p>
        </w:tc>
        <w:tc>
          <w:tcPr>
            <w:tcW w:w="572" w:type="pct"/>
            <w:vAlign w:val="center"/>
          </w:tcPr>
          <w:p w14:paraId="74A66871">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万人</w:t>
            </w:r>
          </w:p>
        </w:tc>
        <w:tc>
          <w:tcPr>
            <w:tcW w:w="596" w:type="pct"/>
            <w:vAlign w:val="center"/>
          </w:tcPr>
          <w:p w14:paraId="2F019F21">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33.93</w:t>
            </w:r>
          </w:p>
        </w:tc>
        <w:tc>
          <w:tcPr>
            <w:tcW w:w="521" w:type="pct"/>
            <w:vAlign w:val="center"/>
          </w:tcPr>
          <w:p w14:paraId="6C427400">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w:t>
            </w:r>
            <w:r>
              <w:rPr>
                <w:rFonts w:hint="eastAsia" w:ascii="Times New Roman" w:hAnsi="Times New Roman" w:eastAsia="仿宋_GB2312" w:cs="楷体_GB2312"/>
                <w:kern w:val="0"/>
                <w:sz w:val="22"/>
              </w:rPr>
              <w:t>40</w:t>
            </w:r>
          </w:p>
        </w:tc>
        <w:tc>
          <w:tcPr>
            <w:tcW w:w="526" w:type="pct"/>
            <w:vAlign w:val="center"/>
          </w:tcPr>
          <w:p w14:paraId="4C691AFC">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w:t>
            </w:r>
            <w:r>
              <w:rPr>
                <w:rFonts w:hint="eastAsia" w:ascii="Times New Roman" w:hAnsi="Times New Roman" w:eastAsia="仿宋_GB2312" w:cs="楷体_GB2312"/>
                <w:kern w:val="0"/>
                <w:sz w:val="22"/>
              </w:rPr>
              <w:t>70</w:t>
            </w:r>
          </w:p>
        </w:tc>
        <w:tc>
          <w:tcPr>
            <w:tcW w:w="595" w:type="pct"/>
            <w:vAlign w:val="center"/>
          </w:tcPr>
          <w:p w14:paraId="773D2077">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预期性</w:t>
            </w:r>
          </w:p>
        </w:tc>
      </w:tr>
      <w:tr w14:paraId="75DF9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14:paraId="29B507D4">
            <w:pPr>
              <w:jc w:val="center"/>
              <w:rPr>
                <w:rFonts w:ascii="Times New Roman" w:hAnsi="Times New Roman" w:eastAsia="仿宋_GB2312" w:cs="楷体_GB2312"/>
                <w:b/>
                <w:bCs/>
                <w:kern w:val="0"/>
                <w:sz w:val="22"/>
              </w:rPr>
            </w:pPr>
          </w:p>
        </w:tc>
        <w:tc>
          <w:tcPr>
            <w:tcW w:w="377" w:type="pct"/>
            <w:shd w:val="clear" w:color="auto" w:fill="auto"/>
            <w:vAlign w:val="center"/>
          </w:tcPr>
          <w:p w14:paraId="20FA0E95">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6</w:t>
            </w:r>
          </w:p>
        </w:tc>
        <w:tc>
          <w:tcPr>
            <w:tcW w:w="1362" w:type="pct"/>
            <w:vAlign w:val="center"/>
          </w:tcPr>
          <w:p w14:paraId="340E374E">
            <w:pPr>
              <w:jc w:val="left"/>
              <w:rPr>
                <w:rFonts w:ascii="Times New Roman" w:hAnsi="Times New Roman" w:eastAsia="仿宋_GB2312" w:cs="楷体_GB2312"/>
                <w:kern w:val="0"/>
                <w:sz w:val="22"/>
              </w:rPr>
            </w:pPr>
            <w:r>
              <w:rPr>
                <w:rFonts w:hint="eastAsia" w:ascii="Times New Roman" w:hAnsi="Times New Roman" w:eastAsia="仿宋_GB2312" w:cs="楷体_GB2312"/>
                <w:kern w:val="0"/>
                <w:sz w:val="22"/>
              </w:rPr>
              <w:t>建设用地规模</w:t>
            </w:r>
          </w:p>
        </w:tc>
        <w:tc>
          <w:tcPr>
            <w:tcW w:w="572" w:type="pct"/>
            <w:vAlign w:val="center"/>
          </w:tcPr>
          <w:p w14:paraId="206C88A0">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平方公里</w:t>
            </w:r>
          </w:p>
        </w:tc>
        <w:tc>
          <w:tcPr>
            <w:tcW w:w="596" w:type="pct"/>
            <w:vAlign w:val="center"/>
          </w:tcPr>
          <w:p w14:paraId="7EC21B11">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73.75</w:t>
            </w:r>
          </w:p>
        </w:tc>
        <w:tc>
          <w:tcPr>
            <w:tcW w:w="521" w:type="pct"/>
            <w:vAlign w:val="center"/>
          </w:tcPr>
          <w:p w14:paraId="77955D2C">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≤75</w:t>
            </w:r>
          </w:p>
        </w:tc>
        <w:tc>
          <w:tcPr>
            <w:tcW w:w="526" w:type="pct"/>
            <w:vAlign w:val="center"/>
          </w:tcPr>
          <w:p w14:paraId="382466E2">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≤80</w:t>
            </w:r>
          </w:p>
        </w:tc>
        <w:tc>
          <w:tcPr>
            <w:tcW w:w="595" w:type="pct"/>
            <w:vAlign w:val="center"/>
          </w:tcPr>
          <w:p w14:paraId="678BB65A">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约束性</w:t>
            </w:r>
          </w:p>
        </w:tc>
      </w:tr>
      <w:tr w14:paraId="414A9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14:paraId="1E4EDAD7">
            <w:pPr>
              <w:jc w:val="center"/>
              <w:rPr>
                <w:rFonts w:ascii="Times New Roman" w:hAnsi="Times New Roman" w:eastAsia="仿宋_GB2312" w:cs="楷体_GB2312"/>
                <w:b/>
                <w:bCs/>
                <w:kern w:val="0"/>
                <w:sz w:val="22"/>
              </w:rPr>
            </w:pPr>
          </w:p>
        </w:tc>
        <w:tc>
          <w:tcPr>
            <w:tcW w:w="377" w:type="pct"/>
            <w:shd w:val="clear" w:color="auto" w:fill="auto"/>
            <w:vAlign w:val="center"/>
          </w:tcPr>
          <w:p w14:paraId="522E3735">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7</w:t>
            </w:r>
          </w:p>
        </w:tc>
        <w:tc>
          <w:tcPr>
            <w:tcW w:w="1362" w:type="pct"/>
            <w:vAlign w:val="center"/>
          </w:tcPr>
          <w:p w14:paraId="5208C292">
            <w:pPr>
              <w:jc w:val="left"/>
              <w:rPr>
                <w:rFonts w:ascii="Times New Roman" w:hAnsi="Times New Roman" w:eastAsia="仿宋_GB2312" w:cs="楷体_GB2312"/>
                <w:kern w:val="0"/>
                <w:sz w:val="22"/>
              </w:rPr>
            </w:pPr>
            <w:r>
              <w:rPr>
                <w:rFonts w:ascii="Times New Roman" w:hAnsi="Times New Roman" w:eastAsia="仿宋_GB2312" w:cs="楷体_GB2312"/>
                <w:kern w:val="0"/>
                <w:sz w:val="22"/>
              </w:rPr>
              <w:t>蓝绿空间比例</w:t>
            </w:r>
          </w:p>
        </w:tc>
        <w:tc>
          <w:tcPr>
            <w:tcW w:w="572" w:type="pct"/>
            <w:vAlign w:val="center"/>
          </w:tcPr>
          <w:p w14:paraId="351D3E78">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96" w:type="pct"/>
            <w:vAlign w:val="center"/>
          </w:tcPr>
          <w:p w14:paraId="3DF25CDB">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37.59</w:t>
            </w:r>
          </w:p>
        </w:tc>
        <w:tc>
          <w:tcPr>
            <w:tcW w:w="521" w:type="pct"/>
            <w:vAlign w:val="center"/>
          </w:tcPr>
          <w:p w14:paraId="15E1208B">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≥40</w:t>
            </w:r>
          </w:p>
        </w:tc>
        <w:tc>
          <w:tcPr>
            <w:tcW w:w="526" w:type="pct"/>
            <w:vAlign w:val="center"/>
          </w:tcPr>
          <w:p w14:paraId="78AA25F2">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≥60</w:t>
            </w:r>
          </w:p>
        </w:tc>
        <w:tc>
          <w:tcPr>
            <w:tcW w:w="595" w:type="pct"/>
            <w:vAlign w:val="center"/>
          </w:tcPr>
          <w:p w14:paraId="327EB09F">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预期性</w:t>
            </w:r>
          </w:p>
        </w:tc>
      </w:tr>
      <w:tr w14:paraId="3D0908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14:paraId="65EBF5DB">
            <w:pPr>
              <w:jc w:val="center"/>
              <w:rPr>
                <w:rFonts w:ascii="Times New Roman" w:hAnsi="Times New Roman" w:eastAsia="仿宋_GB2312" w:cs="楷体_GB2312"/>
                <w:b/>
                <w:bCs/>
                <w:kern w:val="0"/>
                <w:sz w:val="22"/>
              </w:rPr>
            </w:pPr>
          </w:p>
        </w:tc>
        <w:tc>
          <w:tcPr>
            <w:tcW w:w="377" w:type="pct"/>
            <w:shd w:val="clear" w:color="auto" w:fill="auto"/>
            <w:vAlign w:val="center"/>
          </w:tcPr>
          <w:p w14:paraId="2843D2EA">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8</w:t>
            </w:r>
          </w:p>
        </w:tc>
        <w:tc>
          <w:tcPr>
            <w:tcW w:w="1362" w:type="pct"/>
            <w:vAlign w:val="center"/>
          </w:tcPr>
          <w:p w14:paraId="4CFF1441">
            <w:pPr>
              <w:jc w:val="left"/>
              <w:rPr>
                <w:rFonts w:ascii="Times New Roman" w:hAnsi="Times New Roman" w:eastAsia="仿宋_GB2312" w:cs="楷体_GB2312"/>
                <w:kern w:val="0"/>
                <w:sz w:val="22"/>
              </w:rPr>
            </w:pPr>
            <w:r>
              <w:rPr>
                <w:rFonts w:ascii="Times New Roman" w:hAnsi="Times New Roman" w:eastAsia="仿宋_GB2312" w:cs="楷体_GB2312"/>
                <w:kern w:val="0"/>
                <w:sz w:val="22"/>
              </w:rPr>
              <w:t>公园绿地</w:t>
            </w:r>
            <w:r>
              <w:rPr>
                <w:rFonts w:hint="eastAsia" w:ascii="Times New Roman" w:hAnsi="Times New Roman" w:eastAsia="仿宋_GB2312" w:cs="楷体_GB2312"/>
                <w:kern w:val="0"/>
                <w:sz w:val="22"/>
              </w:rPr>
              <w:t>、广场步行5分钟</w:t>
            </w:r>
            <w:r>
              <w:rPr>
                <w:rFonts w:ascii="Times New Roman" w:hAnsi="Times New Roman" w:eastAsia="仿宋_GB2312" w:cs="楷体_GB2312"/>
                <w:kern w:val="0"/>
                <w:sz w:val="22"/>
              </w:rPr>
              <w:t>覆盖率</w:t>
            </w:r>
          </w:p>
        </w:tc>
        <w:tc>
          <w:tcPr>
            <w:tcW w:w="572" w:type="pct"/>
            <w:vAlign w:val="center"/>
          </w:tcPr>
          <w:p w14:paraId="70B8D2C2">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96" w:type="pct"/>
            <w:vAlign w:val="center"/>
          </w:tcPr>
          <w:p w14:paraId="7D7A51D0">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37.6</w:t>
            </w:r>
          </w:p>
        </w:tc>
        <w:tc>
          <w:tcPr>
            <w:tcW w:w="521" w:type="pct"/>
            <w:vAlign w:val="center"/>
          </w:tcPr>
          <w:p w14:paraId="58A183C9">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≥50</w:t>
            </w:r>
          </w:p>
        </w:tc>
        <w:tc>
          <w:tcPr>
            <w:tcW w:w="526" w:type="pct"/>
            <w:vAlign w:val="center"/>
          </w:tcPr>
          <w:p w14:paraId="47498D29">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100</w:t>
            </w:r>
          </w:p>
        </w:tc>
        <w:tc>
          <w:tcPr>
            <w:tcW w:w="595" w:type="pct"/>
            <w:vAlign w:val="center"/>
          </w:tcPr>
          <w:p w14:paraId="6BB9413F">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预期性</w:t>
            </w:r>
          </w:p>
        </w:tc>
      </w:tr>
      <w:tr w14:paraId="61F8A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14:paraId="1E99A3AD">
            <w:pPr>
              <w:jc w:val="center"/>
              <w:rPr>
                <w:rFonts w:ascii="Times New Roman" w:hAnsi="Times New Roman" w:eastAsia="仿宋_GB2312" w:cs="楷体_GB2312"/>
                <w:b/>
                <w:bCs/>
                <w:kern w:val="0"/>
                <w:sz w:val="22"/>
              </w:rPr>
            </w:pPr>
          </w:p>
        </w:tc>
        <w:tc>
          <w:tcPr>
            <w:tcW w:w="377" w:type="pct"/>
            <w:shd w:val="clear" w:color="auto" w:fill="auto"/>
            <w:vAlign w:val="center"/>
          </w:tcPr>
          <w:p w14:paraId="0728DBE6">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9</w:t>
            </w:r>
          </w:p>
        </w:tc>
        <w:tc>
          <w:tcPr>
            <w:tcW w:w="1362" w:type="pct"/>
            <w:vAlign w:val="center"/>
          </w:tcPr>
          <w:p w14:paraId="4588B4EF">
            <w:pPr>
              <w:jc w:val="left"/>
              <w:rPr>
                <w:rFonts w:ascii="Times New Roman" w:hAnsi="Times New Roman" w:eastAsia="仿宋_GB2312" w:cs="楷体_GB2312"/>
                <w:kern w:val="0"/>
                <w:sz w:val="22"/>
              </w:rPr>
            </w:pPr>
            <w:r>
              <w:rPr>
                <w:rFonts w:ascii="Times New Roman" w:hAnsi="Times New Roman" w:eastAsia="仿宋_GB2312" w:cs="楷体_GB2312"/>
                <w:kern w:val="0"/>
                <w:sz w:val="22"/>
              </w:rPr>
              <w:t>人均城市公园绿地面积</w:t>
            </w:r>
          </w:p>
        </w:tc>
        <w:tc>
          <w:tcPr>
            <w:tcW w:w="572" w:type="pct"/>
            <w:vAlign w:val="center"/>
          </w:tcPr>
          <w:p w14:paraId="28921F60">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平方米</w:t>
            </w:r>
          </w:p>
        </w:tc>
        <w:tc>
          <w:tcPr>
            <w:tcW w:w="596" w:type="pct"/>
            <w:vAlign w:val="center"/>
          </w:tcPr>
          <w:p w14:paraId="08CA6498">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1.3</w:t>
            </w:r>
          </w:p>
        </w:tc>
        <w:tc>
          <w:tcPr>
            <w:tcW w:w="521" w:type="pct"/>
            <w:vAlign w:val="center"/>
          </w:tcPr>
          <w:p w14:paraId="5781CFF8">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w:t>
            </w:r>
            <w:r>
              <w:rPr>
                <w:rFonts w:hint="eastAsia" w:ascii="Times New Roman" w:hAnsi="Times New Roman" w:eastAsia="仿宋_GB2312" w:cs="楷体_GB2312"/>
                <w:kern w:val="0"/>
                <w:sz w:val="22"/>
              </w:rPr>
              <w:t>5</w:t>
            </w:r>
          </w:p>
        </w:tc>
        <w:tc>
          <w:tcPr>
            <w:tcW w:w="526" w:type="pct"/>
            <w:vAlign w:val="center"/>
          </w:tcPr>
          <w:p w14:paraId="2A143224">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w:t>
            </w:r>
            <w:r>
              <w:rPr>
                <w:rFonts w:hint="eastAsia" w:ascii="Times New Roman" w:hAnsi="Times New Roman" w:eastAsia="仿宋_GB2312" w:cs="楷体_GB2312"/>
                <w:kern w:val="0"/>
                <w:sz w:val="22"/>
              </w:rPr>
              <w:t>11</w:t>
            </w:r>
          </w:p>
        </w:tc>
        <w:tc>
          <w:tcPr>
            <w:tcW w:w="595" w:type="pct"/>
            <w:vAlign w:val="center"/>
          </w:tcPr>
          <w:p w14:paraId="63D448C5">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预期性</w:t>
            </w:r>
          </w:p>
        </w:tc>
      </w:tr>
      <w:tr w14:paraId="05D53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restart"/>
            <w:vAlign w:val="center"/>
          </w:tcPr>
          <w:p w14:paraId="1B65F94B">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幸福宜居</w:t>
            </w:r>
          </w:p>
        </w:tc>
        <w:tc>
          <w:tcPr>
            <w:tcW w:w="377" w:type="pct"/>
            <w:shd w:val="clear" w:color="auto" w:fill="auto"/>
            <w:vAlign w:val="center"/>
          </w:tcPr>
          <w:p w14:paraId="32197934">
            <w:pPr>
              <w:rPr>
                <w:rFonts w:hint="eastAsia"/>
              </w:rPr>
            </w:pPr>
          </w:p>
        </w:tc>
        <w:tc>
          <w:tcPr>
            <w:tcW w:w="1362" w:type="pct"/>
            <w:vAlign w:val="center"/>
          </w:tcPr>
          <w:p w14:paraId="164B9A42">
            <w:pPr>
              <w:jc w:val="left"/>
              <w:rPr>
                <w:rFonts w:ascii="Times New Roman" w:hAnsi="Times New Roman" w:eastAsia="仿宋_GB2312" w:cs="楷体_GB2312"/>
                <w:kern w:val="0"/>
                <w:sz w:val="22"/>
              </w:rPr>
            </w:pPr>
            <w:r>
              <w:rPr>
                <w:rFonts w:ascii="Times New Roman" w:hAnsi="Times New Roman" w:eastAsia="仿宋_GB2312" w:cs="楷体_GB2312"/>
                <w:kern w:val="0"/>
                <w:sz w:val="22"/>
              </w:rPr>
              <w:t>15分钟社区生活圈全域覆盖</w:t>
            </w:r>
          </w:p>
        </w:tc>
        <w:tc>
          <w:tcPr>
            <w:tcW w:w="572" w:type="pct"/>
            <w:vAlign w:val="center"/>
          </w:tcPr>
          <w:p w14:paraId="6D698BB3">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96" w:type="pct"/>
            <w:vAlign w:val="center"/>
          </w:tcPr>
          <w:p w14:paraId="052134F0">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21" w:type="pct"/>
            <w:vAlign w:val="center"/>
          </w:tcPr>
          <w:p w14:paraId="65F885AB">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≥75</w:t>
            </w:r>
          </w:p>
        </w:tc>
        <w:tc>
          <w:tcPr>
            <w:tcW w:w="526" w:type="pct"/>
            <w:vAlign w:val="center"/>
          </w:tcPr>
          <w:p w14:paraId="0A2CF0F4">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100</w:t>
            </w:r>
          </w:p>
        </w:tc>
        <w:tc>
          <w:tcPr>
            <w:tcW w:w="595" w:type="pct"/>
            <w:vAlign w:val="center"/>
          </w:tcPr>
          <w:p w14:paraId="79246F78">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约束性</w:t>
            </w:r>
          </w:p>
        </w:tc>
      </w:tr>
      <w:tr w14:paraId="5B36F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14:paraId="60823935">
            <w:pPr>
              <w:jc w:val="center"/>
              <w:rPr>
                <w:rFonts w:ascii="Times New Roman" w:hAnsi="Times New Roman" w:eastAsia="仿宋_GB2312" w:cs="楷体_GB2312"/>
                <w:b/>
                <w:bCs/>
                <w:kern w:val="0"/>
                <w:sz w:val="22"/>
              </w:rPr>
            </w:pPr>
          </w:p>
        </w:tc>
        <w:tc>
          <w:tcPr>
            <w:tcW w:w="377" w:type="pct"/>
            <w:shd w:val="clear" w:color="auto" w:fill="auto"/>
            <w:vAlign w:val="center"/>
          </w:tcPr>
          <w:p w14:paraId="7ED9839C">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10</w:t>
            </w:r>
          </w:p>
        </w:tc>
        <w:tc>
          <w:tcPr>
            <w:tcW w:w="1362" w:type="pct"/>
            <w:vAlign w:val="center"/>
          </w:tcPr>
          <w:p w14:paraId="799B044F">
            <w:pPr>
              <w:jc w:val="left"/>
              <w:rPr>
                <w:rFonts w:ascii="Times New Roman" w:hAnsi="Times New Roman" w:eastAsia="仿宋_GB2312" w:cs="楷体_GB2312"/>
                <w:kern w:val="0"/>
                <w:sz w:val="22"/>
              </w:rPr>
            </w:pPr>
            <w:r>
              <w:rPr>
                <w:rFonts w:ascii="Times New Roman" w:hAnsi="Times New Roman" w:eastAsia="仿宋_GB2312" w:cs="楷体_GB2312"/>
                <w:kern w:val="0"/>
                <w:sz w:val="22"/>
              </w:rPr>
              <w:t>教育设施全域覆盖</w:t>
            </w:r>
          </w:p>
        </w:tc>
        <w:tc>
          <w:tcPr>
            <w:tcW w:w="572" w:type="pct"/>
            <w:vAlign w:val="center"/>
          </w:tcPr>
          <w:p w14:paraId="4B0148A7">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96" w:type="pct"/>
            <w:vAlign w:val="center"/>
          </w:tcPr>
          <w:p w14:paraId="0B4D158C">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21" w:type="pct"/>
            <w:vAlign w:val="center"/>
          </w:tcPr>
          <w:p w14:paraId="27405E66">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100</w:t>
            </w:r>
          </w:p>
        </w:tc>
        <w:tc>
          <w:tcPr>
            <w:tcW w:w="526" w:type="pct"/>
            <w:vAlign w:val="center"/>
          </w:tcPr>
          <w:p w14:paraId="6B722DEB">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100</w:t>
            </w:r>
          </w:p>
        </w:tc>
        <w:tc>
          <w:tcPr>
            <w:tcW w:w="595" w:type="pct"/>
            <w:vAlign w:val="center"/>
          </w:tcPr>
          <w:p w14:paraId="1658796C">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约束性</w:t>
            </w:r>
          </w:p>
        </w:tc>
      </w:tr>
      <w:tr w14:paraId="297736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14:paraId="13289C86">
            <w:pPr>
              <w:jc w:val="center"/>
              <w:rPr>
                <w:rFonts w:ascii="Times New Roman" w:hAnsi="Times New Roman" w:eastAsia="仿宋_GB2312" w:cs="楷体_GB2312"/>
                <w:b/>
                <w:bCs/>
                <w:kern w:val="0"/>
                <w:sz w:val="22"/>
              </w:rPr>
            </w:pPr>
          </w:p>
        </w:tc>
        <w:tc>
          <w:tcPr>
            <w:tcW w:w="377" w:type="pct"/>
            <w:shd w:val="clear" w:color="auto" w:fill="auto"/>
            <w:vAlign w:val="center"/>
          </w:tcPr>
          <w:p w14:paraId="18096C5E">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12</w:t>
            </w:r>
          </w:p>
        </w:tc>
        <w:tc>
          <w:tcPr>
            <w:tcW w:w="1362" w:type="pct"/>
            <w:vAlign w:val="center"/>
          </w:tcPr>
          <w:p w14:paraId="3C8F01A7">
            <w:pPr>
              <w:jc w:val="left"/>
              <w:rPr>
                <w:rFonts w:ascii="Times New Roman" w:hAnsi="Times New Roman" w:eastAsia="仿宋_GB2312" w:cs="楷体_GB2312"/>
                <w:kern w:val="0"/>
                <w:sz w:val="22"/>
              </w:rPr>
            </w:pPr>
            <w:r>
              <w:rPr>
                <w:rFonts w:ascii="Times New Roman" w:hAnsi="Times New Roman" w:eastAsia="仿宋_GB2312" w:cs="楷体_GB2312"/>
                <w:kern w:val="0"/>
                <w:sz w:val="22"/>
              </w:rPr>
              <w:t>人均公共文化服务设施建筑面积</w:t>
            </w:r>
          </w:p>
        </w:tc>
        <w:tc>
          <w:tcPr>
            <w:tcW w:w="572" w:type="pct"/>
            <w:vAlign w:val="center"/>
          </w:tcPr>
          <w:p w14:paraId="553F43A6">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平方米</w:t>
            </w:r>
          </w:p>
        </w:tc>
        <w:tc>
          <w:tcPr>
            <w:tcW w:w="596" w:type="pct"/>
            <w:vAlign w:val="center"/>
          </w:tcPr>
          <w:p w14:paraId="77132B4A">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21" w:type="pct"/>
            <w:vAlign w:val="center"/>
          </w:tcPr>
          <w:p w14:paraId="3570BCFB">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≥2.0</w:t>
            </w:r>
          </w:p>
        </w:tc>
        <w:tc>
          <w:tcPr>
            <w:tcW w:w="526" w:type="pct"/>
            <w:vAlign w:val="center"/>
          </w:tcPr>
          <w:p w14:paraId="410EAFD7">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w:t>
            </w:r>
            <w:r>
              <w:rPr>
                <w:rFonts w:hint="eastAsia" w:ascii="Times New Roman" w:hAnsi="Times New Roman" w:eastAsia="仿宋_GB2312" w:cs="楷体_GB2312"/>
                <w:kern w:val="0"/>
                <w:sz w:val="22"/>
              </w:rPr>
              <w:t>0</w:t>
            </w:r>
            <w:r>
              <w:rPr>
                <w:rFonts w:ascii="Times New Roman" w:hAnsi="Times New Roman" w:eastAsia="仿宋_GB2312" w:cs="楷体_GB2312"/>
                <w:kern w:val="0"/>
                <w:sz w:val="22"/>
              </w:rPr>
              <w:t>.5</w:t>
            </w:r>
          </w:p>
        </w:tc>
        <w:tc>
          <w:tcPr>
            <w:tcW w:w="595" w:type="pct"/>
            <w:vAlign w:val="center"/>
          </w:tcPr>
          <w:p w14:paraId="6B7CAFF5">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约束性</w:t>
            </w:r>
          </w:p>
        </w:tc>
      </w:tr>
      <w:tr w14:paraId="45503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14:paraId="5D7586E2">
            <w:pPr>
              <w:jc w:val="center"/>
              <w:rPr>
                <w:rFonts w:ascii="Times New Roman" w:hAnsi="Times New Roman" w:eastAsia="仿宋_GB2312" w:cs="楷体_GB2312"/>
                <w:b/>
                <w:bCs/>
                <w:kern w:val="0"/>
                <w:sz w:val="22"/>
              </w:rPr>
            </w:pPr>
          </w:p>
        </w:tc>
        <w:tc>
          <w:tcPr>
            <w:tcW w:w="377" w:type="pct"/>
            <w:shd w:val="clear" w:color="auto" w:fill="auto"/>
            <w:vAlign w:val="center"/>
          </w:tcPr>
          <w:p w14:paraId="00C47202">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13</w:t>
            </w:r>
          </w:p>
        </w:tc>
        <w:tc>
          <w:tcPr>
            <w:tcW w:w="1362" w:type="pct"/>
            <w:vAlign w:val="center"/>
          </w:tcPr>
          <w:p w14:paraId="0B566B68">
            <w:pPr>
              <w:jc w:val="left"/>
              <w:rPr>
                <w:rFonts w:ascii="Times New Roman" w:hAnsi="Times New Roman" w:eastAsia="仿宋_GB2312" w:cs="楷体_GB2312"/>
                <w:kern w:val="0"/>
                <w:sz w:val="22"/>
              </w:rPr>
            </w:pPr>
            <w:r>
              <w:rPr>
                <w:rFonts w:ascii="Times New Roman" w:hAnsi="Times New Roman" w:eastAsia="仿宋_GB2312" w:cs="楷体_GB2312"/>
                <w:kern w:val="0"/>
                <w:sz w:val="22"/>
              </w:rPr>
              <w:t>社区体育设施步行15分钟全域覆盖</w:t>
            </w:r>
          </w:p>
        </w:tc>
        <w:tc>
          <w:tcPr>
            <w:tcW w:w="572" w:type="pct"/>
            <w:vAlign w:val="center"/>
          </w:tcPr>
          <w:p w14:paraId="0D631C7F">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96" w:type="pct"/>
            <w:vAlign w:val="center"/>
          </w:tcPr>
          <w:p w14:paraId="2E48FD75">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≥60</w:t>
            </w:r>
          </w:p>
        </w:tc>
        <w:tc>
          <w:tcPr>
            <w:tcW w:w="521" w:type="pct"/>
            <w:vAlign w:val="center"/>
          </w:tcPr>
          <w:p w14:paraId="41302E02">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≥75</w:t>
            </w:r>
          </w:p>
        </w:tc>
        <w:tc>
          <w:tcPr>
            <w:tcW w:w="526" w:type="pct"/>
            <w:vAlign w:val="center"/>
          </w:tcPr>
          <w:p w14:paraId="7061E345">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100</w:t>
            </w:r>
          </w:p>
        </w:tc>
        <w:tc>
          <w:tcPr>
            <w:tcW w:w="595" w:type="pct"/>
            <w:vAlign w:val="center"/>
          </w:tcPr>
          <w:p w14:paraId="7658BCCF">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约束性</w:t>
            </w:r>
          </w:p>
        </w:tc>
      </w:tr>
      <w:tr w14:paraId="312BE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14:paraId="3241D158">
            <w:pPr>
              <w:jc w:val="center"/>
              <w:rPr>
                <w:rFonts w:ascii="Times New Roman" w:hAnsi="Times New Roman" w:eastAsia="仿宋_GB2312" w:cs="楷体_GB2312"/>
                <w:b/>
                <w:bCs/>
                <w:kern w:val="0"/>
                <w:sz w:val="22"/>
              </w:rPr>
            </w:pPr>
          </w:p>
        </w:tc>
        <w:tc>
          <w:tcPr>
            <w:tcW w:w="377" w:type="pct"/>
            <w:shd w:val="clear" w:color="auto" w:fill="auto"/>
            <w:vAlign w:val="center"/>
          </w:tcPr>
          <w:p w14:paraId="2208DF5B">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14</w:t>
            </w:r>
          </w:p>
        </w:tc>
        <w:tc>
          <w:tcPr>
            <w:tcW w:w="1362" w:type="pct"/>
            <w:vAlign w:val="center"/>
          </w:tcPr>
          <w:p w14:paraId="496D7D5A">
            <w:pPr>
              <w:jc w:val="left"/>
              <w:rPr>
                <w:rFonts w:ascii="Times New Roman" w:hAnsi="Times New Roman" w:eastAsia="仿宋_GB2312" w:cs="楷体_GB2312"/>
                <w:kern w:val="0"/>
                <w:sz w:val="22"/>
              </w:rPr>
            </w:pPr>
            <w:r>
              <w:rPr>
                <w:rFonts w:ascii="Times New Roman" w:hAnsi="Times New Roman" w:eastAsia="仿宋_GB2312" w:cs="楷体_GB2312"/>
                <w:kern w:val="0"/>
                <w:sz w:val="22"/>
              </w:rPr>
              <w:t>千人养老机构床位数</w:t>
            </w:r>
          </w:p>
        </w:tc>
        <w:tc>
          <w:tcPr>
            <w:tcW w:w="572" w:type="pct"/>
            <w:vAlign w:val="center"/>
          </w:tcPr>
          <w:p w14:paraId="086EB0A1">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张</w:t>
            </w:r>
          </w:p>
        </w:tc>
        <w:tc>
          <w:tcPr>
            <w:tcW w:w="596" w:type="pct"/>
            <w:vAlign w:val="center"/>
          </w:tcPr>
          <w:p w14:paraId="197AB62E">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21" w:type="pct"/>
            <w:vAlign w:val="center"/>
          </w:tcPr>
          <w:p w14:paraId="13ABC434">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26" w:type="pct"/>
            <w:vAlign w:val="center"/>
          </w:tcPr>
          <w:p w14:paraId="3F92A8ED">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w:t>
            </w:r>
            <w:r>
              <w:rPr>
                <w:rFonts w:hint="eastAsia" w:ascii="Times New Roman" w:hAnsi="Times New Roman" w:eastAsia="仿宋_GB2312" w:cs="楷体_GB2312"/>
                <w:kern w:val="0"/>
                <w:sz w:val="22"/>
              </w:rPr>
              <w:t>9</w:t>
            </w:r>
            <w:r>
              <w:rPr>
                <w:rFonts w:ascii="Times New Roman" w:hAnsi="Times New Roman" w:eastAsia="仿宋_GB2312" w:cs="楷体_GB2312"/>
                <w:kern w:val="0"/>
                <w:sz w:val="22"/>
              </w:rPr>
              <w:t>.5</w:t>
            </w:r>
          </w:p>
        </w:tc>
        <w:tc>
          <w:tcPr>
            <w:tcW w:w="595" w:type="pct"/>
            <w:vAlign w:val="center"/>
          </w:tcPr>
          <w:p w14:paraId="7867621D">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预期性</w:t>
            </w:r>
          </w:p>
        </w:tc>
      </w:tr>
      <w:tr w14:paraId="3A9A9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restart"/>
            <w:vAlign w:val="center"/>
          </w:tcPr>
          <w:p w14:paraId="7B4EADF6">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低碳高效</w:t>
            </w:r>
          </w:p>
        </w:tc>
        <w:tc>
          <w:tcPr>
            <w:tcW w:w="377" w:type="pct"/>
            <w:shd w:val="clear" w:color="auto" w:fill="auto"/>
            <w:vAlign w:val="center"/>
          </w:tcPr>
          <w:p w14:paraId="14749ED2">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15</w:t>
            </w:r>
          </w:p>
        </w:tc>
        <w:tc>
          <w:tcPr>
            <w:tcW w:w="1362" w:type="pct"/>
            <w:vAlign w:val="center"/>
          </w:tcPr>
          <w:p w14:paraId="58FD99DB">
            <w:pPr>
              <w:jc w:val="left"/>
              <w:rPr>
                <w:rFonts w:ascii="Times New Roman" w:hAnsi="Times New Roman" w:eastAsia="仿宋_GB2312" w:cs="楷体_GB2312"/>
                <w:kern w:val="0"/>
                <w:sz w:val="22"/>
              </w:rPr>
            </w:pPr>
            <w:r>
              <w:rPr>
                <w:rFonts w:ascii="Times New Roman" w:hAnsi="Times New Roman" w:eastAsia="仿宋_GB2312" w:cs="楷体_GB2312"/>
                <w:kern w:val="0"/>
                <w:sz w:val="22"/>
              </w:rPr>
              <w:t>城市绿道长度</w:t>
            </w:r>
          </w:p>
        </w:tc>
        <w:tc>
          <w:tcPr>
            <w:tcW w:w="572" w:type="pct"/>
            <w:vAlign w:val="center"/>
          </w:tcPr>
          <w:p w14:paraId="14044FE9">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公里</w:t>
            </w:r>
          </w:p>
        </w:tc>
        <w:tc>
          <w:tcPr>
            <w:tcW w:w="596" w:type="pct"/>
            <w:vAlign w:val="center"/>
          </w:tcPr>
          <w:p w14:paraId="047A5FF6">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37</w:t>
            </w:r>
          </w:p>
        </w:tc>
        <w:tc>
          <w:tcPr>
            <w:tcW w:w="521" w:type="pct"/>
            <w:vAlign w:val="center"/>
          </w:tcPr>
          <w:p w14:paraId="65C00A53">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50</w:t>
            </w:r>
          </w:p>
        </w:tc>
        <w:tc>
          <w:tcPr>
            <w:tcW w:w="526" w:type="pct"/>
            <w:vAlign w:val="center"/>
          </w:tcPr>
          <w:p w14:paraId="13590791">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100</w:t>
            </w:r>
          </w:p>
        </w:tc>
        <w:tc>
          <w:tcPr>
            <w:tcW w:w="595" w:type="pct"/>
            <w:vAlign w:val="center"/>
          </w:tcPr>
          <w:p w14:paraId="5984115A">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约束性</w:t>
            </w:r>
          </w:p>
        </w:tc>
      </w:tr>
      <w:tr w14:paraId="0D7F1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14:paraId="5755922E">
            <w:pPr>
              <w:jc w:val="center"/>
              <w:rPr>
                <w:rFonts w:ascii="Times New Roman" w:hAnsi="Times New Roman" w:eastAsia="仿宋_GB2312" w:cs="楷体_GB2312"/>
                <w:b/>
                <w:bCs/>
                <w:kern w:val="0"/>
                <w:sz w:val="22"/>
              </w:rPr>
            </w:pPr>
          </w:p>
        </w:tc>
        <w:tc>
          <w:tcPr>
            <w:tcW w:w="377" w:type="pct"/>
            <w:shd w:val="clear" w:color="auto" w:fill="auto"/>
            <w:vAlign w:val="center"/>
          </w:tcPr>
          <w:p w14:paraId="08D5C2DC">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16</w:t>
            </w:r>
          </w:p>
        </w:tc>
        <w:tc>
          <w:tcPr>
            <w:tcW w:w="1362" w:type="pct"/>
            <w:vAlign w:val="center"/>
          </w:tcPr>
          <w:p w14:paraId="0BA124BA">
            <w:pPr>
              <w:jc w:val="left"/>
              <w:rPr>
                <w:rFonts w:ascii="Times New Roman" w:hAnsi="Times New Roman" w:eastAsia="仿宋_GB2312" w:cs="楷体_GB2312"/>
                <w:kern w:val="0"/>
                <w:sz w:val="22"/>
              </w:rPr>
            </w:pPr>
            <w:r>
              <w:rPr>
                <w:rFonts w:ascii="Times New Roman" w:hAnsi="Times New Roman" w:eastAsia="仿宋_GB2312" w:cs="楷体_GB2312"/>
                <w:kern w:val="0"/>
                <w:sz w:val="22"/>
              </w:rPr>
              <w:t>绿色交通出行比例</w:t>
            </w:r>
          </w:p>
        </w:tc>
        <w:tc>
          <w:tcPr>
            <w:tcW w:w="572" w:type="pct"/>
            <w:vAlign w:val="center"/>
          </w:tcPr>
          <w:p w14:paraId="400AACE4">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96" w:type="pct"/>
            <w:vAlign w:val="center"/>
          </w:tcPr>
          <w:p w14:paraId="74977EF1">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≥30</w:t>
            </w:r>
          </w:p>
        </w:tc>
        <w:tc>
          <w:tcPr>
            <w:tcW w:w="521" w:type="pct"/>
            <w:vAlign w:val="center"/>
          </w:tcPr>
          <w:p w14:paraId="72EDD4C4">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≥50</w:t>
            </w:r>
          </w:p>
        </w:tc>
        <w:tc>
          <w:tcPr>
            <w:tcW w:w="526" w:type="pct"/>
            <w:vAlign w:val="center"/>
          </w:tcPr>
          <w:p w14:paraId="29084EBA">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w:t>
            </w:r>
            <w:r>
              <w:rPr>
                <w:rFonts w:hint="eastAsia" w:ascii="Times New Roman" w:hAnsi="Times New Roman" w:eastAsia="仿宋_GB2312" w:cs="楷体_GB2312"/>
                <w:kern w:val="0"/>
                <w:sz w:val="22"/>
              </w:rPr>
              <w:t>60</w:t>
            </w:r>
          </w:p>
        </w:tc>
        <w:tc>
          <w:tcPr>
            <w:tcW w:w="595" w:type="pct"/>
            <w:vAlign w:val="center"/>
          </w:tcPr>
          <w:p w14:paraId="3EC10239">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约束性</w:t>
            </w:r>
          </w:p>
        </w:tc>
      </w:tr>
      <w:tr w14:paraId="2AC2A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14:paraId="5FB85E8F">
            <w:pPr>
              <w:jc w:val="center"/>
              <w:rPr>
                <w:rFonts w:ascii="Times New Roman" w:hAnsi="Times New Roman" w:eastAsia="仿宋_GB2312" w:cs="楷体_GB2312"/>
                <w:b/>
                <w:bCs/>
                <w:kern w:val="0"/>
                <w:sz w:val="22"/>
              </w:rPr>
            </w:pPr>
          </w:p>
        </w:tc>
        <w:tc>
          <w:tcPr>
            <w:tcW w:w="377" w:type="pct"/>
            <w:shd w:val="clear" w:color="auto" w:fill="auto"/>
            <w:vAlign w:val="center"/>
          </w:tcPr>
          <w:p w14:paraId="3F106CF7">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17</w:t>
            </w:r>
          </w:p>
        </w:tc>
        <w:tc>
          <w:tcPr>
            <w:tcW w:w="1362" w:type="pct"/>
            <w:vAlign w:val="center"/>
          </w:tcPr>
          <w:p w14:paraId="74311179">
            <w:pPr>
              <w:jc w:val="left"/>
              <w:rPr>
                <w:rFonts w:ascii="Times New Roman" w:hAnsi="Times New Roman" w:eastAsia="仿宋_GB2312" w:cs="楷体_GB2312"/>
                <w:kern w:val="0"/>
                <w:sz w:val="22"/>
              </w:rPr>
            </w:pPr>
            <w:r>
              <w:rPr>
                <w:rFonts w:ascii="Times New Roman" w:hAnsi="Times New Roman" w:eastAsia="仿宋_GB2312" w:cs="楷体_GB2312"/>
                <w:kern w:val="0"/>
                <w:sz w:val="22"/>
              </w:rPr>
              <w:t>城镇污水再生水利用率</w:t>
            </w:r>
          </w:p>
        </w:tc>
        <w:tc>
          <w:tcPr>
            <w:tcW w:w="572" w:type="pct"/>
            <w:vAlign w:val="center"/>
          </w:tcPr>
          <w:p w14:paraId="197855AE">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96" w:type="pct"/>
            <w:vAlign w:val="center"/>
          </w:tcPr>
          <w:p w14:paraId="387BBE77">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≥85</w:t>
            </w:r>
          </w:p>
        </w:tc>
        <w:tc>
          <w:tcPr>
            <w:tcW w:w="521" w:type="pct"/>
            <w:vAlign w:val="center"/>
          </w:tcPr>
          <w:p w14:paraId="7E46B54A">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≥90</w:t>
            </w:r>
          </w:p>
        </w:tc>
        <w:tc>
          <w:tcPr>
            <w:tcW w:w="526" w:type="pct"/>
            <w:vAlign w:val="center"/>
          </w:tcPr>
          <w:p w14:paraId="79A5E4D2">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w:t>
            </w:r>
            <w:r>
              <w:rPr>
                <w:rFonts w:hint="eastAsia" w:ascii="Times New Roman" w:hAnsi="Times New Roman" w:eastAsia="仿宋_GB2312" w:cs="楷体_GB2312"/>
                <w:kern w:val="0"/>
                <w:sz w:val="22"/>
              </w:rPr>
              <w:t>95</w:t>
            </w:r>
          </w:p>
        </w:tc>
        <w:tc>
          <w:tcPr>
            <w:tcW w:w="595" w:type="pct"/>
            <w:vAlign w:val="center"/>
          </w:tcPr>
          <w:p w14:paraId="6C483FC0">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约束性</w:t>
            </w:r>
          </w:p>
        </w:tc>
      </w:tr>
      <w:tr w14:paraId="17D5D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14:paraId="08543057">
            <w:pPr>
              <w:jc w:val="center"/>
              <w:rPr>
                <w:rFonts w:ascii="Times New Roman" w:hAnsi="Times New Roman" w:eastAsia="仿宋_GB2312" w:cs="楷体_GB2312"/>
                <w:b/>
                <w:bCs/>
                <w:kern w:val="0"/>
                <w:sz w:val="22"/>
              </w:rPr>
            </w:pPr>
          </w:p>
        </w:tc>
        <w:tc>
          <w:tcPr>
            <w:tcW w:w="377" w:type="pct"/>
            <w:shd w:val="clear" w:color="auto" w:fill="auto"/>
            <w:vAlign w:val="center"/>
          </w:tcPr>
          <w:p w14:paraId="20CF315B">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18</w:t>
            </w:r>
          </w:p>
        </w:tc>
        <w:tc>
          <w:tcPr>
            <w:tcW w:w="1362" w:type="pct"/>
            <w:vAlign w:val="center"/>
          </w:tcPr>
          <w:p w14:paraId="47A528EE">
            <w:pPr>
              <w:jc w:val="left"/>
              <w:rPr>
                <w:rFonts w:ascii="Times New Roman" w:hAnsi="Times New Roman" w:eastAsia="仿宋_GB2312" w:cs="楷体_GB2312"/>
                <w:kern w:val="0"/>
                <w:sz w:val="22"/>
              </w:rPr>
            </w:pPr>
            <w:r>
              <w:rPr>
                <w:rFonts w:ascii="Times New Roman" w:hAnsi="Times New Roman" w:eastAsia="仿宋_GB2312" w:cs="楷体_GB2312"/>
                <w:kern w:val="0"/>
                <w:sz w:val="22"/>
              </w:rPr>
              <w:t>新能源和可再生能源比重</w:t>
            </w:r>
          </w:p>
        </w:tc>
        <w:tc>
          <w:tcPr>
            <w:tcW w:w="572" w:type="pct"/>
            <w:vAlign w:val="center"/>
          </w:tcPr>
          <w:p w14:paraId="26200722">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96" w:type="pct"/>
            <w:vAlign w:val="center"/>
          </w:tcPr>
          <w:p w14:paraId="35BE6092">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21" w:type="pct"/>
            <w:shd w:val="clear" w:color="auto" w:fill="auto"/>
            <w:vAlign w:val="center"/>
          </w:tcPr>
          <w:p w14:paraId="638B83E0">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≥10</w:t>
            </w:r>
          </w:p>
        </w:tc>
        <w:tc>
          <w:tcPr>
            <w:tcW w:w="526" w:type="pct"/>
            <w:vAlign w:val="center"/>
          </w:tcPr>
          <w:p w14:paraId="7A4F031C">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w:t>
            </w:r>
            <w:r>
              <w:rPr>
                <w:rFonts w:hint="eastAsia" w:ascii="Times New Roman" w:hAnsi="Times New Roman" w:eastAsia="仿宋_GB2312" w:cs="楷体_GB2312"/>
                <w:kern w:val="0"/>
                <w:sz w:val="22"/>
              </w:rPr>
              <w:t>20</w:t>
            </w:r>
          </w:p>
        </w:tc>
        <w:tc>
          <w:tcPr>
            <w:tcW w:w="595" w:type="pct"/>
            <w:vAlign w:val="center"/>
          </w:tcPr>
          <w:p w14:paraId="4437481A">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预期性</w:t>
            </w:r>
          </w:p>
        </w:tc>
      </w:tr>
      <w:tr w14:paraId="3FD1E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restart"/>
            <w:vAlign w:val="center"/>
          </w:tcPr>
          <w:p w14:paraId="0261C0DA">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智慧安全</w:t>
            </w:r>
          </w:p>
        </w:tc>
        <w:tc>
          <w:tcPr>
            <w:tcW w:w="377" w:type="pct"/>
            <w:shd w:val="clear" w:color="auto" w:fill="auto"/>
            <w:vAlign w:val="center"/>
          </w:tcPr>
          <w:p w14:paraId="7B302ACE">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19</w:t>
            </w:r>
          </w:p>
        </w:tc>
        <w:tc>
          <w:tcPr>
            <w:tcW w:w="1362" w:type="pct"/>
            <w:vAlign w:val="center"/>
          </w:tcPr>
          <w:p w14:paraId="01E72936">
            <w:pPr>
              <w:jc w:val="left"/>
              <w:rPr>
                <w:rFonts w:ascii="Times New Roman" w:hAnsi="Times New Roman" w:eastAsia="仿宋_GB2312" w:cs="楷体_GB2312"/>
                <w:kern w:val="0"/>
                <w:sz w:val="22"/>
              </w:rPr>
            </w:pPr>
            <w:r>
              <w:rPr>
                <w:rFonts w:ascii="Times New Roman" w:hAnsi="Times New Roman" w:eastAsia="仿宋_GB2312" w:cs="楷体_GB2312"/>
                <w:kern w:val="0"/>
                <w:sz w:val="22"/>
              </w:rPr>
              <w:t>基础设施智慧化水平</w:t>
            </w:r>
          </w:p>
        </w:tc>
        <w:tc>
          <w:tcPr>
            <w:tcW w:w="572" w:type="pct"/>
            <w:vAlign w:val="center"/>
          </w:tcPr>
          <w:p w14:paraId="1C24B74A">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96" w:type="pct"/>
            <w:vAlign w:val="center"/>
          </w:tcPr>
          <w:p w14:paraId="47984DFA">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21" w:type="pct"/>
            <w:shd w:val="clear" w:color="auto" w:fill="auto"/>
            <w:vAlign w:val="center"/>
          </w:tcPr>
          <w:p w14:paraId="38F4543A">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≥40</w:t>
            </w:r>
          </w:p>
        </w:tc>
        <w:tc>
          <w:tcPr>
            <w:tcW w:w="526" w:type="pct"/>
            <w:vAlign w:val="center"/>
          </w:tcPr>
          <w:p w14:paraId="104FF7D6">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w:t>
            </w:r>
            <w:r>
              <w:rPr>
                <w:rFonts w:hint="eastAsia" w:ascii="Times New Roman" w:hAnsi="Times New Roman" w:eastAsia="仿宋_GB2312" w:cs="楷体_GB2312"/>
                <w:kern w:val="0"/>
                <w:sz w:val="22"/>
              </w:rPr>
              <w:t>90</w:t>
            </w:r>
          </w:p>
        </w:tc>
        <w:tc>
          <w:tcPr>
            <w:tcW w:w="595" w:type="pct"/>
            <w:vAlign w:val="center"/>
          </w:tcPr>
          <w:p w14:paraId="66E37A26">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约束性</w:t>
            </w:r>
          </w:p>
        </w:tc>
      </w:tr>
      <w:tr w14:paraId="4CFF4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14:paraId="719E0FB2">
            <w:pPr>
              <w:jc w:val="center"/>
              <w:rPr>
                <w:rFonts w:ascii="Times New Roman" w:hAnsi="Times New Roman" w:eastAsia="仿宋_GB2312" w:cs="楷体_GB2312"/>
                <w:b/>
                <w:bCs/>
                <w:kern w:val="0"/>
                <w:sz w:val="22"/>
              </w:rPr>
            </w:pPr>
          </w:p>
        </w:tc>
        <w:tc>
          <w:tcPr>
            <w:tcW w:w="377" w:type="pct"/>
            <w:shd w:val="clear" w:color="auto" w:fill="auto"/>
            <w:vAlign w:val="center"/>
          </w:tcPr>
          <w:p w14:paraId="57CD1C45">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20</w:t>
            </w:r>
          </w:p>
        </w:tc>
        <w:tc>
          <w:tcPr>
            <w:tcW w:w="1362" w:type="pct"/>
            <w:vAlign w:val="center"/>
          </w:tcPr>
          <w:p w14:paraId="72C25F9A">
            <w:pPr>
              <w:jc w:val="left"/>
              <w:rPr>
                <w:rFonts w:ascii="Times New Roman" w:hAnsi="Times New Roman" w:eastAsia="仿宋_GB2312" w:cs="楷体_GB2312"/>
                <w:kern w:val="0"/>
                <w:sz w:val="22"/>
              </w:rPr>
            </w:pPr>
            <w:r>
              <w:rPr>
                <w:rFonts w:ascii="Times New Roman" w:hAnsi="Times New Roman" w:eastAsia="仿宋_GB2312" w:cs="楷体_GB2312"/>
                <w:kern w:val="0"/>
                <w:sz w:val="22"/>
              </w:rPr>
              <w:t>5G网络建设覆盖率</w:t>
            </w:r>
          </w:p>
        </w:tc>
        <w:tc>
          <w:tcPr>
            <w:tcW w:w="572" w:type="pct"/>
            <w:vAlign w:val="center"/>
          </w:tcPr>
          <w:p w14:paraId="25DA7D4D">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96" w:type="pct"/>
            <w:vAlign w:val="center"/>
          </w:tcPr>
          <w:p w14:paraId="4A05AB3E">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100</w:t>
            </w:r>
          </w:p>
        </w:tc>
        <w:tc>
          <w:tcPr>
            <w:tcW w:w="521" w:type="pct"/>
            <w:vAlign w:val="center"/>
          </w:tcPr>
          <w:p w14:paraId="5687532C">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100</w:t>
            </w:r>
          </w:p>
        </w:tc>
        <w:tc>
          <w:tcPr>
            <w:tcW w:w="526" w:type="pct"/>
            <w:vAlign w:val="center"/>
          </w:tcPr>
          <w:p w14:paraId="208E9D2C">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100</w:t>
            </w:r>
          </w:p>
        </w:tc>
        <w:tc>
          <w:tcPr>
            <w:tcW w:w="595" w:type="pct"/>
            <w:vAlign w:val="center"/>
          </w:tcPr>
          <w:p w14:paraId="1A3060D3">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约束性</w:t>
            </w:r>
          </w:p>
        </w:tc>
      </w:tr>
      <w:tr w14:paraId="39E1E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14:paraId="798E3B7A">
            <w:pPr>
              <w:jc w:val="center"/>
              <w:rPr>
                <w:rFonts w:ascii="Times New Roman" w:hAnsi="Times New Roman" w:eastAsia="仿宋_GB2312" w:cs="楷体_GB2312"/>
                <w:b/>
                <w:bCs/>
                <w:kern w:val="0"/>
                <w:sz w:val="22"/>
              </w:rPr>
            </w:pPr>
          </w:p>
        </w:tc>
        <w:tc>
          <w:tcPr>
            <w:tcW w:w="377" w:type="pct"/>
            <w:vAlign w:val="center"/>
          </w:tcPr>
          <w:p w14:paraId="608CC35C">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21</w:t>
            </w:r>
          </w:p>
        </w:tc>
        <w:tc>
          <w:tcPr>
            <w:tcW w:w="1362" w:type="pct"/>
            <w:vAlign w:val="center"/>
          </w:tcPr>
          <w:p w14:paraId="132F8CFF">
            <w:pPr>
              <w:jc w:val="left"/>
              <w:rPr>
                <w:rFonts w:ascii="Times New Roman" w:hAnsi="Times New Roman" w:eastAsia="仿宋_GB2312" w:cs="楷体_GB2312"/>
                <w:kern w:val="0"/>
                <w:sz w:val="22"/>
              </w:rPr>
            </w:pPr>
            <w:r>
              <w:rPr>
                <w:rFonts w:ascii="Times New Roman" w:hAnsi="Times New Roman" w:eastAsia="仿宋_GB2312" w:cs="楷体_GB2312"/>
                <w:kern w:val="0"/>
                <w:sz w:val="22"/>
              </w:rPr>
              <w:t>消防应急救援5分钟可达覆盖率</w:t>
            </w:r>
          </w:p>
        </w:tc>
        <w:tc>
          <w:tcPr>
            <w:tcW w:w="572" w:type="pct"/>
            <w:vAlign w:val="center"/>
          </w:tcPr>
          <w:p w14:paraId="2240CDAF">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96" w:type="pct"/>
            <w:vAlign w:val="center"/>
          </w:tcPr>
          <w:p w14:paraId="2B1F6B26">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100</w:t>
            </w:r>
          </w:p>
        </w:tc>
        <w:tc>
          <w:tcPr>
            <w:tcW w:w="521" w:type="pct"/>
            <w:vAlign w:val="center"/>
          </w:tcPr>
          <w:p w14:paraId="6F5E4999">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100</w:t>
            </w:r>
          </w:p>
        </w:tc>
        <w:tc>
          <w:tcPr>
            <w:tcW w:w="526" w:type="pct"/>
            <w:vAlign w:val="center"/>
          </w:tcPr>
          <w:p w14:paraId="0F3A66A6">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100</w:t>
            </w:r>
          </w:p>
        </w:tc>
        <w:tc>
          <w:tcPr>
            <w:tcW w:w="595" w:type="pct"/>
            <w:vAlign w:val="center"/>
          </w:tcPr>
          <w:p w14:paraId="4E80AFB7">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约束性</w:t>
            </w:r>
          </w:p>
        </w:tc>
      </w:tr>
      <w:tr w14:paraId="736B6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46" w:type="pct"/>
            <w:vMerge w:val="continue"/>
            <w:vAlign w:val="center"/>
          </w:tcPr>
          <w:p w14:paraId="2BA52A92">
            <w:pPr>
              <w:jc w:val="center"/>
              <w:rPr>
                <w:rFonts w:ascii="Times New Roman" w:hAnsi="Times New Roman" w:eastAsia="仿宋_GB2312" w:cs="楷体_GB2312"/>
                <w:b/>
                <w:bCs/>
                <w:kern w:val="0"/>
                <w:sz w:val="22"/>
              </w:rPr>
            </w:pPr>
          </w:p>
        </w:tc>
        <w:tc>
          <w:tcPr>
            <w:tcW w:w="377" w:type="pct"/>
            <w:vAlign w:val="center"/>
          </w:tcPr>
          <w:p w14:paraId="7A5EEA38">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22</w:t>
            </w:r>
          </w:p>
        </w:tc>
        <w:tc>
          <w:tcPr>
            <w:tcW w:w="1362" w:type="pct"/>
            <w:vAlign w:val="center"/>
          </w:tcPr>
          <w:p w14:paraId="264C559D">
            <w:pPr>
              <w:jc w:val="left"/>
              <w:rPr>
                <w:rFonts w:ascii="Times New Roman" w:hAnsi="Times New Roman" w:eastAsia="仿宋_GB2312" w:cs="楷体_GB2312"/>
                <w:kern w:val="0"/>
                <w:sz w:val="22"/>
              </w:rPr>
            </w:pPr>
            <w:r>
              <w:rPr>
                <w:rFonts w:ascii="Times New Roman" w:hAnsi="Times New Roman" w:eastAsia="仿宋_GB2312" w:cs="楷体_GB2312"/>
                <w:kern w:val="0"/>
                <w:sz w:val="22"/>
              </w:rPr>
              <w:t>人均应急避难场所面积</w:t>
            </w:r>
          </w:p>
        </w:tc>
        <w:tc>
          <w:tcPr>
            <w:tcW w:w="572" w:type="pct"/>
            <w:vAlign w:val="center"/>
          </w:tcPr>
          <w:p w14:paraId="597D37D5">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平方米</w:t>
            </w:r>
          </w:p>
        </w:tc>
        <w:tc>
          <w:tcPr>
            <w:tcW w:w="596" w:type="pct"/>
            <w:vAlign w:val="center"/>
          </w:tcPr>
          <w:p w14:paraId="33D3D161">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521" w:type="pct"/>
            <w:vAlign w:val="center"/>
          </w:tcPr>
          <w:p w14:paraId="60143866">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w:t>
            </w:r>
            <w:r>
              <w:rPr>
                <w:rFonts w:hint="eastAsia" w:ascii="Times New Roman" w:hAnsi="Times New Roman" w:eastAsia="仿宋_GB2312" w:cs="楷体_GB2312"/>
                <w:kern w:val="0"/>
                <w:sz w:val="22"/>
              </w:rPr>
              <w:t>1.5</w:t>
            </w:r>
          </w:p>
        </w:tc>
        <w:tc>
          <w:tcPr>
            <w:tcW w:w="526" w:type="pct"/>
            <w:vAlign w:val="center"/>
          </w:tcPr>
          <w:p w14:paraId="02C489CF">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w:t>
            </w:r>
            <w:r>
              <w:rPr>
                <w:rFonts w:hint="eastAsia" w:ascii="Times New Roman" w:hAnsi="Times New Roman" w:eastAsia="仿宋_GB2312" w:cs="楷体_GB2312"/>
                <w:kern w:val="0"/>
                <w:sz w:val="22"/>
              </w:rPr>
              <w:t>2</w:t>
            </w:r>
          </w:p>
        </w:tc>
        <w:tc>
          <w:tcPr>
            <w:tcW w:w="595" w:type="pct"/>
            <w:vAlign w:val="center"/>
          </w:tcPr>
          <w:p w14:paraId="48E77B21">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约束性</w:t>
            </w:r>
          </w:p>
        </w:tc>
      </w:tr>
    </w:tbl>
    <w:p w14:paraId="7B17F96C">
      <w:pPr>
        <w:jc w:val="center"/>
        <w:rPr>
          <w:rFonts w:ascii="Times New Roman" w:hAnsi="Times New Roman" w:eastAsia="仿宋_GB2312" w:cs="楷体_GB2312"/>
          <w:kern w:val="0"/>
          <w:sz w:val="28"/>
          <w:szCs w:val="28"/>
        </w:rPr>
        <w:sectPr>
          <w:pgSz w:w="11906" w:h="16838"/>
          <w:pgMar w:top="1440" w:right="1800" w:bottom="1440" w:left="1800" w:header="851" w:footer="992" w:gutter="0"/>
          <w:cols w:space="425" w:num="1"/>
          <w:docGrid w:type="lines" w:linePitch="312" w:charSpace="0"/>
        </w:sectPr>
      </w:pPr>
    </w:p>
    <w:p w14:paraId="61C8A988">
      <w:pPr>
        <w:pStyle w:val="3"/>
        <w:keepNext w:val="0"/>
        <w:keepLines w:val="0"/>
        <w:spacing w:before="312" w:beforeLines="100" w:after="312" w:afterLines="100" w:line="360" w:lineRule="auto"/>
        <w:jc w:val="center"/>
        <w:rPr>
          <w:rFonts w:ascii="Times New Roman" w:hAnsi="Times New Roman" w:eastAsia="黑体" w:cs="黑体"/>
          <w:kern w:val="1"/>
          <w:sz w:val="40"/>
          <w:szCs w:val="40"/>
          <w14:ligatures w14:val="none"/>
        </w:rPr>
      </w:pPr>
      <w:bookmarkStart w:id="50" w:name="_Toc198247195"/>
      <w:bookmarkStart w:id="51" w:name="_Toc17761"/>
      <w:r>
        <w:rPr>
          <w:rFonts w:hint="eastAsia" w:ascii="Times New Roman" w:hAnsi="Times New Roman" w:eastAsia="黑体"/>
          <w:b w:val="0"/>
          <w:bCs w:val="0"/>
          <w:sz w:val="40"/>
          <w:szCs w:val="40"/>
        </w:rPr>
        <w:t>第四章 构筑全域生态城市发展新格局</w:t>
      </w:r>
      <w:bookmarkEnd w:id="50"/>
      <w:bookmarkEnd w:id="51"/>
    </w:p>
    <w:p w14:paraId="6A1CA5A3">
      <w:pPr>
        <w:numPr>
          <w:ilvl w:val="255"/>
          <w:numId w:val="0"/>
        </w:numPr>
        <w:spacing w:line="600" w:lineRule="exact"/>
        <w:ind w:firstLine="640" w:firstLineChars="200"/>
        <w:rPr>
          <w:rFonts w:ascii="Times New Roman" w:hAnsi="Times New Roman" w:eastAsia="仿宋_GB2312" w:cs="楷体_GB2312"/>
          <w:kern w:val="0"/>
          <w:sz w:val="28"/>
          <w:szCs w:val="28"/>
        </w:rPr>
      </w:pPr>
      <w:r>
        <w:rPr>
          <w:rFonts w:hint="eastAsia" w:ascii="Times New Roman" w:hAnsi="Times New Roman" w:eastAsia="仿宋_GB2312" w:cs="楷体_GB2312"/>
          <w:kern w:val="0"/>
          <w:sz w:val="32"/>
          <w:szCs w:val="32"/>
        </w:rPr>
        <w:t>推进以人为核心的新型城镇化，按照“生产空间集约高效、生活空间宜居适度、生态空间山清水秀”的要求，坚持区域统筹、产城融合、城乡一体，构筑全域生态城市发展新格局，提高城镇空间利用率，改善城乡人居环境，实现城乡品质倍升。</w:t>
      </w:r>
    </w:p>
    <w:p w14:paraId="680B593F">
      <w:pPr>
        <w:pStyle w:val="4"/>
        <w:keepNext w:val="0"/>
        <w:keepLines w:val="0"/>
        <w:numPr>
          <w:ilvl w:val="1"/>
          <w:numId w:val="1"/>
        </w:numPr>
        <w:spacing w:before="0" w:after="0" w:line="360" w:lineRule="auto"/>
        <w:ind w:firstLine="0"/>
        <w:jc w:val="center"/>
        <w:rPr>
          <w:rFonts w:ascii="Times New Roman" w:hAnsi="Times New Roman" w:eastAsia="黑体" w:cs="黑体"/>
          <w:bCs w:val="0"/>
          <w14:ligatures w14:val="none"/>
        </w:rPr>
      </w:pPr>
      <w:bookmarkStart w:id="52" w:name="_Toc198247196"/>
      <w:bookmarkStart w:id="53" w:name="_Toc3227"/>
      <w:r>
        <w:rPr>
          <w:rFonts w:hint="eastAsia" w:ascii="Times New Roman" w:hAnsi="Times New Roman" w:eastAsia="黑体"/>
          <w:b w:val="0"/>
          <w:bCs w:val="0"/>
        </w:rPr>
        <w:t>构筑“南承北启、西融东联”的区域协同格局</w:t>
      </w:r>
      <w:bookmarkEnd w:id="52"/>
      <w:bookmarkEnd w:id="53"/>
    </w:p>
    <w:p w14:paraId="166BA978">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Times New Roman" w:hAnsi="Times New Roman" w:eastAsia="仿宋_GB2312" w:cs="楷体_GB2312"/>
          <w:kern w:val="0"/>
          <w:sz w:val="32"/>
          <w:szCs w:val="32"/>
        </w:rPr>
        <w:t>立足区域发展态势，贯彻落实“引湾区活水、增两山活力”的空间战略思维，构建</w:t>
      </w:r>
      <w:bookmarkStart w:id="54" w:name="_Hlk181908281"/>
      <w:r>
        <w:rPr>
          <w:rFonts w:hint="eastAsia" w:ascii="Times New Roman" w:hAnsi="Times New Roman" w:eastAsia="仿宋_GB2312" w:cs="楷体_GB2312"/>
          <w:kern w:val="0"/>
          <w:sz w:val="32"/>
          <w:szCs w:val="32"/>
        </w:rPr>
        <w:t>“</w:t>
      </w:r>
      <w:r>
        <w:rPr>
          <w:rFonts w:ascii="Times New Roman" w:hAnsi="Times New Roman" w:eastAsia="仿宋_GB2312" w:cs="楷体_GB2312"/>
          <w:kern w:val="0"/>
          <w:sz w:val="32"/>
          <w:szCs w:val="32"/>
        </w:rPr>
        <w:t>南承北启、西融东联</w:t>
      </w:r>
      <w:r>
        <w:rPr>
          <w:rFonts w:hint="eastAsia" w:ascii="Times New Roman" w:hAnsi="Times New Roman" w:eastAsia="仿宋_GB2312" w:cs="楷体_GB2312"/>
          <w:kern w:val="0"/>
          <w:sz w:val="32"/>
          <w:szCs w:val="32"/>
        </w:rPr>
        <w:t>”</w:t>
      </w:r>
      <w:bookmarkEnd w:id="54"/>
      <w:r>
        <w:rPr>
          <w:rFonts w:ascii="Times New Roman" w:hAnsi="Times New Roman" w:eastAsia="仿宋_GB2312" w:cs="楷体_GB2312"/>
          <w:kern w:val="0"/>
          <w:sz w:val="32"/>
          <w:szCs w:val="32"/>
        </w:rPr>
        <w:t>的区域</w:t>
      </w:r>
      <w:r>
        <w:rPr>
          <w:rFonts w:hint="eastAsia" w:ascii="Times New Roman" w:hAnsi="Times New Roman" w:eastAsia="仿宋_GB2312" w:cs="楷体_GB2312"/>
          <w:kern w:val="0"/>
          <w:sz w:val="32"/>
          <w:szCs w:val="32"/>
        </w:rPr>
        <w:t>高效</w:t>
      </w:r>
      <w:r>
        <w:rPr>
          <w:rFonts w:ascii="Times New Roman" w:hAnsi="Times New Roman" w:eastAsia="仿宋_GB2312" w:cs="楷体_GB2312"/>
          <w:kern w:val="0"/>
          <w:sz w:val="32"/>
          <w:szCs w:val="32"/>
        </w:rPr>
        <w:t>协同发展格局</w:t>
      </w:r>
      <w:r>
        <w:rPr>
          <w:rFonts w:hint="eastAsia" w:ascii="Times New Roman" w:hAnsi="Times New Roman" w:eastAsia="仿宋_GB2312" w:cs="楷体_GB2312"/>
          <w:kern w:val="0"/>
          <w:sz w:val="32"/>
          <w:szCs w:val="32"/>
        </w:rPr>
        <w:t>。</w:t>
      </w:r>
    </w:p>
    <w:p w14:paraId="3B51236E">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向南全面承接深莞优质产业和创新要素外溢。</w:t>
      </w:r>
      <w:r>
        <w:rPr>
          <w:rFonts w:hint="eastAsia" w:ascii="Times New Roman" w:hAnsi="Times New Roman" w:eastAsia="仿宋_GB2312" w:cs="楷体_GB2312"/>
          <w:kern w:val="0"/>
          <w:sz w:val="32"/>
          <w:szCs w:val="32"/>
        </w:rPr>
        <w:t>明确承接产业方向和创新资源要素目录，优化省级博罗县域副中心产业链供应链创新链，以副中心沙河创新湾—东莞中部科创走廊，惠州博罗产业园区—东莞东部制造走廊为核心抓手，共建沙河—松山湖科创产业转移转化高地和珠江东岸先进制造业产业集群。</w:t>
      </w:r>
    </w:p>
    <w:p w14:paraId="32C90DB3">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向北开启“环南昆山—罗浮山”引领区门户枢纽。</w:t>
      </w:r>
      <w:r>
        <w:rPr>
          <w:rFonts w:hint="eastAsia" w:ascii="Times New Roman" w:hAnsi="Times New Roman" w:eastAsia="仿宋_GB2312" w:cs="楷体_GB2312"/>
          <w:kern w:val="0"/>
          <w:sz w:val="32"/>
          <w:szCs w:val="32"/>
        </w:rPr>
        <w:t>以沙河、东坡大道、福园路、福石路等沿线区域为核心，实施乡村再造、交通循环和人居环境改造工程，布局建设智慧农业，精品乡村酒店（民宿）集群，综合性文体、健康、休闲公共设施，打造生产性和生活性服务融合共生的环“南昆山—罗浮山”引领区</w:t>
      </w:r>
      <w:r>
        <w:rPr>
          <w:rFonts w:ascii="Times New Roman" w:hAnsi="Times New Roman" w:eastAsia="仿宋_GB2312" w:cs="楷体_GB2312"/>
          <w:kern w:val="0"/>
          <w:sz w:val="32"/>
          <w:szCs w:val="32"/>
        </w:rPr>
        <w:t>生产性服务业集聚区和综合服务中心</w:t>
      </w:r>
      <w:r>
        <w:rPr>
          <w:rFonts w:hint="eastAsia" w:ascii="Times New Roman" w:hAnsi="Times New Roman" w:eastAsia="仿宋_GB2312" w:cs="楷体_GB2312"/>
          <w:kern w:val="0"/>
          <w:sz w:val="32"/>
          <w:szCs w:val="32"/>
        </w:rPr>
        <w:t>。</w:t>
      </w:r>
    </w:p>
    <w:p w14:paraId="661F6497">
      <w:pPr>
        <w:widowControl/>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向西</w:t>
      </w:r>
      <w:r>
        <w:rPr>
          <w:rFonts w:hint="eastAsia" w:ascii="楷体_GB2312" w:hAnsi="楷体_GB2312" w:eastAsia="楷体_GB2312" w:cs="楷体_GB2312"/>
          <w:kern w:val="0"/>
          <w:sz w:val="32"/>
          <w:szCs w:val="32"/>
          <w:lang w:eastAsia="zh"/>
        </w:rPr>
        <w:t>融入广州东部中心共建</w:t>
      </w:r>
      <w:r>
        <w:rPr>
          <w:rFonts w:hint="eastAsia" w:ascii="楷体_GB2312" w:hAnsi="楷体_GB2312" w:eastAsia="楷体_GB2312" w:cs="楷体_GB2312"/>
          <w:kern w:val="0"/>
          <w:sz w:val="32"/>
          <w:szCs w:val="32"/>
        </w:rPr>
        <w:t>珠江—东江高质量发展带。</w:t>
      </w:r>
      <w:r>
        <w:rPr>
          <w:rFonts w:hint="eastAsia" w:ascii="Times New Roman" w:hAnsi="Times New Roman" w:eastAsia="仿宋_GB2312" w:cs="楷体_GB2312"/>
          <w:kern w:val="0"/>
          <w:sz w:val="32"/>
          <w:szCs w:val="32"/>
        </w:rPr>
        <w:t>以共建广东铁路国际物流基地和广莞科创产业轴为核心，联动增城经济技术开发区、东莞石龙广深铁路经济发展带和城市综合发展带，携手</w:t>
      </w:r>
      <w:r>
        <w:rPr>
          <w:rFonts w:ascii="Times New Roman" w:hAnsi="Times New Roman" w:eastAsia="仿宋_GB2312" w:cs="楷体_GB2312"/>
          <w:kern w:val="0"/>
          <w:sz w:val="32"/>
          <w:szCs w:val="32"/>
        </w:rPr>
        <w:t>广州高质量东进</w:t>
      </w:r>
      <w:r>
        <w:rPr>
          <w:rFonts w:hint="eastAsia" w:ascii="Times New Roman" w:hAnsi="Times New Roman" w:eastAsia="仿宋_GB2312" w:cs="楷体_GB2312"/>
          <w:kern w:val="0"/>
          <w:sz w:val="32"/>
          <w:szCs w:val="32"/>
        </w:rPr>
        <w:t>和东莞中心城区拥东江发展势能，打造“四石”跨界地区“通道+枢纽+产业+创新”协同发展的</w:t>
      </w:r>
      <w:r>
        <w:rPr>
          <w:rFonts w:ascii="Times New Roman" w:hAnsi="Times New Roman" w:eastAsia="仿宋_GB2312" w:cs="楷体_GB2312"/>
          <w:kern w:val="0"/>
          <w:sz w:val="32"/>
          <w:szCs w:val="32"/>
        </w:rPr>
        <w:t>珠江</w:t>
      </w:r>
      <w:r>
        <w:rPr>
          <w:rFonts w:hint="eastAsia" w:ascii="Times New Roman" w:hAnsi="Times New Roman" w:eastAsia="仿宋_GB2312" w:cs="楷体_GB2312"/>
          <w:kern w:val="0"/>
          <w:sz w:val="32"/>
          <w:szCs w:val="32"/>
        </w:rPr>
        <w:t>—</w:t>
      </w:r>
      <w:r>
        <w:rPr>
          <w:rFonts w:ascii="Times New Roman" w:hAnsi="Times New Roman" w:eastAsia="仿宋_GB2312" w:cs="楷体_GB2312"/>
          <w:kern w:val="0"/>
          <w:sz w:val="32"/>
          <w:szCs w:val="32"/>
        </w:rPr>
        <w:t>东江</w:t>
      </w:r>
      <w:r>
        <w:rPr>
          <w:rFonts w:hint="eastAsia" w:ascii="Times New Roman" w:hAnsi="Times New Roman" w:eastAsia="仿宋_GB2312" w:cs="楷体_GB2312"/>
          <w:kern w:val="0"/>
          <w:sz w:val="32"/>
          <w:szCs w:val="32"/>
        </w:rPr>
        <w:t>高质量发展带。</w:t>
      </w:r>
    </w:p>
    <w:p w14:paraId="5D62E984">
      <w:pPr>
        <w:widowControl/>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向东联动博罗县城共筑宜居宜业宜休闲宜创新“四宜”</w:t>
      </w:r>
      <w:bookmarkStart w:id="55" w:name="_Hlk198207128"/>
      <w:r>
        <w:rPr>
          <w:rFonts w:hint="eastAsia" w:ascii="楷体_GB2312" w:hAnsi="楷体_GB2312" w:eastAsia="楷体_GB2312" w:cs="楷体_GB2312"/>
          <w:kern w:val="0"/>
          <w:sz w:val="32"/>
          <w:szCs w:val="32"/>
        </w:rPr>
        <w:t>现代化滨江城市</w:t>
      </w:r>
      <w:bookmarkEnd w:id="55"/>
      <w:r>
        <w:rPr>
          <w:rFonts w:hint="eastAsia" w:ascii="楷体_GB2312" w:hAnsi="楷体_GB2312" w:eastAsia="楷体_GB2312" w:cs="楷体_GB2312"/>
          <w:kern w:val="0"/>
          <w:sz w:val="32"/>
          <w:szCs w:val="32"/>
        </w:rPr>
        <w:t>。</w:t>
      </w:r>
      <w:r>
        <w:rPr>
          <w:rFonts w:hint="eastAsia" w:ascii="Times New Roman" w:hAnsi="Times New Roman" w:eastAsia="仿宋_GB2312" w:cs="楷体_GB2312"/>
          <w:kern w:val="0"/>
          <w:sz w:val="32"/>
          <w:szCs w:val="32"/>
        </w:rPr>
        <w:t>以“</w:t>
      </w:r>
      <w:r>
        <w:rPr>
          <w:rFonts w:ascii="Times New Roman" w:hAnsi="Times New Roman" w:eastAsia="仿宋_GB2312" w:cs="楷体_GB2312"/>
          <w:kern w:val="0"/>
          <w:sz w:val="32"/>
          <w:szCs w:val="32"/>
        </w:rPr>
        <w:t>一区多园</w:t>
      </w:r>
      <w:r>
        <w:rPr>
          <w:rFonts w:hint="eastAsia" w:ascii="Times New Roman" w:hAnsi="Times New Roman" w:eastAsia="仿宋_GB2312" w:cs="楷体_GB2312"/>
          <w:kern w:val="0"/>
          <w:sz w:val="32"/>
          <w:szCs w:val="32"/>
        </w:rPr>
        <w:t>”共建省级开发区—惠州博罗产业园和惠肇高速、东江大道、振兴大道等高快速道路为牵引，统筹推动东江北岸生产、生活、生态空间优化，打造</w:t>
      </w:r>
      <w:r>
        <w:rPr>
          <w:rFonts w:ascii="Times New Roman" w:hAnsi="Times New Roman" w:eastAsia="仿宋_GB2312" w:cs="楷体_GB2312"/>
          <w:kern w:val="0"/>
          <w:sz w:val="32"/>
          <w:szCs w:val="32"/>
          <w:lang w:bidi="ar"/>
        </w:rPr>
        <w:t>高端电子信息产业、先进装备制造业、新能源新材料 产业集群效应</w:t>
      </w:r>
      <w:r>
        <w:rPr>
          <w:rFonts w:hint="eastAsia" w:ascii="Times New Roman" w:hAnsi="Times New Roman" w:eastAsia="仿宋_GB2312" w:cs="楷体_GB2312"/>
          <w:kern w:val="0"/>
          <w:sz w:val="32"/>
          <w:szCs w:val="32"/>
          <w:lang w:bidi="ar"/>
        </w:rPr>
        <w:t>显著</w:t>
      </w:r>
      <w:r>
        <w:rPr>
          <w:rFonts w:ascii="Times New Roman" w:hAnsi="Times New Roman" w:eastAsia="仿宋_GB2312" w:cs="楷体_GB2312"/>
          <w:kern w:val="0"/>
          <w:sz w:val="32"/>
          <w:szCs w:val="32"/>
          <w:lang w:bidi="ar"/>
        </w:rPr>
        <w:t>，现代服务业竞争力</w:t>
      </w:r>
      <w:r>
        <w:rPr>
          <w:rFonts w:hint="eastAsia" w:ascii="Times New Roman" w:hAnsi="Times New Roman" w:eastAsia="仿宋_GB2312" w:cs="楷体_GB2312"/>
          <w:kern w:val="0"/>
          <w:sz w:val="32"/>
          <w:szCs w:val="32"/>
          <w:lang w:bidi="ar"/>
        </w:rPr>
        <w:t>强</w:t>
      </w:r>
      <w:r>
        <w:rPr>
          <w:rFonts w:ascii="Times New Roman" w:hAnsi="Times New Roman" w:eastAsia="仿宋_GB2312" w:cs="楷体_GB2312"/>
          <w:kern w:val="0"/>
          <w:sz w:val="32"/>
          <w:szCs w:val="32"/>
          <w:lang w:bidi="ar"/>
        </w:rPr>
        <w:t>，传统产业</w:t>
      </w:r>
      <w:r>
        <w:rPr>
          <w:rFonts w:hint="eastAsia" w:ascii="Times New Roman" w:hAnsi="Times New Roman" w:eastAsia="仿宋_GB2312" w:cs="楷体_GB2312"/>
          <w:kern w:val="0"/>
          <w:sz w:val="32"/>
          <w:szCs w:val="32"/>
          <w:lang w:bidi="ar"/>
        </w:rPr>
        <w:t>焕发新动能，</w:t>
      </w:r>
      <w:r>
        <w:rPr>
          <w:rFonts w:ascii="Times New Roman" w:hAnsi="Times New Roman" w:eastAsia="仿宋_GB2312" w:cs="楷体_GB2312"/>
          <w:kern w:val="0"/>
          <w:sz w:val="32"/>
          <w:szCs w:val="32"/>
          <w:lang w:bidi="ar"/>
        </w:rPr>
        <w:t>立体化大交通格局全面形成，公共服务软硬件完善，生态山水</w:t>
      </w:r>
      <w:r>
        <w:rPr>
          <w:rFonts w:hint="eastAsia" w:ascii="Times New Roman" w:hAnsi="Times New Roman" w:eastAsia="仿宋_GB2312" w:cs="楷体_GB2312"/>
          <w:kern w:val="0"/>
          <w:sz w:val="32"/>
          <w:szCs w:val="32"/>
          <w:lang w:bidi="ar"/>
        </w:rPr>
        <w:t>田园城市</w:t>
      </w:r>
      <w:r>
        <w:rPr>
          <w:rFonts w:ascii="Times New Roman" w:hAnsi="Times New Roman" w:eastAsia="仿宋_GB2312" w:cs="楷体_GB2312"/>
          <w:kern w:val="0"/>
          <w:sz w:val="32"/>
          <w:szCs w:val="32"/>
          <w:lang w:bidi="ar"/>
        </w:rPr>
        <w:t>格局</w:t>
      </w:r>
      <w:r>
        <w:rPr>
          <w:rFonts w:hint="eastAsia" w:ascii="Times New Roman" w:hAnsi="Times New Roman" w:eastAsia="仿宋_GB2312" w:cs="楷体_GB2312"/>
          <w:kern w:val="0"/>
          <w:sz w:val="32"/>
          <w:szCs w:val="32"/>
          <w:lang w:bidi="ar"/>
        </w:rPr>
        <w:t>成型的宜居宜业宜休闲宜创新的“四宜”现代化滨江城市。</w:t>
      </w:r>
    </w:p>
    <w:p w14:paraId="36A5660A">
      <w:pPr>
        <w:pStyle w:val="4"/>
        <w:keepNext w:val="0"/>
        <w:keepLines w:val="0"/>
        <w:numPr>
          <w:ilvl w:val="1"/>
          <w:numId w:val="1"/>
        </w:numPr>
        <w:spacing w:before="0" w:after="0" w:line="360" w:lineRule="auto"/>
        <w:ind w:firstLine="0"/>
        <w:jc w:val="center"/>
        <w:rPr>
          <w:rFonts w:ascii="Times New Roman" w:hAnsi="Times New Roman" w:eastAsia="黑体" w:cs="黑体"/>
          <w:bCs w:val="0"/>
          <w14:ligatures w14:val="none"/>
        </w:rPr>
      </w:pPr>
      <w:bookmarkStart w:id="56" w:name="_Toc11136"/>
      <w:bookmarkStart w:id="57" w:name="_Toc198247197"/>
      <w:r>
        <w:rPr>
          <w:rFonts w:hint="eastAsia" w:ascii="Times New Roman" w:hAnsi="Times New Roman" w:eastAsia="黑体"/>
          <w:b w:val="0"/>
          <w:bCs w:val="0"/>
        </w:rPr>
        <w:t>打造“三足鼎立、</w:t>
      </w:r>
      <w:r>
        <w:rPr>
          <w:rFonts w:hint="eastAsia" w:ascii="Times New Roman" w:hAnsi="Times New Roman" w:eastAsia="黑体"/>
          <w:b w:val="0"/>
          <w:bCs w:val="0"/>
          <w:lang w:eastAsia="zh"/>
        </w:rPr>
        <w:t>簇群发展</w:t>
      </w:r>
      <w:r>
        <w:rPr>
          <w:rFonts w:hint="eastAsia" w:ascii="Times New Roman" w:hAnsi="Times New Roman" w:eastAsia="黑体"/>
          <w:b w:val="0"/>
          <w:bCs w:val="0"/>
        </w:rPr>
        <w:t>”的县域城镇化新格局</w:t>
      </w:r>
      <w:bookmarkEnd w:id="56"/>
      <w:bookmarkEnd w:id="57"/>
    </w:p>
    <w:p w14:paraId="0248557E">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Times New Roman" w:hAnsi="Times New Roman" w:eastAsia="仿宋_GB2312" w:cs="楷体_GB2312"/>
          <w:kern w:val="0"/>
          <w:sz w:val="32"/>
          <w:szCs w:val="32"/>
        </w:rPr>
        <w:t>统筹博罗县域主中心、县域副中心和（新）长宁镇的联动发展，构建</w:t>
      </w:r>
      <w:r>
        <w:rPr>
          <w:rFonts w:hint="eastAsia" w:ascii="Times New Roman" w:hAnsi="Times New Roman" w:eastAsia="仿宋_GB2312" w:cs="楷体_GB2312"/>
          <w:kern w:val="0"/>
          <w:sz w:val="32"/>
          <w:szCs w:val="32"/>
          <w:lang w:eastAsia="zh"/>
        </w:rPr>
        <w:t>涵盖</w:t>
      </w:r>
      <w:r>
        <w:rPr>
          <w:rFonts w:hint="eastAsia" w:ascii="Times New Roman" w:hAnsi="Times New Roman" w:eastAsia="仿宋_GB2312" w:cs="楷体_GB2312"/>
          <w:kern w:val="0"/>
          <w:sz w:val="32"/>
          <w:szCs w:val="32"/>
        </w:rPr>
        <w:t>“县域主中心—县域副中心</w:t>
      </w:r>
      <w:r>
        <w:rPr>
          <w:rFonts w:hint="eastAsia" w:ascii="Times New Roman" w:hAnsi="Times New Roman" w:eastAsia="仿宋_GB2312" w:cs="楷体_GB2312"/>
          <w:kern w:val="0"/>
          <w:sz w:val="32"/>
          <w:szCs w:val="32"/>
          <w:lang w:eastAsia="zh"/>
        </w:rPr>
        <w:t>——</w:t>
      </w:r>
      <w:r>
        <w:rPr>
          <w:rFonts w:hint="eastAsia" w:ascii="Times New Roman" w:hAnsi="Times New Roman" w:eastAsia="仿宋_GB2312" w:cs="楷体_GB2312"/>
          <w:kern w:val="0"/>
          <w:sz w:val="32"/>
          <w:szCs w:val="32"/>
        </w:rPr>
        <w:t>小城市—</w:t>
      </w:r>
      <w:r>
        <w:rPr>
          <w:rFonts w:hint="eastAsia" w:ascii="Times New Roman" w:hAnsi="Times New Roman" w:eastAsia="仿宋_GB2312" w:cs="楷体_GB2312"/>
          <w:kern w:val="0"/>
          <w:sz w:val="32"/>
          <w:szCs w:val="32"/>
          <w:lang w:eastAsia="zh"/>
        </w:rPr>
        <w:t>新型</w:t>
      </w:r>
      <w:r>
        <w:rPr>
          <w:rFonts w:hint="eastAsia" w:ascii="Times New Roman" w:hAnsi="Times New Roman" w:eastAsia="仿宋_GB2312" w:cs="楷体_GB2312"/>
          <w:kern w:val="0"/>
          <w:sz w:val="32"/>
          <w:szCs w:val="32"/>
        </w:rPr>
        <w:t>城镇”</w:t>
      </w:r>
      <w:r>
        <w:rPr>
          <w:rFonts w:hint="eastAsia" w:ascii="Times New Roman" w:hAnsi="Times New Roman" w:eastAsia="仿宋_GB2312" w:cs="楷体_GB2312"/>
          <w:kern w:val="0"/>
          <w:sz w:val="32"/>
          <w:szCs w:val="32"/>
          <w:lang w:eastAsia="zh"/>
        </w:rPr>
        <w:t>等四级新型</w:t>
      </w:r>
      <w:r>
        <w:rPr>
          <w:rFonts w:ascii="Times New Roman" w:hAnsi="Times New Roman" w:eastAsia="仿宋_GB2312" w:cs="楷体_GB2312"/>
          <w:kern w:val="0"/>
          <w:sz w:val="32"/>
          <w:szCs w:val="32"/>
        </w:rPr>
        <w:t>城镇体系</w:t>
      </w:r>
      <w:r>
        <w:rPr>
          <w:rFonts w:hint="eastAsia" w:ascii="Times New Roman" w:hAnsi="Times New Roman" w:eastAsia="仿宋_GB2312" w:cs="楷体_GB2312"/>
          <w:kern w:val="0"/>
          <w:sz w:val="32"/>
          <w:szCs w:val="32"/>
          <w:lang w:eastAsia="zh"/>
        </w:rPr>
        <w:t>，形成</w:t>
      </w:r>
      <w:r>
        <w:rPr>
          <w:rFonts w:hint="eastAsia" w:ascii="Times New Roman" w:hAnsi="Times New Roman" w:eastAsia="仿宋_GB2312" w:cs="楷体_GB2312"/>
          <w:kern w:val="0"/>
          <w:sz w:val="32"/>
          <w:szCs w:val="32"/>
        </w:rPr>
        <w:t>主次分明、分工有序、共同发展的</w:t>
      </w:r>
      <w:r>
        <w:rPr>
          <w:rFonts w:ascii="Times New Roman" w:hAnsi="Times New Roman" w:eastAsia="仿宋_GB2312" w:cs="楷体_GB2312"/>
          <w:kern w:val="0"/>
          <w:sz w:val="32"/>
          <w:szCs w:val="32"/>
        </w:rPr>
        <w:t>网络化</w:t>
      </w:r>
      <w:r>
        <w:rPr>
          <w:rFonts w:hint="eastAsia" w:ascii="Times New Roman" w:hAnsi="Times New Roman" w:eastAsia="仿宋_GB2312" w:cs="楷体_GB2312"/>
          <w:kern w:val="0"/>
          <w:sz w:val="32"/>
          <w:szCs w:val="32"/>
          <w:lang w:eastAsia="zh"/>
        </w:rPr>
        <w:t>发展格局</w:t>
      </w:r>
      <w:r>
        <w:rPr>
          <w:rFonts w:hint="eastAsia" w:ascii="Times New Roman" w:hAnsi="Times New Roman" w:eastAsia="仿宋_GB2312" w:cs="楷体_GB2312"/>
          <w:kern w:val="0"/>
          <w:sz w:val="32"/>
          <w:szCs w:val="32"/>
        </w:rPr>
        <w:t>。</w:t>
      </w:r>
    </w:p>
    <w:p w14:paraId="2C047DAB">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w:t>
      </w:r>
      <w:r>
        <w:rPr>
          <w:rFonts w:hint="eastAsia" w:ascii="楷体_GB2312" w:hAnsi="楷体_GB2312" w:eastAsia="楷体_GB2312" w:cs="楷体_GB2312"/>
          <w:kern w:val="0"/>
          <w:sz w:val="32"/>
          <w:szCs w:val="32"/>
          <w:lang w:eastAsia="zh"/>
        </w:rPr>
        <w:t>三足鼎立</w:t>
      </w:r>
      <w:r>
        <w:rPr>
          <w:rFonts w:hint="eastAsia" w:ascii="楷体_GB2312" w:hAnsi="楷体_GB2312" w:eastAsia="楷体_GB2312" w:cs="楷体_GB2312"/>
          <w:kern w:val="0"/>
          <w:sz w:val="32"/>
          <w:szCs w:val="32"/>
        </w:rPr>
        <w:t>”统领发展格局。</w:t>
      </w:r>
      <w:r>
        <w:rPr>
          <w:rFonts w:hint="eastAsia" w:ascii="Times New Roman" w:hAnsi="Times New Roman" w:eastAsia="仿宋_GB2312" w:cs="楷体_GB2312"/>
          <w:kern w:val="0"/>
          <w:sz w:val="32"/>
          <w:szCs w:val="32"/>
        </w:rPr>
        <w:t>博罗县域主中心即博罗县城（罗阳街道、龙溪街道）</w:t>
      </w:r>
      <w:r>
        <w:rPr>
          <w:rFonts w:hint="eastAsia" w:ascii="Times New Roman" w:hAnsi="Times New Roman" w:eastAsia="仿宋_GB2312" w:cs="楷体_GB2312"/>
          <w:kern w:val="0"/>
          <w:sz w:val="32"/>
          <w:szCs w:val="32"/>
          <w:lang w:eastAsia="zh"/>
        </w:rPr>
        <w:t>，</w:t>
      </w:r>
      <w:r>
        <w:rPr>
          <w:rFonts w:hint="eastAsia" w:ascii="Times New Roman" w:hAnsi="Times New Roman" w:eastAsia="仿宋_GB2312" w:cs="楷体_GB2312"/>
          <w:kern w:val="0"/>
          <w:sz w:val="32"/>
          <w:szCs w:val="32"/>
        </w:rPr>
        <w:t>主要</w:t>
      </w:r>
      <w:r>
        <w:rPr>
          <w:rFonts w:ascii="Times New Roman" w:hAnsi="Times New Roman" w:eastAsia="仿宋_GB2312" w:cs="楷体_GB2312"/>
          <w:kern w:val="0"/>
          <w:sz w:val="32"/>
          <w:szCs w:val="32"/>
        </w:rPr>
        <w:t>承担政治中心、文化中心、教育中心、医疗中心</w:t>
      </w:r>
      <w:r>
        <w:rPr>
          <w:rFonts w:hint="eastAsia" w:ascii="Times New Roman" w:hAnsi="Times New Roman" w:eastAsia="仿宋_GB2312" w:cs="楷体_GB2312"/>
          <w:kern w:val="0"/>
          <w:sz w:val="32"/>
          <w:szCs w:val="32"/>
        </w:rPr>
        <w:t>等</w:t>
      </w:r>
      <w:r>
        <w:rPr>
          <w:rFonts w:ascii="Times New Roman" w:hAnsi="Times New Roman" w:eastAsia="仿宋_GB2312" w:cs="楷体_GB2312"/>
          <w:kern w:val="0"/>
          <w:sz w:val="32"/>
          <w:szCs w:val="32"/>
        </w:rPr>
        <w:t>职能</w:t>
      </w:r>
      <w:r>
        <w:rPr>
          <w:rFonts w:hint="eastAsia" w:ascii="Times New Roman" w:hAnsi="Times New Roman" w:eastAsia="仿宋_GB2312" w:cs="楷体_GB2312"/>
          <w:kern w:val="0"/>
          <w:sz w:val="32"/>
          <w:szCs w:val="32"/>
        </w:rPr>
        <w:t>；县域副中心主要承担工业经济中心、创新转化中心、商贸物流中心、休闲消费中心等职能。（新）长宁镇新长宁镇主要承担罗浮山世界级景区的交通集散中心、旅游服务中心、世界级中医药文旅康养目的地、罗浮文化风貌的展示窗口和城乡融合发展的示范样板。</w:t>
      </w:r>
    </w:p>
    <w:p w14:paraId="4F9DAF4D">
      <w:pPr>
        <w:numPr>
          <w:ilvl w:val="255"/>
          <w:numId w:val="0"/>
        </w:numPr>
        <w:spacing w:line="600" w:lineRule="exact"/>
        <w:ind w:firstLine="640" w:firstLineChars="200"/>
        <w:rPr>
          <w:rFonts w:eastAsia="仿宋_GB2312" w:cs="楷体_GB2312"/>
          <w:kern w:val="0"/>
          <w:sz w:val="32"/>
          <w:szCs w:val="32"/>
        </w:rPr>
      </w:pPr>
      <w:r>
        <w:rPr>
          <w:rFonts w:hint="eastAsia" w:ascii="楷体_GB2312" w:hAnsi="楷体_GB2312" w:eastAsia="楷体_GB2312" w:cs="楷体_GB2312"/>
          <w:kern w:val="0"/>
          <w:sz w:val="32"/>
          <w:szCs w:val="32"/>
        </w:rPr>
        <w:t>“小城市—新型城镇”两类城镇</w:t>
      </w:r>
      <w:r>
        <w:rPr>
          <w:rFonts w:hint="eastAsia" w:ascii="Times New Roman" w:hAnsi="Times New Roman" w:eastAsia="仿宋_GB2312" w:cs="楷体_GB2312"/>
          <w:kern w:val="0"/>
          <w:sz w:val="32"/>
          <w:szCs w:val="32"/>
        </w:rPr>
        <w:t>。</w:t>
      </w:r>
      <w:r>
        <w:rPr>
          <w:rFonts w:hint="eastAsia" w:ascii="Times New Roman" w:hAnsi="Times New Roman" w:eastAsia="仿宋_GB2312" w:cs="楷体_GB2312"/>
          <w:kern w:val="0"/>
          <w:sz w:val="32"/>
          <w:szCs w:val="32"/>
          <w:lang w:eastAsia="zh"/>
        </w:rPr>
        <w:t>小城市即园洲、石湾、新长宁、杨村-杨侨等四个按小城市标准规划建设的中心镇，主要</w:t>
      </w:r>
      <w:r>
        <w:rPr>
          <w:rFonts w:hint="eastAsia" w:ascii="Times New Roman" w:hAnsi="Times New Roman" w:eastAsia="仿宋_GB2312" w:cs="楷体_GB2312"/>
          <w:kern w:val="0"/>
          <w:sz w:val="32"/>
          <w:szCs w:val="32"/>
        </w:rPr>
        <w:t>以镇中心区为主要空间载体，吸纳本地就业，带动本地新型城镇化，统筹周边农村发展。新型城镇是促进城乡融合发展的重要节点，主要包括石坝、公庄、麻陂、龙华、观音阁、柏塘、湖镇、泰美、横河等建制镇，按照差异化、特色化、精致化理念，重点提升综合服务功能，推动产业和就业集聚。</w:t>
      </w:r>
    </w:p>
    <w:p w14:paraId="6F5B0738">
      <w:pPr>
        <w:numPr>
          <w:ilvl w:val="255"/>
          <w:numId w:val="0"/>
        </w:numPr>
        <w:spacing w:line="600" w:lineRule="exact"/>
        <w:ind w:firstLine="640" w:firstLineChars="200"/>
        <w:rPr>
          <w:rFonts w:eastAsia="仿宋_GB2312" w:cs="楷体_GB2312"/>
          <w:kern w:val="0"/>
          <w:sz w:val="32"/>
          <w:szCs w:val="32"/>
          <w:lang w:eastAsia="zh"/>
        </w:rPr>
      </w:pPr>
      <w:r>
        <w:rPr>
          <w:rFonts w:hint="eastAsia" w:ascii="楷体_GB2312" w:hAnsi="楷体_GB2312" w:eastAsia="楷体_GB2312" w:cs="楷体_GB2312"/>
          <w:kern w:val="0"/>
          <w:sz w:val="32"/>
          <w:szCs w:val="32"/>
          <w:lang w:eastAsia="zh"/>
        </w:rPr>
        <w:t>构建</w:t>
      </w:r>
      <w:r>
        <w:rPr>
          <w:rFonts w:hint="eastAsia" w:ascii="楷体_GB2312" w:hAnsi="楷体_GB2312" w:eastAsia="楷体_GB2312" w:cs="楷体_GB2312"/>
          <w:kern w:val="0"/>
          <w:sz w:val="32"/>
          <w:szCs w:val="32"/>
        </w:rPr>
        <w:t>“滨东江、环罗浮山、环双杨”三大城镇</w:t>
      </w:r>
      <w:r>
        <w:rPr>
          <w:rFonts w:hint="eastAsia" w:ascii="楷体_GB2312" w:hAnsi="楷体_GB2312" w:eastAsia="楷体_GB2312" w:cs="楷体_GB2312"/>
          <w:kern w:val="0"/>
          <w:sz w:val="32"/>
          <w:szCs w:val="32"/>
          <w:lang w:eastAsia="zh"/>
        </w:rPr>
        <w:t>簇群</w:t>
      </w:r>
      <w:r>
        <w:rPr>
          <w:rFonts w:hint="eastAsia" w:ascii="Times New Roman" w:hAnsi="Times New Roman" w:eastAsia="仿宋_GB2312" w:cs="楷体_GB2312"/>
          <w:kern w:val="0"/>
          <w:sz w:val="32"/>
          <w:szCs w:val="32"/>
          <w:lang w:eastAsia="zh"/>
        </w:rPr>
        <w:t>。</w:t>
      </w:r>
      <w:r>
        <w:rPr>
          <w:rFonts w:hint="eastAsia" w:ascii="Times New Roman" w:hAnsi="Times New Roman" w:eastAsia="仿宋_GB2312" w:cs="楷体_GB2312"/>
          <w:kern w:val="0"/>
          <w:sz w:val="32"/>
          <w:szCs w:val="32"/>
        </w:rPr>
        <w:t>以</w:t>
      </w:r>
      <w:r>
        <w:rPr>
          <w:rFonts w:hint="eastAsia" w:ascii="Times New Roman" w:hAnsi="Times New Roman" w:eastAsia="仿宋_GB2312" w:cs="楷体_GB2312"/>
          <w:kern w:val="0"/>
          <w:sz w:val="32"/>
          <w:szCs w:val="32"/>
          <w:lang w:eastAsia="zh"/>
        </w:rPr>
        <w:t>罗阳街道、龙溪街道、园洲、石湾为核心，</w:t>
      </w:r>
      <w:r>
        <w:rPr>
          <w:rFonts w:hint="eastAsia" w:ascii="Times New Roman" w:hAnsi="Times New Roman" w:eastAsia="仿宋_GB2312" w:cs="楷体_GB2312"/>
          <w:kern w:val="0"/>
          <w:sz w:val="32"/>
          <w:szCs w:val="32"/>
        </w:rPr>
        <w:t>统筹建设一批未来城市社区、未来产业社区和未来乡村社区、</w:t>
      </w:r>
      <w:r>
        <w:rPr>
          <w:rFonts w:hint="eastAsia" w:ascii="Times New Roman" w:hAnsi="Times New Roman" w:eastAsia="仿宋_GB2312" w:cs="楷体_GB2312"/>
          <w:kern w:val="0"/>
          <w:sz w:val="32"/>
          <w:szCs w:val="32"/>
          <w:lang w:eastAsia="zh"/>
        </w:rPr>
        <w:t>打造滨东江北岸现代化滨江城镇簇群。以（新）长宁、湖镇、横河为核心，统筹建设一批未来生态社区、未来康养社区和未来文旅社区，打造环罗浮山生态城镇簇群</w:t>
      </w:r>
      <w:r>
        <w:rPr>
          <w:rFonts w:hint="eastAsia" w:ascii="Times New Roman" w:hAnsi="Times New Roman" w:eastAsia="仿宋_GB2312" w:cs="楷体_GB2312"/>
          <w:kern w:val="0"/>
          <w:sz w:val="32"/>
          <w:szCs w:val="32"/>
        </w:rPr>
        <w:t>。</w:t>
      </w:r>
      <w:r>
        <w:rPr>
          <w:rFonts w:hint="eastAsia" w:ascii="Times New Roman" w:hAnsi="Times New Roman" w:eastAsia="仿宋_GB2312" w:cs="楷体_GB2312"/>
          <w:kern w:val="0"/>
          <w:sz w:val="32"/>
          <w:szCs w:val="32"/>
          <w:lang w:eastAsia="zh"/>
        </w:rPr>
        <w:t>以杨村、杨侨为核心，联动公庄、柏塘、泰美、观音阁、石坝、麻陂等镇，</w:t>
      </w:r>
      <w:bookmarkStart w:id="58" w:name="OLE_LINK13"/>
      <w:r>
        <w:rPr>
          <w:rFonts w:hint="eastAsia" w:ascii="Times New Roman" w:hAnsi="Times New Roman" w:eastAsia="仿宋_GB2312" w:cs="楷体_GB2312"/>
          <w:kern w:val="0"/>
          <w:sz w:val="32"/>
          <w:szCs w:val="32"/>
          <w:lang w:eastAsia="zh"/>
        </w:rPr>
        <w:t>建设一批未来田园社区、未来农业社区</w:t>
      </w:r>
      <w:bookmarkEnd w:id="58"/>
      <w:r>
        <w:rPr>
          <w:rFonts w:hint="eastAsia" w:ascii="Times New Roman" w:hAnsi="Times New Roman" w:eastAsia="仿宋_GB2312" w:cs="楷体_GB2312"/>
          <w:kern w:val="0"/>
          <w:sz w:val="32"/>
          <w:szCs w:val="32"/>
          <w:lang w:eastAsia="zh"/>
        </w:rPr>
        <w:t>和未来休闲社区，打造环杨村—杨侨现代</w:t>
      </w:r>
      <w:r>
        <w:rPr>
          <w:rFonts w:hint="eastAsia" w:ascii="Times New Roman" w:hAnsi="Times New Roman" w:eastAsia="仿宋_GB2312" w:cs="楷体_GB2312"/>
          <w:kern w:val="0"/>
          <w:sz w:val="32"/>
          <w:szCs w:val="32"/>
        </w:rPr>
        <w:t>田园</w:t>
      </w:r>
      <w:r>
        <w:rPr>
          <w:rFonts w:hint="eastAsia" w:ascii="Times New Roman" w:hAnsi="Times New Roman" w:eastAsia="仿宋_GB2312" w:cs="楷体_GB2312"/>
          <w:kern w:val="0"/>
          <w:sz w:val="32"/>
          <w:szCs w:val="32"/>
          <w:lang w:eastAsia="zh"/>
        </w:rPr>
        <w:t>城镇簇群。</w:t>
      </w:r>
    </w:p>
    <w:p w14:paraId="77E47C50">
      <w:pPr>
        <w:pStyle w:val="4"/>
        <w:keepNext w:val="0"/>
        <w:keepLines w:val="0"/>
        <w:numPr>
          <w:ilvl w:val="1"/>
          <w:numId w:val="1"/>
        </w:numPr>
        <w:spacing w:before="0" w:after="0" w:line="360" w:lineRule="auto"/>
        <w:ind w:firstLine="0"/>
        <w:jc w:val="center"/>
        <w:rPr>
          <w:rFonts w:ascii="Times New Roman" w:hAnsi="Times New Roman" w:eastAsia="黑体" w:cs="黑体"/>
          <w:bCs w:val="0"/>
          <w14:ligatures w14:val="none"/>
        </w:rPr>
      </w:pPr>
      <w:bookmarkStart w:id="59" w:name="_Toc198247198"/>
      <w:bookmarkEnd w:id="59"/>
      <w:bookmarkStart w:id="60" w:name="_Toc14661"/>
      <w:bookmarkStart w:id="61" w:name="_Toc198247199"/>
      <w:r>
        <w:rPr>
          <w:rFonts w:hint="eastAsia" w:ascii="Times New Roman" w:hAnsi="Times New Roman" w:eastAsia="黑体"/>
          <w:b w:val="0"/>
          <w:bCs w:val="0"/>
        </w:rPr>
        <w:t>构建“蓝绿交织、</w:t>
      </w:r>
      <w:r>
        <w:rPr>
          <w:rFonts w:hint="eastAsia" w:ascii="Times New Roman" w:hAnsi="Times New Roman" w:eastAsia="黑体"/>
          <w:b w:val="0"/>
          <w:bCs w:val="0"/>
          <w:lang w:eastAsia="zh"/>
        </w:rPr>
        <w:t>生态组团式</w:t>
      </w:r>
      <w:r>
        <w:rPr>
          <w:rFonts w:hint="eastAsia" w:ascii="Times New Roman" w:hAnsi="Times New Roman" w:eastAsia="黑体"/>
          <w:b w:val="0"/>
          <w:bCs w:val="0"/>
        </w:rPr>
        <w:t>”城市空间格局</w:t>
      </w:r>
      <w:bookmarkEnd w:id="60"/>
      <w:bookmarkEnd w:id="61"/>
    </w:p>
    <w:p w14:paraId="138209F1">
      <w:pPr>
        <w:numPr>
          <w:ilvl w:val="255"/>
          <w:numId w:val="0"/>
        </w:numPr>
        <w:spacing w:line="600" w:lineRule="exact"/>
        <w:ind w:firstLine="640" w:firstLineChars="200"/>
        <w:rPr>
          <w:rFonts w:ascii="Times New Roman" w:hAnsi="Times New Roman" w:eastAsia="仿宋_GB2312" w:cs="楷体_GB2312"/>
          <w:kern w:val="0"/>
          <w:sz w:val="32"/>
          <w:szCs w:val="32"/>
        </w:rPr>
      </w:pPr>
      <w:r>
        <w:rPr>
          <w:rFonts w:ascii="Times New Roman" w:hAnsi="Times New Roman" w:eastAsia="仿宋_GB2312" w:cs="楷体_GB2312"/>
          <w:kern w:val="0"/>
          <w:sz w:val="32"/>
          <w:szCs w:val="32"/>
        </w:rPr>
        <w:t>按照生态城市理念，统筹生产、生活、生态三大空间，形成</w:t>
      </w:r>
      <w:r>
        <w:rPr>
          <w:rFonts w:hint="eastAsia" w:ascii="Times New Roman" w:hAnsi="Times New Roman" w:eastAsia="仿宋_GB2312" w:cs="楷体_GB2312"/>
          <w:kern w:val="0"/>
          <w:sz w:val="32"/>
          <w:szCs w:val="32"/>
        </w:rPr>
        <w:t>“一核两翼</w:t>
      </w:r>
      <w:r>
        <w:rPr>
          <w:rFonts w:ascii="Times New Roman" w:hAnsi="Times New Roman" w:eastAsia="仿宋_GB2312" w:cs="楷体_GB2312"/>
          <w:kern w:val="0"/>
          <w:sz w:val="32"/>
          <w:szCs w:val="32"/>
        </w:rPr>
        <w:t>、</w:t>
      </w:r>
      <w:r>
        <w:rPr>
          <w:rFonts w:hint="eastAsia" w:ascii="Times New Roman" w:hAnsi="Times New Roman" w:eastAsia="仿宋_GB2312" w:cs="楷体_GB2312"/>
          <w:kern w:val="0"/>
          <w:sz w:val="32"/>
          <w:szCs w:val="32"/>
        </w:rPr>
        <w:t>四</w:t>
      </w:r>
      <w:r>
        <w:rPr>
          <w:rFonts w:ascii="Times New Roman" w:hAnsi="Times New Roman" w:eastAsia="仿宋_GB2312" w:cs="楷体_GB2312"/>
          <w:kern w:val="0"/>
          <w:sz w:val="32"/>
          <w:szCs w:val="32"/>
        </w:rPr>
        <w:t>廊多组团</w:t>
      </w:r>
      <w:r>
        <w:rPr>
          <w:rFonts w:hint="eastAsia" w:ascii="Times New Roman" w:hAnsi="Times New Roman" w:eastAsia="仿宋_GB2312" w:cs="楷体_GB2312"/>
          <w:kern w:val="0"/>
          <w:sz w:val="32"/>
          <w:szCs w:val="32"/>
        </w:rPr>
        <w:t>”</w:t>
      </w:r>
      <w:r>
        <w:rPr>
          <w:rFonts w:ascii="Times New Roman" w:hAnsi="Times New Roman" w:eastAsia="仿宋_GB2312" w:cs="楷体_GB2312"/>
          <w:kern w:val="0"/>
          <w:sz w:val="32"/>
          <w:szCs w:val="32"/>
        </w:rPr>
        <w:t>的县域副中心</w:t>
      </w:r>
      <w:r>
        <w:rPr>
          <w:rFonts w:hint="eastAsia" w:ascii="Times New Roman" w:hAnsi="Times New Roman" w:eastAsia="仿宋_GB2312" w:cs="楷体_GB2312"/>
          <w:kern w:val="0"/>
          <w:sz w:val="32"/>
          <w:szCs w:val="32"/>
        </w:rPr>
        <w:t>生态</w:t>
      </w:r>
      <w:r>
        <w:rPr>
          <w:rFonts w:ascii="Times New Roman" w:hAnsi="Times New Roman" w:eastAsia="仿宋_GB2312" w:cs="楷体_GB2312"/>
          <w:kern w:val="0"/>
          <w:sz w:val="32"/>
          <w:szCs w:val="32"/>
        </w:rPr>
        <w:t>城市空间结构。</w:t>
      </w:r>
    </w:p>
    <w:p w14:paraId="7EC42635">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县域副中心</w:t>
      </w:r>
      <w:r>
        <w:rPr>
          <w:rFonts w:hint="eastAsia" w:ascii="楷体_GB2312" w:hAnsi="楷体_GB2312" w:eastAsia="楷体_GB2312" w:cs="楷体_GB2312"/>
          <w:kern w:val="0"/>
          <w:sz w:val="32"/>
          <w:szCs w:val="32"/>
          <w:lang w:eastAsia="zh"/>
        </w:rPr>
        <w:t>新城活力</w:t>
      </w:r>
      <w:r>
        <w:rPr>
          <w:rFonts w:hint="eastAsia" w:ascii="楷体_GB2312" w:hAnsi="楷体_GB2312" w:eastAsia="楷体_GB2312" w:cs="楷体_GB2312"/>
          <w:kern w:val="0"/>
          <w:sz w:val="32"/>
          <w:szCs w:val="32"/>
        </w:rPr>
        <w:t>核。</w:t>
      </w:r>
      <w:r>
        <w:rPr>
          <w:rFonts w:hint="eastAsia" w:ascii="Times New Roman" w:hAnsi="Times New Roman" w:eastAsia="仿宋_GB2312" w:cs="楷体_GB2312"/>
          <w:kern w:val="0"/>
          <w:sz w:val="32"/>
          <w:szCs w:val="32"/>
        </w:rPr>
        <w:t>主要承担城市综合服务功能，提供全方位、全时段的优质教育、医疗卫生、文化体育、现代金融、总部经济、咨询设计等综合服务。</w:t>
      </w:r>
    </w:p>
    <w:p w14:paraId="45FAC048">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园洲、石湾镇中心区东西两翼</w:t>
      </w:r>
      <w:r>
        <w:rPr>
          <w:rFonts w:hint="eastAsia" w:ascii="楷体_GB2312" w:hAnsi="楷体_GB2312" w:eastAsia="楷体_GB2312" w:cs="楷体_GB2312"/>
          <w:kern w:val="0"/>
          <w:sz w:val="32"/>
          <w:szCs w:val="32"/>
          <w:lang w:eastAsia="zh"/>
        </w:rPr>
        <w:t>次级</w:t>
      </w:r>
      <w:r>
        <w:rPr>
          <w:rFonts w:hint="eastAsia" w:ascii="楷体_GB2312" w:hAnsi="楷体_GB2312" w:eastAsia="楷体_GB2312" w:cs="楷体_GB2312"/>
          <w:kern w:val="0"/>
          <w:sz w:val="32"/>
          <w:szCs w:val="32"/>
        </w:rPr>
        <w:t>服务核。</w:t>
      </w:r>
      <w:r>
        <w:rPr>
          <w:rFonts w:hint="eastAsia" w:ascii="Times New Roman" w:hAnsi="Times New Roman" w:eastAsia="仿宋_GB2312" w:cs="楷体_GB2312"/>
          <w:kern w:val="0"/>
          <w:sz w:val="32"/>
          <w:szCs w:val="32"/>
        </w:rPr>
        <w:t>主要承担县域副中心东西两翼的日常生活服务功能，构建宜居宜业的高品质生活环境。</w:t>
      </w:r>
    </w:p>
    <w:p w14:paraId="3FAF5BE7">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东江、沙河、铁场河、</w:t>
      </w:r>
      <w:r>
        <w:rPr>
          <w:rFonts w:hint="eastAsia" w:ascii="楷体_GB2312" w:hAnsi="楷体_GB2312" w:eastAsia="楷体_GB2312" w:cs="楷体_GB2312"/>
          <w:kern w:val="0"/>
          <w:sz w:val="32"/>
          <w:szCs w:val="32"/>
          <w:lang w:eastAsia="zh"/>
        </w:rPr>
        <w:t>里波水</w:t>
      </w:r>
      <w:r>
        <w:rPr>
          <w:rFonts w:hint="eastAsia" w:ascii="楷体_GB2312" w:hAnsi="楷体_GB2312" w:eastAsia="楷体_GB2312" w:cs="楷体_GB2312"/>
          <w:kern w:val="0"/>
          <w:sz w:val="32"/>
          <w:szCs w:val="32"/>
        </w:rPr>
        <w:t>四条蓝绿交织生态廊道。</w:t>
      </w:r>
      <w:r>
        <w:rPr>
          <w:rFonts w:hint="eastAsia" w:ascii="Times New Roman" w:hAnsi="Times New Roman" w:eastAsia="仿宋_GB2312" w:cs="楷体_GB2312"/>
          <w:kern w:val="0"/>
          <w:sz w:val="32"/>
          <w:szCs w:val="32"/>
          <w:lang w:eastAsia="zh"/>
        </w:rPr>
        <w:t>作为生态屏障，主要发挥游憩、</w:t>
      </w:r>
      <w:r>
        <w:rPr>
          <w:rFonts w:hint="eastAsia" w:ascii="Times New Roman" w:hAnsi="Times New Roman" w:eastAsia="仿宋_GB2312" w:cs="楷体_GB2312"/>
          <w:kern w:val="0"/>
          <w:sz w:val="32"/>
          <w:szCs w:val="32"/>
        </w:rPr>
        <w:t>通风、降尘等作用</w:t>
      </w:r>
      <w:r>
        <w:rPr>
          <w:rFonts w:hint="eastAsia" w:ascii="Times New Roman" w:hAnsi="Times New Roman" w:eastAsia="仿宋_GB2312" w:cs="楷体_GB2312"/>
          <w:kern w:val="0"/>
          <w:sz w:val="32"/>
          <w:szCs w:val="32"/>
          <w:lang w:eastAsia="zh"/>
        </w:rPr>
        <w:t>，为居民提供宜居美丽的居住生活环境</w:t>
      </w:r>
      <w:r>
        <w:rPr>
          <w:rFonts w:hint="eastAsia" w:ascii="Times New Roman" w:hAnsi="Times New Roman" w:eastAsia="仿宋_GB2312" w:cs="楷体_GB2312"/>
          <w:kern w:val="0"/>
          <w:sz w:val="32"/>
          <w:szCs w:val="32"/>
        </w:rPr>
        <w:t>。</w:t>
      </w:r>
    </w:p>
    <w:p w14:paraId="45658D47">
      <w:pPr>
        <w:numPr>
          <w:ilvl w:val="255"/>
          <w:numId w:val="0"/>
        </w:numPr>
        <w:spacing w:line="600" w:lineRule="exact"/>
        <w:ind w:firstLine="640" w:firstLineChars="200"/>
        <w:rPr>
          <w:rFonts w:ascii="Times New Roman" w:hAnsi="Times New Roman" w:eastAsia="仿宋_GB2312" w:cs="楷体_GB2312"/>
          <w:kern w:val="0"/>
          <w:sz w:val="28"/>
          <w:szCs w:val="28"/>
        </w:rPr>
      </w:pPr>
      <w:r>
        <w:rPr>
          <w:rFonts w:hint="eastAsia" w:ascii="楷体_GB2312" w:hAnsi="楷体_GB2312" w:eastAsia="楷体_GB2312" w:cs="楷体_GB2312"/>
          <w:kern w:val="0"/>
          <w:sz w:val="32"/>
          <w:szCs w:val="32"/>
        </w:rPr>
        <w:t>新城、产业、都市农业和生态等多个簇群式发展组团。</w:t>
      </w:r>
      <w:r>
        <w:rPr>
          <w:rFonts w:hint="eastAsia" w:ascii="Times New Roman" w:hAnsi="Times New Roman" w:eastAsia="仿宋_GB2312" w:cs="楷体_GB2312"/>
          <w:kern w:val="0"/>
          <w:sz w:val="32"/>
          <w:szCs w:val="32"/>
        </w:rPr>
        <w:t>各组团功能相对完整，空间疏密有度，组团之间由绿廊、水系和农田隔离，</w:t>
      </w:r>
      <w:r>
        <w:rPr>
          <w:rFonts w:ascii="Times New Roman" w:hAnsi="Times New Roman" w:eastAsia="仿宋_GB2312" w:cs="楷体_GB2312"/>
          <w:kern w:val="0"/>
          <w:sz w:val="32"/>
          <w:szCs w:val="32"/>
        </w:rPr>
        <w:t>推动县域副中心形成以沙河为核心，</w:t>
      </w:r>
      <w:r>
        <w:rPr>
          <w:rFonts w:hint="eastAsia" w:ascii="Times New Roman" w:hAnsi="Times New Roman" w:eastAsia="仿宋_GB2312" w:cs="楷体_GB2312"/>
          <w:kern w:val="0"/>
          <w:sz w:val="32"/>
          <w:szCs w:val="32"/>
          <w:lang w:eastAsia="zh"/>
        </w:rPr>
        <w:t>打造</w:t>
      </w:r>
      <w:r>
        <w:rPr>
          <w:rFonts w:ascii="Times New Roman" w:hAnsi="Times New Roman" w:eastAsia="仿宋_GB2312" w:cs="楷体_GB2312"/>
          <w:kern w:val="0"/>
          <w:sz w:val="32"/>
          <w:szCs w:val="32"/>
        </w:rPr>
        <w:t>水城共融、蓝绿交织、时尚活力，独具罗浮文化魅力的生态城市标杆。</w:t>
      </w:r>
    </w:p>
    <w:p w14:paraId="63E9A6E5">
      <w:pPr>
        <w:pStyle w:val="4"/>
        <w:keepNext w:val="0"/>
        <w:keepLines w:val="0"/>
        <w:numPr>
          <w:ilvl w:val="1"/>
          <w:numId w:val="1"/>
        </w:numPr>
        <w:spacing w:before="0" w:after="0" w:line="360" w:lineRule="auto"/>
        <w:ind w:firstLine="0"/>
        <w:jc w:val="center"/>
        <w:rPr>
          <w:rFonts w:ascii="Times New Roman" w:hAnsi="Times New Roman" w:eastAsia="黑体" w:cs="黑体"/>
          <w:bCs w:val="0"/>
          <w14:ligatures w14:val="none"/>
        </w:rPr>
      </w:pPr>
      <w:bookmarkStart w:id="62" w:name="_Toc14347"/>
      <w:bookmarkStart w:id="63" w:name="_Toc198247200"/>
      <w:r>
        <w:rPr>
          <w:rFonts w:hint="eastAsia" w:ascii="Times New Roman" w:hAnsi="Times New Roman" w:eastAsia="黑体"/>
          <w:b w:val="0"/>
          <w:bCs w:val="0"/>
        </w:rPr>
        <w:t>加强“空间布局优、底线约束强”的全域国土用途管制</w:t>
      </w:r>
      <w:bookmarkEnd w:id="62"/>
      <w:bookmarkEnd w:id="63"/>
    </w:p>
    <w:p w14:paraId="4B45AF08">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优化用地结构与布局。</w:t>
      </w:r>
      <w:r>
        <w:rPr>
          <w:rFonts w:hint="eastAsia" w:ascii="Times New Roman" w:hAnsi="Times New Roman" w:eastAsia="仿宋_GB2312" w:cs="楷体_GB2312"/>
          <w:kern w:val="0"/>
          <w:sz w:val="32"/>
          <w:szCs w:val="32"/>
        </w:rPr>
        <w:t>通过城市更新、土地整备等手段对博罗县域副中心的用地结构与布局进行合理调整优化，逐步实现用地功能之间的相互协调与平衡，形成城镇建设的良性循环。</w:t>
      </w:r>
      <w:r>
        <w:rPr>
          <w:rFonts w:ascii="Times New Roman" w:hAnsi="Times New Roman" w:eastAsia="仿宋_GB2312" w:cs="楷体_GB2312"/>
          <w:kern w:val="0"/>
          <w:sz w:val="32"/>
          <w:szCs w:val="32"/>
        </w:rPr>
        <w:t>新增建设用地</w:t>
      </w:r>
      <w:r>
        <w:rPr>
          <w:rFonts w:hint="eastAsia" w:ascii="Times New Roman" w:hAnsi="Times New Roman" w:eastAsia="仿宋_GB2312" w:cs="楷体_GB2312"/>
          <w:kern w:val="0"/>
          <w:sz w:val="32"/>
          <w:szCs w:val="32"/>
        </w:rPr>
        <w:t>优先</w:t>
      </w:r>
      <w:r>
        <w:rPr>
          <w:rFonts w:ascii="Times New Roman" w:hAnsi="Times New Roman" w:eastAsia="仿宋_GB2312" w:cs="楷体_GB2312"/>
          <w:kern w:val="0"/>
          <w:sz w:val="32"/>
          <w:szCs w:val="32"/>
        </w:rPr>
        <w:t>用于保障智能装备产业园</w:t>
      </w:r>
      <w:r>
        <w:rPr>
          <w:rFonts w:hint="eastAsia" w:ascii="Times New Roman" w:hAnsi="Times New Roman" w:eastAsia="仿宋_GB2312" w:cs="楷体_GB2312"/>
          <w:kern w:val="0"/>
          <w:sz w:val="32"/>
          <w:szCs w:val="32"/>
        </w:rPr>
        <w:t>重大产业项目发展、副中心所必需的重大公共服务设施及城市基础设施建设。规划至2035年，副中心建设用地规模控制在100平方公里左右，城镇建设用地控制在80平方公里左右。规划居住用地31.44平方公里，公共管理与公共服务用地</w:t>
      </w:r>
      <w:r>
        <w:rPr>
          <w:rFonts w:ascii="Times New Roman" w:hAnsi="Times New Roman" w:eastAsia="仿宋_GB2312" w:cs="楷体_GB2312"/>
          <w:kern w:val="0"/>
          <w:sz w:val="32"/>
          <w:szCs w:val="32"/>
        </w:rPr>
        <w:t>2.45</w:t>
      </w:r>
      <w:r>
        <w:rPr>
          <w:rFonts w:hint="eastAsia" w:ascii="Times New Roman" w:hAnsi="Times New Roman" w:eastAsia="仿宋_GB2312" w:cs="楷体_GB2312"/>
          <w:kern w:val="0"/>
          <w:sz w:val="32"/>
          <w:szCs w:val="32"/>
        </w:rPr>
        <w:t>平方公里，</w:t>
      </w:r>
      <w:r>
        <w:rPr>
          <w:rFonts w:ascii="Times New Roman" w:hAnsi="Times New Roman" w:eastAsia="仿宋_GB2312" w:cs="楷体_GB2312"/>
          <w:kern w:val="0"/>
          <w:sz w:val="32"/>
          <w:szCs w:val="32"/>
        </w:rPr>
        <w:t>商业服务业用地</w:t>
      </w:r>
      <w:r>
        <w:rPr>
          <w:rFonts w:hint="eastAsia" w:ascii="Times New Roman" w:hAnsi="Times New Roman" w:eastAsia="仿宋_GB2312" w:cs="楷体_GB2312"/>
          <w:kern w:val="0"/>
          <w:sz w:val="32"/>
          <w:szCs w:val="32"/>
        </w:rPr>
        <w:t>2.44平方公里，</w:t>
      </w:r>
      <w:r>
        <w:rPr>
          <w:rFonts w:ascii="Times New Roman" w:hAnsi="Times New Roman" w:eastAsia="仿宋_GB2312" w:cs="楷体_GB2312"/>
          <w:kern w:val="0"/>
          <w:sz w:val="32"/>
          <w:szCs w:val="32"/>
        </w:rPr>
        <w:t>工矿用地32.26</w:t>
      </w:r>
      <w:r>
        <w:rPr>
          <w:rFonts w:hint="eastAsia" w:ascii="Times New Roman" w:hAnsi="Times New Roman" w:eastAsia="仿宋_GB2312" w:cs="楷体_GB2312"/>
          <w:kern w:val="0"/>
          <w:sz w:val="32"/>
          <w:szCs w:val="32"/>
        </w:rPr>
        <w:t>平方公里，仓储用地0.19平方公里，</w:t>
      </w:r>
      <w:r>
        <w:rPr>
          <w:rFonts w:ascii="Times New Roman" w:hAnsi="Times New Roman" w:eastAsia="仿宋_GB2312" w:cs="楷体_GB2312"/>
          <w:kern w:val="0"/>
          <w:sz w:val="32"/>
          <w:szCs w:val="32"/>
        </w:rPr>
        <w:t>公用设施用地3.32</w:t>
      </w:r>
      <w:r>
        <w:rPr>
          <w:rFonts w:hint="eastAsia" w:ascii="Times New Roman" w:hAnsi="Times New Roman" w:eastAsia="仿宋_GB2312" w:cs="楷体_GB2312"/>
          <w:kern w:val="0"/>
          <w:sz w:val="32"/>
          <w:szCs w:val="32"/>
        </w:rPr>
        <w:t>平方公里，</w:t>
      </w:r>
      <w:r>
        <w:rPr>
          <w:rFonts w:ascii="Times New Roman" w:hAnsi="Times New Roman" w:eastAsia="仿宋_GB2312" w:cs="楷体_GB2312"/>
          <w:kern w:val="0"/>
          <w:sz w:val="32"/>
          <w:szCs w:val="32"/>
        </w:rPr>
        <w:t>绿地与开敞空间用地1.75</w:t>
      </w:r>
      <w:r>
        <w:rPr>
          <w:rFonts w:hint="eastAsia" w:ascii="Times New Roman" w:hAnsi="Times New Roman" w:eastAsia="仿宋_GB2312" w:cs="楷体_GB2312"/>
          <w:kern w:val="0"/>
          <w:sz w:val="32"/>
          <w:szCs w:val="32"/>
        </w:rPr>
        <w:t>平方公里，特殊用地</w:t>
      </w:r>
      <w:r>
        <w:rPr>
          <w:rFonts w:ascii="Times New Roman" w:hAnsi="Times New Roman" w:eastAsia="仿宋_GB2312" w:cs="楷体_GB2312"/>
          <w:kern w:val="0"/>
          <w:sz w:val="32"/>
          <w:szCs w:val="32"/>
        </w:rPr>
        <w:t>0.53</w:t>
      </w:r>
      <w:r>
        <w:rPr>
          <w:rFonts w:hint="eastAsia" w:ascii="Times New Roman" w:hAnsi="Times New Roman" w:eastAsia="仿宋_GB2312" w:cs="楷体_GB2312"/>
          <w:kern w:val="0"/>
          <w:sz w:val="32"/>
          <w:szCs w:val="32"/>
        </w:rPr>
        <w:t>平方公里，预留</w:t>
      </w:r>
      <w:r>
        <w:rPr>
          <w:rFonts w:ascii="Times New Roman" w:hAnsi="Times New Roman" w:eastAsia="仿宋_GB2312" w:cs="楷体_GB2312"/>
          <w:kern w:val="0"/>
          <w:sz w:val="32"/>
          <w:szCs w:val="32"/>
        </w:rPr>
        <w:t>0.13</w:t>
      </w:r>
      <w:r>
        <w:rPr>
          <w:rFonts w:hint="eastAsia" w:ascii="Times New Roman" w:hAnsi="Times New Roman" w:eastAsia="仿宋_GB2312" w:cs="楷体_GB2312"/>
          <w:kern w:val="0"/>
          <w:sz w:val="32"/>
          <w:szCs w:val="32"/>
        </w:rPr>
        <w:t>平方公里的留白用地，为城镇建设留出弹性空间。</w:t>
      </w:r>
    </w:p>
    <w:p w14:paraId="4B58922F">
      <w:pPr>
        <w:jc w:val="center"/>
        <w:rPr>
          <w:rFonts w:ascii="Times New Roman" w:hAnsi="Times New Roman" w:eastAsia="楷体_GB2312" w:cs="楷体_GB2312"/>
          <w:kern w:val="0"/>
          <w:sz w:val="28"/>
          <w:szCs w:val="28"/>
          <w:highlight w:val="cyan"/>
        </w:rPr>
      </w:pPr>
      <w:r>
        <w:rPr>
          <w:rFonts w:hint="eastAsia" w:ascii="Times New Roman" w:hAnsi="Times New Roman" w:eastAsia="楷体_GB2312" w:cs="楷体_GB2312"/>
          <w:kern w:val="0"/>
          <w:sz w:val="28"/>
          <w:szCs w:val="28"/>
        </w:rPr>
        <w:t>表4—1 博罗县域副中心规划用地指标表</w:t>
      </w:r>
    </w:p>
    <w:tbl>
      <w:tblPr>
        <w:tblStyle w:val="19"/>
        <w:tblW w:w="5124" w:type="pct"/>
        <w:jc w:val="center"/>
        <w:shd w:val="clear" w:color="auto" w:fill="FFFFFF" w:themeFill="background1"/>
        <w:tblLayout w:type="fixed"/>
        <w:tblCellMar>
          <w:top w:w="0" w:type="dxa"/>
          <w:left w:w="108" w:type="dxa"/>
          <w:bottom w:w="0" w:type="dxa"/>
          <w:right w:w="108" w:type="dxa"/>
        </w:tblCellMar>
      </w:tblPr>
      <w:tblGrid>
        <w:gridCol w:w="742"/>
        <w:gridCol w:w="2229"/>
        <w:gridCol w:w="1541"/>
        <w:gridCol w:w="1312"/>
        <w:gridCol w:w="1603"/>
        <w:gridCol w:w="1307"/>
      </w:tblGrid>
      <w:tr w14:paraId="163CCEC4">
        <w:tblPrEx>
          <w:shd w:val="clear" w:color="auto" w:fill="FFFFFF" w:themeFill="background1"/>
          <w:tblCellMar>
            <w:top w:w="0" w:type="dxa"/>
            <w:left w:w="108" w:type="dxa"/>
            <w:bottom w:w="0" w:type="dxa"/>
            <w:right w:w="108" w:type="dxa"/>
          </w:tblCellMar>
        </w:tblPrEx>
        <w:trPr>
          <w:trHeight w:val="335" w:hRule="atLeast"/>
          <w:jc w:val="center"/>
        </w:trPr>
        <w:tc>
          <w:tcPr>
            <w:tcW w:w="424" w:type="pct"/>
            <w:vMerge w:val="restart"/>
            <w:tcBorders>
              <w:top w:val="single" w:color="000000" w:sz="4" w:space="0"/>
              <w:left w:val="single" w:color="000000" w:sz="4" w:space="0"/>
              <w:right w:val="single" w:color="000000" w:sz="4" w:space="0"/>
            </w:tcBorders>
            <w:shd w:val="clear" w:color="auto" w:fill="FFFFFF" w:themeFill="background1"/>
            <w:noWrap/>
            <w:vAlign w:val="center"/>
          </w:tcPr>
          <w:p w14:paraId="1FECEB78">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地类编码</w:t>
            </w:r>
          </w:p>
        </w:tc>
        <w:tc>
          <w:tcPr>
            <w:tcW w:w="1275" w:type="pct"/>
            <w:vMerge w:val="restart"/>
            <w:tcBorders>
              <w:top w:val="single" w:color="000000" w:sz="4" w:space="0"/>
              <w:left w:val="single" w:color="000000" w:sz="4" w:space="0"/>
              <w:right w:val="single" w:color="000000" w:sz="4" w:space="0"/>
            </w:tcBorders>
            <w:shd w:val="clear" w:color="auto" w:fill="FFFFFF" w:themeFill="background1"/>
            <w:noWrap/>
            <w:vAlign w:val="center"/>
          </w:tcPr>
          <w:p w14:paraId="5F121EA1">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地类名称</w:t>
            </w:r>
          </w:p>
        </w:tc>
        <w:tc>
          <w:tcPr>
            <w:tcW w:w="1633" w:type="pct"/>
            <w:gridSpan w:val="2"/>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52DDDA1">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2020年现状</w:t>
            </w:r>
          </w:p>
        </w:tc>
        <w:tc>
          <w:tcPr>
            <w:tcW w:w="1666" w:type="pct"/>
            <w:gridSpan w:val="2"/>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B9C4CD8">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2035年规划</w:t>
            </w:r>
          </w:p>
        </w:tc>
      </w:tr>
      <w:tr w14:paraId="0E69FC94">
        <w:tblPrEx>
          <w:shd w:val="clear" w:color="auto" w:fill="FFFFFF" w:themeFill="background1"/>
          <w:tblCellMar>
            <w:top w:w="0" w:type="dxa"/>
            <w:left w:w="108" w:type="dxa"/>
            <w:bottom w:w="0" w:type="dxa"/>
            <w:right w:w="108" w:type="dxa"/>
          </w:tblCellMar>
        </w:tblPrEx>
        <w:trPr>
          <w:trHeight w:val="529" w:hRule="atLeast"/>
          <w:jc w:val="center"/>
        </w:trPr>
        <w:tc>
          <w:tcPr>
            <w:tcW w:w="424" w:type="pct"/>
            <w:vMerge w:val="continue"/>
            <w:tcBorders>
              <w:left w:val="single" w:color="000000" w:sz="4" w:space="0"/>
              <w:bottom w:val="single" w:color="000000" w:sz="4" w:space="0"/>
              <w:right w:val="single" w:color="000000" w:sz="4" w:space="0"/>
            </w:tcBorders>
            <w:shd w:val="clear" w:color="auto" w:fill="FFFFFF" w:themeFill="background1"/>
            <w:noWrap/>
            <w:vAlign w:val="center"/>
          </w:tcPr>
          <w:p w14:paraId="35D4F5F1">
            <w:pPr>
              <w:jc w:val="center"/>
              <w:rPr>
                <w:rFonts w:ascii="Times New Roman" w:hAnsi="Times New Roman" w:eastAsia="仿宋_GB2312" w:cs="楷体_GB2312"/>
                <w:b/>
                <w:bCs/>
                <w:kern w:val="0"/>
                <w:sz w:val="22"/>
              </w:rPr>
            </w:pPr>
          </w:p>
        </w:tc>
        <w:tc>
          <w:tcPr>
            <w:tcW w:w="1275" w:type="pct"/>
            <w:vMerge w:val="continue"/>
            <w:tcBorders>
              <w:left w:val="single" w:color="000000" w:sz="4" w:space="0"/>
              <w:bottom w:val="single" w:color="000000" w:sz="4" w:space="0"/>
              <w:right w:val="single" w:color="000000" w:sz="4" w:space="0"/>
            </w:tcBorders>
            <w:shd w:val="clear" w:color="auto" w:fill="FFFFFF" w:themeFill="background1"/>
            <w:noWrap/>
            <w:vAlign w:val="center"/>
          </w:tcPr>
          <w:p w14:paraId="45EBF5FE">
            <w:pPr>
              <w:jc w:val="center"/>
              <w:rPr>
                <w:rFonts w:ascii="Times New Roman" w:hAnsi="Times New Roman" w:eastAsia="仿宋_GB2312" w:cs="楷体_GB2312"/>
                <w:b/>
                <w:bCs/>
                <w:kern w:val="0"/>
                <w:sz w:val="22"/>
              </w:rPr>
            </w:pP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848EA24">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用地</w:t>
            </w:r>
            <w:r>
              <w:rPr>
                <w:rFonts w:ascii="Times New Roman" w:hAnsi="Times New Roman" w:eastAsia="仿宋_GB2312" w:cs="楷体_GB2312"/>
                <w:b/>
                <w:bCs/>
                <w:kern w:val="0"/>
                <w:sz w:val="22"/>
              </w:rPr>
              <w:t>面积（平方公里）</w:t>
            </w:r>
          </w:p>
        </w:tc>
        <w:tc>
          <w:tcPr>
            <w:tcW w:w="75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04B2AE3">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占建设用地面积比例（%）</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EB92F11">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用地</w:t>
            </w:r>
            <w:r>
              <w:rPr>
                <w:rFonts w:ascii="Times New Roman" w:hAnsi="Times New Roman" w:eastAsia="仿宋_GB2312" w:cs="楷体_GB2312"/>
                <w:b/>
                <w:bCs/>
                <w:kern w:val="0"/>
                <w:sz w:val="22"/>
              </w:rPr>
              <w:t>面积（平方公里）</w:t>
            </w:r>
          </w:p>
        </w:tc>
        <w:tc>
          <w:tcPr>
            <w:tcW w:w="74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14F6887">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占建设用地面积比例（%）</w:t>
            </w:r>
          </w:p>
        </w:tc>
      </w:tr>
      <w:tr w14:paraId="53D944BA">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0B8539">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01</w:t>
            </w:r>
          </w:p>
        </w:tc>
        <w:tc>
          <w:tcPr>
            <w:tcW w:w="127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C028BD0">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耕地</w:t>
            </w: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8BA7591">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40.57</w:t>
            </w:r>
          </w:p>
        </w:tc>
        <w:tc>
          <w:tcPr>
            <w:tcW w:w="75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43D0EB3">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569A665">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37.57</w:t>
            </w:r>
          </w:p>
        </w:tc>
        <w:tc>
          <w:tcPr>
            <w:tcW w:w="74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1214176">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r>
      <w:tr w14:paraId="7ED566D2">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12E6CE2">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02</w:t>
            </w:r>
          </w:p>
        </w:tc>
        <w:tc>
          <w:tcPr>
            <w:tcW w:w="127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D1407B8">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园地</w:t>
            </w: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4791416">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15.62</w:t>
            </w:r>
          </w:p>
        </w:tc>
        <w:tc>
          <w:tcPr>
            <w:tcW w:w="75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4043562">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080BC95">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11.4</w:t>
            </w:r>
          </w:p>
        </w:tc>
        <w:tc>
          <w:tcPr>
            <w:tcW w:w="74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5CF5AA7">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r>
      <w:tr w14:paraId="161800FF">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BD6824B">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03</w:t>
            </w:r>
          </w:p>
        </w:tc>
        <w:tc>
          <w:tcPr>
            <w:tcW w:w="127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F5168C3">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林地</w:t>
            </w: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12CE1CD">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4.02</w:t>
            </w:r>
          </w:p>
        </w:tc>
        <w:tc>
          <w:tcPr>
            <w:tcW w:w="75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1DF2A99">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972011B">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2.99</w:t>
            </w:r>
          </w:p>
        </w:tc>
        <w:tc>
          <w:tcPr>
            <w:tcW w:w="74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5A13FC4">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r>
      <w:tr w14:paraId="09F70612">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1EAF25B">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04</w:t>
            </w:r>
          </w:p>
        </w:tc>
        <w:tc>
          <w:tcPr>
            <w:tcW w:w="127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D605DFC">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草地</w:t>
            </w: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502469F">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9.05</w:t>
            </w:r>
          </w:p>
        </w:tc>
        <w:tc>
          <w:tcPr>
            <w:tcW w:w="75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35BEC79">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88BA5F7">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6.82</w:t>
            </w:r>
          </w:p>
        </w:tc>
        <w:tc>
          <w:tcPr>
            <w:tcW w:w="74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06ABD90">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r>
      <w:tr w14:paraId="63E41A23">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B0A253">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05</w:t>
            </w:r>
          </w:p>
        </w:tc>
        <w:tc>
          <w:tcPr>
            <w:tcW w:w="127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750366C">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湿地</w:t>
            </w: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B44B922">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0.58</w:t>
            </w:r>
          </w:p>
        </w:tc>
        <w:tc>
          <w:tcPr>
            <w:tcW w:w="75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67F1668">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48B7171">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0.57</w:t>
            </w:r>
          </w:p>
        </w:tc>
        <w:tc>
          <w:tcPr>
            <w:tcW w:w="74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48BD7D6">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r>
      <w:tr w14:paraId="1827FFB6">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40CB920C">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06</w:t>
            </w:r>
          </w:p>
        </w:tc>
        <w:tc>
          <w:tcPr>
            <w:tcW w:w="127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CAEAE53">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农业设施建设用地</w:t>
            </w:r>
          </w:p>
        </w:tc>
        <w:tc>
          <w:tcPr>
            <w:tcW w:w="882"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3462896F">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4.59</w:t>
            </w:r>
          </w:p>
        </w:tc>
        <w:tc>
          <w:tcPr>
            <w:tcW w:w="751"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433F34A6">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5.82</w:t>
            </w:r>
          </w:p>
        </w:tc>
        <w:tc>
          <w:tcPr>
            <w:tcW w:w="918"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6AD3AF86">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3.81</w:t>
            </w:r>
          </w:p>
        </w:tc>
        <w:tc>
          <w:tcPr>
            <w:tcW w:w="748"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5601A51C">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3.96</w:t>
            </w:r>
          </w:p>
        </w:tc>
      </w:tr>
      <w:tr w14:paraId="37002CE3">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189A91B">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07</w:t>
            </w:r>
          </w:p>
        </w:tc>
        <w:tc>
          <w:tcPr>
            <w:tcW w:w="127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9294F4B">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居住用地</w:t>
            </w: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0D3CBF6">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25.54</w:t>
            </w:r>
          </w:p>
        </w:tc>
        <w:tc>
          <w:tcPr>
            <w:tcW w:w="751"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48445C6E">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32.40</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19ACD6B">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31.44</w:t>
            </w:r>
          </w:p>
        </w:tc>
        <w:tc>
          <w:tcPr>
            <w:tcW w:w="748"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2AC7331A">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32.68</w:t>
            </w:r>
          </w:p>
        </w:tc>
      </w:tr>
      <w:tr w14:paraId="5388D4A0">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CC6C789">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08</w:t>
            </w:r>
          </w:p>
        </w:tc>
        <w:tc>
          <w:tcPr>
            <w:tcW w:w="127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0E1A472">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公共管理与公共服务用地</w:t>
            </w: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B6E5C71">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2.2</w:t>
            </w:r>
          </w:p>
        </w:tc>
        <w:tc>
          <w:tcPr>
            <w:tcW w:w="751"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13DD2947">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2.79</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685548C">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2.45</w:t>
            </w:r>
          </w:p>
        </w:tc>
        <w:tc>
          <w:tcPr>
            <w:tcW w:w="748"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64094AD6">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2.55</w:t>
            </w:r>
          </w:p>
        </w:tc>
      </w:tr>
      <w:tr w14:paraId="1121EE4B">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351D2A5">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09</w:t>
            </w:r>
          </w:p>
        </w:tc>
        <w:tc>
          <w:tcPr>
            <w:tcW w:w="127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50AD996">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商业服务业用地</w:t>
            </w:r>
          </w:p>
        </w:tc>
        <w:tc>
          <w:tcPr>
            <w:tcW w:w="882"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7C4A1A91">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3.82</w:t>
            </w:r>
          </w:p>
        </w:tc>
        <w:tc>
          <w:tcPr>
            <w:tcW w:w="751"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41EA2D07">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4.85</w:t>
            </w:r>
          </w:p>
        </w:tc>
        <w:tc>
          <w:tcPr>
            <w:tcW w:w="918"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4FCE453A">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2.44</w:t>
            </w:r>
          </w:p>
        </w:tc>
        <w:tc>
          <w:tcPr>
            <w:tcW w:w="748"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37429A30">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2.54</w:t>
            </w:r>
          </w:p>
        </w:tc>
      </w:tr>
      <w:tr w14:paraId="1D23C49D">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DBF7854">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10</w:t>
            </w:r>
          </w:p>
        </w:tc>
        <w:tc>
          <w:tcPr>
            <w:tcW w:w="1275" w:type="pct"/>
            <w:tcBorders>
              <w:top w:val="single" w:color="000000" w:sz="4" w:space="0"/>
              <w:left w:val="nil"/>
              <w:bottom w:val="single" w:color="000000" w:sz="4" w:space="0"/>
              <w:right w:val="single" w:color="000000" w:sz="4" w:space="0"/>
            </w:tcBorders>
            <w:shd w:val="clear" w:color="auto" w:fill="FFFFFF" w:themeFill="background1"/>
            <w:noWrap/>
            <w:vAlign w:val="center"/>
          </w:tcPr>
          <w:p w14:paraId="15781A7D">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工矿用地</w:t>
            </w: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B9CFD6F">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26.28</w:t>
            </w:r>
          </w:p>
        </w:tc>
        <w:tc>
          <w:tcPr>
            <w:tcW w:w="751"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10B364DE">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33.34</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D314E72">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32.26</w:t>
            </w:r>
          </w:p>
        </w:tc>
        <w:tc>
          <w:tcPr>
            <w:tcW w:w="748"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779B5549">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33.53</w:t>
            </w:r>
          </w:p>
        </w:tc>
      </w:tr>
      <w:tr w14:paraId="729D69F8">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03A6E84">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11</w:t>
            </w:r>
          </w:p>
        </w:tc>
        <w:tc>
          <w:tcPr>
            <w:tcW w:w="127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CAE6943">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仓储用地</w:t>
            </w: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A0908BC">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0.18</w:t>
            </w:r>
          </w:p>
        </w:tc>
        <w:tc>
          <w:tcPr>
            <w:tcW w:w="751"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37A0CA8C">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0.23</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E8723D1">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0.19</w:t>
            </w:r>
          </w:p>
        </w:tc>
        <w:tc>
          <w:tcPr>
            <w:tcW w:w="748"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1175E34B">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0.20</w:t>
            </w:r>
          </w:p>
        </w:tc>
      </w:tr>
      <w:tr w14:paraId="23D06A6C">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BF73200">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12</w:t>
            </w:r>
          </w:p>
        </w:tc>
        <w:tc>
          <w:tcPr>
            <w:tcW w:w="127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545FAD8">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交通运输用地</w:t>
            </w: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8B5304D">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10.73</w:t>
            </w:r>
          </w:p>
        </w:tc>
        <w:tc>
          <w:tcPr>
            <w:tcW w:w="751"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7A0AA8F3">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13.61</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6006E36">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17.9</w:t>
            </w:r>
          </w:p>
        </w:tc>
        <w:tc>
          <w:tcPr>
            <w:tcW w:w="748"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5990D1E0">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18.60</w:t>
            </w:r>
          </w:p>
        </w:tc>
      </w:tr>
      <w:tr w14:paraId="3FA1873B">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D8F883B">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13</w:t>
            </w:r>
          </w:p>
        </w:tc>
        <w:tc>
          <w:tcPr>
            <w:tcW w:w="127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669EE7D">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公用设施用地</w:t>
            </w: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8EF0DF3">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3.79</w:t>
            </w:r>
          </w:p>
        </w:tc>
        <w:tc>
          <w:tcPr>
            <w:tcW w:w="751"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45F6E344">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4.81</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B798630">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3.32</w:t>
            </w:r>
          </w:p>
        </w:tc>
        <w:tc>
          <w:tcPr>
            <w:tcW w:w="748"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701DBB26">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3.45</w:t>
            </w:r>
          </w:p>
        </w:tc>
      </w:tr>
      <w:tr w14:paraId="63E6632D">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2CDC7F6">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14</w:t>
            </w:r>
          </w:p>
        </w:tc>
        <w:tc>
          <w:tcPr>
            <w:tcW w:w="127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B7D06EE">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绿地与开敞空间用地</w:t>
            </w: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67F94C8">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1.21</w:t>
            </w:r>
          </w:p>
        </w:tc>
        <w:tc>
          <w:tcPr>
            <w:tcW w:w="751"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077B789A">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1.54</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6CE6B69">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1.75</w:t>
            </w:r>
          </w:p>
        </w:tc>
        <w:tc>
          <w:tcPr>
            <w:tcW w:w="748"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57FB6F37">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1.82</w:t>
            </w:r>
          </w:p>
        </w:tc>
      </w:tr>
      <w:tr w14:paraId="498ED87A">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8779928">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15</w:t>
            </w:r>
          </w:p>
        </w:tc>
        <w:tc>
          <w:tcPr>
            <w:tcW w:w="127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F3B44E9">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特殊用地</w:t>
            </w: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FCF6D05">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0.48</w:t>
            </w:r>
          </w:p>
        </w:tc>
        <w:tc>
          <w:tcPr>
            <w:tcW w:w="751"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33963282">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0.61</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241C68F7">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0.53</w:t>
            </w:r>
          </w:p>
        </w:tc>
        <w:tc>
          <w:tcPr>
            <w:tcW w:w="748"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70F386FF">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0.55</w:t>
            </w:r>
          </w:p>
        </w:tc>
      </w:tr>
      <w:tr w14:paraId="6E22A851">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8139345">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16</w:t>
            </w:r>
          </w:p>
        </w:tc>
        <w:tc>
          <w:tcPr>
            <w:tcW w:w="127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2057476">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留白用地</w:t>
            </w: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651CE20">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w:t>
            </w:r>
          </w:p>
        </w:tc>
        <w:tc>
          <w:tcPr>
            <w:tcW w:w="751"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1B5D73D3">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0.00</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312317">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0.13</w:t>
            </w:r>
          </w:p>
        </w:tc>
        <w:tc>
          <w:tcPr>
            <w:tcW w:w="748" w:type="pct"/>
            <w:tcBorders>
              <w:top w:val="single" w:color="000000" w:sz="4" w:space="0"/>
              <w:left w:val="single" w:color="000000" w:sz="4" w:space="0"/>
              <w:bottom w:val="nil"/>
              <w:right w:val="single" w:color="000000" w:sz="4" w:space="0"/>
            </w:tcBorders>
            <w:shd w:val="clear" w:color="auto" w:fill="FFFFFF" w:themeFill="background1"/>
            <w:noWrap/>
            <w:vAlign w:val="center"/>
          </w:tcPr>
          <w:p w14:paraId="571C2775">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0.14</w:t>
            </w:r>
          </w:p>
        </w:tc>
      </w:tr>
      <w:tr w14:paraId="6F3B9FD4">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2A00C15">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17</w:t>
            </w:r>
          </w:p>
        </w:tc>
        <w:tc>
          <w:tcPr>
            <w:tcW w:w="127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0FC67C2">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陆地水域</w:t>
            </w: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E25470E">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43.06</w:t>
            </w:r>
          </w:p>
        </w:tc>
        <w:tc>
          <w:tcPr>
            <w:tcW w:w="75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723CC2A">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35C2632">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36.3</w:t>
            </w:r>
          </w:p>
        </w:tc>
        <w:tc>
          <w:tcPr>
            <w:tcW w:w="74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31323C2F">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r>
      <w:tr w14:paraId="798DB3B4">
        <w:tblPrEx>
          <w:shd w:val="clear" w:color="auto" w:fill="FFFFFF" w:themeFill="background1"/>
          <w:tblCellMar>
            <w:top w:w="0" w:type="dxa"/>
            <w:left w:w="108" w:type="dxa"/>
            <w:bottom w:w="0" w:type="dxa"/>
            <w:right w:w="108" w:type="dxa"/>
          </w:tblCellMar>
        </w:tblPrEx>
        <w:trPr>
          <w:trHeight w:val="300" w:hRule="atLeast"/>
          <w:jc w:val="center"/>
        </w:trPr>
        <w:tc>
          <w:tcPr>
            <w:tcW w:w="424"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D6F702A">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23</w:t>
            </w:r>
          </w:p>
        </w:tc>
        <w:tc>
          <w:tcPr>
            <w:tcW w:w="1275"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172EE7AF">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其他土地</w:t>
            </w: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D7AD1AD">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0.43</w:t>
            </w:r>
          </w:p>
        </w:tc>
        <w:tc>
          <w:tcPr>
            <w:tcW w:w="75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BCAE763">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621B9F73">
            <w:pPr>
              <w:jc w:val="center"/>
              <w:rPr>
                <w:rFonts w:ascii="Times New Roman" w:hAnsi="Times New Roman" w:eastAsia="仿宋_GB2312" w:cs="楷体_GB2312"/>
                <w:kern w:val="0"/>
                <w:sz w:val="22"/>
              </w:rPr>
            </w:pPr>
            <w:r>
              <w:rPr>
                <w:rFonts w:ascii="Times New Roman" w:hAnsi="Times New Roman" w:eastAsia="仿宋_GB2312" w:cs="楷体_GB2312"/>
                <w:kern w:val="0"/>
                <w:sz w:val="22"/>
              </w:rPr>
              <w:t>0.25</w:t>
            </w:r>
          </w:p>
        </w:tc>
        <w:tc>
          <w:tcPr>
            <w:tcW w:w="74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58C0DA90">
            <w:pPr>
              <w:jc w:val="center"/>
              <w:rPr>
                <w:rFonts w:ascii="Times New Roman" w:hAnsi="Times New Roman" w:eastAsia="仿宋_GB2312" w:cs="楷体_GB2312"/>
                <w:kern w:val="0"/>
                <w:sz w:val="22"/>
              </w:rPr>
            </w:pPr>
            <w:r>
              <w:rPr>
                <w:rFonts w:hint="eastAsia" w:ascii="Times New Roman" w:hAnsi="Times New Roman" w:eastAsia="仿宋_GB2312" w:cs="楷体_GB2312"/>
                <w:kern w:val="0"/>
                <w:sz w:val="22"/>
              </w:rPr>
              <w:t>—</w:t>
            </w:r>
          </w:p>
        </w:tc>
      </w:tr>
      <w:tr w14:paraId="6B453805">
        <w:tblPrEx>
          <w:shd w:val="clear" w:color="auto" w:fill="FFFFFF" w:themeFill="background1"/>
          <w:tblCellMar>
            <w:top w:w="0" w:type="dxa"/>
            <w:left w:w="108" w:type="dxa"/>
            <w:bottom w:w="0" w:type="dxa"/>
            <w:right w:w="108" w:type="dxa"/>
          </w:tblCellMar>
        </w:tblPrEx>
        <w:trPr>
          <w:trHeight w:val="300" w:hRule="atLeast"/>
          <w:jc w:val="center"/>
        </w:trPr>
        <w:tc>
          <w:tcPr>
            <w:tcW w:w="1699" w:type="pct"/>
            <w:gridSpan w:val="2"/>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C340816">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合计</w:t>
            </w:r>
          </w:p>
        </w:tc>
        <w:tc>
          <w:tcPr>
            <w:tcW w:w="882"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3270C09">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192.12</w:t>
            </w:r>
          </w:p>
        </w:tc>
        <w:tc>
          <w:tcPr>
            <w:tcW w:w="751"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0C057928">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100.0</w:t>
            </w:r>
          </w:p>
        </w:tc>
        <w:tc>
          <w:tcPr>
            <w:tcW w:w="91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4905BCBD">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192.12</w:t>
            </w:r>
          </w:p>
        </w:tc>
        <w:tc>
          <w:tcPr>
            <w:tcW w:w="748" w:type="pct"/>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14:paraId="7C267AE2">
            <w:pPr>
              <w:jc w:val="center"/>
              <w:rPr>
                <w:rFonts w:ascii="Times New Roman" w:hAnsi="Times New Roman" w:eastAsia="仿宋_GB2312" w:cs="楷体_GB2312"/>
                <w:b/>
                <w:bCs/>
                <w:kern w:val="0"/>
                <w:sz w:val="22"/>
              </w:rPr>
            </w:pPr>
            <w:r>
              <w:rPr>
                <w:rFonts w:hint="eastAsia" w:ascii="Times New Roman" w:hAnsi="Times New Roman" w:eastAsia="仿宋_GB2312" w:cs="楷体_GB2312"/>
                <w:b/>
                <w:bCs/>
                <w:kern w:val="0"/>
                <w:sz w:val="22"/>
              </w:rPr>
              <w:t>100.0</w:t>
            </w:r>
          </w:p>
        </w:tc>
      </w:tr>
    </w:tbl>
    <w:p w14:paraId="125D6AAC">
      <w:pPr>
        <w:widowControl/>
        <w:numPr>
          <w:ilvl w:val="255"/>
          <w:numId w:val="0"/>
        </w:numPr>
        <w:spacing w:line="600" w:lineRule="exact"/>
        <w:ind w:firstLine="640" w:firstLineChars="200"/>
        <w:rPr>
          <w:rFonts w:hint="eastAsia" w:ascii="Times New Roman" w:hAnsi="Times New Roman" w:eastAsia="仿宋_GB2312" w:cs="楷体_GB2312"/>
          <w:kern w:val="0"/>
          <w:sz w:val="32"/>
          <w:szCs w:val="32"/>
        </w:rPr>
      </w:pPr>
      <w:r>
        <w:rPr>
          <w:rFonts w:hint="eastAsia" w:ascii="楷体_GB2312" w:hAnsi="楷体_GB2312" w:eastAsia="楷体_GB2312" w:cs="楷体_GB2312"/>
          <w:kern w:val="0"/>
          <w:sz w:val="32"/>
          <w:szCs w:val="32"/>
          <w:lang w:bidi="ar"/>
        </w:rPr>
        <w:t>促进建设用地节约集约利用。</w:t>
      </w:r>
      <w:r>
        <w:rPr>
          <w:rFonts w:hint="eastAsia" w:ascii="Times New Roman" w:hAnsi="Times New Roman" w:eastAsia="仿宋_GB2312" w:cs="楷体_GB2312"/>
          <w:kern w:val="0"/>
          <w:sz w:val="32"/>
          <w:szCs w:val="32"/>
          <w:lang w:bidi="ar"/>
        </w:rPr>
        <w:t xml:space="preserve">衔接落实城镇开发边界划定成果，严守建设用地“天花板” ，严格控制城镇无序蔓延，引导城镇建设紧凑布局。加强省级开发区和博罗产业园功能整合提升，引导零星工业用地向珠江东岸大型产业集聚区集聚。大力推动批而未供、闲置土地等存量资源的盘活利用，强化统筹引导、完善激励机制、妥善处理历史遗留问题。严控新增闲置土地，有序推动存量未建用地的盘活。探索增减拆挂钩机制，用好流量指标。加大对违法用地的处置力度，分类拆除违法用地。加大城镇开发边界外零散建设用地整理力度。新增建设用地指标优先保障重点项目、民生服务设施和基础设施的空间发展需求。 </w:t>
      </w:r>
    </w:p>
    <w:p w14:paraId="24D215AA">
      <w:pPr>
        <w:widowControl/>
        <w:numPr>
          <w:ilvl w:val="255"/>
          <w:numId w:val="0"/>
        </w:numPr>
        <w:spacing w:line="600" w:lineRule="exact"/>
        <w:ind w:firstLine="640" w:firstLineChars="200"/>
        <w:rPr>
          <w:rFonts w:hint="eastAsia" w:ascii="Times New Roman" w:hAnsi="Times New Roman" w:eastAsia="仿宋_GB2312" w:cs="楷体_GB2312"/>
          <w:kern w:val="0"/>
          <w:sz w:val="32"/>
          <w:szCs w:val="32"/>
        </w:rPr>
      </w:pPr>
      <w:r>
        <w:rPr>
          <w:rFonts w:hint="eastAsia" w:ascii="楷体_GB2312" w:hAnsi="楷体_GB2312" w:eastAsia="楷体_GB2312" w:cs="楷体_GB2312"/>
          <w:kern w:val="0"/>
          <w:sz w:val="32"/>
          <w:szCs w:val="32"/>
          <w:lang w:bidi="ar"/>
        </w:rPr>
        <w:t>推动土地复合集约利用。</w:t>
      </w:r>
      <w:r>
        <w:rPr>
          <w:rFonts w:hint="eastAsia" w:ascii="Times New Roman" w:hAnsi="Times New Roman" w:eastAsia="仿宋_GB2312" w:cs="楷体_GB2312"/>
          <w:kern w:val="0"/>
          <w:sz w:val="32"/>
          <w:szCs w:val="32"/>
          <w:lang w:bidi="ar"/>
        </w:rPr>
        <w:t>推动土地混合开发和空间复合利用，重点推进轨道交通场站、公交周边地区的综合开发利用，支持商业、办公、居住、公共设施与市政基础设施等功能空间的复合开发，提高土地利用效益。</w:t>
      </w:r>
    </w:p>
    <w:p w14:paraId="2A95D1AF">
      <w:pPr>
        <w:jc w:val="center"/>
        <w:rPr>
          <w:rFonts w:ascii="Times New Roman" w:hAnsi="Times New Roman" w:eastAsia="仿宋_GB2312" w:cs="楷体_GB2312"/>
          <w:kern w:val="0"/>
          <w:sz w:val="22"/>
        </w:rPr>
      </w:pPr>
    </w:p>
    <w:p w14:paraId="3A20CCF4">
      <w:pPr>
        <w:pStyle w:val="18"/>
        <w:ind w:firstLine="440"/>
        <w:rPr>
          <w:rFonts w:ascii="Times New Roman" w:hAnsi="Times New Roman" w:cs="楷体_GB2312"/>
          <w:kern w:val="0"/>
          <w:sz w:val="22"/>
        </w:rPr>
      </w:pPr>
    </w:p>
    <w:p w14:paraId="17638C1A">
      <w:pPr>
        <w:jc w:val="center"/>
        <w:rPr>
          <w:rFonts w:ascii="Times New Roman" w:hAnsi="Times New Roman" w:eastAsia="仿宋_GB2312" w:cs="楷体_GB2312"/>
          <w:kern w:val="0"/>
          <w:sz w:val="22"/>
        </w:rPr>
        <w:sectPr>
          <w:pgSz w:w="11906" w:h="16838"/>
          <w:pgMar w:top="1440" w:right="1800" w:bottom="1440" w:left="1800" w:header="851" w:footer="992" w:gutter="0"/>
          <w:cols w:space="425" w:num="1"/>
          <w:docGrid w:type="lines" w:linePitch="312" w:charSpace="0"/>
        </w:sectPr>
      </w:pPr>
    </w:p>
    <w:p w14:paraId="610284A8">
      <w:pPr>
        <w:pStyle w:val="3"/>
        <w:keepNext w:val="0"/>
        <w:keepLines w:val="0"/>
        <w:spacing w:before="312" w:beforeLines="100" w:after="312" w:afterLines="100" w:line="360" w:lineRule="auto"/>
        <w:jc w:val="center"/>
        <w:rPr>
          <w:rFonts w:ascii="Times New Roman" w:hAnsi="Times New Roman" w:eastAsia="黑体" w:cs="黑体"/>
          <w:kern w:val="1"/>
          <w:sz w:val="40"/>
          <w:szCs w:val="40"/>
          <w14:ligatures w14:val="none"/>
        </w:rPr>
      </w:pPr>
      <w:bookmarkStart w:id="64" w:name="_Toc198247201"/>
      <w:bookmarkStart w:id="65" w:name="_Toc19751"/>
      <w:r>
        <w:rPr>
          <w:rFonts w:hint="eastAsia" w:ascii="Times New Roman" w:hAnsi="Times New Roman" w:eastAsia="黑体"/>
          <w:b w:val="0"/>
          <w:bCs w:val="0"/>
          <w:sz w:val="40"/>
          <w:szCs w:val="40"/>
        </w:rPr>
        <w:t>第五章 打造珠江东岸创新产业新高地</w:t>
      </w:r>
      <w:bookmarkEnd w:id="64"/>
      <w:bookmarkEnd w:id="65"/>
    </w:p>
    <w:p w14:paraId="38A7F840">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Times New Roman" w:hAnsi="Times New Roman" w:eastAsia="仿宋_GB2312" w:cs="楷体_GB2312"/>
          <w:kern w:val="0"/>
          <w:sz w:val="32"/>
          <w:szCs w:val="32"/>
        </w:rPr>
        <w:t>坚定不移推进产业建圈强链，推动与广深莞先进制造和科技创新的产业链供应链创新链的深度融合，打好产业基础高级化和产业链现代化攻坚战，着力构建以先进制造业为主导，现代服务业为支撑、现代农业为基础的现代产业体系，至2035年，高标准培育智能装备制造、新一代电子信息、新能源新材料和现代物流四个区域竞争力强的百亿产业集群，打造带动环“南昆山-罗浮山”引领区</w:t>
      </w:r>
      <w:bookmarkStart w:id="66" w:name="OLE_LINK14"/>
      <w:r>
        <w:rPr>
          <w:rFonts w:hint="eastAsia" w:ascii="Times New Roman" w:hAnsi="Times New Roman" w:eastAsia="仿宋_GB2312" w:cs="楷体_GB2312"/>
          <w:kern w:val="0"/>
          <w:sz w:val="32"/>
          <w:szCs w:val="32"/>
        </w:rPr>
        <w:t>跨越式发展的重要增长极和新的动力源和新增长极</w:t>
      </w:r>
      <w:bookmarkEnd w:id="66"/>
      <w:r>
        <w:rPr>
          <w:rFonts w:hint="eastAsia" w:ascii="Times New Roman" w:hAnsi="Times New Roman" w:eastAsia="仿宋_GB2312" w:cs="楷体_GB2312"/>
          <w:kern w:val="0"/>
          <w:sz w:val="32"/>
          <w:szCs w:val="32"/>
        </w:rPr>
        <w:t>。</w:t>
      </w:r>
    </w:p>
    <w:p w14:paraId="1EEB7336">
      <w:pPr>
        <w:pStyle w:val="4"/>
        <w:keepNext w:val="0"/>
        <w:keepLines w:val="0"/>
        <w:numPr>
          <w:ilvl w:val="1"/>
          <w:numId w:val="1"/>
        </w:numPr>
        <w:spacing w:before="0" w:after="0" w:line="360" w:lineRule="auto"/>
        <w:ind w:firstLine="0"/>
        <w:jc w:val="center"/>
        <w:rPr>
          <w:rFonts w:ascii="Times New Roman" w:hAnsi="Times New Roman" w:eastAsia="黑体" w:cs="黑体"/>
          <w:bCs w:val="0"/>
          <w14:ligatures w14:val="none"/>
        </w:rPr>
      </w:pPr>
      <w:bookmarkStart w:id="67" w:name="_Toc198247202"/>
      <w:bookmarkStart w:id="68" w:name="_Toc31869"/>
      <w:r>
        <w:rPr>
          <w:rFonts w:hint="eastAsia" w:ascii="Times New Roman" w:hAnsi="Times New Roman" w:eastAsia="黑体"/>
          <w:b w:val="0"/>
          <w:bCs w:val="0"/>
        </w:rPr>
        <w:t>培育创新引领的先进制造业产业集群</w:t>
      </w:r>
      <w:bookmarkEnd w:id="67"/>
      <w:bookmarkEnd w:id="68"/>
    </w:p>
    <w:p w14:paraId="49AFAECA">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构建“321”高端现代产业体系。</w:t>
      </w:r>
      <w:r>
        <w:rPr>
          <w:rFonts w:hint="eastAsia" w:ascii="Times New Roman" w:hAnsi="Times New Roman" w:eastAsia="仿宋_GB2312" w:cs="楷体_GB2312"/>
          <w:kern w:val="0"/>
          <w:sz w:val="32"/>
          <w:szCs w:val="32"/>
        </w:rPr>
        <w:t>顺应“高端化、智能化、绿色化”融合趋势，主动承接粤港澳大湾区中心城市产业资源外溢，积极探索科技创新转化、制造业协同联动、生态价值赋能路径，发展新质生产力，推进新型工业化，引导制造业转型升级，推动生态产业化，打造“321”现代产业体系，即智能装备制造、新一代电子信息和新能源新材料产业“3”个先进制造业，现代物流和时尚创意“2”个特色产业，和“1”个生产性服务业。</w:t>
      </w:r>
    </w:p>
    <w:p w14:paraId="73D162DB">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打造具有国际竞争力的三大先进制造业集群。</w:t>
      </w:r>
      <w:r>
        <w:rPr>
          <w:rFonts w:ascii="Times New Roman" w:hAnsi="Times New Roman" w:eastAsia="仿宋_GB2312" w:cs="楷体_GB2312"/>
          <w:kern w:val="0"/>
          <w:sz w:val="32"/>
          <w:szCs w:val="32"/>
        </w:rPr>
        <w:t>坚持</w:t>
      </w:r>
      <w:r>
        <w:rPr>
          <w:rFonts w:hint="eastAsia" w:ascii="Times New Roman" w:hAnsi="Times New Roman" w:eastAsia="仿宋_GB2312" w:cs="楷体_GB2312"/>
          <w:kern w:val="0"/>
          <w:sz w:val="32"/>
          <w:szCs w:val="32"/>
        </w:rPr>
        <w:t>“补链、固链、强链、延链”</w:t>
      </w:r>
      <w:r>
        <w:rPr>
          <w:rFonts w:ascii="Times New Roman" w:hAnsi="Times New Roman" w:eastAsia="仿宋_GB2312" w:cs="楷体_GB2312"/>
          <w:kern w:val="0"/>
          <w:sz w:val="32"/>
          <w:szCs w:val="32"/>
        </w:rPr>
        <w:t>全产业链发展思路，</w:t>
      </w:r>
      <w:r>
        <w:rPr>
          <w:rFonts w:hint="eastAsia" w:ascii="Times New Roman" w:hAnsi="Times New Roman" w:eastAsia="仿宋_GB2312" w:cs="楷体_GB2312"/>
          <w:kern w:val="0"/>
          <w:sz w:val="32"/>
          <w:szCs w:val="32"/>
        </w:rPr>
        <w:t>加快形成战略性新兴产业引领与传统产业高质量转型相互促进的先进制造业集群。聚焦智能装备制造、新一代电子信息、新能源新材料三大优势产业关键领域，加速创新链、产业链融合布局，推动产业发展向中高端迈进。瞄准产业发展前沿，重点围绕新型储能、汽车零部件、智能物流装备、健康穿戴设备、工业机器人等产业领域，建立产业链缺失环节补链清单，深入实施产业基础再造工程，全面提升博罗县域副中心产业基础能力和产业链现代化水平。</w:t>
      </w:r>
    </w:p>
    <w:p w14:paraId="42CA65D7">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培育具有未来影响力的两大特色产业集群。</w:t>
      </w:r>
      <w:r>
        <w:rPr>
          <w:rFonts w:hint="eastAsia" w:ascii="Times New Roman" w:hAnsi="Times New Roman" w:eastAsia="仿宋_GB2312" w:cs="楷体_GB2312"/>
          <w:kern w:val="0"/>
          <w:sz w:val="32"/>
          <w:szCs w:val="32"/>
        </w:rPr>
        <w:t>打造现代物流枢纽经济高地，协同推进“一带一路”广东铁路国际物流基地和中俄贸易产业园建设，规划建设博罗县域副中心跨境电商产业园，合理布局仓储分拨设施，创新发展“跨境电商+直播电商”“跨境电商+市场采购”模式。探索引入综合保税区政策，推动物流业与现代农业、制造业和服务业有机融合，打造珠江东岸全球进口商品展示分拨中心、国际名品展示交易中心、国际农产品展销中心和保税物流功能区。依托传统服装服饰和文化资源优势，集聚发展汽车灯光音响、时尚服装饰品、健康文体用品、文化旅游、综合娱乐、数字创意等产业，发展以“产业上楼”“前店后厂”为特征的精品园区、时尚创意示范空间、特色消费街区等新型产业载体，打造创新要素集聚、区域根植性强、开放包容繁荣的时尚产业集群。</w:t>
      </w:r>
    </w:p>
    <w:p w14:paraId="69B1D3BA">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发展具有区域带动力的现代生产性服务业产业集群。</w:t>
      </w:r>
      <w:r>
        <w:rPr>
          <w:rFonts w:hint="eastAsia" w:ascii="Times New Roman" w:hAnsi="Times New Roman" w:eastAsia="仿宋_GB2312" w:cs="楷体_GB2312"/>
          <w:kern w:val="0"/>
          <w:sz w:val="32"/>
          <w:szCs w:val="32"/>
        </w:rPr>
        <w:t>以服务制造业高质量发展为导向，推动生产性服务业向专业化和价值链高端延伸。聚焦专业化、品质化、多样化发展方向,加快构建以体育、文旅、康养为代表，以商务会展、科技研发、文创产业、现代金融为重要支撑的现代科技型服务业。聚焦增强全产业链优势，大力发展法律、财会、咨询、广告等专业服务，鼓励发展智能化解决方案服务、总集成总承包服务、柔性化定制服务、共享型生产服务等新业态，着力提升博罗县域副中心现代服务业发展能级。</w:t>
      </w:r>
    </w:p>
    <w:p w14:paraId="2F2F47BF">
      <w:pPr>
        <w:pStyle w:val="4"/>
        <w:keepNext w:val="0"/>
        <w:keepLines w:val="0"/>
        <w:numPr>
          <w:ilvl w:val="1"/>
          <w:numId w:val="1"/>
        </w:numPr>
        <w:spacing w:before="0" w:after="0" w:line="360" w:lineRule="auto"/>
        <w:ind w:firstLine="0"/>
        <w:jc w:val="center"/>
        <w:rPr>
          <w:rFonts w:ascii="Times New Roman" w:hAnsi="Times New Roman" w:eastAsia="黑体" w:cs="黑体"/>
          <w:bCs w:val="0"/>
          <w14:ligatures w14:val="none"/>
        </w:rPr>
      </w:pPr>
      <w:bookmarkStart w:id="69" w:name="_Toc198247204"/>
      <w:bookmarkEnd w:id="69"/>
      <w:bookmarkStart w:id="70" w:name="_Toc198247203"/>
      <w:bookmarkEnd w:id="70"/>
      <w:bookmarkStart w:id="71" w:name="_Toc198247205"/>
      <w:bookmarkStart w:id="72" w:name="_Toc31144"/>
      <w:r>
        <w:rPr>
          <w:rFonts w:hint="eastAsia" w:ascii="Times New Roman" w:hAnsi="Times New Roman" w:eastAsia="黑体"/>
          <w:b w:val="0"/>
          <w:bCs w:val="0"/>
        </w:rPr>
        <w:t>打造</w:t>
      </w:r>
      <w:bookmarkStart w:id="73" w:name="_Hlk198221864"/>
      <w:r>
        <w:rPr>
          <w:rFonts w:hint="eastAsia" w:ascii="Times New Roman" w:hAnsi="Times New Roman" w:eastAsia="黑体"/>
          <w:b w:val="0"/>
          <w:bCs w:val="0"/>
        </w:rPr>
        <w:t>环“南昆山</w:t>
      </w:r>
      <w:r>
        <w:rPr>
          <w:rFonts w:hint="eastAsia" w:ascii="Times New Roman" w:hAnsi="Times New Roman" w:eastAsia="仿宋_GB2312" w:cs="楷体_GB2312"/>
          <w:kern w:val="0"/>
        </w:rPr>
        <w:t>—</w:t>
      </w:r>
      <w:r>
        <w:rPr>
          <w:rFonts w:hint="eastAsia" w:ascii="Times New Roman" w:hAnsi="Times New Roman" w:eastAsia="黑体"/>
          <w:b w:val="0"/>
          <w:bCs w:val="0"/>
        </w:rPr>
        <w:t>罗浮山”引领区</w:t>
      </w:r>
      <w:bookmarkEnd w:id="73"/>
      <w:r>
        <w:rPr>
          <w:rFonts w:hint="eastAsia" w:ascii="Times New Roman" w:hAnsi="Times New Roman" w:eastAsia="黑体"/>
          <w:b w:val="0"/>
          <w:bCs w:val="0"/>
        </w:rPr>
        <w:t>生产性服务业集聚中心</w:t>
      </w:r>
      <w:bookmarkEnd w:id="71"/>
    </w:p>
    <w:p w14:paraId="43E046EC">
      <w:pPr>
        <w:numPr>
          <w:ilvl w:val="255"/>
          <w:numId w:val="0"/>
        </w:numPr>
        <w:spacing w:line="360" w:lineRule="auto"/>
        <w:ind w:firstLine="640" w:firstLineChars="200"/>
        <w:rPr>
          <w:rFonts w:hint="eastAsia"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打造服务引领区的体育产业品牌。</w:t>
      </w:r>
      <w:r>
        <w:rPr>
          <w:rFonts w:hint="eastAsia" w:ascii="Times New Roman" w:hAnsi="Times New Roman" w:eastAsia="仿宋_GB2312" w:cs="楷体_GB2312"/>
          <w:kern w:val="0"/>
          <w:sz w:val="32"/>
          <w:szCs w:val="32"/>
        </w:rPr>
        <w:t>适应环“南昆山—罗浮山”引领区康养产业及大健康服务需求，积极培育壮大体育产业。依托新建大型文化和体育中心，持续引进体育用品设计、制造、销售等上下游企业入驻，结合平台直播等信息化手段，强化品牌推广与线上线下、展销一体化发展。大力发展体育培训、体育赛事、体育教育、体育俱乐部等体育服务业。积极争取国家级、省级专业体育训练基地落地博罗县域副中心新城，大力引进与举办高端体育赛事和多样化群众体育活动，推动体育赛事活动品牌化发展，提升区域知名度。推广体育运动，促进“体育+旅游”融合发展，延伸发展体育旅游、体育健身休闲、体育健康管理等，加强与引领区康养产业联动。</w:t>
      </w:r>
    </w:p>
    <w:p w14:paraId="0E0DB217">
      <w:pPr>
        <w:numPr>
          <w:ilvl w:val="255"/>
          <w:numId w:val="0"/>
        </w:numPr>
        <w:spacing w:line="360" w:lineRule="auto"/>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打造服务引领区的大教育产业基地。</w:t>
      </w:r>
      <w:r>
        <w:rPr>
          <w:rFonts w:hint="eastAsia" w:ascii="Times New Roman" w:hAnsi="Times New Roman" w:eastAsia="仿宋_GB2312" w:cs="楷体_GB2312"/>
          <w:kern w:val="0"/>
          <w:sz w:val="32"/>
          <w:szCs w:val="32"/>
        </w:rPr>
        <w:t>依托东江广雅学校、广州大学附属中学等知名学校，持续引进优质教育资源，完善儿童、青少年、成人等全年龄段教育服务，构建基础教育、职业教育、高等教育、产学研发、研学营地为一体的教育体系。支持与国内高校开展战略合作，推进校企共建实训基地、研发应用平台。积极争取国内外高校和科研院所在博罗县域副中心设立分校或分支机构，推动建设一批国家、广东省重点实验室、工程技术研究中心。积极探索教育链、人才链、创新链相互协同，提升博罗县域副中心科技创新能力，构建创新协调的产业生态圈。</w:t>
      </w:r>
    </w:p>
    <w:p w14:paraId="3E75D47A">
      <w:pPr>
        <w:numPr>
          <w:ilvl w:val="255"/>
          <w:numId w:val="0"/>
        </w:numPr>
        <w:spacing w:line="360" w:lineRule="auto"/>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打造服务引领区的</w:t>
      </w:r>
      <w:bookmarkStart w:id="74" w:name="_Hlk198222621"/>
      <w:r>
        <w:rPr>
          <w:rFonts w:hint="eastAsia" w:ascii="楷体_GB2312" w:hAnsi="楷体_GB2312" w:eastAsia="楷体_GB2312" w:cs="楷体_GB2312"/>
          <w:kern w:val="0"/>
          <w:sz w:val="32"/>
          <w:szCs w:val="32"/>
        </w:rPr>
        <w:t>智慧健康</w:t>
      </w:r>
      <w:bookmarkEnd w:id="74"/>
      <w:r>
        <w:rPr>
          <w:rFonts w:hint="eastAsia" w:ascii="楷体_GB2312" w:hAnsi="楷体_GB2312" w:eastAsia="楷体_GB2312" w:cs="楷体_GB2312"/>
          <w:kern w:val="0"/>
          <w:sz w:val="32"/>
          <w:szCs w:val="32"/>
        </w:rPr>
        <w:t>管理中心。</w:t>
      </w:r>
      <w:r>
        <w:rPr>
          <w:rFonts w:hint="eastAsia" w:ascii="Times New Roman" w:hAnsi="Times New Roman" w:eastAsia="仿宋_GB2312" w:cs="楷体_GB2312"/>
          <w:kern w:val="0"/>
          <w:sz w:val="32"/>
          <w:szCs w:val="32"/>
        </w:rPr>
        <w:t>积极引入华南地区一流的医疗资源或国际高端医疗康养机构，建设国际高端医养健康中心，助力博罗创建全国医养结合示范县（区）等全国性医养品牌。策划面向引领区乃至粤港澳大湾区的专业化、智慧化的省级乃至国家级健康医疗大数据产业园，布局健康管理中心、文化交流中心、健康科技中心等空间产品，融合“互联网+医疗健康”，承接医疗健康大数据的存储、计算、应用等服务。集聚区域流量，结合数字技术，延伸发展健康饮食、线上科普、数字体验、智慧医疗管理、医疗云研发等新消费业态，构建“全息数字人”引领的全生命周期智慧健康管理中心。</w:t>
      </w:r>
    </w:p>
    <w:p w14:paraId="49652808">
      <w:pPr>
        <w:numPr>
          <w:ilvl w:val="255"/>
          <w:numId w:val="0"/>
        </w:numPr>
        <w:spacing w:line="360" w:lineRule="auto"/>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打造服务引领区的总部经济集聚区。</w:t>
      </w:r>
      <w:r>
        <w:rPr>
          <w:rFonts w:hint="eastAsia" w:ascii="Times New Roman" w:hAnsi="Times New Roman" w:eastAsia="仿宋_GB2312" w:cs="楷体_GB2312"/>
          <w:kern w:val="0"/>
          <w:sz w:val="32"/>
          <w:szCs w:val="32"/>
        </w:rPr>
        <w:t>瞄准世界和全国500强企业，重点引进研发、采购和销售总部，依托博罗县域副中心新城规划建设创新服务中心、湿地科技中心和商务金融中心。加快发展科技成果转化、商务咨询、金融交易、文体艺术等现代服务业，积极打造活力多元的未来宜居场景、国际潮流的消费场景、个性开放的办公场景，加快形成环“南昆山—罗浮山”引领区能级最高、功能最优、环境最美的总部经济集聚区。</w:t>
      </w:r>
    </w:p>
    <w:p w14:paraId="7D35D777">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75" w:name="_Toc198247206"/>
      <w:bookmarkEnd w:id="75"/>
      <w:bookmarkStart w:id="76" w:name="_Toc198247207"/>
      <w:bookmarkEnd w:id="76"/>
      <w:bookmarkStart w:id="77" w:name="_Toc198247208"/>
      <w:r>
        <w:rPr>
          <w:rFonts w:hint="eastAsia" w:ascii="Times New Roman" w:hAnsi="Times New Roman" w:eastAsia="黑体"/>
          <w:b w:val="0"/>
          <w:bCs w:val="0"/>
        </w:rPr>
        <w:t>建设珠江东岸现代都市农业新高地</w:t>
      </w:r>
      <w:bookmarkEnd w:id="77"/>
    </w:p>
    <w:p w14:paraId="1597FD66">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构建现代农业产业体系。</w:t>
      </w:r>
      <w:r>
        <w:rPr>
          <w:rFonts w:hint="eastAsia" w:ascii="Times New Roman" w:hAnsi="Times New Roman" w:eastAsia="仿宋_GB2312" w:cs="楷体_GB2312"/>
          <w:kern w:val="0"/>
          <w:sz w:val="32"/>
          <w:szCs w:val="32"/>
        </w:rPr>
        <w:t>加强农业供给侧结构性改革，构建现代农业产业体系。培育壮大稻米、果蔬、罗浮山南药种植等3个主导产业。推进粤港澳大湾区菜篮子、米袋子、果盘子、药匣子基地建设，培育一批产值超百亿的优势特色农业产业集群。积极塑造区域农业公共品牌，加快申请国家地理标志，创新产品营销模式，稳步提升“罗浮山中药材”特色农产品知名度及影响力。</w:t>
      </w:r>
    </w:p>
    <w:p w14:paraId="02E0EDA0">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打造现代都市农业带。</w:t>
      </w:r>
      <w:r>
        <w:rPr>
          <w:rFonts w:hint="eastAsia" w:ascii="Times New Roman" w:hAnsi="Times New Roman" w:eastAsia="仿宋_GB2312" w:cs="楷体_GB2312"/>
          <w:kern w:val="0"/>
          <w:sz w:val="32"/>
          <w:szCs w:val="32"/>
        </w:rPr>
        <w:t>沿里波水、沙河周边连片农田片区建设副中心现代都市农业带，推动传统农业向科技种植、规模经营、生态休闲、观光旅游农业、电商农业转型，建设一批国家级和省级现代农业产业园，推动农产品加工业集群化、创新化、品牌化发展。积极发展“农业+旅游”，推进农文旅产业融合发展。</w:t>
      </w:r>
    </w:p>
    <w:p w14:paraId="0A08D61D">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建设智慧农业示范园。</w:t>
      </w:r>
      <w:r>
        <w:rPr>
          <w:rFonts w:hint="eastAsia" w:ascii="Times New Roman" w:hAnsi="Times New Roman" w:eastAsia="仿宋_GB2312" w:cs="楷体_GB2312"/>
          <w:kern w:val="0"/>
          <w:sz w:val="32"/>
          <w:szCs w:val="32"/>
        </w:rPr>
        <w:t>推动博罗南药产业园扩容提质，快速扩展数字化应用场景，建设一批智慧农业示范园及一批国家级5G智慧农业试验区。健全农产品现代流通体系，构建农产品综合产销一体化平台，壮大粮食烘干、冷链物流、直播电商等生产性服务业产业。</w:t>
      </w:r>
    </w:p>
    <w:p w14:paraId="100AD8DA">
      <w:pPr>
        <w:pStyle w:val="4"/>
        <w:keepNext w:val="0"/>
        <w:keepLines w:val="0"/>
        <w:numPr>
          <w:ilvl w:val="1"/>
          <w:numId w:val="1"/>
        </w:numPr>
        <w:spacing w:before="0" w:after="0" w:line="360" w:lineRule="auto"/>
        <w:ind w:firstLine="0"/>
        <w:jc w:val="center"/>
        <w:rPr>
          <w:rFonts w:ascii="Times New Roman" w:hAnsi="Times New Roman" w:eastAsia="黑体" w:cs="黑体"/>
          <w:bCs w:val="0"/>
          <w14:ligatures w14:val="none"/>
        </w:rPr>
      </w:pPr>
      <w:bookmarkStart w:id="78" w:name="_Toc198247209"/>
      <w:r>
        <w:rPr>
          <w:rFonts w:hint="eastAsia" w:ascii="Times New Roman" w:hAnsi="Times New Roman" w:eastAsia="黑体"/>
          <w:b w:val="0"/>
          <w:bCs w:val="0"/>
        </w:rPr>
        <w:t>前瞻布局未来产业和</w:t>
      </w:r>
      <w:bookmarkStart w:id="79" w:name="OLE_LINK17"/>
      <w:r>
        <w:rPr>
          <w:rFonts w:hint="eastAsia" w:ascii="Times New Roman" w:hAnsi="Times New Roman" w:eastAsia="黑体"/>
          <w:b w:val="0"/>
          <w:bCs w:val="0"/>
        </w:rPr>
        <w:t>科创成果转化</w:t>
      </w:r>
      <w:bookmarkEnd w:id="72"/>
      <w:bookmarkEnd w:id="79"/>
      <w:r>
        <w:rPr>
          <w:rFonts w:hint="eastAsia" w:ascii="Times New Roman" w:hAnsi="Times New Roman" w:eastAsia="黑体"/>
          <w:b w:val="0"/>
          <w:bCs w:val="0"/>
        </w:rPr>
        <w:t>中试集聚区</w:t>
      </w:r>
      <w:bookmarkEnd w:id="78"/>
    </w:p>
    <w:p w14:paraId="0B2DE427">
      <w:pPr>
        <w:numPr>
          <w:ilvl w:val="255"/>
          <w:numId w:val="0"/>
        </w:numPr>
        <w:spacing w:line="600" w:lineRule="exact"/>
        <w:ind w:firstLine="640" w:firstLineChars="200"/>
        <w:rPr>
          <w:rFonts w:hint="eastAsia" w:ascii="仿宋_GB2312" w:hAnsi="楷体_GB2312" w:eastAsia="仿宋_GB2312" w:cs="楷体_GB2312"/>
          <w:kern w:val="0"/>
          <w:sz w:val="32"/>
          <w:szCs w:val="32"/>
        </w:rPr>
      </w:pPr>
      <w:r>
        <w:rPr>
          <w:rFonts w:hint="eastAsia" w:ascii="楷体_GB2312" w:hAnsi="楷体_GB2312" w:eastAsia="楷体_GB2312" w:cs="楷体_GB2312"/>
          <w:kern w:val="0"/>
          <w:sz w:val="32"/>
          <w:szCs w:val="32"/>
        </w:rPr>
        <w:t>培育壮大未来经济形态。</w:t>
      </w:r>
      <w:r>
        <w:rPr>
          <w:rFonts w:hint="eastAsia" w:ascii="仿宋_GB2312" w:hAnsi="楷体_GB2312" w:eastAsia="仿宋_GB2312" w:cs="楷体_GB2312"/>
          <w:kern w:val="0"/>
          <w:sz w:val="32"/>
          <w:szCs w:val="32"/>
        </w:rPr>
        <w:t>坚持世界眼光、战略思维，加快布局一批面向未来的经济形态，加快建成珠江东岸未来城市场景培育地、要素聚集地和生态创新区。围绕前沿新材料、第六代通信、能源与环境、人工智能、大数据等领域，鼓励先导产业蓬勃发展。前瞻布局未来产业，完善新赛道主动发现和前瞻遴选机制，在数字经济、智能经济、共享经济、未来网络等领域抢占发展先机。</w:t>
      </w:r>
    </w:p>
    <w:p w14:paraId="6C9474B4">
      <w:pPr>
        <w:numPr>
          <w:ilvl w:val="255"/>
          <w:numId w:val="0"/>
        </w:numPr>
        <w:spacing w:line="600" w:lineRule="exact"/>
        <w:ind w:firstLine="640" w:firstLineChars="200"/>
        <w:rPr>
          <w:rFonts w:ascii="楷体_GB2312" w:hAnsi="楷体_GB2312" w:eastAsia="楷体_GB2312" w:cs="楷体_GB2312"/>
          <w:kern w:val="0"/>
          <w:sz w:val="32"/>
          <w:szCs w:val="32"/>
        </w:rPr>
      </w:pPr>
      <w:r>
        <w:rPr>
          <w:rFonts w:hint="eastAsia" w:ascii="楷体_GB2312" w:hAnsi="楷体_GB2312" w:eastAsia="楷体_GB2312" w:cs="楷体_GB2312"/>
          <w:kern w:val="0"/>
          <w:sz w:val="32"/>
          <w:szCs w:val="32"/>
        </w:rPr>
        <w:t>积极承接广深科创外溢。</w:t>
      </w:r>
      <w:r>
        <w:rPr>
          <w:rFonts w:hint="eastAsia" w:ascii="仿宋_GB2312" w:hAnsi="楷体_GB2312" w:eastAsia="仿宋_GB2312" w:cs="楷体_GB2312"/>
          <w:kern w:val="0"/>
          <w:sz w:val="32"/>
          <w:szCs w:val="32"/>
        </w:rPr>
        <w:t>积极承接东莞松山湖材料实验室、东莞新能源研究院科研外溢资源，充分发挥欣旺达电芯研究院作用，加快推进广东省新型储能创新中心实证基地，在本地新型储能产业的基础上，进一步强化拓展储能电芯、电池管理系统、储能系统集成等产业链环节。</w:t>
      </w:r>
    </w:p>
    <w:p w14:paraId="2D457D0E">
      <w:pPr>
        <w:numPr>
          <w:ilvl w:val="255"/>
          <w:numId w:val="0"/>
        </w:numPr>
        <w:spacing w:line="600" w:lineRule="exact"/>
        <w:ind w:firstLine="640" w:firstLineChars="200"/>
        <w:rPr>
          <w:rFonts w:ascii="仿宋_GB2312" w:hAnsi="楷体_GB2312" w:eastAsia="仿宋_GB2312" w:cs="楷体_GB2312"/>
          <w:kern w:val="0"/>
          <w:sz w:val="32"/>
          <w:szCs w:val="32"/>
        </w:rPr>
      </w:pPr>
      <w:r>
        <w:rPr>
          <w:rFonts w:hint="eastAsia" w:ascii="楷体_GB2312" w:hAnsi="楷体_GB2312" w:eastAsia="楷体_GB2312" w:cs="楷体_GB2312"/>
          <w:kern w:val="0"/>
          <w:sz w:val="32"/>
          <w:szCs w:val="32"/>
        </w:rPr>
        <w:t>推动先进制造业协同发展。</w:t>
      </w:r>
      <w:r>
        <w:rPr>
          <w:rFonts w:hint="eastAsia" w:ascii="仿宋_GB2312" w:hAnsi="楷体_GB2312" w:eastAsia="仿宋_GB2312" w:cs="楷体_GB2312"/>
          <w:kern w:val="0"/>
          <w:sz w:val="32"/>
          <w:szCs w:val="32"/>
        </w:rPr>
        <w:t>当前广州增城“芯显车”三大先进制造业进入发展快车道，电气机械及设备制造业成为东莞的主导产业之一，博罗县域副中心可为穗莞提供汽车核心零部件、汽车电子、新能源电池等供应链公共产品，形成“主导—配套”的协作模式。</w:t>
      </w:r>
    </w:p>
    <w:p w14:paraId="3E941C1F">
      <w:pPr>
        <w:numPr>
          <w:ilvl w:val="255"/>
          <w:numId w:val="0"/>
        </w:numPr>
        <w:spacing w:line="600" w:lineRule="exact"/>
        <w:ind w:firstLine="640" w:firstLineChars="200"/>
        <w:rPr>
          <w:rFonts w:hint="eastAsia" w:ascii="仿宋_GB2312" w:hAnsi="楷体_GB2312" w:eastAsia="仿宋_GB2312" w:cs="楷体_GB2312"/>
          <w:kern w:val="0"/>
          <w:sz w:val="32"/>
          <w:szCs w:val="32"/>
        </w:rPr>
      </w:pPr>
      <w:r>
        <w:rPr>
          <w:rFonts w:hint="eastAsia" w:ascii="楷体_GB2312" w:hAnsi="楷体_GB2312" w:eastAsia="楷体_GB2312" w:cs="楷体_GB2312"/>
          <w:kern w:val="0"/>
          <w:sz w:val="32"/>
          <w:szCs w:val="32"/>
        </w:rPr>
        <w:t>生态赋能与文旅联动。</w:t>
      </w:r>
      <w:r>
        <w:rPr>
          <w:rFonts w:hint="eastAsia" w:ascii="仿宋_GB2312" w:hAnsi="楷体_GB2312" w:eastAsia="仿宋_GB2312" w:cs="楷体_GB2312"/>
          <w:kern w:val="0"/>
          <w:sz w:val="32"/>
          <w:szCs w:val="32"/>
        </w:rPr>
        <w:t>充分发挥毗邻罗浮山、靠近南药生产基地的地理区位与产业优势，大力发展精准医疗，延链补链发展高端康养产业，推动环“南昆山—罗浮山”引领区文旅协同联动，为环“南昆山—罗浮山”引领区提供高端商贸、金融、住宿等生产服务，共建华南区域文旅品牌。</w:t>
      </w:r>
    </w:p>
    <w:p w14:paraId="5307A9C0">
      <w:pPr>
        <w:numPr>
          <w:ilvl w:val="255"/>
          <w:numId w:val="0"/>
        </w:numPr>
        <w:spacing w:line="600" w:lineRule="exact"/>
        <w:ind w:firstLine="640" w:firstLineChars="200"/>
        <w:rPr>
          <w:rFonts w:ascii="Times New Roman" w:hAnsi="Times New Roman" w:eastAsia="仿宋_GB2312" w:cs="楷体_GB2312"/>
          <w:kern w:val="0"/>
          <w:sz w:val="32"/>
          <w:szCs w:val="32"/>
        </w:rPr>
      </w:pPr>
      <w:r>
        <w:rPr>
          <w:rFonts w:hint="eastAsia" w:ascii="楷体_GB2312" w:hAnsi="楷体_GB2312" w:eastAsia="楷体_GB2312" w:cs="楷体_GB2312"/>
          <w:kern w:val="0"/>
          <w:sz w:val="32"/>
          <w:szCs w:val="32"/>
        </w:rPr>
        <w:t>聚力打造两大产业平台。</w:t>
      </w:r>
      <w:r>
        <w:rPr>
          <w:rFonts w:hint="eastAsia" w:ascii="Times New Roman" w:hAnsi="Times New Roman" w:eastAsia="仿宋_GB2312" w:cs="楷体_GB2312"/>
          <w:kern w:val="0"/>
          <w:sz w:val="32"/>
          <w:szCs w:val="32"/>
        </w:rPr>
        <w:t>全力推动惠州博罗产业园区（博西片区）和博罗产业园发展能级，聚焦技术攻关、中试熟化、成果转移转化科技招商引智等方面，加快推进与广深科创对接合作，共建一批</w:t>
      </w:r>
      <w:r>
        <w:rPr>
          <w:rFonts w:ascii="Times New Roman" w:hAnsi="Times New Roman" w:eastAsia="仿宋_GB2312" w:cs="楷体_GB2312"/>
          <w:kern w:val="0"/>
          <w:sz w:val="32"/>
          <w:szCs w:val="32"/>
        </w:rPr>
        <w:t>科技成果转化中试基地</w:t>
      </w:r>
      <w:r>
        <w:rPr>
          <w:rFonts w:hint="eastAsia" w:ascii="Times New Roman" w:hAnsi="Times New Roman" w:eastAsia="仿宋_GB2312" w:cs="楷体_GB2312"/>
          <w:kern w:val="0"/>
          <w:sz w:val="32"/>
          <w:szCs w:val="32"/>
        </w:rPr>
        <w:t>与创新平台。鼓励各类资本、机构以“区中区”“园中园”模式开展园区共建，积极探索“飞地经济”合作模式。发挥新区成本、要素、枢纽等综合优势，搭建承接科创成果转移转化服务信息平台，支持链路型企业对上下游资源整合，培育一批领军企业、专精特新企业和隐形冠军企业，打造川广深科技创新走廊科创成果转化中试的重要承载区。</w:t>
      </w:r>
    </w:p>
    <w:p w14:paraId="199EA442">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80" w:name="_Toc198247210"/>
      <w:bookmarkEnd w:id="80"/>
      <w:bookmarkStart w:id="81" w:name="_Toc198247211"/>
      <w:bookmarkStart w:id="82" w:name="_Toc6932"/>
      <w:r>
        <w:rPr>
          <w:rFonts w:hint="eastAsia" w:ascii="Times New Roman" w:hAnsi="Times New Roman" w:eastAsia="黑体"/>
          <w:b w:val="0"/>
          <w:bCs w:val="0"/>
        </w:rPr>
        <w:t>构建独具特色的区域性消费中心</w:t>
      </w:r>
      <w:bookmarkEnd w:id="81"/>
    </w:p>
    <w:p w14:paraId="76103F75">
      <w:pPr>
        <w:pStyle w:val="18"/>
        <w:spacing w:line="600" w:lineRule="exact"/>
        <w:ind w:firstLine="640"/>
        <w:rPr>
          <w:rFonts w:ascii="Times New Roman" w:hAnsi="Times New Roman" w:cs="楷体_GB2312"/>
          <w:kern w:val="0"/>
          <w:sz w:val="32"/>
          <w:szCs w:val="32"/>
        </w:rPr>
      </w:pPr>
      <w:r>
        <w:rPr>
          <w:rFonts w:hint="eastAsia" w:ascii="楷体_GB2312" w:hAnsi="楷体_GB2312" w:eastAsia="楷体_GB2312" w:cs="楷体_GB2312"/>
          <w:kern w:val="0"/>
          <w:sz w:val="32"/>
          <w:szCs w:val="32"/>
        </w:rPr>
        <w:t>打造“罗浮味、时尚感、未来范”消费新业态。</w:t>
      </w:r>
      <w:r>
        <w:rPr>
          <w:rFonts w:hint="eastAsia" w:ascii="Times New Roman" w:hAnsi="Times New Roman" w:cs="楷体_GB2312"/>
          <w:kern w:val="0"/>
          <w:sz w:val="32"/>
          <w:szCs w:val="32"/>
        </w:rPr>
        <w:t>构筑国内一流的消费创新策源地，加快建设地域特色浓郁的环“南昆山—罗浮山”引领区滨水休闲商业街、商务金融中心和活力低碳办公街区。搭建国际化消费进出口服务平台，建设跨境电商线下体验中心、进口商品保税展示中心和进出口商品展销中心，积极引进知名商业运营企业，培育高端商品消费链和商业集群，加快培育首店、体验店、定制店等新兴消费运营服务主体，建成人气旺、特色强、业态丰富的一站式综合消费平台，打造“买全球、卖全球”消费供应链网络，规划到2035年，县域副中心社会消费品零售总额突破百亿元。</w:t>
      </w:r>
    </w:p>
    <w:p w14:paraId="685F5048">
      <w:pPr>
        <w:pStyle w:val="18"/>
        <w:spacing w:line="600" w:lineRule="exact"/>
        <w:ind w:firstLine="640"/>
        <w:rPr>
          <w:rFonts w:ascii="Times New Roman" w:hAnsi="Times New Roman" w:cs="楷体_GB2312"/>
          <w:kern w:val="0"/>
          <w:sz w:val="32"/>
          <w:szCs w:val="32"/>
        </w:rPr>
      </w:pPr>
      <w:r>
        <w:rPr>
          <w:rFonts w:hint="eastAsia" w:ascii="楷体_GB2312" w:hAnsi="楷体_GB2312" w:eastAsia="楷体_GB2312" w:cs="楷体_GB2312"/>
          <w:kern w:val="0"/>
          <w:sz w:val="32"/>
          <w:szCs w:val="32"/>
        </w:rPr>
        <w:t>布局建设地标性商圈。</w:t>
      </w:r>
      <w:r>
        <w:rPr>
          <w:rFonts w:hint="eastAsia" w:ascii="Times New Roman" w:hAnsi="Times New Roman" w:cs="楷体_GB2312"/>
          <w:kern w:val="0"/>
          <w:sz w:val="32"/>
          <w:szCs w:val="32"/>
        </w:rPr>
        <w:t>丰富高端业态、带动商业商务服务升级，打造人气聚集的品质购物中心。推动社区商业网点规划建设，打造社区商业中心和15分钟社区便民商圈。积极布局智慧商圈、智慧集市和智慧商店，发展无人零售、智慧零售、跨界零售等新零售，推动传统商业实体向场景化、体验式、互动性、综合性消费场所转型。打造提升商业街区，支持特色小店发展，全场景打造“老字号”助力培育区域性消费中心。</w:t>
      </w:r>
    </w:p>
    <w:p w14:paraId="2B97BFD6">
      <w:pPr>
        <w:numPr>
          <w:ilvl w:val="255"/>
          <w:numId w:val="0"/>
        </w:numPr>
        <w:spacing w:line="600" w:lineRule="exact"/>
        <w:ind w:firstLine="640" w:firstLineChars="200"/>
        <w:rPr>
          <w:rFonts w:ascii="Times New Roman" w:hAnsi="Times New Roman" w:cs="楷体_GB2312"/>
          <w:kern w:val="0"/>
          <w:sz w:val="32"/>
          <w:szCs w:val="32"/>
        </w:rPr>
      </w:pPr>
      <w:r>
        <w:rPr>
          <w:rFonts w:hint="eastAsia" w:ascii="楷体_GB2312" w:hAnsi="楷体_GB2312" w:eastAsia="楷体_GB2312" w:cs="楷体_GB2312"/>
          <w:kern w:val="0"/>
          <w:sz w:val="32"/>
          <w:szCs w:val="32"/>
        </w:rPr>
        <w:t>繁荣文化和旅游消费。</w:t>
      </w:r>
      <w:r>
        <w:rPr>
          <w:rFonts w:hint="eastAsia" w:ascii="Times New Roman" w:hAnsi="Times New Roman" w:eastAsia="仿宋_GB2312" w:cs="楷体_GB2312"/>
          <w:kern w:val="0"/>
          <w:sz w:val="32"/>
          <w:szCs w:val="32"/>
        </w:rPr>
        <w:t>丰富旅游住宿体验，依托起步区高标准建设稻田乡村酒店、农业迪士尼和新型未来社区，支持有条件的城镇和乡村、景区和度假区建设汽车营地、帐篷营地、自驾游服务驿站等配套设施。激活乡村民宿经济，支持乡村酒店（民宿）规模化、品牌化、连锁化发展。积极发展特色旅游餐饮，建设特色美食街区、度假农庄、酒吧街等，策划美食节庆活动，打造博罗老字号美食品牌。开发本土特色旅游商品和非遗文化传承品牌。</w:t>
      </w:r>
    </w:p>
    <w:p w14:paraId="77A73ADF">
      <w:pPr>
        <w:numPr>
          <w:ilvl w:val="255"/>
          <w:numId w:val="0"/>
        </w:numPr>
        <w:spacing w:line="600" w:lineRule="exact"/>
        <w:ind w:firstLine="640" w:firstLineChars="200"/>
        <w:jc w:val="center"/>
        <w:rPr>
          <w:rFonts w:ascii="Times New Roman" w:hAnsi="Times New Roman" w:eastAsia="仿宋_GB2312" w:cs="楷体_GB2312"/>
          <w:kern w:val="0"/>
        </w:rPr>
      </w:pPr>
      <w:r>
        <w:rPr>
          <w:rFonts w:hint="eastAsia" w:ascii="楷体_GB2312" w:hAnsi="楷体_GB2312" w:eastAsia="楷体_GB2312" w:cs="楷体_GB2312"/>
          <w:kern w:val="0"/>
          <w:sz w:val="32"/>
          <w:szCs w:val="32"/>
        </w:rPr>
        <w:t>丰富夜经济主题场景。</w:t>
      </w:r>
      <w:r>
        <w:rPr>
          <w:rFonts w:hint="eastAsia" w:ascii="Times New Roman" w:hAnsi="Times New Roman" w:eastAsia="仿宋_GB2312" w:cs="楷体_GB2312"/>
          <w:kern w:val="0"/>
          <w:sz w:val="32"/>
          <w:szCs w:val="32"/>
        </w:rPr>
        <w:t>繁荣“夜游”主题观光活动、“夜娱”文化体验活动、“夜食”特色餐饮活动、“夜购”时尚消费活动、“夜宿”品质休闲活动。紧跟假日经济、周末经济消费热点，开展市集、展会、演艺等活动，打造布局建设AI创新中心、数字主题购物中心、超高清沉浸式影院、数字光影展等创新业态。</w:t>
      </w:r>
    </w:p>
    <w:p w14:paraId="658A7DD0">
      <w:pPr>
        <w:pStyle w:val="4"/>
        <w:keepNext w:val="0"/>
        <w:keepLines w:val="0"/>
        <w:numPr>
          <w:ilvl w:val="1"/>
          <w:numId w:val="1"/>
        </w:numPr>
        <w:spacing w:before="0" w:after="0" w:line="360" w:lineRule="auto"/>
        <w:ind w:firstLine="0"/>
        <w:jc w:val="center"/>
        <w:rPr>
          <w:rFonts w:ascii="Times New Roman" w:hAnsi="Times New Roman" w:eastAsia="黑体"/>
          <w:b w:val="0"/>
          <w:bCs w:val="0"/>
          <w14:ligatures w14:val="none"/>
        </w:rPr>
      </w:pPr>
      <w:bookmarkStart w:id="83" w:name="_Toc198247212"/>
      <w:r>
        <w:rPr>
          <w:rFonts w:hint="eastAsia" w:ascii="Times New Roman" w:hAnsi="Times New Roman" w:eastAsia="黑体"/>
          <w:b w:val="0"/>
          <w:bCs w:val="0"/>
        </w:rPr>
        <w:t>构筑“内软外新、U型集聚”产业空间布局</w:t>
      </w:r>
      <w:bookmarkEnd w:id="82"/>
      <w:bookmarkEnd w:id="83"/>
    </w:p>
    <w:p w14:paraId="3F41A70E">
      <w:pPr>
        <w:pStyle w:val="2"/>
        <w:spacing w:line="600" w:lineRule="exact"/>
        <w:ind w:firstLine="640" w:firstLineChars="200"/>
        <w:rPr>
          <w:rFonts w:hint="eastAsia" w:eastAsia="仿宋_GB2312" w:cs="楷体_GB2312"/>
          <w:kern w:val="0"/>
          <w:sz w:val="28"/>
          <w:szCs w:val="28"/>
        </w:rPr>
      </w:pPr>
      <w:r>
        <w:rPr>
          <w:rFonts w:hint="eastAsia" w:eastAsia="仿宋_GB2312" w:cs="楷体_GB2312"/>
          <w:kern w:val="0"/>
          <w:sz w:val="32"/>
          <w:szCs w:val="32"/>
        </w:rPr>
        <w:t>规划以1个产业服务核心区、2条先进制造业产业发展带、9大新兴产业组团，</w:t>
      </w:r>
      <w:bookmarkStart w:id="84" w:name="_Hlk181909226"/>
      <w:r>
        <w:rPr>
          <w:rFonts w:hint="eastAsia" w:eastAsia="仿宋_GB2312" w:cs="楷体_GB2312"/>
          <w:kern w:val="0"/>
          <w:sz w:val="32"/>
          <w:szCs w:val="32"/>
        </w:rPr>
        <w:t>共同形成“集聚发展、内软外新、U型布局”的产业总体格局</w:t>
      </w:r>
      <w:bookmarkEnd w:id="84"/>
      <w:r>
        <w:rPr>
          <w:rFonts w:hint="eastAsia" w:eastAsia="仿宋_GB2312" w:cs="楷体_GB2312"/>
          <w:kern w:val="0"/>
          <w:sz w:val="32"/>
          <w:szCs w:val="32"/>
        </w:rPr>
        <w:t>。</w:t>
      </w:r>
    </w:p>
    <w:p w14:paraId="6EBB338A">
      <w:pPr>
        <w:pStyle w:val="2"/>
        <w:spacing w:line="600" w:lineRule="exact"/>
        <w:ind w:firstLine="640" w:firstLineChars="200"/>
        <w:rPr>
          <w:rFonts w:hint="eastAsia" w:eastAsia="仿宋_GB2312" w:cs="楷体_GB2312"/>
          <w:kern w:val="0"/>
          <w:sz w:val="28"/>
          <w:szCs w:val="28"/>
        </w:rPr>
      </w:pPr>
      <w:r>
        <w:rPr>
          <w:rFonts w:ascii="楷体_GB2312" w:hAnsi="楷体_GB2312" w:eastAsia="楷体_GB2312" w:cs="楷体_GB2312"/>
          <w:kern w:val="0"/>
          <w:sz w:val="32"/>
          <w:szCs w:val="32"/>
        </w:rPr>
        <w:t>1</w:t>
      </w:r>
      <w:r>
        <w:rPr>
          <w:rFonts w:hint="eastAsia" w:ascii="楷体_GB2312" w:hAnsi="楷体_GB2312" w:eastAsia="楷体_GB2312" w:cs="楷体_GB2312"/>
          <w:kern w:val="0"/>
          <w:sz w:val="32"/>
          <w:szCs w:val="32"/>
        </w:rPr>
        <w:t>个产业服务核心区。</w:t>
      </w:r>
      <w:r>
        <w:rPr>
          <w:rFonts w:hint="eastAsia" w:eastAsia="仿宋_GB2312" w:cs="楷体_GB2312"/>
          <w:kern w:val="0"/>
          <w:sz w:val="32"/>
          <w:szCs w:val="32"/>
        </w:rPr>
        <w:t>以城镇集中建成区为载体，沿东江、沙河为轴线建设滨水新城，</w:t>
      </w:r>
      <w:r>
        <w:rPr>
          <w:rFonts w:eastAsia="仿宋_GB2312" w:cs="楷体_GB2312"/>
          <w:kern w:val="0"/>
          <w:sz w:val="32"/>
          <w:szCs w:val="32"/>
        </w:rPr>
        <w:t>推动产业服务功能升级，</w:t>
      </w:r>
      <w:r>
        <w:rPr>
          <w:rFonts w:hint="eastAsia" w:eastAsia="仿宋_GB2312" w:cs="楷体_GB2312"/>
          <w:kern w:val="0"/>
          <w:sz w:val="32"/>
          <w:szCs w:val="32"/>
        </w:rPr>
        <w:t>加快形成具有国际品质、环“南昆山—罗浮山”引领区特质的金融总部经济区、院校合作示范区、现代都市滨水区和文化旅游目的地。</w:t>
      </w:r>
    </w:p>
    <w:p w14:paraId="2902939C">
      <w:pPr>
        <w:numPr>
          <w:ilvl w:val="255"/>
          <w:numId w:val="0"/>
        </w:numPr>
        <w:spacing w:line="600" w:lineRule="exact"/>
        <w:ind w:firstLine="640" w:firstLineChars="200"/>
        <w:rPr>
          <w:rFonts w:ascii="Times New Roman" w:hAnsi="Times New Roman" w:eastAsia="仿宋_GB2312" w:cs="楷体_GB2312"/>
          <w:kern w:val="0"/>
          <w:sz w:val="32"/>
          <w:szCs w:val="32"/>
        </w:rPr>
      </w:pPr>
      <w:r>
        <w:rPr>
          <w:rFonts w:ascii="楷体_GB2312" w:hAnsi="楷体_GB2312" w:eastAsia="楷体_GB2312" w:cs="楷体_GB2312"/>
          <w:kern w:val="0"/>
          <w:sz w:val="32"/>
          <w:szCs w:val="32"/>
        </w:rPr>
        <w:t>2</w:t>
      </w:r>
      <w:r>
        <w:rPr>
          <w:rFonts w:hint="eastAsia" w:ascii="楷体_GB2312" w:hAnsi="楷体_GB2312" w:eastAsia="楷体_GB2312" w:cs="楷体_GB2312"/>
          <w:kern w:val="0"/>
          <w:sz w:val="32"/>
          <w:szCs w:val="32"/>
        </w:rPr>
        <w:t>条先进制造业发展带。</w:t>
      </w:r>
      <w:r>
        <w:rPr>
          <w:rFonts w:hint="eastAsia" w:ascii="Times New Roman" w:hAnsi="Times New Roman" w:eastAsia="仿宋_GB2312" w:cs="楷体_GB2312"/>
          <w:kern w:val="0"/>
          <w:sz w:val="32"/>
          <w:szCs w:val="32"/>
        </w:rPr>
        <w:t>依托东江、广汕高铁—广惠高速—从莞深高速打造先进制造业产业发展带，联动智能装备产业园重大项目平台，向西对接融入广州东部中心，向南联动东莞松山湖高新区，向东联动博罗县城，向北辐射带动龙华镇、福田镇、长宁镇等经济腹地发展。强化副中心产业布局联动、基础设施互通和公共平台共享，打造国内领先、创新驱动、智造引领的战略性新兴产业走廊。</w:t>
      </w:r>
    </w:p>
    <w:p w14:paraId="1A7B3DEB">
      <w:pPr>
        <w:numPr>
          <w:ilvl w:val="255"/>
          <w:numId w:val="0"/>
        </w:numPr>
        <w:spacing w:line="600" w:lineRule="exact"/>
        <w:ind w:firstLine="640" w:firstLineChars="200"/>
        <w:rPr>
          <w:rFonts w:ascii="Times New Roman" w:hAnsi="Times New Roman" w:eastAsia="仿宋_GB2312" w:cs="楷体_GB2312"/>
          <w:kern w:val="0"/>
          <w:sz w:val="32"/>
          <w:szCs w:val="32"/>
        </w:rPr>
      </w:pPr>
      <w:r>
        <w:rPr>
          <w:rFonts w:ascii="楷体_GB2312" w:hAnsi="楷体_GB2312" w:eastAsia="楷体_GB2312" w:cs="楷体_GB2312"/>
          <w:kern w:val="0"/>
          <w:sz w:val="32"/>
          <w:szCs w:val="32"/>
        </w:rPr>
        <w:t>9</w:t>
      </w:r>
      <w:r>
        <w:rPr>
          <w:rFonts w:hint="eastAsia" w:ascii="楷体_GB2312" w:hAnsi="楷体_GB2312" w:eastAsia="楷体_GB2312" w:cs="楷体_GB2312"/>
          <w:kern w:val="0"/>
          <w:sz w:val="32"/>
          <w:szCs w:val="32"/>
        </w:rPr>
        <w:t>大新兴产业组团。</w:t>
      </w:r>
      <w:r>
        <w:rPr>
          <w:rFonts w:hint="eastAsia" w:ascii="Times New Roman" w:hAnsi="Times New Roman" w:eastAsia="仿宋_GB2312" w:cs="楷体_GB2312"/>
          <w:kern w:val="0"/>
          <w:sz w:val="32"/>
          <w:szCs w:val="32"/>
        </w:rPr>
        <w:t>加快推动传统产业转型升级，推动制造业向高端化、集成化发展，培育现代服务业，构建智能装备制造、新材料制造、医药健康制造、新能源制造、新一代电子信息制造、农文旅休闲、创新服务、城镇服务、总部经济等9大新兴产业组团。</w:t>
      </w:r>
    </w:p>
    <w:p w14:paraId="05031054">
      <w:pPr>
        <w:numPr>
          <w:ilvl w:val="255"/>
          <w:numId w:val="0"/>
        </w:numPr>
        <w:ind w:firstLine="640"/>
        <w:rPr>
          <w:rFonts w:ascii="Times New Roman" w:hAnsi="Times New Roman" w:eastAsia="仿宋_GB2312" w:cs="楷体_GB2312"/>
          <w:kern w:val="0"/>
          <w:sz w:val="32"/>
          <w:szCs w:val="32"/>
        </w:rPr>
      </w:pPr>
    </w:p>
    <w:p w14:paraId="61962395">
      <w:pPr>
        <w:numPr>
          <w:ilvl w:val="255"/>
          <w:numId w:val="0"/>
        </w:numPr>
        <w:spacing w:line="360" w:lineRule="auto"/>
        <w:ind w:firstLine="640" w:firstLineChars="200"/>
        <w:rPr>
          <w:rFonts w:ascii="Times New Roman" w:hAnsi="Times New Roman" w:eastAsia="仿宋_GB2312" w:cs="楷体_GB2312"/>
          <w:kern w:val="0"/>
          <w:sz w:val="32"/>
          <w:szCs w:val="32"/>
        </w:rPr>
        <w:sectPr>
          <w:pgSz w:w="11906" w:h="16838"/>
          <w:pgMar w:top="1440" w:right="1800" w:bottom="1440" w:left="1800" w:header="851" w:footer="992" w:gutter="0"/>
          <w:cols w:space="425" w:num="1"/>
          <w:docGrid w:type="lines" w:linePitch="312" w:charSpace="0"/>
        </w:sectPr>
      </w:pPr>
    </w:p>
    <w:p w14:paraId="77A59A16">
      <w:pPr>
        <w:pStyle w:val="3"/>
        <w:keepNext w:val="0"/>
        <w:keepLines w:val="0"/>
        <w:spacing w:before="312" w:beforeLines="100" w:after="312" w:afterLines="100" w:line="360" w:lineRule="auto"/>
        <w:jc w:val="center"/>
        <w:rPr>
          <w:rFonts w:ascii="Times New Roman" w:hAnsi="Times New Roman" w:eastAsia="黑体" w:cs="黑体"/>
          <w:kern w:val="1"/>
          <w:sz w:val="40"/>
          <w:szCs w:val="40"/>
          <w14:ligatures w14:val="none"/>
        </w:rPr>
      </w:pPr>
      <w:bookmarkStart w:id="85" w:name="_Toc13519"/>
      <w:bookmarkStart w:id="86" w:name="_Toc198247213"/>
      <w:r>
        <w:rPr>
          <w:rFonts w:hint="eastAsia" w:ascii="Times New Roman" w:hAnsi="Times New Roman" w:eastAsia="黑体"/>
          <w:b w:val="0"/>
          <w:bCs w:val="0"/>
          <w:sz w:val="40"/>
          <w:szCs w:val="40"/>
        </w:rPr>
        <w:t>第六章 建设城乡共同繁荣高质量发展新设施</w:t>
      </w:r>
      <w:bookmarkEnd w:id="85"/>
      <w:bookmarkEnd w:id="86"/>
    </w:p>
    <w:p w14:paraId="27154264">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坚持以人民为中心的发展思想，规划合理的职住空间结构，建立高标准公共服务设施和交通市政基础设施体系，构建安全韧性的综合防灾系统和共享高效的智慧城市服务体系，全面提升县域副中心安居乐业、休闲康体建设水平。</w:t>
      </w:r>
    </w:p>
    <w:p w14:paraId="75A0CEAA">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87" w:name="_Toc198247214"/>
      <w:bookmarkStart w:id="88" w:name="_Toc25580"/>
      <w:r>
        <w:rPr>
          <w:rFonts w:hint="eastAsia" w:ascii="Times New Roman" w:hAnsi="Times New Roman" w:eastAsia="黑体"/>
          <w:b w:val="0"/>
          <w:bCs w:val="0"/>
        </w:rPr>
        <w:t>完善住有宜居、职住平衡的美好城市</w:t>
      </w:r>
      <w:bookmarkEnd w:id="87"/>
      <w:bookmarkEnd w:id="88"/>
    </w:p>
    <w:p w14:paraId="352555E1">
      <w:pPr>
        <w:widowControl/>
        <w:spacing w:line="600" w:lineRule="exact"/>
        <w:ind w:firstLine="640" w:firstLineChars="200"/>
        <w:rPr>
          <w:rFonts w:ascii="Times New Roman" w:hAnsi="Times New Roman" w:cs="Times New Roman"/>
          <w:sz w:val="32"/>
          <w:szCs w:val="24"/>
        </w:rPr>
      </w:pPr>
      <w:r>
        <w:rPr>
          <w:rFonts w:hint="eastAsia" w:ascii="楷体_GB2312" w:hAnsi="楷体_GB2312" w:eastAsia="楷体_GB2312" w:cs="楷体_GB2312"/>
          <w:sz w:val="32"/>
          <w:szCs w:val="24"/>
        </w:rPr>
        <w:t>建立多元住房供给体系。</w:t>
      </w:r>
      <w:r>
        <w:rPr>
          <w:rFonts w:hint="eastAsia" w:ascii="Times New Roman" w:hAnsi="Times New Roman" w:eastAsia="仿宋_GB2312" w:cs="Times New Roman"/>
          <w:sz w:val="32"/>
          <w:szCs w:val="24"/>
        </w:rPr>
        <w:t>加大资金投入和建设力度，以满足本地居民和人才住房需求为出发点，形成多主体供给、多渠道保障、租购并举的住房供给体系，逐步构建以安居房、保障性租赁住房、公租房、住房公积金等制度组成的基本住房保障制度体系。支持企业筹集建设人才公寓和单位租赁房，重大产业项目配套建设职工保障住房。按时完成上级部门下达的保障性住房建设任务，确保户籍社会救助对象应保尽保，逐步改善中低收入家庭的住房条件。规划至2035年，政策性住房占新增住房供应的比例不少于10%，城镇人均住房面积不低于45平方米。</w:t>
      </w:r>
    </w:p>
    <w:p w14:paraId="745C77F8">
      <w:pPr>
        <w:widowControl/>
        <w:spacing w:line="600" w:lineRule="exact"/>
        <w:ind w:firstLine="640" w:firstLineChars="200"/>
        <w:rPr>
          <w:rFonts w:hint="eastAsia" w:ascii="Times New Roman" w:hAnsi="Times New Roman" w:eastAsia="仿宋_GB2312" w:cs="Times New Roman"/>
          <w:sz w:val="32"/>
          <w:szCs w:val="24"/>
        </w:rPr>
      </w:pPr>
      <w:r>
        <w:rPr>
          <w:rFonts w:hint="eastAsia" w:ascii="楷体_GB2312" w:hAnsi="楷体_GB2312" w:eastAsia="楷体_GB2312" w:cs="楷体_GB2312"/>
          <w:sz w:val="32"/>
          <w:szCs w:val="24"/>
        </w:rPr>
        <w:t>科学推进职住平衡发展。</w:t>
      </w:r>
      <w:r>
        <w:rPr>
          <w:rFonts w:hint="eastAsia" w:ascii="Times New Roman" w:hAnsi="Times New Roman" w:eastAsia="仿宋_GB2312" w:cs="Times New Roman"/>
          <w:sz w:val="32"/>
          <w:szCs w:val="24"/>
          <w:lang w:bidi="ar"/>
        </w:rPr>
        <w:t>聚焦精细化空间配置和精准化服务供给，按照“产城融合、产城互促、产城联动”的方式优化职住平衡，</w:t>
      </w:r>
      <w:r>
        <w:rPr>
          <w:rFonts w:hint="eastAsia" w:ascii="Times New Roman" w:hAnsi="Times New Roman" w:eastAsia="仿宋_GB2312" w:cs="Times New Roman"/>
          <w:sz w:val="32"/>
          <w:szCs w:val="24"/>
        </w:rPr>
        <w:t>优化住房空间分布，促进各特色组团职住平衡发展。引导人口和住房向起步区生态智慧新城以及东西两翼园洲、石湾镇中心区适度集聚，新建住房优先布局在交通便捷、就业集中的区域，打造生态宜居、舒适便捷的高品质生活空间。</w:t>
      </w:r>
      <w:r>
        <w:rPr>
          <w:rFonts w:hint="eastAsia" w:ascii="Times New Roman" w:hAnsi="Times New Roman" w:eastAsia="仿宋_GB2312" w:cs="Times New Roman"/>
          <w:sz w:val="32"/>
          <w:szCs w:val="24"/>
          <w:lang w:bidi="ar"/>
        </w:rPr>
        <w:t>城市社区以</w:t>
      </w:r>
      <w:r>
        <w:rPr>
          <w:rFonts w:ascii="Times New Roman" w:hAnsi="Times New Roman" w:eastAsia="仿宋_GB2312" w:cs="Times New Roman"/>
          <w:sz w:val="32"/>
          <w:szCs w:val="24"/>
          <w:lang w:bidi="ar"/>
        </w:rPr>
        <w:t>5</w:t>
      </w:r>
      <w:r>
        <w:rPr>
          <w:rFonts w:hint="eastAsia" w:ascii="Times New Roman" w:hAnsi="Times New Roman" w:eastAsia="仿宋_GB2312" w:cs="Times New Roman"/>
          <w:sz w:val="32"/>
          <w:szCs w:val="24"/>
          <w:lang w:bidi="ar"/>
        </w:rPr>
        <w:t>分钟、</w:t>
      </w:r>
      <w:r>
        <w:rPr>
          <w:rFonts w:ascii="Times New Roman" w:hAnsi="Times New Roman" w:eastAsia="仿宋_GB2312" w:cs="Times New Roman"/>
          <w:sz w:val="32"/>
          <w:szCs w:val="24"/>
          <w:lang w:bidi="ar"/>
        </w:rPr>
        <w:t>10</w:t>
      </w:r>
      <w:r>
        <w:rPr>
          <w:rFonts w:hint="eastAsia" w:ascii="Times New Roman" w:hAnsi="Times New Roman" w:eastAsia="仿宋_GB2312" w:cs="Times New Roman"/>
          <w:sz w:val="32"/>
          <w:szCs w:val="24"/>
          <w:lang w:bidi="ar"/>
        </w:rPr>
        <w:t>分钟、</w:t>
      </w:r>
      <w:r>
        <w:rPr>
          <w:rFonts w:ascii="Times New Roman" w:hAnsi="Times New Roman" w:eastAsia="仿宋_GB2312" w:cs="Times New Roman"/>
          <w:sz w:val="32"/>
          <w:szCs w:val="24"/>
          <w:lang w:bidi="ar"/>
        </w:rPr>
        <w:t>15</w:t>
      </w:r>
      <w:r>
        <w:rPr>
          <w:rFonts w:hint="eastAsia" w:ascii="Times New Roman" w:hAnsi="Times New Roman" w:eastAsia="仿宋_GB2312" w:cs="Times New Roman"/>
          <w:sz w:val="32"/>
          <w:szCs w:val="24"/>
          <w:lang w:bidi="ar"/>
        </w:rPr>
        <w:t>分钟步行距离范围分层划定生活圈，提供日常教育、医疗、文化、养老、商业、休闲活动等服务。乡村社区鼓励跨行政村边界共建共享，按需增加农业技术培训站、庄稼医院、气象站等特色化设施。产业社区除保障基本生活服务外，应增加共享办公、教育培训、展览展示、众创空间等设施。</w:t>
      </w:r>
    </w:p>
    <w:p w14:paraId="573B8F5A">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89" w:name="_Toc198247215"/>
      <w:bookmarkEnd w:id="89"/>
      <w:bookmarkStart w:id="90" w:name="_Toc198247216"/>
      <w:bookmarkStart w:id="91" w:name="_Toc1399"/>
      <w:r>
        <w:rPr>
          <w:rFonts w:hint="eastAsia" w:ascii="Times New Roman" w:hAnsi="Times New Roman" w:eastAsia="黑体"/>
          <w:b w:val="0"/>
          <w:bCs w:val="0"/>
        </w:rPr>
        <w:t>建设全龄友好、触手可及的幸福城市</w:t>
      </w:r>
      <w:bookmarkEnd w:id="90"/>
      <w:bookmarkEnd w:id="91"/>
    </w:p>
    <w:p w14:paraId="0830CBE1">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rPr>
        <w:t>构建“城市级—片区级—社区级”三级公共服务体系。</w:t>
      </w:r>
      <w:r>
        <w:rPr>
          <w:rFonts w:hint="eastAsia" w:ascii="Times New Roman" w:hAnsi="Times New Roman" w:eastAsia="仿宋_GB2312" w:cs="Times New Roman"/>
          <w:sz w:val="32"/>
          <w:szCs w:val="24"/>
        </w:rPr>
        <w:t>统筹配置各类公共服务设施，构建分布均衡、全龄友好、高品质的服务体系。其中，城市级公共服务设施服务人口50万—10万人，面向环“南昆山-罗浮山”引领区和县域副中心提供高等级优质服务设施，重点配置城市级行政管理、文化、医疗、体育、教育和社会福利。片区级公共服务设施服务人口10万—30万人，面向县域副中心东西两翼（园洲、石湾两镇中心区）提供城镇级文化、体育、医疗、教育和社会福利。社区级公共服务设施服务人口3万—5万人，以社区生活圈为单元配置社区级公共服务设施，统筹布置集社区管理、便民服务、文化体育等多种服务于一体的社区服务综合体，打造各具特色、保障完善的社区服务中心，构建城乡基础生活服务图。</w:t>
      </w:r>
    </w:p>
    <w:p w14:paraId="530A29B0">
      <w:pPr>
        <w:pStyle w:val="5"/>
        <w:keepNext w:val="0"/>
        <w:keepLines w:val="0"/>
        <w:spacing w:before="0" w:after="0" w:line="600" w:lineRule="exact"/>
        <w:ind w:firstLine="643" w:firstLineChars="200"/>
        <w:rPr>
          <w:rFonts w:ascii="Times New Roman" w:hAnsi="Times New Roman" w:eastAsia="仿宋_GB2312"/>
        </w:rPr>
      </w:pPr>
      <w:r>
        <w:rPr>
          <w:rFonts w:hint="eastAsia" w:ascii="Times New Roman" w:hAnsi="Times New Roman" w:eastAsia="仿宋_GB2312"/>
        </w:rPr>
        <w:t>1．打造城市级高品质公共服务设施</w:t>
      </w:r>
    </w:p>
    <w:p w14:paraId="47EE328F">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保障城乡居民享受公平均等的基本生活配套服务，引导建设一批高标准、高品质的公共服务设施，提升县域副中心整体公共服务水平和综合吸引力。至2035年，15分钟社区生活圈全域覆盖率达到100%。</w:t>
      </w:r>
    </w:p>
    <w:p w14:paraId="181667D3">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rPr>
        <w:t>行政服务设施。</w:t>
      </w:r>
      <w:r>
        <w:rPr>
          <w:rFonts w:hint="eastAsia" w:ascii="Times New Roman" w:hAnsi="Times New Roman" w:eastAsia="仿宋_GB2312" w:cs="Times New Roman"/>
          <w:sz w:val="32"/>
          <w:szCs w:val="24"/>
        </w:rPr>
        <w:t>打造公共服务新地标，创新服务优质精准新模式，规划建设1处市民服务中心，占地面积5.2公顷，主要面向市民提供户籍登记、身份证办理、社保咨询等服务。1处创新服务中心，占地面积8公顷，主要为企业自主创新提供专业性服务。</w:t>
      </w:r>
    </w:p>
    <w:p w14:paraId="2E99D542">
      <w:pPr>
        <w:widowControl/>
        <w:spacing w:line="600" w:lineRule="exact"/>
        <w:ind w:firstLine="640" w:firstLineChars="200"/>
        <w:rPr>
          <w:rFonts w:ascii="Times New Roman" w:hAnsi="Times New Roman" w:cs="Times New Roman"/>
          <w:sz w:val="32"/>
          <w:szCs w:val="24"/>
        </w:rPr>
      </w:pPr>
      <w:r>
        <w:rPr>
          <w:rFonts w:hint="eastAsia" w:ascii="楷体_GB2312" w:hAnsi="楷体_GB2312" w:eastAsia="楷体_GB2312" w:cs="楷体_GB2312"/>
          <w:sz w:val="32"/>
          <w:szCs w:val="24"/>
        </w:rPr>
        <w:t>教育设施。</w:t>
      </w:r>
      <w:r>
        <w:rPr>
          <w:rFonts w:hint="eastAsia" w:ascii="Times New Roman" w:hAnsi="Times New Roman" w:eastAsia="仿宋_GB2312" w:cs="Times New Roman"/>
          <w:sz w:val="32"/>
          <w:szCs w:val="24"/>
        </w:rPr>
        <w:t>在县域副中心预留高等教育及职业教育院校用地，吸引国内外科研院校和行业企业等建立合作项目及产业工人技能培训基地，搭建“产、学、研、训、创”“五位一体”的产科教协同平台。优化高中教育资源配置，实施品牌高中建设工程，建立健全与广深莞等粤港澳大湾区中心城市优质高中结对合作工作机制，扩大优质高中教育资源供应，提升县域副中心高中教育的整体办学层次与影响力。结合生活圈配置中小学、幼儿园等基础教育设施，规划新增1所完全中学，预留1处高等职业学校和1所高级中学。到2035年，规划中小学校59所，其中现状保留或改扩建49所，规划新增10所；规划幼儿园77所，实现</w:t>
      </w:r>
      <w:r>
        <w:rPr>
          <w:rFonts w:ascii="Times New Roman" w:hAnsi="Times New Roman" w:eastAsia="仿宋_GB2312" w:cs="Times New Roman"/>
          <w:sz w:val="32"/>
          <w:szCs w:val="24"/>
        </w:rPr>
        <w:t>教育设施全域覆盖率达到100%</w:t>
      </w:r>
      <w:r>
        <w:rPr>
          <w:rFonts w:hint="eastAsia" w:ascii="Times New Roman" w:hAnsi="Times New Roman" w:eastAsia="仿宋_GB2312" w:cs="Times New Roman"/>
          <w:sz w:val="32"/>
          <w:szCs w:val="24"/>
        </w:rPr>
        <w:t>。</w:t>
      </w:r>
    </w:p>
    <w:p w14:paraId="5E970304">
      <w:pPr>
        <w:widowControl/>
        <w:spacing w:line="600" w:lineRule="exact"/>
        <w:ind w:firstLine="640" w:firstLineChars="200"/>
        <w:rPr>
          <w:rFonts w:ascii="Times New Roman" w:hAnsi="Times New Roman" w:cs="Times New Roman"/>
          <w:sz w:val="32"/>
          <w:szCs w:val="24"/>
        </w:rPr>
      </w:pPr>
      <w:r>
        <w:rPr>
          <w:rFonts w:hint="eastAsia" w:ascii="楷体_GB2312" w:hAnsi="楷体_GB2312" w:eastAsia="楷体_GB2312" w:cs="楷体_GB2312"/>
          <w:sz w:val="32"/>
          <w:szCs w:val="24"/>
        </w:rPr>
        <w:t>托育服务设施。</w:t>
      </w:r>
      <w:r>
        <w:rPr>
          <w:rFonts w:hint="eastAsia" w:ascii="Times New Roman" w:hAnsi="Times New Roman" w:eastAsia="仿宋_GB2312" w:cs="Times New Roman"/>
          <w:sz w:val="32"/>
          <w:szCs w:val="24"/>
        </w:rPr>
        <w:t>增加普惠托育服务供给，</w:t>
      </w:r>
      <w:r>
        <w:rPr>
          <w:rFonts w:ascii="Times New Roman" w:hAnsi="Times New Roman" w:eastAsia="仿宋_GB2312" w:cs="Times New Roman"/>
          <w:sz w:val="32"/>
          <w:szCs w:val="24"/>
        </w:rPr>
        <w:t>衔接国土空间总体规划，通过新建、改扩建等方式</w:t>
      </w:r>
      <w:r>
        <w:rPr>
          <w:rFonts w:hint="eastAsia" w:ascii="Times New Roman" w:hAnsi="Times New Roman" w:eastAsia="仿宋_GB2312" w:cs="Times New Roman"/>
          <w:sz w:val="32"/>
          <w:szCs w:val="24"/>
        </w:rPr>
        <w:t>建设县级托育综合服务中心</w:t>
      </w:r>
      <w:r>
        <w:rPr>
          <w:rFonts w:ascii="Times New Roman" w:hAnsi="Times New Roman" w:eastAsia="仿宋_GB2312" w:cs="Times New Roman"/>
          <w:sz w:val="32"/>
          <w:szCs w:val="24"/>
        </w:rPr>
        <w:t>1</w:t>
      </w:r>
      <w:r>
        <w:rPr>
          <w:rFonts w:hint="eastAsia" w:ascii="Times New Roman" w:hAnsi="Times New Roman" w:eastAsia="仿宋_GB2312" w:cs="Times New Roman"/>
          <w:sz w:val="32"/>
          <w:szCs w:val="24"/>
        </w:rPr>
        <w:t>处，园洲、石湾两镇中心区各应至少建有</w:t>
      </w:r>
      <w:r>
        <w:rPr>
          <w:rFonts w:ascii="Times New Roman" w:hAnsi="Times New Roman" w:eastAsia="仿宋_GB2312" w:cs="Times New Roman"/>
          <w:sz w:val="32"/>
          <w:szCs w:val="24"/>
        </w:rPr>
        <w:t>1</w:t>
      </w:r>
      <w:r>
        <w:rPr>
          <w:rFonts w:hint="eastAsia" w:ascii="Times New Roman" w:hAnsi="Times New Roman" w:eastAsia="仿宋_GB2312" w:cs="Times New Roman"/>
          <w:sz w:val="32"/>
          <w:szCs w:val="24"/>
        </w:rPr>
        <w:t>处</w:t>
      </w:r>
      <w:r>
        <w:rPr>
          <w:rFonts w:ascii="Times New Roman" w:hAnsi="Times New Roman" w:eastAsia="仿宋_GB2312" w:cs="Times New Roman"/>
          <w:sz w:val="32"/>
          <w:szCs w:val="24"/>
        </w:rPr>
        <w:t>公建民营普惠托育机构，</w:t>
      </w:r>
      <w:r>
        <w:rPr>
          <w:rFonts w:hint="eastAsia" w:ascii="Times New Roman" w:hAnsi="Times New Roman" w:eastAsia="仿宋_GB2312" w:cs="Times New Roman"/>
          <w:sz w:val="32"/>
          <w:szCs w:val="24"/>
        </w:rPr>
        <w:t>承担县域副中心及东西两翼婴幼儿照护服务指导、从业人员培训及协助开展托育机构督导等工作。鼓励有条件的幼儿园利用现有资源开设托班或扩大托班规模，鼓励新建幼儿园根据实际统筹考虑设置托班，已规划与托儿所合设的幼儿园应开设托班，鼓励有条件的民办幼儿园开设普惠性托班。发展社区普惠托育服务，可采取公办、公建民营、民办公助等多种形式，加强嵌入式、分布式、标准化的社区托育服务设施建设。到</w:t>
      </w:r>
      <w:r>
        <w:rPr>
          <w:rFonts w:ascii="Times New Roman" w:hAnsi="Times New Roman" w:eastAsia="仿宋_GB2312" w:cs="Times New Roman"/>
          <w:sz w:val="32"/>
          <w:szCs w:val="24"/>
        </w:rPr>
        <w:t>2025</w:t>
      </w:r>
      <w:r>
        <w:rPr>
          <w:rFonts w:hint="eastAsia" w:ascii="Times New Roman" w:hAnsi="Times New Roman" w:eastAsia="仿宋_GB2312" w:cs="Times New Roman"/>
          <w:sz w:val="32"/>
          <w:szCs w:val="24"/>
        </w:rPr>
        <w:t>年，</w:t>
      </w:r>
      <w:r>
        <w:rPr>
          <w:rFonts w:ascii="Times New Roman" w:hAnsi="Times New Roman" w:eastAsia="仿宋_GB2312" w:cs="Times New Roman"/>
          <w:sz w:val="32"/>
          <w:szCs w:val="24"/>
        </w:rPr>
        <w:t>60%</w:t>
      </w:r>
      <w:r>
        <w:rPr>
          <w:rFonts w:hint="eastAsia" w:ascii="Times New Roman" w:hAnsi="Times New Roman" w:eastAsia="仿宋_GB2312" w:cs="Times New Roman"/>
          <w:sz w:val="32"/>
          <w:szCs w:val="24"/>
        </w:rPr>
        <w:t>以上社区应开设普惠托育服务，</w:t>
      </w:r>
      <w:r>
        <w:rPr>
          <w:rFonts w:ascii="Times New Roman" w:hAnsi="Times New Roman" w:eastAsia="仿宋_GB2312" w:cs="Times New Roman"/>
          <w:sz w:val="32"/>
          <w:szCs w:val="24"/>
        </w:rPr>
        <w:t>50%</w:t>
      </w:r>
      <w:r>
        <w:rPr>
          <w:rFonts w:hint="eastAsia" w:ascii="Times New Roman" w:hAnsi="Times New Roman" w:eastAsia="仿宋_GB2312" w:cs="Times New Roman"/>
          <w:sz w:val="32"/>
          <w:szCs w:val="24"/>
        </w:rPr>
        <w:t>以上公办幼儿园应开设托班招收</w:t>
      </w:r>
      <w:r>
        <w:rPr>
          <w:rFonts w:ascii="Times New Roman" w:hAnsi="Times New Roman" w:eastAsia="仿宋_GB2312" w:cs="Times New Roman"/>
          <w:sz w:val="32"/>
          <w:szCs w:val="24"/>
        </w:rPr>
        <w:t>2-3</w:t>
      </w:r>
      <w:r>
        <w:rPr>
          <w:rFonts w:hint="eastAsia" w:ascii="Times New Roman" w:hAnsi="Times New Roman" w:eastAsia="仿宋_GB2312" w:cs="Times New Roman"/>
          <w:sz w:val="32"/>
          <w:szCs w:val="24"/>
        </w:rPr>
        <w:t>岁适龄婴幼儿，实现每千常住人口托位数达到5</w:t>
      </w:r>
      <w:r>
        <w:rPr>
          <w:rFonts w:ascii="Times New Roman" w:hAnsi="Times New Roman" w:eastAsia="仿宋_GB2312" w:cs="Times New Roman"/>
          <w:sz w:val="32"/>
          <w:szCs w:val="24"/>
        </w:rPr>
        <w:t>.5</w:t>
      </w:r>
      <w:r>
        <w:rPr>
          <w:rFonts w:hint="eastAsia" w:ascii="Times New Roman" w:hAnsi="Times New Roman" w:eastAsia="仿宋_GB2312" w:cs="Times New Roman"/>
          <w:sz w:val="32"/>
          <w:szCs w:val="24"/>
        </w:rPr>
        <w:t>个，</w:t>
      </w:r>
      <w:r>
        <w:rPr>
          <w:rFonts w:ascii="Times New Roman" w:hAnsi="Times New Roman" w:eastAsia="仿宋_GB2312" w:cs="Times New Roman"/>
          <w:sz w:val="32"/>
          <w:szCs w:val="24"/>
        </w:rPr>
        <w:t>2035</w:t>
      </w:r>
      <w:r>
        <w:rPr>
          <w:rFonts w:hint="eastAsia" w:ascii="Times New Roman" w:hAnsi="Times New Roman" w:eastAsia="仿宋_GB2312" w:cs="Times New Roman"/>
          <w:sz w:val="32"/>
          <w:szCs w:val="24"/>
        </w:rPr>
        <w:t>年前达到</w:t>
      </w:r>
      <w:r>
        <w:rPr>
          <w:rFonts w:ascii="Times New Roman" w:hAnsi="Times New Roman" w:eastAsia="仿宋_GB2312" w:cs="Times New Roman"/>
          <w:sz w:val="32"/>
          <w:szCs w:val="24"/>
        </w:rPr>
        <w:t>6</w:t>
      </w:r>
      <w:r>
        <w:rPr>
          <w:rFonts w:hint="eastAsia" w:ascii="Times New Roman" w:hAnsi="Times New Roman" w:eastAsia="仿宋_GB2312" w:cs="Times New Roman"/>
          <w:sz w:val="32"/>
          <w:szCs w:val="24"/>
        </w:rPr>
        <w:t>个</w:t>
      </w:r>
      <w:r>
        <w:rPr>
          <w:rFonts w:hint="eastAsia" w:ascii="Times New Roman" w:hAnsi="Times New Roman" w:eastAsia="仿宋_GB2312" w:cs="Times New Roman"/>
          <w:color w:val="000000"/>
          <w:sz w:val="32"/>
          <w:szCs w:val="24"/>
        </w:rPr>
        <w:t>标准</w:t>
      </w:r>
      <w:r>
        <w:rPr>
          <w:rFonts w:hint="eastAsia" w:ascii="Times New Roman" w:hAnsi="Times New Roman" w:eastAsia="仿宋_GB2312" w:cs="Times New Roman"/>
          <w:sz w:val="32"/>
          <w:szCs w:val="24"/>
        </w:rPr>
        <w:t>。</w:t>
      </w:r>
    </w:p>
    <w:p w14:paraId="6F1F9688">
      <w:pPr>
        <w:pStyle w:val="18"/>
        <w:widowControl/>
        <w:spacing w:line="600" w:lineRule="exact"/>
        <w:ind w:firstLine="640"/>
        <w:rPr>
          <w:rFonts w:ascii="Times New Roman" w:hAnsi="Times New Roman" w:cs="Times New Roman"/>
          <w:sz w:val="32"/>
          <w:szCs w:val="24"/>
        </w:rPr>
      </w:pPr>
      <w:r>
        <w:rPr>
          <w:rFonts w:hint="eastAsia" w:ascii="楷体_GB2312" w:hAnsi="楷体_GB2312" w:eastAsia="楷体_GB2312" w:cs="楷体_GB2312"/>
          <w:sz w:val="32"/>
          <w:szCs w:val="24"/>
        </w:rPr>
        <w:t>医疗卫生设施。</w:t>
      </w:r>
      <w:r>
        <w:rPr>
          <w:rFonts w:hint="eastAsia" w:ascii="Times New Roman" w:hAnsi="Times New Roman" w:cs="Times New Roman"/>
          <w:sz w:val="32"/>
          <w:szCs w:val="24"/>
        </w:rPr>
        <w:t>健全卫生健康服务体系，提升医疗卫生设施服务承载能力与水平，建立由综合医院、中医医院和专科医院构成的医院体系。</w:t>
      </w:r>
      <w:r>
        <w:rPr>
          <w:rFonts w:ascii="Times New Roman" w:hAnsi="Times New Roman" w:cs="Times New Roman"/>
          <w:sz w:val="32"/>
          <w:szCs w:val="24"/>
        </w:rPr>
        <w:t>科学预留安排医疗卫生设施用地，</w:t>
      </w:r>
      <w:r>
        <w:rPr>
          <w:rFonts w:hint="eastAsia" w:ascii="Times New Roman" w:hAnsi="Times New Roman" w:cs="Times New Roman"/>
          <w:sz w:val="32"/>
          <w:szCs w:val="24"/>
        </w:rPr>
        <w:t>加强县域副中心疾病预防控制、妇幼保健等公共卫生体系建设，结合生活圈合理配置社区卫生服务机构和社区</w:t>
      </w:r>
      <w:r>
        <w:rPr>
          <w:rFonts w:ascii="Times New Roman" w:hAnsi="Times New Roman" w:cs="Times New Roman"/>
          <w:sz w:val="32"/>
          <w:szCs w:val="24"/>
        </w:rPr>
        <w:t>养老服务设施</w:t>
      </w:r>
      <w:r>
        <w:rPr>
          <w:rFonts w:hint="eastAsia" w:ascii="Times New Roman" w:hAnsi="Times New Roman" w:cs="Times New Roman"/>
          <w:sz w:val="32"/>
          <w:szCs w:val="24"/>
        </w:rPr>
        <w:t>。规划保留现状2处二级甲等综合性医院，3处镇级综合性卫生院，规划新增1处三甲医院，床位数不少于1000张，按不少于170亩用地进行预留。积极引进粤港澳大湾区及国内外优质医疗资源，建设集临床服务、医疗教育、医学科研和成果转化为一体的医疗综合体。大力发展智能医疗，建设县域副中心健康医疗大数据应用中心，形成体系完整、分工明确、功能互补、协同整合的医疗卫生服务体系。</w:t>
      </w:r>
    </w:p>
    <w:p w14:paraId="66A27081">
      <w:pPr>
        <w:widowControl/>
        <w:spacing w:line="600" w:lineRule="exact"/>
        <w:ind w:firstLine="640" w:firstLineChars="200"/>
        <w:rPr>
          <w:rFonts w:hint="eastAsia" w:ascii="Times New Roman" w:hAnsi="Times New Roman" w:cs="Times New Roman"/>
          <w:sz w:val="32"/>
          <w:szCs w:val="24"/>
        </w:rPr>
      </w:pPr>
      <w:r>
        <w:rPr>
          <w:rFonts w:hint="eastAsia" w:ascii="楷体_GB2312" w:hAnsi="楷体_GB2312" w:eastAsia="楷体_GB2312" w:cs="楷体_GB2312"/>
          <w:sz w:val="32"/>
          <w:szCs w:val="24"/>
        </w:rPr>
        <w:t>文化设施。</w:t>
      </w:r>
      <w:r>
        <w:rPr>
          <w:rFonts w:hint="eastAsia" w:ascii="Times New Roman" w:hAnsi="Times New Roman" w:eastAsia="仿宋_GB2312" w:cs="Times New Roman"/>
          <w:sz w:val="32"/>
          <w:szCs w:val="24"/>
        </w:rPr>
        <w:t>全面提升公共文化设施配置水平，建设多层次的文化设施服务体系，高标准布局建设博物馆、图书馆、美术馆、剧院等。县域副中心集中布局大型和特色文化设施，重点建设1处综合性文化和体育中心，提供城市级文化活动。完善2处镇级文化设施配置，社区（行政村）应当设置1个文化站或文化服务中心，可与其他服务配套设施兼容建设。至2035年，人均公共文化服务设施建筑面积不少于0.5平方米。统筹文化要素资源，合理布局文化产业，推动公共文化服务与文化产业融合发展。</w:t>
      </w:r>
    </w:p>
    <w:p w14:paraId="4F67CB3E">
      <w:pPr>
        <w:pStyle w:val="18"/>
        <w:widowControl/>
        <w:spacing w:line="600" w:lineRule="exact"/>
        <w:ind w:firstLine="640"/>
        <w:rPr>
          <w:rFonts w:ascii="Times New Roman" w:hAnsi="Times New Roman" w:cs="Times New Roman"/>
          <w:sz w:val="32"/>
          <w:szCs w:val="24"/>
        </w:rPr>
      </w:pPr>
      <w:r>
        <w:rPr>
          <w:rFonts w:hint="eastAsia" w:ascii="楷体_GB2312" w:hAnsi="楷体_GB2312" w:eastAsia="楷体_GB2312" w:cs="楷体_GB2312"/>
          <w:sz w:val="32"/>
          <w:szCs w:val="24"/>
        </w:rPr>
        <w:t>体育设施。</w:t>
      </w:r>
      <w:r>
        <w:rPr>
          <w:rFonts w:hint="eastAsia" w:ascii="Times New Roman" w:hAnsi="Times New Roman" w:cs="Times New Roman"/>
          <w:sz w:val="32"/>
          <w:szCs w:val="24"/>
        </w:rPr>
        <w:t>建设多元化、全方位的全民健身服务体系。依托东江、沙河等岸线资源建设沿河运动休闲带。开展全民健身活动，促进群众体育、竞技体育、体育产业、体育文化等各领域协调发展；积极引进和承办国内外丰富多样的体育赛事，大力发展水上运动、生态健身、村超、田园趣味等健身休闲产业。鼓励体育设施与其他公共服务设施共建共享，县域副中心城市级公共体育设施应体现城市地标属性，满足举办大型体育赛事的要求标准。至2035年，规划1处城市级全民健身中心，提升2处镇级体育设施，社区体育设施步行15分钟全域覆盖率达到100%。</w:t>
      </w:r>
    </w:p>
    <w:p w14:paraId="2ABE59B5">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rPr>
        <w:t>社会福利设施。</w:t>
      </w:r>
      <w:r>
        <w:rPr>
          <w:rFonts w:hint="eastAsia" w:ascii="Times New Roman" w:hAnsi="Times New Roman" w:eastAsia="仿宋_GB2312" w:cs="Times New Roman"/>
          <w:sz w:val="32"/>
          <w:szCs w:val="24"/>
        </w:rPr>
        <w:t>建立满足全龄段、多样化福利需求的普惠型社会福利体系，重点完善“一老一小”服务设施，提供儿童友好的城市空间和公共服务设施，老年友好型的养老服务设施和全民友好的无障碍设施建设。按照服务半径为300—800米，服务人口为0.5万—2.5万人标准持续推动社区（行政村）养老服务综合体、日间照料中心建设。规划新建不少于3处综合性养老服务中心，至2035年，千人养老机构床位数不少于9.5张。</w:t>
      </w:r>
    </w:p>
    <w:p w14:paraId="61B75DB4">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rPr>
        <w:t>殡葬设施。</w:t>
      </w:r>
      <w:r>
        <w:rPr>
          <w:rFonts w:hint="eastAsia" w:ascii="Times New Roman" w:hAnsi="Times New Roman" w:eastAsia="仿宋_GB2312" w:cs="Times New Roman"/>
          <w:sz w:val="32"/>
          <w:szCs w:val="24"/>
        </w:rPr>
        <w:t>健全县域副中心殡葬设施体系，规划新建2座公益性安葬（放）设施，具体位置和规模以批复的专项规划和详细规划为准。对具备改造条件的现状各类殡葬设施可结合相关专项规划要求进行提升，促进殡葬用地集约利用。构建逝有所安、绿色集约、服务均等、健康文明的现代殡葬设施服务体系。</w:t>
      </w:r>
    </w:p>
    <w:p w14:paraId="5292BDCC">
      <w:pPr>
        <w:pStyle w:val="5"/>
        <w:keepNext w:val="0"/>
        <w:keepLines w:val="0"/>
        <w:spacing w:before="0" w:after="0" w:line="360" w:lineRule="auto"/>
        <w:ind w:firstLine="643" w:firstLineChars="200"/>
        <w:rPr>
          <w:rFonts w:ascii="Times New Roman" w:hAnsi="Times New Roman" w:eastAsia="仿宋_GB2312"/>
        </w:rPr>
      </w:pPr>
      <w:r>
        <w:rPr>
          <w:rFonts w:hint="eastAsia" w:ascii="Times New Roman" w:hAnsi="Times New Roman" w:eastAsia="仿宋_GB2312"/>
        </w:rPr>
        <w:t>2．打造公平可持续的社会保障体系</w:t>
      </w:r>
    </w:p>
    <w:p w14:paraId="62881B2A">
      <w:pPr>
        <w:pStyle w:val="18"/>
        <w:spacing w:line="600" w:lineRule="exact"/>
        <w:ind w:firstLine="640"/>
        <w:rPr>
          <w:rFonts w:hint="eastAsia"/>
        </w:rPr>
      </w:pPr>
      <w:r>
        <w:rPr>
          <w:rFonts w:hint="eastAsia" w:ascii="Times New Roman" w:hAnsi="Times New Roman" w:cs="Times New Roman"/>
          <w:sz w:val="32"/>
          <w:szCs w:val="24"/>
        </w:rPr>
        <w:t>坚持把社会保障作为民生之基，健全城乡统筹、可持续的社会保障制度，建立广覆盖、保基本、多层次、可持续的社会保障体系，稳步提高社会保障水平。</w:t>
      </w:r>
    </w:p>
    <w:p w14:paraId="1A871538">
      <w:pPr>
        <w:widowControl/>
        <w:spacing w:line="600" w:lineRule="exact"/>
        <w:ind w:firstLine="200"/>
        <w:rPr>
          <w:rFonts w:hint="eastAsia" w:ascii="Times New Roman" w:hAnsi="Times New Roman" w:cs="Times New Roman"/>
          <w:sz w:val="32"/>
          <w:szCs w:val="24"/>
        </w:rPr>
      </w:pPr>
      <w:r>
        <w:rPr>
          <w:rFonts w:hint="eastAsia" w:ascii="楷体_GB2312" w:hAnsi="楷体_GB2312" w:eastAsia="楷体_GB2312" w:cs="楷体_GB2312"/>
          <w:sz w:val="32"/>
          <w:szCs w:val="24"/>
        </w:rPr>
        <w:t>完善社会保险体系。</w:t>
      </w:r>
      <w:r>
        <w:rPr>
          <w:rFonts w:hint="eastAsia" w:ascii="Times New Roman" w:hAnsi="Times New Roman" w:eastAsia="仿宋_GB2312" w:cs="Times New Roman"/>
          <w:sz w:val="32"/>
          <w:szCs w:val="24"/>
        </w:rPr>
        <w:t>实施全民参保计划，扩大县域副中心社会保险覆盖面。优化灵活就业人员社保制度，大力发展补充养老保险制度，加快商业养老保险发展，构建多层次、多支柱养老保险体系。加强基本医疗保险、大病保险与医疗救助协同互补，试点改革职工医保个人账户，建立门诊共济保障机制，鼓励发展多种类型的商业健康保险，稳步推进长期护理保险制度。</w:t>
      </w:r>
    </w:p>
    <w:p w14:paraId="4B45BB97">
      <w:pPr>
        <w:widowControl/>
        <w:spacing w:line="600" w:lineRule="exact"/>
        <w:ind w:firstLine="200"/>
        <w:rPr>
          <w:rFonts w:hint="eastAsia" w:ascii="Times New Roman" w:hAnsi="Times New Roman" w:cs="Times New Roman"/>
          <w:sz w:val="32"/>
          <w:szCs w:val="24"/>
        </w:rPr>
      </w:pPr>
      <w:r>
        <w:rPr>
          <w:rFonts w:hint="eastAsia" w:ascii="楷体_GB2312" w:hAnsi="楷体_GB2312" w:eastAsia="楷体_GB2312" w:cs="楷体_GB2312"/>
          <w:sz w:val="32"/>
          <w:szCs w:val="24"/>
        </w:rPr>
        <w:t>健全社会救助体系。</w:t>
      </w:r>
      <w:r>
        <w:rPr>
          <w:rFonts w:hint="eastAsia" w:ascii="Times New Roman" w:hAnsi="Times New Roman" w:eastAsia="仿宋_GB2312" w:cs="Times New Roman"/>
          <w:sz w:val="32"/>
          <w:szCs w:val="24"/>
        </w:rPr>
        <w:t>构建以基本生活救助、专项社会救助、急难社会救助为主体，社会力量参与为补充的分层分类、城乡统筹的综合救助格局，实现县域副中心城乡社会救助标准一体化。加强灾害、医疗、教育、住房、司法等专项救助。完善救助服务网络，搭建社会救助综合服务中心和社区社会救助服务站。创新社会救助渠道，对社会救助家庭中的生活不能自理的老年人、未成年人、残疾人等群体提供照料服务，形成“物质＋服务”救助方式。加大临时救助力度，激励慈善力量、社会组织、志愿者参与社会救助工作。</w:t>
      </w:r>
    </w:p>
    <w:p w14:paraId="389D9782">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92" w:name="_Toc198247232"/>
      <w:bookmarkEnd w:id="92"/>
      <w:bookmarkStart w:id="93" w:name="_Toc198247220"/>
      <w:bookmarkEnd w:id="93"/>
      <w:bookmarkStart w:id="94" w:name="_Toc198247222"/>
      <w:bookmarkEnd w:id="94"/>
      <w:bookmarkStart w:id="95" w:name="_Toc198247225"/>
      <w:bookmarkEnd w:id="95"/>
      <w:bookmarkStart w:id="96" w:name="_Toc198247228"/>
      <w:bookmarkEnd w:id="96"/>
      <w:bookmarkStart w:id="97" w:name="_Toc198247219"/>
      <w:bookmarkEnd w:id="97"/>
      <w:bookmarkStart w:id="98" w:name="_Toc198247231"/>
      <w:bookmarkEnd w:id="98"/>
      <w:bookmarkStart w:id="99" w:name="_Toc198247227"/>
      <w:bookmarkEnd w:id="99"/>
      <w:bookmarkStart w:id="100" w:name="_Toc198247233"/>
      <w:bookmarkEnd w:id="100"/>
      <w:bookmarkStart w:id="101" w:name="_Toc198247218"/>
      <w:bookmarkEnd w:id="101"/>
      <w:bookmarkStart w:id="102" w:name="_Toc198247221"/>
      <w:bookmarkEnd w:id="102"/>
      <w:bookmarkStart w:id="103" w:name="_Toc198247230"/>
      <w:bookmarkEnd w:id="103"/>
      <w:bookmarkStart w:id="104" w:name="_Toc198247217"/>
      <w:bookmarkEnd w:id="104"/>
      <w:bookmarkStart w:id="105" w:name="_Toc198247235"/>
      <w:bookmarkEnd w:id="105"/>
      <w:bookmarkStart w:id="106" w:name="_Toc198247239"/>
      <w:bookmarkEnd w:id="106"/>
      <w:bookmarkStart w:id="107" w:name="_Toc198247237"/>
      <w:bookmarkEnd w:id="107"/>
      <w:bookmarkStart w:id="108" w:name="_Toc198247240"/>
      <w:bookmarkEnd w:id="108"/>
      <w:bookmarkStart w:id="109" w:name="_Toc198247224"/>
      <w:bookmarkEnd w:id="109"/>
      <w:bookmarkStart w:id="110" w:name="_Toc198247238"/>
      <w:bookmarkEnd w:id="110"/>
      <w:bookmarkStart w:id="111" w:name="_Toc198247229"/>
      <w:bookmarkEnd w:id="111"/>
      <w:bookmarkStart w:id="112" w:name="_Toc198247223"/>
      <w:bookmarkEnd w:id="112"/>
      <w:bookmarkStart w:id="113" w:name="_Toc198247236"/>
      <w:bookmarkEnd w:id="113"/>
      <w:bookmarkStart w:id="114" w:name="_Toc198247226"/>
      <w:bookmarkEnd w:id="114"/>
      <w:bookmarkStart w:id="115" w:name="_Toc198247234"/>
      <w:bookmarkEnd w:id="115"/>
      <w:bookmarkStart w:id="116" w:name="_Toc198247241"/>
      <w:bookmarkStart w:id="117" w:name="_Toc6503"/>
      <w:r>
        <w:rPr>
          <w:rFonts w:hint="eastAsia" w:ascii="Times New Roman" w:hAnsi="Times New Roman" w:eastAsia="黑体"/>
          <w:b w:val="0"/>
          <w:bCs w:val="0"/>
        </w:rPr>
        <w:t>完善智慧高效、环境永续的绿色城市</w:t>
      </w:r>
      <w:bookmarkEnd w:id="116"/>
      <w:bookmarkEnd w:id="117"/>
    </w:p>
    <w:p w14:paraId="10CA2115">
      <w:pPr>
        <w:pStyle w:val="5"/>
        <w:keepNext w:val="0"/>
        <w:keepLines w:val="0"/>
        <w:spacing w:before="0" w:after="0" w:line="600" w:lineRule="exact"/>
        <w:ind w:firstLine="643" w:firstLineChars="200"/>
        <w:rPr>
          <w:rFonts w:ascii="Times New Roman" w:hAnsi="Times New Roman" w:eastAsia="仿宋_GB2312"/>
        </w:rPr>
      </w:pPr>
      <w:r>
        <w:rPr>
          <w:rFonts w:hint="eastAsia" w:ascii="Times New Roman" w:hAnsi="Times New Roman" w:eastAsia="仿宋_GB2312"/>
        </w:rPr>
        <w:t>1．建设安全可靠的供水排水体系</w:t>
      </w:r>
    </w:p>
    <w:p w14:paraId="3563E7B7">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以东江、显岗水库和联和水库为主要水源，完善应急后备水源供应体系，构建多源互补、互为备用的供水安全格局。推进石湾镇永能水厂扩建工作，建设优质水源保障工程，提升城乡供水保障服务能力。</w:t>
      </w:r>
    </w:p>
    <w:p w14:paraId="54BD1D17">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补足污水处理设施短板，近期</w:t>
      </w:r>
      <w:r>
        <w:rPr>
          <w:rFonts w:ascii="Times New Roman" w:hAnsi="Times New Roman" w:eastAsia="仿宋_GB2312" w:cs="Times New Roman"/>
          <w:sz w:val="32"/>
          <w:szCs w:val="24"/>
        </w:rPr>
        <w:t>启动大牛垒污水处理厂</w:t>
      </w:r>
      <w:r>
        <w:rPr>
          <w:rFonts w:hint="eastAsia" w:ascii="Times New Roman" w:hAnsi="Times New Roman" w:eastAsia="仿宋_GB2312" w:cs="Times New Roman"/>
          <w:sz w:val="32"/>
          <w:szCs w:val="24"/>
        </w:rPr>
        <w:t>、</w:t>
      </w:r>
      <w:r>
        <w:rPr>
          <w:rFonts w:ascii="Times New Roman" w:hAnsi="Times New Roman" w:eastAsia="仿宋_GB2312" w:cs="Times New Roman"/>
          <w:sz w:val="32"/>
          <w:szCs w:val="24"/>
        </w:rPr>
        <w:t>园洲第四污水处理厂</w:t>
      </w:r>
      <w:r>
        <w:rPr>
          <w:rFonts w:hint="eastAsia" w:ascii="Times New Roman" w:hAnsi="Times New Roman" w:eastAsia="仿宋_GB2312" w:cs="Times New Roman"/>
          <w:sz w:val="32"/>
          <w:szCs w:val="24"/>
        </w:rPr>
        <w:t>和</w:t>
      </w:r>
      <w:r>
        <w:rPr>
          <w:rFonts w:ascii="Times New Roman" w:hAnsi="Times New Roman" w:eastAsia="仿宋_GB2312" w:cs="Times New Roman"/>
          <w:sz w:val="32"/>
          <w:szCs w:val="24"/>
        </w:rPr>
        <w:t>园洲第</w:t>
      </w:r>
      <w:r>
        <w:rPr>
          <w:rFonts w:hint="eastAsia" w:ascii="Times New Roman" w:hAnsi="Times New Roman" w:eastAsia="仿宋_GB2312" w:cs="Times New Roman"/>
          <w:sz w:val="32"/>
          <w:szCs w:val="24"/>
        </w:rPr>
        <w:t>五</w:t>
      </w:r>
      <w:r>
        <w:rPr>
          <w:rFonts w:ascii="Times New Roman" w:hAnsi="Times New Roman" w:eastAsia="仿宋_GB2312" w:cs="Times New Roman"/>
          <w:sz w:val="32"/>
          <w:szCs w:val="24"/>
        </w:rPr>
        <w:t>污水处理厂扩建工程</w:t>
      </w:r>
      <w:r>
        <w:rPr>
          <w:rFonts w:hint="eastAsia" w:ascii="Times New Roman" w:hAnsi="Times New Roman" w:eastAsia="仿宋_GB2312" w:cs="Times New Roman"/>
          <w:sz w:val="32"/>
          <w:szCs w:val="24"/>
        </w:rPr>
        <w:t>建设，远期按需实施石湾污水处理厂、西基污水处理厂等提质扩容。支持再生水用于不同行业的工业生产、道路浇洒、绿化浇灌、市政杂用、生态环境等多个领域，优化再生水利用设施布局，至2035年，城镇污水再生水利用率达到省、市下达目标。</w:t>
      </w:r>
    </w:p>
    <w:p w14:paraId="7611CB60">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积极探索厂网河一体、城乡一体、供排水一体、建管一体的“四个一体、循环利用”理水模式，稳步建设智能供排水体系，强化供排水管网、厂站、小区和园区供水系统的监测预警。</w:t>
      </w:r>
    </w:p>
    <w:p w14:paraId="23B421C8">
      <w:pPr>
        <w:pStyle w:val="5"/>
        <w:keepNext w:val="0"/>
        <w:keepLines w:val="0"/>
        <w:spacing w:before="0" w:after="0" w:line="600" w:lineRule="exact"/>
        <w:ind w:firstLine="643" w:firstLineChars="200"/>
        <w:rPr>
          <w:rFonts w:ascii="Times New Roman" w:hAnsi="Times New Roman" w:eastAsia="仿宋_GB2312"/>
        </w:rPr>
      </w:pPr>
      <w:r>
        <w:rPr>
          <w:rFonts w:hint="eastAsia" w:ascii="Times New Roman" w:hAnsi="Times New Roman" w:eastAsia="仿宋_GB2312"/>
        </w:rPr>
        <w:t>2．</w:t>
      </w:r>
      <w:r>
        <w:rPr>
          <w:rFonts w:ascii="Times New Roman" w:hAnsi="Times New Roman" w:eastAsia="仿宋_GB2312"/>
        </w:rPr>
        <w:t>构建</w:t>
      </w:r>
      <w:r>
        <w:rPr>
          <w:rFonts w:hint="eastAsia" w:ascii="Times New Roman" w:hAnsi="Times New Roman" w:eastAsia="仿宋_GB2312"/>
        </w:rPr>
        <w:t>绿色低碳</w:t>
      </w:r>
      <w:r>
        <w:rPr>
          <w:rFonts w:ascii="Times New Roman" w:hAnsi="Times New Roman" w:eastAsia="仿宋_GB2312"/>
        </w:rPr>
        <w:t>的</w:t>
      </w:r>
      <w:r>
        <w:rPr>
          <w:rFonts w:hint="eastAsia" w:ascii="Times New Roman" w:hAnsi="Times New Roman" w:eastAsia="仿宋_GB2312"/>
        </w:rPr>
        <w:t>能源供应系统</w:t>
      </w:r>
    </w:p>
    <w:p w14:paraId="5080AB87">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优化电网形态结构，加快电力外送通道建设，支持智能电网发展。提升电力保障能力，近期启动新村变电站工程建设，远期稳步推进科技站、格物站等220千伏变电站和百胜站、桔头站、欣旺达站、长平站、北汽站、黄西站、虹岗站等110千伏变电站建设。</w:t>
      </w:r>
    </w:p>
    <w:p w14:paraId="73414AE2">
      <w:pPr>
        <w:widowControl/>
        <w:spacing w:line="600" w:lineRule="exact"/>
        <w:ind w:firstLine="640" w:firstLineChars="200"/>
        <w:rPr>
          <w:rFonts w:ascii="Times New Roman" w:hAnsi="Times New Roman" w:eastAsia="仿宋_GB2312" w:cs="Times New Roman"/>
          <w:sz w:val="32"/>
          <w:szCs w:val="24"/>
        </w:rPr>
      </w:pPr>
      <w:r>
        <w:rPr>
          <w:rFonts w:ascii="Times New Roman" w:hAnsi="Times New Roman" w:eastAsia="仿宋_GB2312" w:cs="Times New Roman"/>
          <w:sz w:val="32"/>
          <w:szCs w:val="24"/>
        </w:rPr>
        <w:t>优先发展天然气，将液化石油气作为补充气源，建立多气互补、灵活可靠的燃气供应系统。</w:t>
      </w:r>
      <w:r>
        <w:rPr>
          <w:rFonts w:hint="eastAsia" w:ascii="Times New Roman" w:hAnsi="Times New Roman" w:eastAsia="仿宋_GB2312" w:cs="Times New Roman"/>
          <w:sz w:val="32"/>
          <w:szCs w:val="24"/>
        </w:rPr>
        <w:t>加快推进大唐惠州博罗燃气热电联产项目、园洲天然气门站</w:t>
      </w:r>
      <w:r>
        <w:rPr>
          <w:rFonts w:ascii="Times New Roman" w:hAnsi="Times New Roman" w:eastAsia="仿宋_GB2312" w:cs="Times New Roman"/>
          <w:sz w:val="32"/>
          <w:szCs w:val="24"/>
        </w:rPr>
        <w:t>、园洲LNG气化站、石湾LNG气化站</w:t>
      </w:r>
      <w:r>
        <w:rPr>
          <w:rFonts w:hint="eastAsia" w:ascii="Times New Roman" w:hAnsi="Times New Roman" w:eastAsia="仿宋_GB2312" w:cs="Times New Roman"/>
          <w:sz w:val="32"/>
          <w:szCs w:val="24"/>
        </w:rPr>
        <w:t>等项目建成投产，加强输气通道互联互通。</w:t>
      </w:r>
    </w:p>
    <w:p w14:paraId="2AE2AF12">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依托博罗县欣旺达“源网荷储”一体化零碳产业园区项目和博罗智能装备产业园集中式用户侧共享储能项目，大力发展清洁能源，推动能源绿色低碳转型，提高能源智能高效利用水平，打造可复制、可推广的“双碳”技术路径和模式创新的典型示范。至2035年，新能源和可再生能源比重达到省、市下达目标。</w:t>
      </w:r>
    </w:p>
    <w:p w14:paraId="55631FD4">
      <w:pPr>
        <w:pStyle w:val="5"/>
        <w:keepNext w:val="0"/>
        <w:keepLines w:val="0"/>
        <w:spacing w:before="0" w:after="0" w:line="600" w:lineRule="exact"/>
        <w:ind w:firstLine="643" w:firstLineChars="200"/>
        <w:rPr>
          <w:rFonts w:ascii="Times New Roman" w:hAnsi="Times New Roman" w:eastAsia="仿宋_GB2312"/>
        </w:rPr>
      </w:pPr>
      <w:r>
        <w:rPr>
          <w:rFonts w:hint="eastAsia" w:ascii="Times New Roman" w:hAnsi="Times New Roman" w:eastAsia="仿宋_GB2312"/>
        </w:rPr>
        <w:t>3．打造高效协同的信息基础设施</w:t>
      </w:r>
    </w:p>
    <w:p w14:paraId="56C8DD22">
      <w:pPr>
        <w:widowControl/>
        <w:spacing w:line="600" w:lineRule="exact"/>
        <w:ind w:firstLine="640" w:firstLineChars="200"/>
        <w:rPr>
          <w:rFonts w:ascii="Times New Roman" w:hAnsi="Times New Roman" w:eastAsia="仿宋_GB2312" w:cs="Times New Roman"/>
          <w:sz w:val="32"/>
          <w:szCs w:val="24"/>
        </w:rPr>
      </w:pPr>
      <w:r>
        <w:rPr>
          <w:rFonts w:ascii="Times New Roman" w:hAnsi="Times New Roman" w:eastAsia="仿宋_GB2312" w:cs="Times New Roman"/>
          <w:sz w:val="32"/>
          <w:szCs w:val="24"/>
        </w:rPr>
        <w:t>加快推进新型信息基础设施和城市基础设施同步规划、同步建设、同步演进</w:t>
      </w:r>
      <w:r>
        <w:rPr>
          <w:rFonts w:hint="eastAsia" w:ascii="Times New Roman" w:hAnsi="Times New Roman" w:eastAsia="仿宋_GB2312" w:cs="Times New Roman"/>
          <w:sz w:val="32"/>
          <w:szCs w:val="24"/>
        </w:rPr>
        <w:t>，系统谋划布局大</w:t>
      </w:r>
      <w:r>
        <w:rPr>
          <w:rFonts w:ascii="Times New Roman" w:hAnsi="Times New Roman" w:eastAsia="仿宋_GB2312" w:cs="Times New Roman"/>
          <w:sz w:val="32"/>
          <w:szCs w:val="24"/>
        </w:rPr>
        <w:t>数据中心</w:t>
      </w:r>
      <w:r>
        <w:rPr>
          <w:rFonts w:hint="eastAsia" w:ascii="Times New Roman" w:hAnsi="Times New Roman" w:eastAsia="仿宋_GB2312" w:cs="Times New Roman"/>
          <w:sz w:val="32"/>
          <w:szCs w:val="24"/>
        </w:rPr>
        <w:t>、人工智能设施、工业互联网</w:t>
      </w:r>
      <w:r>
        <w:rPr>
          <w:rFonts w:ascii="Times New Roman" w:hAnsi="Times New Roman" w:eastAsia="仿宋_GB2312" w:cs="Times New Roman"/>
          <w:sz w:val="32"/>
          <w:szCs w:val="24"/>
        </w:rPr>
        <w:t>等</w:t>
      </w:r>
      <w:r>
        <w:rPr>
          <w:rFonts w:hint="eastAsia" w:ascii="Times New Roman" w:hAnsi="Times New Roman" w:eastAsia="仿宋_GB2312" w:cs="Times New Roman"/>
          <w:sz w:val="32"/>
          <w:szCs w:val="24"/>
        </w:rPr>
        <w:t>新型基础设施，优化通信路由布局，因地制宜建设通信基站。</w:t>
      </w:r>
      <w:r>
        <w:rPr>
          <w:rFonts w:ascii="Times New Roman" w:hAnsi="Times New Roman" w:eastAsia="仿宋_GB2312" w:cs="Times New Roman"/>
          <w:sz w:val="32"/>
          <w:szCs w:val="24"/>
        </w:rPr>
        <w:t>全面支持建成高水平全光网，优化互联网骨干网间的互联架构，推动实现光纤网络全覆盖。完善IPv6骨干网网间互联体系，改造升级互联网骨干网互联节点，实现互联网、广电网骨干网络IPv6的互联互通。优化布局建设5G网络及新一代通信网络，推进NB</w:t>
      </w:r>
      <w:r>
        <w:rPr>
          <w:rFonts w:hint="eastAsia" w:ascii="Times New Roman" w:hAnsi="Times New Roman" w:eastAsia="仿宋_GB2312" w:cs="Times New Roman"/>
          <w:sz w:val="32"/>
          <w:szCs w:val="24"/>
        </w:rPr>
        <w:t>—</w:t>
      </w:r>
      <w:r>
        <w:rPr>
          <w:rFonts w:ascii="Times New Roman" w:hAnsi="Times New Roman" w:eastAsia="仿宋_GB2312" w:cs="Times New Roman"/>
          <w:sz w:val="32"/>
          <w:szCs w:val="24"/>
        </w:rPr>
        <w:t>IoT建设应用，提升网络覆盖和服务质量。</w:t>
      </w:r>
      <w:r>
        <w:rPr>
          <w:rFonts w:hint="eastAsia" w:ascii="Times New Roman" w:hAnsi="Times New Roman" w:eastAsia="仿宋_GB2312" w:cs="Times New Roman"/>
          <w:sz w:val="32"/>
          <w:szCs w:val="24"/>
        </w:rPr>
        <w:t>至2035年，基础设施智慧化水平超过90%，5G网络建设覆盖率达到100%。</w:t>
      </w:r>
    </w:p>
    <w:p w14:paraId="72D84860">
      <w:pPr>
        <w:pStyle w:val="5"/>
        <w:keepNext w:val="0"/>
        <w:keepLines w:val="0"/>
        <w:spacing w:before="0" w:after="0" w:line="600" w:lineRule="exact"/>
        <w:ind w:firstLine="643" w:firstLineChars="200"/>
        <w:rPr>
          <w:rFonts w:ascii="Times New Roman" w:hAnsi="Times New Roman" w:eastAsia="仿宋_GB2312"/>
        </w:rPr>
      </w:pPr>
      <w:r>
        <w:rPr>
          <w:rFonts w:hint="eastAsia" w:ascii="Times New Roman" w:hAnsi="Times New Roman" w:eastAsia="仿宋_GB2312"/>
        </w:rPr>
        <w:t>4．</w:t>
      </w:r>
      <w:r>
        <w:rPr>
          <w:rFonts w:ascii="Times New Roman" w:hAnsi="Times New Roman" w:eastAsia="仿宋_GB2312"/>
        </w:rPr>
        <w:t>建设</w:t>
      </w:r>
      <w:r>
        <w:rPr>
          <w:rFonts w:hint="eastAsia" w:ascii="Times New Roman" w:hAnsi="Times New Roman" w:eastAsia="仿宋_GB2312"/>
        </w:rPr>
        <w:t>生态持续</w:t>
      </w:r>
      <w:r>
        <w:rPr>
          <w:rFonts w:ascii="Times New Roman" w:hAnsi="Times New Roman" w:eastAsia="仿宋_GB2312"/>
        </w:rPr>
        <w:t>的</w:t>
      </w:r>
      <w:r>
        <w:rPr>
          <w:rFonts w:hint="eastAsia" w:ascii="Times New Roman" w:hAnsi="Times New Roman" w:eastAsia="仿宋_GB2312"/>
        </w:rPr>
        <w:t>资源循环</w:t>
      </w:r>
      <w:r>
        <w:rPr>
          <w:rFonts w:ascii="Times New Roman" w:hAnsi="Times New Roman" w:eastAsia="仿宋_GB2312"/>
        </w:rPr>
        <w:t>体系</w:t>
      </w:r>
    </w:p>
    <w:p w14:paraId="6E5D81B5">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加强城乡环卫设施一体化建设，推进石湾镇生活垃圾转运站、园洲上南生活垃圾转运站、园洲下南生活垃圾转运站、园洲江头生活垃圾转运站提标改造。推进生活垃圾分类收运网络与再生资源回收网络“两网融合”，谋划再生资源回收站点、资源驿站等建设，积极打造无废园区、无废社区</w:t>
      </w:r>
      <w:r>
        <w:rPr>
          <w:rFonts w:ascii="Times New Roman" w:hAnsi="Times New Roman" w:eastAsia="仿宋_GB2312" w:cs="Times New Roman"/>
          <w:sz w:val="32"/>
          <w:szCs w:val="24"/>
        </w:rPr>
        <w:t>。</w:t>
      </w:r>
      <w:r>
        <w:rPr>
          <w:rFonts w:hint="eastAsia" w:ascii="Times New Roman" w:hAnsi="Times New Roman" w:eastAsia="仿宋_GB2312" w:cs="Times New Roman"/>
          <w:sz w:val="32"/>
          <w:szCs w:val="24"/>
        </w:rPr>
        <w:t>推进环卫系统信息化建设，完善分类投放、分类收集、分类运输、分类处理的全生命周期生活垃圾管理系统，提升环境卫生精细化管理服务水平。</w:t>
      </w:r>
    </w:p>
    <w:p w14:paraId="14460042">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18" w:name="_Toc9297"/>
      <w:bookmarkStart w:id="119" w:name="_Toc198247242"/>
      <w:r>
        <w:rPr>
          <w:rFonts w:hint="eastAsia" w:ascii="Times New Roman" w:hAnsi="Times New Roman" w:eastAsia="黑体"/>
          <w:b w:val="0"/>
          <w:bCs w:val="0"/>
        </w:rPr>
        <w:t>完善韧性稳固、健康和谐的安全城市</w:t>
      </w:r>
      <w:bookmarkEnd w:id="118"/>
      <w:bookmarkEnd w:id="119"/>
    </w:p>
    <w:p w14:paraId="5C848F0F">
      <w:pPr>
        <w:pStyle w:val="5"/>
        <w:keepNext w:val="0"/>
        <w:keepLines w:val="0"/>
        <w:spacing w:before="0" w:after="0" w:line="600" w:lineRule="exact"/>
        <w:ind w:firstLine="643" w:firstLineChars="200"/>
        <w:rPr>
          <w:rFonts w:ascii="Times New Roman" w:hAnsi="Times New Roman" w:eastAsia="仿宋_GB2312"/>
        </w:rPr>
      </w:pPr>
      <w:r>
        <w:rPr>
          <w:rFonts w:hint="eastAsia" w:ascii="Times New Roman" w:hAnsi="Times New Roman" w:eastAsia="仿宋_GB2312"/>
        </w:rPr>
        <w:t>1．建设排蓄结合的防洪排涝系统</w:t>
      </w:r>
    </w:p>
    <w:p w14:paraId="64711D4C">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采取“内连、内扩”策略，加强水系整体连通性，提升防洪泄洪能力。以20～30年一遇的标准完善沙河堤防工程建设，以10年一遇的标准提高铁场排渠、大牛垒水、南干渠等排洪渠建设标准。重点推进园洲镇东江大堤改造加固工程、西基排涝站工程、茹屋村排涝站工程、白勘角水闸重建工程、马嘶七孔水闸重建工程、马嘶水闸重建工程建设。</w:t>
      </w:r>
    </w:p>
    <w:p w14:paraId="627DC732">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强化区域海绵城市建设，通过植草沟、透水铺装、下沉式绿地、雨水花园等源头工程设施，加强雨水积存和渗蓄能力。综合运用过程控制措施，实现在超标情况下雨水径流通过行泄通道汇入雨水调蓄区或下游排涝河道。充分利用河渠水系和蓄涝区，在末端加强对径流的调节，保障区域防涝安全。</w:t>
      </w:r>
    </w:p>
    <w:p w14:paraId="0E4FBA29">
      <w:pPr>
        <w:pStyle w:val="5"/>
        <w:keepNext w:val="0"/>
        <w:keepLines w:val="0"/>
        <w:spacing w:before="0" w:after="0" w:line="600" w:lineRule="exact"/>
        <w:ind w:firstLine="643" w:firstLineChars="200"/>
        <w:rPr>
          <w:rFonts w:ascii="Times New Roman" w:hAnsi="Times New Roman" w:eastAsia="仿宋_GB2312"/>
        </w:rPr>
      </w:pPr>
      <w:r>
        <w:rPr>
          <w:rFonts w:hint="eastAsia" w:ascii="Times New Roman" w:hAnsi="Times New Roman" w:eastAsia="仿宋_GB2312"/>
        </w:rPr>
        <w:t>2．构建高效实用消防安全体系</w:t>
      </w:r>
    </w:p>
    <w:p w14:paraId="23A56713">
      <w:pPr>
        <w:widowControl/>
        <w:spacing w:line="600" w:lineRule="exact"/>
        <w:ind w:firstLine="640" w:firstLineChars="200"/>
        <w:rPr>
          <w:rFonts w:ascii="Times New Roman" w:hAnsi="Times New Roman" w:eastAsia="仿宋_GB2312" w:cs="Times New Roman"/>
          <w:sz w:val="32"/>
          <w:szCs w:val="24"/>
        </w:rPr>
      </w:pPr>
      <w:r>
        <w:rPr>
          <w:rFonts w:ascii="Times New Roman" w:hAnsi="Times New Roman" w:eastAsia="仿宋_GB2312" w:cs="Times New Roman"/>
          <w:sz w:val="32"/>
          <w:szCs w:val="24"/>
        </w:rPr>
        <w:t>优化消防设施布局，构建消防安全保障格局</w:t>
      </w:r>
      <w:r>
        <w:rPr>
          <w:rFonts w:hint="eastAsia" w:ascii="Times New Roman" w:hAnsi="Times New Roman" w:eastAsia="仿宋_GB2312" w:cs="Times New Roman"/>
          <w:sz w:val="32"/>
          <w:szCs w:val="24"/>
        </w:rPr>
        <w:t>，至2035年，实现消防应急救援5分钟可达覆盖率100%</w:t>
      </w:r>
      <w:r>
        <w:rPr>
          <w:rFonts w:ascii="Times New Roman" w:hAnsi="Times New Roman" w:eastAsia="仿宋_GB2312" w:cs="Times New Roman"/>
          <w:sz w:val="32"/>
          <w:szCs w:val="24"/>
        </w:rPr>
        <w:t>。积极</w:t>
      </w:r>
      <w:r>
        <w:rPr>
          <w:rFonts w:hint="eastAsia" w:ascii="Times New Roman" w:hAnsi="Times New Roman" w:eastAsia="仿宋_GB2312" w:cs="Times New Roman"/>
          <w:sz w:val="32"/>
          <w:szCs w:val="24"/>
        </w:rPr>
        <w:t>提档升级</w:t>
      </w:r>
      <w:r>
        <w:rPr>
          <w:rFonts w:ascii="Times New Roman" w:hAnsi="Times New Roman" w:eastAsia="仿宋_GB2312" w:cs="Times New Roman"/>
          <w:sz w:val="32"/>
          <w:szCs w:val="24"/>
        </w:rPr>
        <w:t>现状园洲镇消防专职队</w:t>
      </w:r>
      <w:r>
        <w:rPr>
          <w:rFonts w:hint="eastAsia" w:ascii="Times New Roman" w:hAnsi="Times New Roman" w:eastAsia="仿宋_GB2312" w:cs="Times New Roman"/>
          <w:sz w:val="32"/>
          <w:szCs w:val="24"/>
        </w:rPr>
        <w:t>、石湾镇消防专职队</w:t>
      </w:r>
      <w:r>
        <w:rPr>
          <w:rFonts w:ascii="Times New Roman" w:hAnsi="Times New Roman" w:eastAsia="仿宋_GB2312" w:cs="Times New Roman"/>
          <w:sz w:val="32"/>
          <w:szCs w:val="24"/>
        </w:rPr>
        <w:t>，</w:t>
      </w:r>
      <w:r>
        <w:rPr>
          <w:rFonts w:hint="eastAsia" w:ascii="Times New Roman" w:hAnsi="Times New Roman" w:eastAsia="仿宋_GB2312" w:cs="Times New Roman"/>
          <w:sz w:val="32"/>
          <w:szCs w:val="24"/>
        </w:rPr>
        <w:t>重点实施</w:t>
      </w:r>
      <w:r>
        <w:rPr>
          <w:rFonts w:ascii="Times New Roman" w:hAnsi="Times New Roman" w:eastAsia="仿宋_GB2312" w:cs="Times New Roman"/>
          <w:sz w:val="32"/>
          <w:szCs w:val="24"/>
        </w:rPr>
        <w:t>起步区消防站公共消防基础设施建设项目。适当提高工业园区、老城区消防建设标准，</w:t>
      </w:r>
      <w:r>
        <w:rPr>
          <w:rFonts w:hint="eastAsia" w:ascii="Times New Roman" w:hAnsi="Times New Roman" w:eastAsia="仿宋_GB2312" w:cs="Times New Roman"/>
          <w:sz w:val="32"/>
          <w:szCs w:val="24"/>
        </w:rPr>
        <w:t>完善消防设施建设，</w:t>
      </w:r>
      <w:r>
        <w:rPr>
          <w:rFonts w:ascii="Times New Roman" w:hAnsi="Times New Roman" w:eastAsia="仿宋_GB2312" w:cs="Times New Roman"/>
          <w:sz w:val="32"/>
          <w:szCs w:val="24"/>
        </w:rPr>
        <w:t>保障消防安全。</w:t>
      </w:r>
    </w:p>
    <w:p w14:paraId="1B7015E0">
      <w:pPr>
        <w:pStyle w:val="5"/>
        <w:keepNext w:val="0"/>
        <w:keepLines w:val="0"/>
        <w:spacing w:before="0" w:after="0" w:line="600" w:lineRule="exact"/>
        <w:ind w:firstLine="643" w:firstLineChars="200"/>
        <w:rPr>
          <w:rFonts w:ascii="Times New Roman" w:hAnsi="Times New Roman" w:eastAsia="仿宋_GB2312"/>
        </w:rPr>
      </w:pPr>
      <w:r>
        <w:rPr>
          <w:rFonts w:hint="eastAsia" w:ascii="Times New Roman" w:hAnsi="Times New Roman" w:eastAsia="仿宋_GB2312"/>
        </w:rPr>
        <w:t>3．完善</w:t>
      </w:r>
      <w:r>
        <w:rPr>
          <w:rFonts w:ascii="Times New Roman" w:hAnsi="Times New Roman" w:eastAsia="仿宋_GB2312"/>
        </w:rPr>
        <w:t>综合防灾</w:t>
      </w:r>
      <w:r>
        <w:rPr>
          <w:rFonts w:hint="eastAsia" w:ascii="Times New Roman" w:hAnsi="Times New Roman" w:eastAsia="仿宋_GB2312"/>
        </w:rPr>
        <w:t>减灾</w:t>
      </w:r>
      <w:r>
        <w:rPr>
          <w:rFonts w:ascii="Times New Roman" w:hAnsi="Times New Roman" w:eastAsia="仿宋_GB2312"/>
        </w:rPr>
        <w:t>应急体系</w:t>
      </w:r>
    </w:p>
    <w:p w14:paraId="36040147">
      <w:pPr>
        <w:widowControl/>
        <w:spacing w:line="600" w:lineRule="exact"/>
        <w:ind w:firstLine="640" w:firstLineChars="200"/>
        <w:rPr>
          <w:rFonts w:ascii="Times New Roman" w:hAnsi="Times New Roman" w:eastAsia="仿宋_GB2312" w:cs="Times New Roman"/>
          <w:sz w:val="32"/>
          <w:szCs w:val="24"/>
        </w:rPr>
      </w:pPr>
      <w:r>
        <w:rPr>
          <w:rFonts w:ascii="Times New Roman" w:hAnsi="Times New Roman" w:eastAsia="仿宋_GB2312" w:cs="Times New Roman"/>
          <w:sz w:val="32"/>
          <w:szCs w:val="24"/>
        </w:rPr>
        <w:t>完善</w:t>
      </w:r>
      <w:r>
        <w:rPr>
          <w:rFonts w:hint="eastAsia" w:ascii="Times New Roman" w:hAnsi="Times New Roman" w:eastAsia="仿宋_GB2312" w:cs="Times New Roman"/>
          <w:sz w:val="32"/>
          <w:szCs w:val="24"/>
        </w:rPr>
        <w:t>主次干路</w:t>
      </w:r>
      <w:r>
        <w:rPr>
          <w:rFonts w:ascii="Times New Roman" w:hAnsi="Times New Roman" w:eastAsia="仿宋_GB2312" w:cs="Times New Roman"/>
          <w:sz w:val="32"/>
          <w:szCs w:val="24"/>
        </w:rPr>
        <w:t>救援通道建设，结合公园绿地、广场、公共停车场、中小学等统筹优化避难疏散场所</w:t>
      </w:r>
      <w:r>
        <w:rPr>
          <w:rFonts w:hint="eastAsia" w:ascii="Times New Roman" w:hAnsi="Times New Roman" w:eastAsia="仿宋_GB2312" w:cs="Times New Roman"/>
          <w:sz w:val="32"/>
          <w:szCs w:val="24"/>
        </w:rPr>
        <w:t>布局，至2035年，人均应急避难场所面积不低于2平方米。依托石湾、园洲应急指挥中心，</w:t>
      </w:r>
      <w:r>
        <w:rPr>
          <w:rFonts w:ascii="Times New Roman" w:hAnsi="Times New Roman" w:eastAsia="仿宋_GB2312" w:cs="Times New Roman"/>
          <w:sz w:val="32"/>
          <w:szCs w:val="24"/>
        </w:rPr>
        <w:t>建立健全灾害预警预报系统、防灾指挥系统、避难场所、避难疏散通道、生命线工程、应急救灾物资等综合防灾应急保障系统，提高综合防灾保障能力。</w:t>
      </w:r>
      <w:r>
        <w:rPr>
          <w:rFonts w:hint="eastAsia" w:ascii="Times New Roman" w:hAnsi="Times New Roman" w:eastAsia="仿宋_GB2312" w:cs="Times New Roman"/>
          <w:sz w:val="32"/>
          <w:szCs w:val="24"/>
        </w:rPr>
        <w:t>统筹谋划1处</w:t>
      </w:r>
      <w:r>
        <w:rPr>
          <w:rFonts w:ascii="Times New Roman" w:hAnsi="Times New Roman" w:eastAsia="仿宋_GB2312" w:cs="Times New Roman"/>
          <w:sz w:val="32"/>
          <w:szCs w:val="24"/>
        </w:rPr>
        <w:t>“平急两用”公共基础设施</w:t>
      </w:r>
      <w:r>
        <w:rPr>
          <w:rFonts w:hint="eastAsia" w:ascii="Times New Roman" w:hAnsi="Times New Roman" w:eastAsia="仿宋_GB2312" w:cs="Times New Roman"/>
          <w:sz w:val="32"/>
          <w:szCs w:val="24"/>
        </w:rPr>
        <w:t>，持续推进韧性城市建设。</w:t>
      </w:r>
    </w:p>
    <w:p w14:paraId="52B1BE88">
      <w:pPr>
        <w:pStyle w:val="5"/>
        <w:keepNext w:val="0"/>
        <w:keepLines w:val="0"/>
        <w:spacing w:before="0" w:after="0" w:line="600" w:lineRule="exact"/>
        <w:ind w:firstLine="643" w:firstLineChars="200"/>
        <w:rPr>
          <w:rFonts w:ascii="Times New Roman" w:hAnsi="Times New Roman" w:eastAsia="仿宋_GB2312"/>
        </w:rPr>
      </w:pPr>
      <w:r>
        <w:rPr>
          <w:rFonts w:hint="eastAsia" w:ascii="Times New Roman" w:hAnsi="Times New Roman" w:eastAsia="仿宋_GB2312"/>
        </w:rPr>
        <w:t>4．提高公共卫生事件应对能力</w:t>
      </w:r>
    </w:p>
    <w:p w14:paraId="07E75B06">
      <w:pPr>
        <w:widowControl/>
        <w:spacing w:line="600" w:lineRule="exact"/>
        <w:ind w:firstLine="640" w:firstLineChars="200"/>
        <w:rPr>
          <w:rFonts w:ascii="Times New Roman" w:hAnsi="Times New Roman" w:eastAsia="仿宋_GB2312" w:cs="Times New Roman"/>
          <w:sz w:val="32"/>
          <w:szCs w:val="24"/>
        </w:rPr>
      </w:pPr>
      <w:r>
        <w:rPr>
          <w:rFonts w:ascii="Times New Roman" w:hAnsi="Times New Roman" w:eastAsia="仿宋_GB2312" w:cs="Times New Roman"/>
          <w:sz w:val="32"/>
          <w:szCs w:val="24"/>
        </w:rPr>
        <w:t>强化防疫设施与城乡空间的联动关系，形成多层次疫情应对空间圈层，提高应对重大突发公共卫生事件的基本能力。</w:t>
      </w:r>
      <w:r>
        <w:rPr>
          <w:rFonts w:hint="eastAsia" w:ascii="Times New Roman" w:hAnsi="Times New Roman" w:eastAsia="仿宋_GB2312" w:cs="Times New Roman"/>
          <w:sz w:val="32"/>
          <w:szCs w:val="24"/>
        </w:rPr>
        <w:t>建立以新建三甲医院为主导，博罗县第三人民医院、惠博中医医院、园洲镇卫生院、园洲镇九潭卫生院和石湾镇铁场卫生院为支撑的应急医疗救治体系。适时谋划“平急两用”公共基础设施建设，加强应急医疗、物资保障、旅居隔离等“平急两用”公共基础设施节点的规划安排。</w:t>
      </w:r>
    </w:p>
    <w:p w14:paraId="519BB312">
      <w:pPr>
        <w:pStyle w:val="18"/>
        <w:widowControl/>
        <w:ind w:firstLine="640"/>
        <w:rPr>
          <w:rFonts w:ascii="Times New Roman" w:hAnsi="Times New Roman" w:cs="Times New Roman"/>
          <w:sz w:val="32"/>
          <w:szCs w:val="24"/>
        </w:rPr>
      </w:pPr>
    </w:p>
    <w:p w14:paraId="5D3194BA">
      <w:pPr>
        <w:rPr>
          <w:rFonts w:ascii="Times New Roman" w:hAnsi="Times New Roman" w:eastAsia="仿宋_GB2312" w:cs="楷体_GB2312"/>
          <w:kern w:val="0"/>
          <w:sz w:val="28"/>
          <w:szCs w:val="28"/>
        </w:rPr>
        <w:sectPr>
          <w:pgSz w:w="11906" w:h="16838"/>
          <w:pgMar w:top="1440" w:right="1800" w:bottom="1440" w:left="1800" w:header="851" w:footer="992" w:gutter="0"/>
          <w:cols w:space="425" w:num="1"/>
          <w:docGrid w:type="lines" w:linePitch="312" w:charSpace="0"/>
        </w:sectPr>
      </w:pPr>
    </w:p>
    <w:p w14:paraId="52237F95">
      <w:pPr>
        <w:pStyle w:val="3"/>
        <w:keepNext w:val="0"/>
        <w:keepLines w:val="0"/>
        <w:spacing w:before="312" w:beforeLines="100" w:after="312" w:afterLines="100"/>
        <w:jc w:val="center"/>
        <w:rPr>
          <w:rFonts w:ascii="Times New Roman" w:hAnsi="Times New Roman" w:eastAsia="黑体"/>
          <w:b w:val="0"/>
          <w:bCs w:val="0"/>
          <w:sz w:val="40"/>
          <w:szCs w:val="40"/>
        </w:rPr>
      </w:pPr>
      <w:bookmarkStart w:id="120" w:name="_Toc24080"/>
      <w:bookmarkStart w:id="121" w:name="_Toc198247243"/>
      <w:r>
        <w:rPr>
          <w:rFonts w:hint="eastAsia" w:ascii="Times New Roman" w:hAnsi="Times New Roman" w:eastAsia="黑体"/>
          <w:b w:val="0"/>
          <w:bCs w:val="0"/>
          <w:sz w:val="40"/>
          <w:szCs w:val="40"/>
        </w:rPr>
        <w:t>第七章</w:t>
      </w:r>
      <w:r>
        <w:rPr>
          <w:rFonts w:ascii="Times New Roman" w:hAnsi="Times New Roman" w:eastAsia="黑体"/>
          <w:b w:val="0"/>
          <w:bCs w:val="0"/>
          <w:sz w:val="40"/>
          <w:szCs w:val="40"/>
        </w:rPr>
        <w:t xml:space="preserve"> </w:t>
      </w:r>
      <w:r>
        <w:rPr>
          <w:rFonts w:hint="eastAsia" w:ascii="Times New Roman" w:hAnsi="Times New Roman" w:eastAsia="黑体"/>
          <w:b w:val="0"/>
          <w:bCs w:val="0"/>
          <w:sz w:val="40"/>
          <w:szCs w:val="40"/>
        </w:rPr>
        <w:t>构建要素畅通多向衔接开放新通道</w:t>
      </w:r>
      <w:bookmarkEnd w:id="120"/>
      <w:bookmarkEnd w:id="121"/>
    </w:p>
    <w:p w14:paraId="36E25311">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共建广东铁路国际物流基地是博罗县域副中心链接全球、打造陆海大通道链接全国的战略使命。全力打造县域副中心水、陆、空、铁多维综合交通枢纽，聚力打造人悦其行、货畅其流的现代化高质量综合立体交通体系，进入粤港澳大湾区中小城市1小时城际圈和3小时国家物流圈，整体博罗开放新枢纽。</w:t>
      </w:r>
    </w:p>
    <w:p w14:paraId="23998826">
      <w:pPr>
        <w:pStyle w:val="4"/>
        <w:keepNext w:val="0"/>
        <w:keepLines w:val="0"/>
        <w:numPr>
          <w:ilvl w:val="1"/>
          <w:numId w:val="1"/>
        </w:numPr>
        <w:spacing w:before="0" w:after="0" w:line="360" w:lineRule="auto"/>
        <w:ind w:firstLine="0"/>
        <w:jc w:val="center"/>
        <w:rPr>
          <w:rFonts w:hint="eastAsia" w:ascii="Times New Roman" w:hAnsi="Times New Roman" w:eastAsia="黑体"/>
        </w:rPr>
      </w:pPr>
      <w:bookmarkStart w:id="122" w:name="_Toc21837"/>
      <w:bookmarkStart w:id="123" w:name="_Toc198247244"/>
      <w:r>
        <w:rPr>
          <w:rFonts w:hint="eastAsia" w:ascii="Times New Roman" w:hAnsi="Times New Roman" w:eastAsia="黑体"/>
          <w:b w:val="0"/>
          <w:bCs w:val="0"/>
        </w:rPr>
        <w:t>打造链接全球、直通全国的枢纽门户</w:t>
      </w:r>
      <w:bookmarkEnd w:id="122"/>
      <w:bookmarkEnd w:id="123"/>
    </w:p>
    <w:p w14:paraId="5408CC88">
      <w:pPr>
        <w:widowControl/>
        <w:spacing w:line="600" w:lineRule="exact"/>
        <w:ind w:firstLine="640" w:firstLineChars="200"/>
        <w:rPr>
          <w:rFonts w:ascii="Times New Roman" w:hAnsi="Times New Roman" w:eastAsia="仿宋_GB2312" w:cs="Times New Roman"/>
          <w:sz w:val="32"/>
          <w:szCs w:val="24"/>
          <w:lang w:bidi="ar"/>
        </w:rPr>
      </w:pPr>
      <w:r>
        <w:rPr>
          <w:rFonts w:hint="eastAsia" w:ascii="Times New Roman" w:hAnsi="Times New Roman" w:eastAsia="仿宋_GB2312" w:cs="Times New Roman"/>
          <w:sz w:val="32"/>
          <w:szCs w:val="24"/>
          <w:lang w:bidi="ar"/>
        </w:rPr>
        <w:t>增强县域副中心“西连珠江港口群、南接东江内河航运港口群，北承环‘南昆山—罗浮山’引领区水陆交通门户”的战略节点区位优势，加强对水运、铁路、公路、航空全方位的建设，实现多式无缝换乘、互联互通，充分支撑县域副中心成为区域</w:t>
      </w:r>
      <w:r>
        <w:rPr>
          <w:rFonts w:hint="eastAsia" w:ascii="Times New Roman" w:hAnsi="Times New Roman" w:eastAsia="仿宋_GB2312" w:cs="Times New Roman"/>
          <w:sz w:val="32"/>
          <w:szCs w:val="24"/>
        </w:rPr>
        <w:t>门户枢纽承接区</w:t>
      </w:r>
      <w:r>
        <w:rPr>
          <w:rFonts w:hint="eastAsia" w:ascii="Times New Roman" w:hAnsi="Times New Roman" w:eastAsia="仿宋_GB2312" w:cs="Times New Roman"/>
          <w:sz w:val="32"/>
          <w:szCs w:val="24"/>
          <w:lang w:bidi="ar"/>
        </w:rPr>
        <w:t>。</w:t>
      </w:r>
    </w:p>
    <w:p w14:paraId="709B561E">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rPr>
        <w:t>全力打造出省门户枢纽承接区。</w:t>
      </w:r>
      <w:r>
        <w:rPr>
          <w:rFonts w:hint="eastAsia" w:ascii="Times New Roman" w:hAnsi="Times New Roman" w:eastAsia="仿宋_GB2312" w:cs="Times New Roman"/>
          <w:sz w:val="32"/>
          <w:szCs w:val="24"/>
        </w:rPr>
        <w:t>全力协同建设广东铁路国际物流基地石龙铁路集装箱办理站和中俄贸易产业园，争取设立中俄贸易产业园石湾片区，支持开展保税仓储、期货交割业务，推动县域副中心“公转铁”“散改集”建设，联通粤新欧班列、粤满俄班列，增加与中亚、俄罗斯、东盟和东北亚等国家和地区贸易往来。创新发展“现代物流+跨境电商”新模式，探索建设一批优质跨境电子商务产业园区，集聚跨境电商、外贸物流、国际贸易、商贸批发、第三方物流、城市配送等多种物流仓储和增值加工功能，辅以展示交易、科技研发、信息平台、商务办公等功能。推动县域副中心成为粤港澳大湾区东翼地区重要的“一带一路”枢纽口岸承接区。</w:t>
      </w:r>
    </w:p>
    <w:p w14:paraId="1243BF80">
      <w:pPr>
        <w:widowControl/>
        <w:spacing w:line="600" w:lineRule="exact"/>
        <w:ind w:firstLine="640" w:firstLineChars="200"/>
        <w:rPr>
          <w:rFonts w:ascii="Times New Roman" w:hAnsi="Times New Roman" w:eastAsia="仿宋_GB2312" w:cs="Times New Roman"/>
          <w:sz w:val="36"/>
          <w:szCs w:val="36"/>
        </w:rPr>
      </w:pPr>
      <w:r>
        <w:rPr>
          <w:rFonts w:hint="eastAsia" w:ascii="楷体_GB2312" w:hAnsi="楷体_GB2312" w:eastAsia="楷体_GB2312" w:cs="楷体_GB2312"/>
          <w:sz w:val="32"/>
          <w:szCs w:val="24"/>
        </w:rPr>
        <w:t>研究建设县域副中心通用机场。</w:t>
      </w:r>
      <w:r>
        <w:rPr>
          <w:rFonts w:hint="eastAsia" w:ascii="Times New Roman" w:hAnsi="Times New Roman" w:eastAsia="仿宋_GB2312" w:cs="Times New Roman"/>
          <w:sz w:val="32"/>
          <w:szCs w:val="24"/>
        </w:rPr>
        <w:t>规划设置县域副中心通用机场，主要开展公商务飞行、短途运输、飞行培训等业务，</w:t>
      </w:r>
      <w:r>
        <w:rPr>
          <w:rFonts w:hint="eastAsia" w:ascii="Times New Roman" w:hAnsi="Times New Roman" w:eastAsia="仿宋_GB2312" w:cs="Times New Roman"/>
          <w:sz w:val="32"/>
          <w:szCs w:val="32"/>
        </w:rPr>
        <w:t>兼顾广州白云国际机场、深圳宝安国际机场、惠州平潭机场等通用航空的旅游支线机场。引入固定基地运营商，提供航空器检测、维修、航油供应、飞行计划申请报批、航空气象、空中飞行情报等服务。开展县域副中心通用机场相关专项研究，尽快明确选址方案，邻近县域副中心通用机场规划机场物流园，发展航空物流，推动公铁空多式联运，强化对县域副中心产业的支撑。</w:t>
      </w:r>
    </w:p>
    <w:p w14:paraId="4C165C0E">
      <w:pPr>
        <w:widowControl/>
        <w:spacing w:line="600" w:lineRule="exact"/>
        <w:ind w:firstLine="640" w:firstLineChars="200"/>
        <w:rPr>
          <w:rFonts w:ascii="Times New Roman" w:hAnsi="Times New Roman" w:eastAsia="仿宋_GB2312" w:cs="Times New Roman"/>
          <w:sz w:val="32"/>
          <w:szCs w:val="24"/>
          <w:lang w:bidi="ar"/>
        </w:rPr>
      </w:pPr>
      <w:r>
        <w:rPr>
          <w:rFonts w:hint="eastAsia" w:ascii="楷体_GB2312" w:hAnsi="楷体_GB2312" w:eastAsia="楷体_GB2312" w:cs="楷体_GB2312"/>
          <w:sz w:val="32"/>
          <w:szCs w:val="24"/>
        </w:rPr>
        <w:t>协同推进东江航道扩能升级工程。</w:t>
      </w:r>
      <w:r>
        <w:rPr>
          <w:rFonts w:hint="eastAsia" w:ascii="Times New Roman" w:hAnsi="Times New Roman" w:eastAsia="仿宋_GB2312" w:cs="Times New Roman"/>
          <w:sz w:val="32"/>
          <w:szCs w:val="24"/>
        </w:rPr>
        <w:t>协同推进东江河源至石龙航道扩能升级工程（惠州市博罗县段）建设，实现东江航道达到Ⅲ级航道标准，可通航1000吨级船舶。大力发展江海联运，加快园洲、罗阳等具备江海联运条件的作业区建设。石湾以铁水联运为重点，积极融入广铁国际物流基地建设。在县域副中心研究设立</w:t>
      </w:r>
      <w:r>
        <w:rPr>
          <w:rFonts w:ascii="Times New Roman" w:hAnsi="Times New Roman" w:eastAsia="仿宋_GB2312" w:cs="Times New Roman"/>
          <w:sz w:val="32"/>
          <w:szCs w:val="24"/>
        </w:rPr>
        <w:t>无水港物流园，与广州国际港</w:t>
      </w:r>
      <w:r>
        <w:rPr>
          <w:rFonts w:hint="eastAsia" w:ascii="Times New Roman" w:hAnsi="Times New Roman" w:eastAsia="仿宋_GB2312" w:cs="Times New Roman"/>
          <w:sz w:val="32"/>
          <w:szCs w:val="24"/>
        </w:rPr>
        <w:t>、东莞石龙铁路集装箱办理站</w:t>
      </w:r>
      <w:r>
        <w:rPr>
          <w:rFonts w:ascii="Times New Roman" w:hAnsi="Times New Roman" w:eastAsia="仿宋_GB2312" w:cs="Times New Roman"/>
          <w:sz w:val="32"/>
          <w:szCs w:val="24"/>
        </w:rPr>
        <w:t>等开展公铁水联运业务</w:t>
      </w:r>
      <w:r>
        <w:rPr>
          <w:rFonts w:hint="eastAsia" w:ascii="Times New Roman" w:hAnsi="Times New Roman" w:eastAsia="仿宋_GB2312" w:cs="Times New Roman"/>
          <w:sz w:val="32"/>
          <w:szCs w:val="24"/>
        </w:rPr>
        <w:t>，完善集疏运网络，</w:t>
      </w:r>
      <w:r>
        <w:rPr>
          <w:rFonts w:ascii="Times New Roman" w:hAnsi="Times New Roman" w:eastAsia="仿宋_GB2312" w:cs="Times New Roman"/>
          <w:sz w:val="32"/>
          <w:szCs w:val="24"/>
        </w:rPr>
        <w:t>大力推广应用集装箱、厢式半挂车等标准化运载单元和货运车辆，提升</w:t>
      </w:r>
      <w:r>
        <w:rPr>
          <w:rFonts w:hint="eastAsia" w:ascii="Times New Roman" w:hAnsi="Times New Roman" w:eastAsia="仿宋_GB2312" w:cs="Times New Roman"/>
          <w:sz w:val="32"/>
          <w:szCs w:val="24"/>
        </w:rPr>
        <w:t>县域副中心</w:t>
      </w:r>
      <w:r>
        <w:rPr>
          <w:rFonts w:ascii="Times New Roman" w:hAnsi="Times New Roman" w:eastAsia="仿宋_GB2312" w:cs="Times New Roman"/>
          <w:sz w:val="32"/>
          <w:szCs w:val="24"/>
        </w:rPr>
        <w:t>物流服务能力和运行效率</w:t>
      </w:r>
      <w:r>
        <w:rPr>
          <w:rFonts w:hint="eastAsia" w:ascii="Times New Roman" w:hAnsi="Times New Roman" w:eastAsia="仿宋_GB2312" w:cs="Times New Roman"/>
          <w:sz w:val="32"/>
          <w:szCs w:val="24"/>
          <w:lang w:bidi="ar"/>
        </w:rPr>
        <w:t>。</w:t>
      </w:r>
    </w:p>
    <w:p w14:paraId="10D654AA">
      <w:pPr>
        <w:widowControl/>
        <w:spacing w:line="600" w:lineRule="exact"/>
        <w:ind w:firstLine="640" w:firstLineChars="200"/>
        <w:rPr>
          <w:rFonts w:ascii="Times New Roman" w:hAnsi="Times New Roman" w:eastAsia="仿宋_GB2312" w:cs="Times New Roman"/>
          <w:szCs w:val="24"/>
          <w:lang w:bidi="ar"/>
        </w:rPr>
      </w:pPr>
      <w:r>
        <w:rPr>
          <w:rFonts w:hint="eastAsia" w:ascii="楷体_GB2312" w:hAnsi="楷体_GB2312" w:eastAsia="楷体_GB2312" w:cs="楷体_GB2312"/>
          <w:sz w:val="32"/>
          <w:szCs w:val="24"/>
          <w:lang w:bidi="ar"/>
        </w:rPr>
        <w:t>融入轨道上的大湾区建设。</w:t>
      </w:r>
      <w:r>
        <w:rPr>
          <w:rFonts w:hint="eastAsia" w:ascii="Times New Roman" w:hAnsi="Times New Roman" w:eastAsia="仿宋_GB2312" w:cs="Times New Roman"/>
          <w:color w:val="000000"/>
          <w:kern w:val="0"/>
          <w:sz w:val="32"/>
          <w:szCs w:val="32"/>
        </w:rPr>
        <w:t>研究预留广深城际东莞站—县域副中心—广汕铁路罗浮山站的莞博城际铁路通道，</w:t>
      </w:r>
      <w:r>
        <w:rPr>
          <w:rFonts w:hint="eastAsia" w:ascii="Times New Roman" w:hAnsi="Times New Roman" w:eastAsia="仿宋_GB2312" w:cs="Times New Roman"/>
          <w:sz w:val="32"/>
          <w:szCs w:val="24"/>
          <w:lang w:bidi="ar"/>
        </w:rPr>
        <w:t>做好远景预留广州地铁28号线支线、预留东莞地铁5号线、惠州市地铁3号线引入县域副中心线位通道，推动博罗县域副中心共建共享轨道上的大湾区，加快融入广深港“半小时优质生活圈”。</w:t>
      </w:r>
    </w:p>
    <w:p w14:paraId="097AAD7E">
      <w:pPr>
        <w:pStyle w:val="4"/>
        <w:keepNext w:val="0"/>
        <w:keepLines w:val="0"/>
        <w:numPr>
          <w:ilvl w:val="1"/>
          <w:numId w:val="1"/>
        </w:numPr>
        <w:spacing w:before="0" w:after="0" w:line="360" w:lineRule="auto"/>
        <w:ind w:firstLine="640" w:firstLineChars="200"/>
        <w:jc w:val="center"/>
        <w:rPr>
          <w:rFonts w:ascii="Times New Roman" w:hAnsi="Times New Roman" w:eastAsia="黑体"/>
          <w:b w:val="0"/>
          <w:bCs w:val="0"/>
        </w:rPr>
      </w:pPr>
      <w:bookmarkStart w:id="124" w:name="_Toc9812"/>
      <w:bookmarkStart w:id="125" w:name="_Toc198247245"/>
      <w:r>
        <w:rPr>
          <w:rFonts w:hint="eastAsia" w:ascii="Times New Roman" w:hAnsi="Times New Roman" w:eastAsia="黑体"/>
          <w:b w:val="0"/>
          <w:bCs w:val="0"/>
        </w:rPr>
        <w:t>畅通跨界共享、区域协同的开放通道</w:t>
      </w:r>
      <w:bookmarkEnd w:id="124"/>
      <w:bookmarkEnd w:id="125"/>
    </w:p>
    <w:p w14:paraId="425E62EF">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畅通县域副中心与东莞市区、广州增城区、罗浮山风景名胜区和博罗县城的跨界共享、区域协同的开放合作通道，提升县域副中心区域交通运输服务能级。</w:t>
      </w:r>
    </w:p>
    <w:p w14:paraId="3A065273">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lang w:bidi="ar"/>
        </w:rPr>
        <w:t>突出南向通道。</w:t>
      </w:r>
      <w:r>
        <w:rPr>
          <w:rFonts w:hint="eastAsia" w:ascii="Times New Roman" w:hAnsi="Times New Roman" w:eastAsia="仿宋_GB2312" w:cs="Times New Roman"/>
          <w:sz w:val="32"/>
          <w:szCs w:val="24"/>
          <w:lang w:bidi="ar"/>
        </w:rPr>
        <w:t>以促进县域副中心与东莞经济板块紧密融合发展为目标，进一步优化过江通道布局，</w:t>
      </w:r>
      <w:r>
        <w:rPr>
          <w:rFonts w:hint="eastAsia" w:ascii="Times New Roman" w:hAnsi="Times New Roman" w:eastAsia="仿宋_GB2312" w:cs="Times New Roman"/>
          <w:sz w:val="32"/>
          <w:szCs w:val="24"/>
        </w:rPr>
        <w:t>织密过江通道，</w:t>
      </w:r>
      <w:r>
        <w:rPr>
          <w:rFonts w:hint="eastAsia" w:ascii="Times New Roman" w:hAnsi="Times New Roman" w:eastAsia="仿宋_GB2312" w:cs="Times New Roman"/>
          <w:sz w:val="32"/>
          <w:szCs w:val="24"/>
          <w:lang w:bidi="ar"/>
        </w:rPr>
        <w:t>提升跨江交通支撑能力。</w:t>
      </w:r>
      <w:r>
        <w:rPr>
          <w:rFonts w:hint="eastAsia" w:ascii="Times New Roman" w:hAnsi="Times New Roman" w:eastAsia="仿宋_GB2312" w:cs="Times New Roman"/>
          <w:sz w:val="32"/>
          <w:szCs w:val="24"/>
        </w:rPr>
        <w:t>加快推动石湾大桥、石洲大桥、罗浮山大桥改建重建工程建设，从莞深高速园洲南互通落地建设，谋划园洲东江大桥过江通道，畅通东江南北两岸互联互通，实现“东莞工作、博罗生活”双城模式，共同打造松山湖—东江—沙河高质量发展带新格局。</w:t>
      </w:r>
    </w:p>
    <w:p w14:paraId="1F95E7A3">
      <w:pPr>
        <w:widowControl/>
        <w:spacing w:line="600" w:lineRule="exact"/>
        <w:ind w:firstLine="640" w:firstLineChars="200"/>
        <w:rPr>
          <w:rFonts w:ascii="Times New Roman" w:hAnsi="Times New Roman" w:eastAsia="仿宋_GB2312" w:cs="Times New Roman"/>
          <w:sz w:val="32"/>
          <w:szCs w:val="24"/>
          <w:lang w:bidi="ar"/>
        </w:rPr>
      </w:pPr>
      <w:r>
        <w:rPr>
          <w:rFonts w:hint="eastAsia" w:ascii="楷体_GB2312" w:hAnsi="楷体_GB2312" w:eastAsia="楷体_GB2312" w:cs="楷体_GB2312"/>
          <w:sz w:val="32"/>
          <w:szCs w:val="24"/>
          <w:lang w:bidi="ar"/>
        </w:rPr>
        <w:t>拓展西向通道。</w:t>
      </w:r>
      <w:r>
        <w:rPr>
          <w:rFonts w:hint="eastAsia" w:ascii="Times New Roman" w:hAnsi="Times New Roman" w:eastAsia="仿宋_GB2312" w:cs="Times New Roman"/>
          <w:sz w:val="32"/>
          <w:szCs w:val="24"/>
          <w:lang w:bidi="ar"/>
        </w:rPr>
        <w:t>以集中解决广博跨界地区通而不畅问题为导向，优先推动惠肇高速增城至博罗段、省道S379线－石园快线和东西大道－石湾环城路“一高两快”通道建设，强化县域副中心与广州东部中心发展联系。研究畅通出省陆铁通道，依托广九铁路、广深铁路，中俄贸易产业园，对接粤新欧班列、粤满俄班列，探索发展“飞地港”“内陆无水港”，加快建设现代物流园区网络和疏港集疏运体系，推进“公铁水空”多式联运发展，加强丝绸之路经济带沿线国家和城市协作。</w:t>
      </w:r>
    </w:p>
    <w:p w14:paraId="54E4143B">
      <w:pPr>
        <w:widowControl/>
        <w:spacing w:line="600" w:lineRule="exact"/>
        <w:ind w:firstLine="640" w:firstLineChars="200"/>
        <w:rPr>
          <w:rFonts w:ascii="Times New Roman" w:hAnsi="Times New Roman" w:eastAsia="仿宋_GB2312" w:cs="Times New Roman"/>
          <w:sz w:val="32"/>
          <w:szCs w:val="24"/>
          <w:lang w:bidi="ar"/>
        </w:rPr>
      </w:pPr>
      <w:r>
        <w:rPr>
          <w:rFonts w:hint="eastAsia" w:ascii="楷体_GB2312" w:hAnsi="楷体_GB2312" w:eastAsia="楷体_GB2312" w:cs="楷体_GB2312"/>
          <w:sz w:val="32"/>
          <w:szCs w:val="24"/>
          <w:lang w:bidi="ar"/>
        </w:rPr>
        <w:t>强化北向通道。</w:t>
      </w:r>
      <w:r>
        <w:rPr>
          <w:rFonts w:hint="eastAsia" w:ascii="Times New Roman" w:hAnsi="Times New Roman" w:eastAsia="仿宋_GB2312" w:cs="Times New Roman"/>
          <w:sz w:val="32"/>
          <w:szCs w:val="24"/>
          <w:lang w:bidi="ar"/>
        </w:rPr>
        <w:t>以建设环“南昆山-罗浮山”引领区枢纽门户为目标，畅通港深莞都市经济区与生态发展区的快进漫游通道，重点推进东坡大道、福石公路、时尚大道、福园公路等新建、改建提升工程建设，连通旅游景区、综合服务区、休闲驿站、房车营地、田园综合体、休闲采摘园、农家乐、乡村酒店（民宿）等主要景点和网红打卡点，构建“公交+生态+文化”的观光旅游新模式，协同规划建设成环“南昆山—罗浮山”引领区南部旅游集散中心。</w:t>
      </w:r>
    </w:p>
    <w:p w14:paraId="4CE9083B">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lang w:bidi="ar"/>
        </w:rPr>
        <w:t>优化东西通道。</w:t>
      </w:r>
      <w:r>
        <w:rPr>
          <w:rFonts w:hint="eastAsia" w:ascii="Times New Roman" w:hAnsi="Times New Roman" w:eastAsia="仿宋_GB2312" w:cs="Times New Roman"/>
          <w:sz w:val="32"/>
          <w:szCs w:val="24"/>
          <w:lang w:bidi="ar"/>
        </w:rPr>
        <w:t>以加快县城-县域副中心一体化发展为导向，重点推进惠肇高速公路（博罗段）、振兴大道、广惠快线、东江大道规划建设，有序推进广惠高速、国道 G324线（原广汕公路）改扩建，适时改造升级县道 X216 延长线、县道X193线、县道HZ047线，织密“县城-县域副中心”“双城”东西向通道</w:t>
      </w:r>
      <w:r>
        <w:rPr>
          <w:rFonts w:hint="eastAsia" w:ascii="Times New Roman" w:hAnsi="Times New Roman" w:eastAsia="仿宋_GB2312" w:cs="Times New Roman"/>
          <w:sz w:val="32"/>
          <w:szCs w:val="24"/>
        </w:rPr>
        <w:t>，加强与县城在基础设施、现代产业、生态环境、公共服务、乡村振兴等方面的衔接共进，探索构建一体化发展长效机制，推动形成协同共荣的城镇化新格局。</w:t>
      </w:r>
    </w:p>
    <w:p w14:paraId="22ED8F62">
      <w:pPr>
        <w:pStyle w:val="4"/>
        <w:keepNext w:val="0"/>
        <w:keepLines w:val="0"/>
        <w:numPr>
          <w:ilvl w:val="1"/>
          <w:numId w:val="1"/>
        </w:numPr>
        <w:spacing w:before="0" w:after="0" w:line="360" w:lineRule="auto"/>
        <w:ind w:firstLine="640" w:firstLineChars="200"/>
        <w:jc w:val="center"/>
        <w:rPr>
          <w:rFonts w:ascii="Times New Roman" w:hAnsi="Times New Roman" w:eastAsia="黑体"/>
          <w:b w:val="0"/>
          <w:bCs w:val="0"/>
        </w:rPr>
      </w:pPr>
      <w:bookmarkStart w:id="126" w:name="_Toc25205"/>
      <w:bookmarkStart w:id="127" w:name="_Toc198247246"/>
      <w:r>
        <w:rPr>
          <w:rFonts w:hint="eastAsia" w:ascii="Times New Roman" w:hAnsi="Times New Roman" w:eastAsia="黑体"/>
          <w:b w:val="0"/>
          <w:bCs w:val="0"/>
        </w:rPr>
        <w:t>建设活力开放、高效便捷的城市交通</w:t>
      </w:r>
      <w:bookmarkEnd w:id="126"/>
      <w:bookmarkEnd w:id="127"/>
    </w:p>
    <w:p w14:paraId="0EA2752D">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规划形成“两横一纵”高速公路网。</w:t>
      </w:r>
      <w:r>
        <w:rPr>
          <w:rFonts w:hint="eastAsia" w:ascii="Times New Roman" w:hAnsi="Times New Roman" w:eastAsia="仿宋_GB2312" w:cs="Times New Roman"/>
          <w:sz w:val="32"/>
          <w:szCs w:val="24"/>
        </w:rPr>
        <w:t>“两横”为广惠高速、惠肇高速，“一纵”从莞深高速，提升高等级公路综合供给能力，形成7个高速出入口服务县域副中心，实现10分钟可连接高速公路，全面融入粤港澳大湾区“1小时通勤圈”。</w:t>
      </w:r>
    </w:p>
    <w:p w14:paraId="0975F945">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有序推动国省县干道提档升级。</w:t>
      </w:r>
      <w:r>
        <w:rPr>
          <w:rFonts w:hint="eastAsia" w:ascii="Times New Roman" w:hAnsi="Times New Roman" w:eastAsia="仿宋_GB2312" w:cs="Times New Roman"/>
          <w:sz w:val="32"/>
          <w:szCs w:val="24"/>
        </w:rPr>
        <w:t>有序推进国道G324线、省道S122线、县道X193线、县道X194线、县道X195线、县道X216线提档升级。规划形成1条国道、1条省道、4条县道的干线公路网络，实现县域副中心与博罗县城、新长宁镇等“30分钟交通圈”。</w:t>
      </w:r>
    </w:p>
    <w:p w14:paraId="0DE88F35">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优化形成“七横十纵”城市骨干路网。</w:t>
      </w:r>
      <w:r>
        <w:rPr>
          <w:rFonts w:hint="eastAsia" w:ascii="Times New Roman" w:hAnsi="Times New Roman" w:eastAsia="仿宋_GB2312" w:cs="Times New Roman"/>
          <w:sz w:val="32"/>
          <w:szCs w:val="24"/>
        </w:rPr>
        <w:t>“七横”为国道G324线、园洲环城北路—石湾科技路、振兴大道、石园快线、园洲大道、石湾沿河路、园洲沿江路，“十纵”为石湾环城路、明月大道、兴业大道、石湾大道、将军路、和安大道、水电路、福园路、东坡大道和时尚大道。主干路红线宽度为40—90米，至2035 年，县域副中心建成区主干路网密度达1.8公里/平方公里。部分主干路兼具快速路功能，与快速路形成路网骨架，实现县域副中心与相邻城市间以及组团间的快速联系，全面提升县域副中心人口吸纳力、产业承载力和要素集聚力。</w:t>
      </w:r>
    </w:p>
    <w:p w14:paraId="2DCA8E24">
      <w:pPr>
        <w:pStyle w:val="18"/>
        <w:spacing w:line="600" w:lineRule="exact"/>
        <w:ind w:firstLine="640"/>
        <w:rPr>
          <w:rFonts w:hint="eastAsia"/>
        </w:rPr>
      </w:pPr>
      <w:r>
        <w:rPr>
          <w:rFonts w:hint="eastAsia" w:ascii="Times New Roman" w:hAnsi="Times New Roman" w:eastAsia="楷体_GB2312" w:cs="楷体_GB2312"/>
          <w:sz w:val="32"/>
          <w:szCs w:val="24"/>
        </w:rPr>
        <w:t>加密形成方格网状次支路系统。</w:t>
      </w:r>
      <w:r>
        <w:rPr>
          <w:rFonts w:hint="eastAsia" w:ascii="Times New Roman" w:hAnsi="Times New Roman" w:cs="Times New Roman"/>
          <w:sz w:val="32"/>
          <w:szCs w:val="24"/>
        </w:rPr>
        <w:t>打通断头路、拓宽瓶颈路，推动形成尺度宜人、活力开放、快慢相宜的次干路系统。次干路红线宽度为24—30米，至2035年，县域副中心建成区次干路网密度达2.4公里/平方公里。在下层次规划中根据县域副中心功能分区，因地制宜布局支路网，支路红线宽度为12—24米，按照相关规范控制街区尺度和路网密度，工业区、物流园区整体路网密度不低于4.0公里/平方公里，居住区整体路网密度不低于8.0公里/平方公里，激活道路微循环系统，创造活跃的沿街界面，增强县域副中心的集散能力和交通可达性。</w:t>
      </w:r>
    </w:p>
    <w:p w14:paraId="4EBBC329">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建设“四好农村路”。</w:t>
      </w:r>
      <w:r>
        <w:rPr>
          <w:rFonts w:hint="eastAsia" w:ascii="Times New Roman" w:hAnsi="Times New Roman" w:eastAsia="仿宋_GB2312" w:cs="Times New Roman"/>
          <w:sz w:val="32"/>
          <w:szCs w:val="24"/>
        </w:rPr>
        <w:t>提高农村公路覆盖率和连通性，县域副中心各级中心区与行政村间至少有1条二级公路连通。加强镇村慢行体系建设，净化镇村交通环境，鼓励文旅特色村庄因地制宜设置公共停车区域，提升镇村交通设施服务水平，满足步行、自行车、照明、排水和绿化要求。</w:t>
      </w:r>
    </w:p>
    <w:p w14:paraId="143ACBB2">
      <w:pPr>
        <w:pStyle w:val="4"/>
        <w:keepNext w:val="0"/>
        <w:keepLines w:val="0"/>
        <w:numPr>
          <w:ilvl w:val="1"/>
          <w:numId w:val="1"/>
        </w:numPr>
        <w:spacing w:before="0" w:after="0" w:line="360" w:lineRule="auto"/>
        <w:ind w:firstLine="640" w:firstLineChars="200"/>
        <w:jc w:val="center"/>
        <w:rPr>
          <w:rFonts w:ascii="Times New Roman" w:hAnsi="Times New Roman" w:eastAsia="黑体"/>
          <w:b w:val="0"/>
          <w:bCs w:val="0"/>
        </w:rPr>
      </w:pPr>
      <w:bookmarkStart w:id="128" w:name="_Toc26147"/>
      <w:bookmarkStart w:id="129" w:name="_Toc198247247"/>
      <w:r>
        <w:rPr>
          <w:rFonts w:hint="eastAsia" w:ascii="Times New Roman" w:hAnsi="Times New Roman" w:eastAsia="黑体"/>
          <w:b w:val="0"/>
          <w:bCs w:val="0"/>
        </w:rPr>
        <w:t>构建干支结合、多元复合的公交体系</w:t>
      </w:r>
      <w:bookmarkEnd w:id="128"/>
      <w:bookmarkEnd w:id="129"/>
    </w:p>
    <w:p w14:paraId="2EA5304D">
      <w:pPr>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构建“干线+支线”公交网络。</w:t>
      </w:r>
      <w:r>
        <w:rPr>
          <w:rFonts w:hint="eastAsia" w:ascii="Times New Roman" w:hAnsi="Times New Roman" w:eastAsia="仿宋_GB2312" w:cs="Times New Roman"/>
          <w:sz w:val="32"/>
          <w:szCs w:val="24"/>
        </w:rPr>
        <w:t>干线服务县域副中心与广州增城、东莞市区、博罗县城等周边重要组团之间的出行，支线服务各组团间的出行，灵活设置线路，站点深入村镇、产业园区和居住社区。以公交枢纽为中心组织线网，从“点对点”模式向“干-支线换乘”模式转变。鼓励发展特色快速公交线路，满足多元化高品质公交出行需求。以乘客为中心，结合特定需求，灵活设置公交线路，提供定制公交、即时响应公交等多元公交服务。至2035年，建成区公交站点500米覆盖率达100%。公交分担率达30%以上。</w:t>
      </w:r>
    </w:p>
    <w:p w14:paraId="123ABC23">
      <w:pPr>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因地制宜发展水上公交。</w:t>
      </w:r>
      <w:r>
        <w:rPr>
          <w:rFonts w:hint="eastAsia" w:ascii="Times New Roman" w:hAnsi="Times New Roman" w:eastAsia="仿宋_GB2312" w:cs="Times New Roman"/>
          <w:sz w:val="32"/>
          <w:szCs w:val="24"/>
        </w:rPr>
        <w:t>结合罗浮山历史文化游径规划建设，有序开通东江、沙河两条水上公交线路，打造服务旅游、生活、通勤、休闲等多样化出行的水上公交，码头设置与交通枢纽、慢行廊道无缝衔接。</w:t>
      </w:r>
    </w:p>
    <w:p w14:paraId="72504D19">
      <w:pPr>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加强公交枢纽设施建设，</w:t>
      </w:r>
      <w:r>
        <w:rPr>
          <w:rFonts w:hint="eastAsia" w:ascii="Times New Roman" w:hAnsi="Times New Roman" w:eastAsia="仿宋_GB2312" w:cs="Times New Roman"/>
          <w:sz w:val="32"/>
          <w:szCs w:val="24"/>
        </w:rPr>
        <w:t>合理规划设置公交首末站等场站设施。促进公交场站设施综合利用，推进用地集约利用，保障场站建设落地。</w:t>
      </w:r>
    </w:p>
    <w:p w14:paraId="0DAAB5BD">
      <w:pPr>
        <w:pStyle w:val="4"/>
        <w:keepNext w:val="0"/>
        <w:keepLines w:val="0"/>
        <w:numPr>
          <w:ilvl w:val="1"/>
          <w:numId w:val="1"/>
        </w:numPr>
        <w:spacing w:before="0" w:after="0" w:line="360" w:lineRule="auto"/>
        <w:ind w:firstLine="0"/>
        <w:jc w:val="center"/>
        <w:rPr>
          <w:rFonts w:hint="eastAsia" w:ascii="Times New Roman" w:hAnsi="Times New Roman" w:eastAsia="黑体"/>
        </w:rPr>
      </w:pPr>
      <w:bookmarkStart w:id="130" w:name="_Toc198247248"/>
      <w:bookmarkStart w:id="131" w:name="_Toc8668"/>
      <w:r>
        <w:rPr>
          <w:rFonts w:hint="eastAsia" w:ascii="Times New Roman" w:hAnsi="Times New Roman" w:eastAsia="黑体"/>
          <w:b w:val="0"/>
          <w:bCs w:val="0"/>
        </w:rPr>
        <w:t>构筑环城串绿、城野交融的游憩系统</w:t>
      </w:r>
      <w:bookmarkEnd w:id="130"/>
      <w:bookmarkEnd w:id="131"/>
    </w:p>
    <w:p w14:paraId="690ADEA9">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lang w:bidi="ar"/>
        </w:rPr>
        <w:t>营建远足易达，骑行连续的慢行系统。</w:t>
      </w:r>
      <w:r>
        <w:rPr>
          <w:rFonts w:hint="eastAsia" w:ascii="Times New Roman" w:hAnsi="Times New Roman" w:eastAsia="仿宋_GB2312" w:cs="Times New Roman"/>
          <w:sz w:val="32"/>
          <w:szCs w:val="24"/>
          <w:lang w:bidi="ar"/>
        </w:rPr>
        <w:t>创造安全、舒适的步行和骑行环境，发挥步行和自行车在中短距离出行和公共交通接驳换乘中的主体作用。县域副中心除快速路外，各等级城市道路应设置人行道和自行车道，其中单侧人行道宽度不宜小于</w:t>
      </w:r>
      <w:r>
        <w:rPr>
          <w:rFonts w:ascii="Times New Roman" w:hAnsi="Times New Roman" w:eastAsia="仿宋_GB2312" w:cs="Times New Roman"/>
          <w:sz w:val="32"/>
          <w:szCs w:val="24"/>
          <w:lang w:bidi="ar"/>
        </w:rPr>
        <w:t>2</w:t>
      </w:r>
      <w:r>
        <w:rPr>
          <w:rFonts w:hint="eastAsia" w:ascii="Times New Roman" w:hAnsi="Times New Roman" w:eastAsia="仿宋_GB2312" w:cs="Times New Roman"/>
          <w:sz w:val="32"/>
          <w:szCs w:val="24"/>
          <w:lang w:bidi="ar"/>
        </w:rPr>
        <w:t>米，非机动车道宽度不宜小于</w:t>
      </w:r>
      <w:r>
        <w:rPr>
          <w:rFonts w:ascii="Times New Roman" w:hAnsi="Times New Roman" w:eastAsia="仿宋_GB2312" w:cs="Times New Roman"/>
          <w:sz w:val="32"/>
          <w:szCs w:val="24"/>
          <w:lang w:bidi="ar"/>
        </w:rPr>
        <w:t>2.5</w:t>
      </w:r>
      <w:r>
        <w:rPr>
          <w:rFonts w:hint="eastAsia" w:ascii="Times New Roman" w:hAnsi="Times New Roman" w:eastAsia="仿宋_GB2312" w:cs="Times New Roman"/>
          <w:sz w:val="32"/>
          <w:szCs w:val="24"/>
          <w:lang w:bidi="ar"/>
        </w:rPr>
        <w:t>米，综合性慢行道宽度不宜小于</w:t>
      </w:r>
      <w:r>
        <w:rPr>
          <w:rFonts w:ascii="Times New Roman" w:hAnsi="Times New Roman" w:eastAsia="仿宋_GB2312" w:cs="Times New Roman"/>
          <w:sz w:val="32"/>
          <w:szCs w:val="24"/>
          <w:lang w:bidi="ar"/>
        </w:rPr>
        <w:t>3</w:t>
      </w:r>
      <w:r>
        <w:rPr>
          <w:rFonts w:hint="eastAsia" w:ascii="Times New Roman" w:hAnsi="Times New Roman" w:eastAsia="仿宋_GB2312" w:cs="Times New Roman"/>
          <w:sz w:val="32"/>
          <w:szCs w:val="24"/>
          <w:lang w:bidi="ar"/>
        </w:rPr>
        <w:t>米，构建连续安全、多样化的步行和自行车网络体系，提高沿线配套设施水平。差异化设计街区尺度，居住片区应重点考虑步行和自行车的连通条件，实现快慢有序，满足县域副中心居民通勤和休闲需求。近期衔接环“南昆山—罗浮山”引领区最美旅游公路，沿沙河两岸打造长度约</w:t>
      </w:r>
      <w:r>
        <w:rPr>
          <w:rFonts w:ascii="Times New Roman" w:hAnsi="Times New Roman" w:eastAsia="仿宋_GB2312" w:cs="Times New Roman"/>
          <w:sz w:val="32"/>
          <w:szCs w:val="24"/>
          <w:lang w:bidi="ar"/>
        </w:rPr>
        <w:t>50</w:t>
      </w:r>
      <w:r>
        <w:rPr>
          <w:rFonts w:hint="eastAsia" w:ascii="Times New Roman" w:hAnsi="Times New Roman" w:eastAsia="仿宋_GB2312" w:cs="Times New Roman"/>
          <w:sz w:val="32"/>
          <w:szCs w:val="24"/>
          <w:lang w:bidi="ar"/>
        </w:rPr>
        <w:t>公里的最美旅游公路县域副中心支线，至</w:t>
      </w:r>
      <w:r>
        <w:rPr>
          <w:rFonts w:ascii="Times New Roman" w:hAnsi="Times New Roman" w:eastAsia="仿宋_GB2312" w:cs="Times New Roman"/>
          <w:sz w:val="32"/>
          <w:szCs w:val="24"/>
          <w:lang w:bidi="ar"/>
        </w:rPr>
        <w:t>2035</w:t>
      </w:r>
      <w:r>
        <w:rPr>
          <w:rFonts w:hint="eastAsia" w:ascii="Times New Roman" w:hAnsi="Times New Roman" w:eastAsia="仿宋_GB2312" w:cs="Times New Roman"/>
          <w:sz w:val="32"/>
          <w:szCs w:val="24"/>
          <w:lang w:bidi="ar"/>
        </w:rPr>
        <w:t>年，县域副中心绿色出行比例达到</w:t>
      </w:r>
      <w:r>
        <w:rPr>
          <w:rFonts w:ascii="Times New Roman" w:hAnsi="Times New Roman" w:eastAsia="仿宋_GB2312" w:cs="Times New Roman"/>
          <w:sz w:val="32"/>
          <w:szCs w:val="24"/>
          <w:lang w:bidi="ar"/>
        </w:rPr>
        <w:t>60%</w:t>
      </w:r>
      <w:r>
        <w:rPr>
          <w:rFonts w:hint="eastAsia" w:ascii="Times New Roman" w:hAnsi="Times New Roman" w:eastAsia="仿宋_GB2312" w:cs="Times New Roman"/>
          <w:sz w:val="32"/>
          <w:szCs w:val="24"/>
          <w:lang w:bidi="ar"/>
        </w:rPr>
        <w:t>。</w:t>
      </w:r>
    </w:p>
    <w:p w14:paraId="610CF2C7">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营建通山达江、多样体验的风景链接道。</w:t>
      </w:r>
      <w:r>
        <w:rPr>
          <w:rFonts w:hint="eastAsia" w:ascii="Times New Roman" w:hAnsi="Times New Roman" w:eastAsia="仿宋_GB2312" w:cs="Times New Roman"/>
          <w:sz w:val="32"/>
          <w:szCs w:val="24"/>
        </w:rPr>
        <w:t>彰显县域副中心优越的生态本底和丰富的山水景观资源，打造风景如画、多样体验的全域风景道体系。结合沙河、铁场排渠、里波水等主要河流水系，打造风景如画、多样体验的区域性风景道系统。至 2035年，县域副中心新建包括沙河风景道、里波水风景道、铁场排渠风景道等3条风景道约80公里，链接周边区域和县域副中心内主要的特色村落、人文资源点和公共开敞空间，同时兼具开展马拉松、骑行赛等功能。城乡居民可通过风景道舒适、便捷地到达各个资源点，提高县域副中心与罗浮山生态绿心的彰显度和可达性。</w:t>
      </w:r>
    </w:p>
    <w:p w14:paraId="48CAA006">
      <w:pPr>
        <w:spacing w:line="600" w:lineRule="exact"/>
        <w:ind w:firstLine="640" w:firstLineChars="200"/>
        <w:rPr>
          <w:rFonts w:ascii="Times New Roman" w:hAnsi="Times New Roman" w:eastAsia="仿宋_GB2312" w:cs="仿宋_GB2312"/>
          <w:color w:val="0000FF"/>
          <w:kern w:val="0"/>
          <w:sz w:val="32"/>
          <w:szCs w:val="32"/>
        </w:rPr>
      </w:pPr>
      <w:r>
        <w:rPr>
          <w:rFonts w:hint="eastAsia" w:ascii="Times New Roman" w:hAnsi="Times New Roman" w:eastAsia="楷体_GB2312" w:cs="楷体_GB2312"/>
          <w:sz w:val="32"/>
          <w:szCs w:val="24"/>
        </w:rPr>
        <w:t>完善近水可憩、远足自然的碧道、绿道网。</w:t>
      </w:r>
      <w:r>
        <w:rPr>
          <w:rFonts w:hint="eastAsia" w:ascii="Times New Roman" w:hAnsi="Times New Roman" w:eastAsia="仿宋_GB2312" w:cs="Times New Roman"/>
          <w:sz w:val="32"/>
          <w:szCs w:val="24"/>
        </w:rPr>
        <w:t>持续推进省立3号线东江绿道、省立5号线罗浮山绿道建设，总长度约37.1公里，稳步推进水清岸绿、河畅景美沙河碧道建设，在县域副中心内的河边、湖边、镇边、园区边建设若干条城市级绿道，以灵活适度、功能多元、系统整体为原则进行布局，串联蓝色珠链和各类公园，成为具有景观游憩功能的线性开敞空间。主要功能包括景观游憩、运动健康、生态保护、低碳出行、文化展现等。</w:t>
      </w:r>
    </w:p>
    <w:p w14:paraId="2069D6F4">
      <w:pPr>
        <w:pStyle w:val="4"/>
        <w:keepNext w:val="0"/>
        <w:keepLines w:val="0"/>
        <w:numPr>
          <w:ilvl w:val="1"/>
          <w:numId w:val="1"/>
        </w:numPr>
        <w:spacing w:before="0" w:after="0" w:line="360" w:lineRule="auto"/>
        <w:ind w:firstLine="640" w:firstLineChars="200"/>
        <w:jc w:val="center"/>
        <w:rPr>
          <w:rFonts w:ascii="Times New Roman" w:hAnsi="Times New Roman" w:eastAsia="黑体"/>
          <w:b w:val="0"/>
          <w:bCs w:val="0"/>
        </w:rPr>
      </w:pPr>
      <w:bookmarkStart w:id="132" w:name="_Toc3479"/>
      <w:bookmarkStart w:id="133" w:name="_Toc198247249"/>
      <w:r>
        <w:rPr>
          <w:rFonts w:hint="eastAsia" w:ascii="Times New Roman" w:hAnsi="Times New Roman" w:eastAsia="黑体"/>
          <w:b w:val="0"/>
          <w:bCs w:val="0"/>
        </w:rPr>
        <w:t>提升换乘便捷、品质出行的交通服务</w:t>
      </w:r>
      <w:bookmarkEnd w:id="132"/>
      <w:bookmarkEnd w:id="133"/>
    </w:p>
    <w:p w14:paraId="17682124">
      <w:pPr>
        <w:spacing w:line="600" w:lineRule="atLeas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完善停车管理。</w:t>
      </w:r>
      <w:r>
        <w:rPr>
          <w:rFonts w:hint="eastAsia" w:ascii="Times New Roman" w:hAnsi="Times New Roman" w:eastAsia="仿宋_GB2312" w:cs="Times New Roman"/>
          <w:sz w:val="32"/>
          <w:szCs w:val="24"/>
        </w:rPr>
        <w:t>坚持配建停车位为主、社会公共停车场为辅、路内停车为补充的基本原则，实行差别化停车管理策略。建成区采用共享车位、路内停车位、公共停车场等方式缓解居住停车压力。新建区严格遵循机动车停车配建标准，避免产生新的停车缺口。鼓励公共停车场与其他用地复合利用，利用智能科技手段提升停车位使用效率。全面整治停车环境，严格管理路内停车。医院、学校、交通客运枢纽及其他客流集中的公共场所应在用地内设置上下客、装卸货区域。</w:t>
      </w:r>
    </w:p>
    <w:p w14:paraId="10CC1508">
      <w:pPr>
        <w:spacing w:line="600" w:lineRule="atLeas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完善能源供给设施。</w:t>
      </w:r>
      <w:r>
        <w:rPr>
          <w:rFonts w:hint="eastAsia" w:ascii="Times New Roman" w:hAnsi="Times New Roman" w:eastAsia="仿宋_GB2312" w:cs="Times New Roman"/>
          <w:sz w:val="32"/>
          <w:szCs w:val="24"/>
        </w:rPr>
        <w:t>合理配置建设充电桩、加气站等配套设施，</w:t>
      </w:r>
      <w:r>
        <w:rPr>
          <w:rFonts w:hint="eastAsia" w:ascii="Times New Roman" w:hAnsi="Times New Roman" w:eastAsia="仿宋_GB2312" w:cs="楷体_GB2312"/>
          <w:kern w:val="0"/>
          <w:sz w:val="32"/>
          <w:szCs w:val="28"/>
        </w:rPr>
        <w:t>规划新建住宅停车场、汽车库按照不低于</w:t>
      </w:r>
      <w:r>
        <w:rPr>
          <w:rFonts w:ascii="Times New Roman" w:hAnsi="Times New Roman" w:eastAsia="仿宋_GB2312" w:cs="楷体_GB2312"/>
          <w:kern w:val="0"/>
          <w:sz w:val="32"/>
          <w:szCs w:val="28"/>
        </w:rPr>
        <w:t>10%</w:t>
      </w:r>
      <w:r>
        <w:rPr>
          <w:rFonts w:hint="eastAsia" w:ascii="Times New Roman" w:hAnsi="Times New Roman" w:eastAsia="仿宋_GB2312" w:cs="楷体_GB2312"/>
          <w:kern w:val="0"/>
          <w:sz w:val="32"/>
          <w:szCs w:val="28"/>
        </w:rPr>
        <w:t>的比例建设安装充电设施。新建城市公共停车场以及新建办公楼、商场、酒店等公共建筑类项目配建的停车场、汽车库按照不低于</w:t>
      </w:r>
      <w:r>
        <w:rPr>
          <w:rFonts w:ascii="Times New Roman" w:hAnsi="Times New Roman" w:eastAsia="仿宋_GB2312" w:cs="楷体_GB2312"/>
          <w:kern w:val="0"/>
          <w:sz w:val="32"/>
          <w:szCs w:val="28"/>
        </w:rPr>
        <w:t>20%</w:t>
      </w:r>
      <w:r>
        <w:rPr>
          <w:rFonts w:hint="eastAsia" w:ascii="Times New Roman" w:hAnsi="Times New Roman" w:eastAsia="仿宋_GB2312" w:cs="楷体_GB2312"/>
          <w:kern w:val="0"/>
          <w:sz w:val="32"/>
          <w:szCs w:val="28"/>
        </w:rPr>
        <w:t>的比例建设安装充电设施，新建公共停车场及新增的路内收费站停车位按照不低于</w:t>
      </w:r>
      <w:r>
        <w:rPr>
          <w:rFonts w:ascii="Times New Roman" w:hAnsi="Times New Roman" w:eastAsia="仿宋_GB2312" w:cs="楷体_GB2312"/>
          <w:kern w:val="0"/>
          <w:sz w:val="32"/>
          <w:szCs w:val="28"/>
        </w:rPr>
        <w:t>30%</w:t>
      </w:r>
      <w:r>
        <w:rPr>
          <w:rFonts w:hint="eastAsia" w:ascii="Times New Roman" w:hAnsi="Times New Roman" w:eastAsia="仿宋_GB2312" w:cs="楷体_GB2312"/>
          <w:kern w:val="0"/>
          <w:sz w:val="32"/>
          <w:szCs w:val="28"/>
        </w:rPr>
        <w:t>的比例建设快速充电桩。建设的电动汽车充电基础设施宜尽量设置在地上停车位。停车场、汽车库充电设施建设比例根据电动汽车产业的发展现状及国家政策要求需要调整的，按照上级文件要求执行，</w:t>
      </w:r>
      <w:r>
        <w:rPr>
          <w:rFonts w:hint="eastAsia" w:ascii="Times New Roman" w:hAnsi="Times New Roman" w:eastAsia="仿宋_GB2312" w:cs="Times New Roman"/>
          <w:sz w:val="32"/>
          <w:szCs w:val="24"/>
        </w:rPr>
        <w:t>逐步实现机动车新能源化。</w:t>
      </w:r>
    </w:p>
    <w:p w14:paraId="004F9B2B">
      <w:pPr>
        <w:spacing w:line="600" w:lineRule="atLeas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构建智能交通。</w:t>
      </w:r>
      <w:r>
        <w:rPr>
          <w:rFonts w:hint="eastAsia" w:ascii="Times New Roman" w:hAnsi="Times New Roman" w:eastAsia="仿宋_GB2312" w:cs="Times New Roman"/>
          <w:sz w:val="32"/>
          <w:szCs w:val="24"/>
        </w:rPr>
        <w:t>构建实时感知、监测、预警、决策的智能交通体系框架，推动交通建设、运行、服务、监管全链条信息化和智能化，实现人车路协同一体、实时交互和信息共享，保障交通安全，提升道路通行效率。统筹各种出行方式，构建全链条出行服务，实现出行即服务。充分考虑未来科技发展趋势，为智能驾驶、智能物流等新兴技术预留实施条件。</w:t>
      </w:r>
    </w:p>
    <w:p w14:paraId="09006A23">
      <w:pPr>
        <w:pStyle w:val="18"/>
        <w:ind w:firstLine="640"/>
        <w:rPr>
          <w:rFonts w:ascii="Times New Roman" w:hAnsi="Times New Roman" w:cs="Times New Roman"/>
          <w:sz w:val="32"/>
          <w:szCs w:val="24"/>
        </w:rPr>
      </w:pPr>
    </w:p>
    <w:p w14:paraId="6FF465F4">
      <w:pPr>
        <w:pStyle w:val="18"/>
        <w:ind w:firstLine="640"/>
        <w:rPr>
          <w:rFonts w:ascii="Times New Roman" w:hAnsi="Times New Roman" w:cs="Times New Roman"/>
          <w:sz w:val="32"/>
          <w:szCs w:val="24"/>
        </w:rPr>
        <w:sectPr>
          <w:pgSz w:w="11906" w:h="16838"/>
          <w:pgMar w:top="1440" w:right="1800" w:bottom="1440" w:left="1800" w:header="851" w:footer="992" w:gutter="0"/>
          <w:cols w:space="425" w:num="1"/>
          <w:docGrid w:type="lines" w:linePitch="312" w:charSpace="0"/>
        </w:sectPr>
      </w:pPr>
    </w:p>
    <w:p w14:paraId="0DF8346D">
      <w:pPr>
        <w:pStyle w:val="3"/>
        <w:keepNext w:val="0"/>
        <w:keepLines w:val="0"/>
        <w:spacing w:before="312" w:beforeLines="100" w:after="312" w:afterLines="100" w:line="360" w:lineRule="auto"/>
        <w:jc w:val="center"/>
        <w:rPr>
          <w:rFonts w:ascii="Times New Roman" w:hAnsi="Times New Roman" w:eastAsia="黑体"/>
          <w:b w:val="0"/>
          <w:bCs w:val="0"/>
          <w:sz w:val="40"/>
          <w:szCs w:val="40"/>
        </w:rPr>
      </w:pPr>
      <w:bookmarkStart w:id="134" w:name="_Toc198247250"/>
      <w:bookmarkStart w:id="135" w:name="_Toc21539"/>
      <w:r>
        <w:rPr>
          <w:rFonts w:hint="eastAsia" w:ascii="Times New Roman" w:hAnsi="Times New Roman" w:eastAsia="黑体"/>
          <w:b w:val="0"/>
          <w:bCs w:val="0"/>
          <w:sz w:val="40"/>
          <w:szCs w:val="40"/>
        </w:rPr>
        <w:t>第八章 塑造罗浮风格岭南特色镇村新风貌</w:t>
      </w:r>
      <w:bookmarkEnd w:id="134"/>
      <w:bookmarkEnd w:id="135"/>
    </w:p>
    <w:p w14:paraId="05FFE86F">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加强文物古迹保护，推动文化传承创新；推进绿美城市生态建设，统筹推动水系、湿地、草地、农田、林地等生态系统治理和开发，建设体系化的公园绿地网络；加强城市总体空间意象塑造，保护城镇肌理，建成文化魅力彰显、人居环境优美、生机活力凸显的新中心。</w:t>
      </w:r>
    </w:p>
    <w:p w14:paraId="45848B98">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36" w:name="_Toc198247251"/>
      <w:bookmarkStart w:id="137" w:name="_Toc28669"/>
      <w:r>
        <w:rPr>
          <w:rFonts w:hint="eastAsia" w:ascii="Times New Roman" w:hAnsi="Times New Roman" w:eastAsia="黑体"/>
          <w:b w:val="0"/>
          <w:bCs w:val="0"/>
        </w:rPr>
        <w:t>加强历史文化保护传承</w:t>
      </w:r>
      <w:bookmarkEnd w:id="136"/>
      <w:bookmarkEnd w:id="137"/>
    </w:p>
    <w:p w14:paraId="63914866">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rPr>
        <w:t>加强历史文化遗产保护。</w:t>
      </w:r>
      <w:r>
        <w:rPr>
          <w:rFonts w:hint="eastAsia" w:ascii="Times New Roman" w:hAnsi="Times New Roman" w:eastAsia="仿宋_GB2312" w:cs="Times New Roman"/>
          <w:sz w:val="32"/>
          <w:szCs w:val="24"/>
        </w:rPr>
        <w:t>重点保护1处市级文物保护单位明月寺，加强苏屋岗文化遗址、梅花墩窑址等5处县级文物保护单位以及黄西基督教堂等15处一般不可移动文物的保护。落实已公布划定的文物保护单位保护范围和建设控制地带，严格执行《中华人民共和国文物保护法》相关要求，防止破坏各类历史文化遗存本体及周边环境。加强惠民医院旧址（东江纵队地下交通站旧址）、茹屋反击战遗址、鸾岗攻坚战遗址等红色文化资源，强化红色文化遗产本体边界外扩5米为保护范围。加强石湾端午龙舟习俗1项省级非物质文化遗产项目的保护。</w:t>
      </w:r>
    </w:p>
    <w:p w14:paraId="4A8A2F65">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rPr>
        <w:t>建设多元文化展示体验区。</w:t>
      </w:r>
      <w:r>
        <w:rPr>
          <w:rFonts w:hint="eastAsia" w:ascii="Times New Roman" w:hAnsi="Times New Roman" w:eastAsia="仿宋_GB2312" w:cs="Times New Roman"/>
          <w:sz w:val="32"/>
          <w:szCs w:val="24"/>
        </w:rPr>
        <w:t>加大历史文化遗产利用和展示力度，依法合规推动文物功能活化和空间品质提升，在充分保护前提下，开展参观旅游、科研展览、社区服务、经营服务等活动，因地制宜打造文旅IP。充分发挥文物建筑的社会价值，依托鸾岗攻坚战遗址、惠民医院旧址、茹屋反击战遗址打造红色文化展示区；以东岳庙、叶氏大宗祠、叶氏家属旧址为核心打造宗教文化展示区，以梅花墩窑址、泊头古码头遗址、苏屋岗文化遗址、谭氏百子厅等为重点打造村落文化展示区。通过对祠堂、古庙等传统建筑的修复和社区营造，推动非物质文化遗产展示馆和传习所建设，引导“非遗”进景区、校园、社区活动，开展“非遗”项目展示展演。</w:t>
      </w:r>
    </w:p>
    <w:p w14:paraId="32491587">
      <w:pPr>
        <w:pStyle w:val="18"/>
        <w:widowControl/>
        <w:spacing w:line="600" w:lineRule="exact"/>
        <w:ind w:firstLine="640"/>
        <w:rPr>
          <w:rFonts w:ascii="Times New Roman" w:hAnsi="Times New Roman" w:cs="Times New Roman"/>
          <w:kern w:val="0"/>
          <w:sz w:val="32"/>
          <w:szCs w:val="32"/>
        </w:rPr>
      </w:pPr>
      <w:r>
        <w:rPr>
          <w:rFonts w:hint="eastAsia" w:ascii="楷体_GB2312" w:hAnsi="楷体_GB2312" w:eastAsia="楷体_GB2312" w:cs="楷体_GB2312"/>
          <w:sz w:val="32"/>
          <w:szCs w:val="24"/>
        </w:rPr>
        <w:t>打造两条罗浮历史文化游径。</w:t>
      </w:r>
      <w:r>
        <w:rPr>
          <w:rFonts w:hint="eastAsia" w:ascii="Times New Roman" w:hAnsi="Times New Roman" w:cs="Times New Roman"/>
          <w:kern w:val="0"/>
          <w:sz w:val="32"/>
          <w:szCs w:val="32"/>
        </w:rPr>
        <w:t>结合惠州市古驿道规划，与广惠古道、罗浮古道衔接，复兴再现</w:t>
      </w:r>
      <w:r>
        <w:rPr>
          <w:rFonts w:hint="eastAsia" w:ascii="Times New Roman" w:hAnsi="Times New Roman" w:cs="Times New Roman"/>
          <w:color w:val="000000"/>
          <w:kern w:val="0"/>
          <w:sz w:val="32"/>
          <w:szCs w:val="32"/>
        </w:rPr>
        <w:t>“罗浮初地”“罗浮觅稚川（引用宋东坡诗句“便向罗浮觅稚川”）</w:t>
      </w:r>
      <w:r>
        <w:rPr>
          <w:rFonts w:hint="eastAsia" w:ascii="Times New Roman" w:hAnsi="Times New Roman" w:cs="Times New Roman"/>
          <w:kern w:val="0"/>
          <w:sz w:val="32"/>
          <w:szCs w:val="32"/>
        </w:rPr>
        <w:t>两条历史文化游径（接罗浮古道），在严格保护各类历史文化资源基础上，充分挖掘罗浮历史文化游径的生产、生态和文化等价值，探索通过展览展示、教育培训、大众传媒等手段，宣传、普及遗产知识，扩大县域副中心罗浮历史文化影响力，彰显罗浮文化首站品牌形象。</w:t>
      </w:r>
    </w:p>
    <w:p w14:paraId="38CB9BBC">
      <w:pPr>
        <w:pStyle w:val="18"/>
        <w:widowControl/>
        <w:spacing w:line="600" w:lineRule="exact"/>
        <w:ind w:firstLine="640"/>
        <w:rPr>
          <w:rFonts w:ascii="Times New Roman" w:hAnsi="Times New Roman" w:cs="Times New Roman"/>
          <w:kern w:val="0"/>
          <w:sz w:val="32"/>
          <w:szCs w:val="32"/>
        </w:rPr>
      </w:pPr>
      <w:r>
        <w:rPr>
          <w:rFonts w:hint="eastAsia" w:ascii="楷体_GB2312" w:hAnsi="楷体_GB2312" w:eastAsia="楷体_GB2312" w:cs="楷体_GB2312"/>
          <w:sz w:val="32"/>
          <w:szCs w:val="24"/>
        </w:rPr>
        <w:t>因地制宜发展侨乡文化和红色文化体验游径。</w:t>
      </w:r>
      <w:r>
        <w:rPr>
          <w:rFonts w:hint="eastAsia" w:ascii="Times New Roman" w:hAnsi="Times New Roman" w:cs="Times New Roman"/>
          <w:kern w:val="0"/>
          <w:sz w:val="32"/>
          <w:szCs w:val="32"/>
        </w:rPr>
        <w:t>挖掘再现古粮道游径，串联石湾劳动街、红卫路、石湾粮仓、姚氏小宗祠、叶氏大宗祠等，推动石湾老镇区复兴。依托沙河、东江两岸码头旧址，以及知名华侨旧居等场所，聚焦打造一批“家门口”的侨乡印象馆、侨批展示馆和华侨精神文化长廊，支持收藏、保护、研究、展示和教育等功能。着力用好用活红色资源，传承红色基因。在充分提炼纪念设施或场所的内涵和时代价值基础上，因地制宜发展东江纵队独立第二大队红色文化游径，探索文旅融合发展。</w:t>
      </w:r>
    </w:p>
    <w:p w14:paraId="76223DE8">
      <w:pPr>
        <w:pStyle w:val="18"/>
        <w:widowControl/>
        <w:spacing w:line="600" w:lineRule="exact"/>
        <w:ind w:firstLine="640"/>
        <w:rPr>
          <w:rFonts w:ascii="Times New Roman" w:hAnsi="Times New Roman" w:cs="Times New Roman"/>
          <w:sz w:val="32"/>
          <w:szCs w:val="24"/>
        </w:rPr>
      </w:pPr>
      <w:r>
        <w:rPr>
          <w:rFonts w:hint="eastAsia" w:ascii="楷体_GB2312" w:hAnsi="楷体_GB2312" w:eastAsia="楷体_GB2312" w:cs="楷体_GB2312"/>
          <w:sz w:val="32"/>
          <w:szCs w:val="24"/>
        </w:rPr>
        <w:t>非物质文化遗产的保护与利用。</w:t>
      </w:r>
      <w:r>
        <w:rPr>
          <w:rFonts w:hint="eastAsia" w:ascii="Times New Roman" w:hAnsi="Times New Roman" w:cs="Times New Roman"/>
          <w:sz w:val="32"/>
          <w:szCs w:val="24"/>
        </w:rPr>
        <w:t>挖掘、整理和保护各类非物质文化遗产与优秀传统文化。保护县域副中心各级非物质文化遗产代表性项目及与其相关的环境场所，围绕石湾龙舟竞渡习俗，园洲粤曲（剧）、田头舞麒麟、寮仔龙舟等非物质文化资源，完善包括非遗馆、传承体验中心（所、点）在内，集传承、体验、教育、培训、旅游等功能于一体的传承体验设施体系。鼓励结合本地资源优势和民众需求，举办区域性非遗展示展览活动。</w:t>
      </w:r>
    </w:p>
    <w:p w14:paraId="6A8B901D">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38" w:name="_Toc198247257"/>
      <w:bookmarkEnd w:id="138"/>
      <w:bookmarkStart w:id="139" w:name="_Toc198247255"/>
      <w:bookmarkEnd w:id="139"/>
      <w:bookmarkStart w:id="140" w:name="_Toc198247253"/>
      <w:bookmarkEnd w:id="140"/>
      <w:bookmarkStart w:id="141" w:name="_Toc198247256"/>
      <w:bookmarkEnd w:id="141"/>
      <w:bookmarkStart w:id="142" w:name="_Toc198247254"/>
      <w:bookmarkEnd w:id="142"/>
      <w:bookmarkStart w:id="143" w:name="_Toc198247252"/>
      <w:bookmarkEnd w:id="143"/>
      <w:bookmarkStart w:id="144" w:name="_Toc26597"/>
      <w:bookmarkStart w:id="145" w:name="_Toc198247258"/>
      <w:r>
        <w:rPr>
          <w:rFonts w:hint="eastAsia" w:ascii="Times New Roman" w:hAnsi="Times New Roman" w:eastAsia="黑体"/>
          <w:b w:val="0"/>
          <w:bCs w:val="0"/>
        </w:rPr>
        <w:t>推进绿美城市建设</w:t>
      </w:r>
      <w:bookmarkEnd w:id="144"/>
      <w:bookmarkEnd w:id="145"/>
    </w:p>
    <w:p w14:paraId="0724921D">
      <w:pPr>
        <w:pStyle w:val="5"/>
        <w:keepNext w:val="0"/>
        <w:keepLines w:val="0"/>
        <w:spacing w:before="0" w:after="0" w:line="600" w:lineRule="exact"/>
        <w:ind w:firstLine="643" w:firstLineChars="200"/>
        <w:rPr>
          <w:rFonts w:ascii="Times New Roman" w:hAnsi="Times New Roman" w:eastAsia="仿宋_GB2312"/>
        </w:rPr>
      </w:pPr>
      <w:r>
        <w:rPr>
          <w:rFonts w:hint="eastAsia" w:ascii="Times New Roman" w:hAnsi="Times New Roman" w:eastAsia="仿宋_GB2312"/>
        </w:rPr>
        <w:t>1．优化“一屏两廊多节点”蓝绿空间布局</w:t>
      </w:r>
    </w:p>
    <w:p w14:paraId="21061364">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规划构建“一屏两廊多节点”的蓝绿生态空间格局，形成心旷神怡、疏朗有致的生态城镇。</w:t>
      </w:r>
    </w:p>
    <w:p w14:paraId="0122A74B">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rPr>
        <w:t>北部自然生态屏障。</w:t>
      </w:r>
      <w:r>
        <w:rPr>
          <w:rFonts w:hint="eastAsia" w:ascii="Times New Roman" w:hAnsi="Times New Roman" w:eastAsia="仿宋_GB2312" w:cs="Times New Roman"/>
          <w:sz w:val="32"/>
          <w:szCs w:val="24"/>
        </w:rPr>
        <w:t>加强对县域副中心北部丰富的林地、农田、湖泊等生态空间管控，减少人类活动对农田、水体和植被等的影响，强化水土保持、固碳释氧和生物多样性保护等生态服务功能，维护生态系统平衡。</w:t>
      </w:r>
    </w:p>
    <w:p w14:paraId="2978920F">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rPr>
        <w:t>东江北岸、沙河绿美生态走廊。</w:t>
      </w:r>
      <w:r>
        <w:rPr>
          <w:rFonts w:hint="eastAsia" w:ascii="Times New Roman" w:hAnsi="Times New Roman" w:eastAsia="仿宋_GB2312" w:cs="Times New Roman"/>
          <w:sz w:val="32"/>
          <w:szCs w:val="24"/>
        </w:rPr>
        <w:t>串联东坡公园、明月湾湿地公园等沿河分布的公园绿地、公共开敞空间，打造蓝绿交织、公共开放的活力景观轴。</w:t>
      </w:r>
    </w:p>
    <w:p w14:paraId="11880A91">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rPr>
        <w:t>多个休闲游憩驻足生态板块。</w:t>
      </w:r>
      <w:r>
        <w:rPr>
          <w:rFonts w:hint="eastAsia" w:ascii="Times New Roman" w:hAnsi="Times New Roman" w:eastAsia="仿宋_GB2312" w:cs="Times New Roman"/>
          <w:sz w:val="32"/>
          <w:szCs w:val="24"/>
        </w:rPr>
        <w:t>指范围内的湿地、公园以及块状绿地等生态绿地，增强城乡、建成区之间生态空间的连通性，提高区域生态系统稳定性。</w:t>
      </w:r>
    </w:p>
    <w:p w14:paraId="2B0A15BC">
      <w:pPr>
        <w:pStyle w:val="5"/>
        <w:keepNext w:val="0"/>
        <w:keepLines w:val="0"/>
        <w:spacing w:before="0" w:after="0" w:line="600" w:lineRule="exact"/>
        <w:ind w:firstLine="643" w:firstLineChars="200"/>
        <w:rPr>
          <w:rFonts w:ascii="Times New Roman" w:hAnsi="Times New Roman" w:eastAsia="仿宋_GB2312"/>
        </w:rPr>
      </w:pPr>
      <w:r>
        <w:rPr>
          <w:rFonts w:hint="eastAsia" w:ascii="Times New Roman" w:hAnsi="Times New Roman" w:eastAsia="仿宋_GB2312"/>
        </w:rPr>
        <w:t>2．构建城市公园体系</w:t>
      </w:r>
    </w:p>
    <w:p w14:paraId="3CF0A035">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规划构建涵盖综合公园、社区公园、口袋公园的高品质、高颜值的城乡公园体系，大力提升副中心的“含绿量”。加快推进明月湾湿地公园建设，提档升级石湾公园、人民公园，完善公园设施配套，提升综合公园服务能力。结合社区生活圈建设沙河碧道公园等社区公园，将铁场圩、明月寺、梅花村等地域文化元素融入公园设计，设置具有地方特色的雕塑、景观小品等，推动社区公园与教育、体育、文化等多功能融合发展。利用拆迁腾退地、边角地、废弃地和闲置地等空间，因地制宜规划建设或改造口袋公园。加快整治提升沙河水岸环境，建设生态滨水绿带。结合滨水空间、街道空间、道路空间打造慢行系统，为居民提供惬意舒适、全龄友好的慢行体验。到2035年，镇区公园绿地、广场步行5分钟覆盖率达100%，人均公园绿地面积达11平方米。</w:t>
      </w:r>
    </w:p>
    <w:p w14:paraId="763ED759">
      <w:pPr>
        <w:pStyle w:val="5"/>
        <w:keepNext w:val="0"/>
        <w:keepLines w:val="0"/>
        <w:spacing w:before="0" w:after="0" w:line="600" w:lineRule="exact"/>
        <w:ind w:firstLine="643" w:firstLineChars="200"/>
        <w:rPr>
          <w:rFonts w:ascii="Times New Roman" w:hAnsi="Times New Roman" w:eastAsia="仿宋_GB2312"/>
        </w:rPr>
      </w:pPr>
      <w:r>
        <w:rPr>
          <w:rFonts w:hint="eastAsia" w:ascii="Times New Roman" w:hAnsi="Times New Roman" w:eastAsia="仿宋_GB2312"/>
        </w:rPr>
        <w:t>3．塑造城乡特色风貌</w:t>
      </w:r>
    </w:p>
    <w:p w14:paraId="63D85B6E">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保护副中心的自然地理格局和城市肌理，秉承“碧水融城、沃野环绕”的发展理念，塑造“一城两带三片”的城乡特色风貌景观。</w:t>
      </w:r>
    </w:p>
    <w:p w14:paraId="7E386C97">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滨水景观风貌带。</w:t>
      </w:r>
      <w:r>
        <w:rPr>
          <w:rFonts w:hint="eastAsia" w:ascii="Times New Roman" w:hAnsi="Times New Roman" w:eastAsia="仿宋_GB2312" w:cs="Times New Roman"/>
          <w:sz w:val="32"/>
          <w:szCs w:val="24"/>
        </w:rPr>
        <w:t>依托东江、沙河等线性要素，构建富有活力、生态优美的滨水景观风貌带，开展河道水环境综合整治，推动水域自然景观与两岸的建筑、绿地等相互融合，打造一批亲水空间、滨水步道，加强对河道两岸建筑高度、建筑布局的控制，避免布置屏风式建筑。</w:t>
      </w:r>
    </w:p>
    <w:p w14:paraId="55AAD0B2">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现代宜居城镇风貌区。</w:t>
      </w:r>
      <w:r>
        <w:rPr>
          <w:rFonts w:hint="eastAsia" w:ascii="Times New Roman" w:hAnsi="Times New Roman" w:eastAsia="仿宋_GB2312" w:cs="Times New Roman"/>
          <w:sz w:val="32"/>
          <w:szCs w:val="24"/>
        </w:rPr>
        <w:t>强化城市设计管控，对园洲、石湾镇区的建筑空间形态、开敞界面、建筑材质、色彩进行统一规划设计，优化提升滨水天际线和第五立面，塑造高品质城市副中心。加强对重要公共空间、交通枢纽、商业等重要区域的设计管控，提炼当地传统建筑元素和符号，将其融入现代建筑、景观小品设计中，打造成为具有当地特色的城市门户。实施城市更新行动，采用整治提升、拆除新建、拆整结合有序推进旧城镇、城中村、废旧工业园更新改造，逐步改善人居环境。</w:t>
      </w:r>
    </w:p>
    <w:p w14:paraId="15150F9D">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城乡融合风貌区。</w:t>
      </w:r>
      <w:r>
        <w:rPr>
          <w:rFonts w:hint="eastAsia" w:ascii="Times New Roman" w:hAnsi="Times New Roman" w:eastAsia="仿宋_GB2312" w:cs="Times New Roman"/>
          <w:sz w:val="32"/>
          <w:szCs w:val="24"/>
        </w:rPr>
        <w:t>加强石湾镇黄西村、西田村、白沙村北部以及园洲镇凤山村、水口村、上村村等集中连片农田的保护，强化对水、林地等资源的保护利用，塑造田园水乡的大地景观风貌。推动村庄实施美丽乡村建设行动，整治提升农村风貌和环境，加强农房管控，引导乡村建筑注重与自然景观的融合，建设成为宜居宜业和美乡村。</w:t>
      </w:r>
    </w:p>
    <w:p w14:paraId="6404B06E">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现代产业风貌区。</w:t>
      </w:r>
      <w:r>
        <w:rPr>
          <w:rFonts w:hint="eastAsia" w:ascii="Times New Roman" w:hAnsi="Times New Roman" w:eastAsia="仿宋_GB2312" w:cs="Times New Roman"/>
          <w:sz w:val="32"/>
          <w:szCs w:val="24"/>
        </w:rPr>
        <w:t>主要包括智能装备产业片区、新材料制造片区、新能源与新一代电子信息片区，加强对产业片区建筑风貌管控，结合产业片区的功能定位与整体形象，合理控制建筑外立面、色调、高度，淡化工业园区色彩，与城区风貌保持一致。提升产业片区功能品质，进一步推动生产性、生活性配套设施建设，展示现代产业片区风采。</w:t>
      </w:r>
    </w:p>
    <w:p w14:paraId="22F16738">
      <w:pPr>
        <w:pStyle w:val="2"/>
        <w:spacing w:line="600" w:lineRule="exact"/>
        <w:ind w:firstLine="640" w:firstLineChars="200"/>
        <w:rPr>
          <w:rFonts w:hint="eastAsia" w:eastAsia="仿宋_GB2312"/>
          <w:sz w:val="32"/>
          <w:szCs w:val="24"/>
        </w:rPr>
      </w:pPr>
      <w:r>
        <w:rPr>
          <w:rFonts w:hint="eastAsia" w:eastAsia="楷体_GB2312" w:cs="楷体_GB2312"/>
          <w:sz w:val="32"/>
          <w:szCs w:val="24"/>
        </w:rPr>
        <w:t>现代都市风貌区。</w:t>
      </w:r>
      <w:r>
        <w:rPr>
          <w:rFonts w:hint="eastAsia" w:eastAsia="仿宋_GB2312"/>
          <w:sz w:val="32"/>
          <w:szCs w:val="24"/>
        </w:rPr>
        <w:t>依托起步区商业集聚组团，在沙河流域与铁场排渠交界处建设</w:t>
      </w:r>
      <w:r>
        <w:rPr>
          <w:rFonts w:hint="eastAsia" w:eastAsia="仿宋_GB2312"/>
          <w:sz w:val="32"/>
          <w:szCs w:val="24"/>
          <w:lang w:eastAsia="zh"/>
        </w:rPr>
        <w:t>现代</w:t>
      </w:r>
      <w:r>
        <w:rPr>
          <w:rFonts w:hint="eastAsia" w:eastAsia="仿宋_GB2312"/>
          <w:sz w:val="32"/>
          <w:szCs w:val="24"/>
        </w:rPr>
        <w:t>都市风貌区，塑造新的现代化的</w:t>
      </w:r>
      <w:r>
        <w:rPr>
          <w:rFonts w:hint="eastAsia" w:eastAsia="仿宋_GB2312"/>
          <w:sz w:val="32"/>
          <w:szCs w:val="24"/>
          <w:lang w:eastAsia="zh"/>
        </w:rPr>
        <w:t>副</w:t>
      </w:r>
      <w:r>
        <w:rPr>
          <w:rFonts w:hint="eastAsia" w:eastAsia="仿宋_GB2312"/>
          <w:sz w:val="32"/>
          <w:szCs w:val="24"/>
        </w:rPr>
        <w:t>中心</w:t>
      </w:r>
      <w:r>
        <w:rPr>
          <w:rFonts w:hint="eastAsia" w:eastAsia="仿宋_GB2312"/>
          <w:sz w:val="32"/>
          <w:szCs w:val="24"/>
          <w:lang w:eastAsia="zh"/>
        </w:rPr>
        <w:t>城市</w:t>
      </w:r>
      <w:r>
        <w:rPr>
          <w:rFonts w:hint="eastAsia" w:eastAsia="仿宋_GB2312"/>
          <w:sz w:val="32"/>
          <w:szCs w:val="24"/>
        </w:rPr>
        <w:t>形象。布局高品质的商业中心、</w:t>
      </w:r>
      <w:r>
        <w:rPr>
          <w:rFonts w:hint="eastAsia" w:eastAsia="仿宋_GB2312"/>
          <w:sz w:val="32"/>
          <w:szCs w:val="24"/>
          <w:lang w:eastAsia="zh"/>
        </w:rPr>
        <w:t>高端酒店</w:t>
      </w:r>
      <w:r>
        <w:rPr>
          <w:rFonts w:hint="eastAsia" w:eastAsia="仿宋_GB2312"/>
          <w:sz w:val="32"/>
          <w:szCs w:val="24"/>
        </w:rPr>
        <w:t>等建筑，形成富有层次感的城市天际线；提高出行效率，同时注重地下空间的合理开发，实现商业、交通、文化等功能的有机融合；营造多元化的公共空间，如城市广场、主题公园等，举办各类文化活动，提升市民的文化素养和城市的活力氛围，打造具有国际竞争力的现代都市典范。</w:t>
      </w:r>
    </w:p>
    <w:p w14:paraId="2211A178">
      <w:pPr>
        <w:spacing w:line="600" w:lineRule="exact"/>
        <w:ind w:firstLine="640" w:firstLineChars="200"/>
        <w:rPr>
          <w:rFonts w:hint="eastAsia" w:ascii="Times New Roman" w:hAnsi="Times New Roman" w:eastAsia="仿宋_GB2312" w:cs="Times New Roman"/>
          <w:sz w:val="32"/>
          <w:szCs w:val="24"/>
          <w:lang w:eastAsia="zh"/>
        </w:rPr>
      </w:pPr>
      <w:r>
        <w:rPr>
          <w:rFonts w:hint="eastAsia" w:ascii="Times New Roman" w:hAnsi="Times New Roman" w:eastAsia="楷体_GB2312" w:cs="楷体_GB2312"/>
          <w:sz w:val="32"/>
          <w:szCs w:val="24"/>
        </w:rPr>
        <w:t>创新融合风貌区。</w:t>
      </w:r>
      <w:r>
        <w:rPr>
          <w:rFonts w:hint="eastAsia" w:ascii="Times New Roman" w:hAnsi="Times New Roman" w:eastAsia="仿宋_GB2312" w:cs="Times New Roman"/>
          <w:sz w:val="32"/>
          <w:szCs w:val="24"/>
        </w:rPr>
        <w:t>依托县域副中心起步区建设，连接商贸区与智能装备产业片区、新材料制造片区、新能源与新一代电子信息片区，展现灵动、多元、严谨兼具自由的形象，体现专属气质和场所体验精神。打造创新平台和创业孵化器，吸引高新技术企业和创新人才入驻，促进产学研的深度融合；创新文化展示中心和科技博物馆，展示区域的创新成果和科技实力，打造具有创新氛围和独特魅力的区域风尚。</w:t>
      </w:r>
    </w:p>
    <w:p w14:paraId="196C2F12">
      <w:pPr>
        <w:pStyle w:val="4"/>
        <w:keepNext w:val="0"/>
        <w:keepLines w:val="0"/>
        <w:widowControl/>
        <w:numPr>
          <w:ilvl w:val="1"/>
          <w:numId w:val="1"/>
        </w:numPr>
        <w:spacing w:line="360" w:lineRule="auto"/>
        <w:ind w:firstLine="0"/>
        <w:jc w:val="center"/>
        <w:rPr>
          <w:rFonts w:hint="eastAsia" w:ascii="Times New Roman" w:hAnsi="Times New Roman" w:eastAsia="黑体"/>
        </w:rPr>
      </w:pPr>
      <w:bookmarkStart w:id="146" w:name="_Toc198247259"/>
      <w:bookmarkStart w:id="147" w:name="_Toc4086"/>
      <w:r>
        <w:rPr>
          <w:rFonts w:hint="eastAsia" w:ascii="Times New Roman" w:hAnsi="Times New Roman" w:eastAsia="黑体" w:cs="楷体_GB2312"/>
          <w:b w:val="0"/>
          <w:bCs w:val="0"/>
          <w:color w:val="000000"/>
          <w:kern w:val="0"/>
          <w:sz w:val="31"/>
          <w:szCs w:val="31"/>
          <w:lang w:bidi="ar"/>
        </w:rPr>
        <w:t>分类</w:t>
      </w:r>
      <w:r>
        <w:rPr>
          <w:rFonts w:hint="eastAsia" w:ascii="Times New Roman" w:hAnsi="Times New Roman" w:eastAsia="黑体"/>
          <w:b w:val="0"/>
          <w:bCs w:val="0"/>
          <w:lang w:bidi="ar"/>
        </w:rPr>
        <w:t>引导村庄发展</w:t>
      </w:r>
      <w:bookmarkEnd w:id="146"/>
      <w:bookmarkEnd w:id="147"/>
      <w:r>
        <w:rPr>
          <w:rFonts w:hint="eastAsia" w:ascii="Times New Roman" w:hAnsi="Times New Roman" w:eastAsia="黑体" w:cs="楷体_GB2312"/>
          <w:b w:val="0"/>
          <w:bCs w:val="0"/>
          <w:color w:val="000000"/>
          <w:kern w:val="0"/>
          <w:sz w:val="31"/>
          <w:szCs w:val="31"/>
          <w:lang w:bidi="ar"/>
        </w:rPr>
        <w:t xml:space="preserve"> </w:t>
      </w:r>
    </w:p>
    <w:p w14:paraId="66567B09">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lang w:bidi="ar"/>
        </w:rPr>
        <w:t>将县域副中心村庄划分为集聚提升类、城郊融合类和特色保护类</w:t>
      </w:r>
      <w:r>
        <w:rPr>
          <w:rFonts w:ascii="Times New Roman" w:hAnsi="Times New Roman" w:eastAsia="仿宋_GB2312" w:cs="Times New Roman"/>
          <w:sz w:val="32"/>
          <w:szCs w:val="24"/>
          <w:lang w:bidi="ar"/>
        </w:rPr>
        <w:t>3</w:t>
      </w:r>
      <w:r>
        <w:rPr>
          <w:rFonts w:hint="eastAsia" w:ascii="Times New Roman" w:hAnsi="Times New Roman" w:eastAsia="仿宋_GB2312" w:cs="Times New Roman"/>
          <w:sz w:val="32"/>
          <w:szCs w:val="24"/>
          <w:lang w:bidi="ar"/>
        </w:rPr>
        <w:t>类，对各类型村庄进行差异化引导和管控，并结合乡镇国土空间总体规划和详细规划（含村庄规划）对村庄分类布局进行动态优化和调整。贯彻国家乡村振兴战略和广东省“百县千镇万村高质量发展工程”，统筹推进乡村振兴示范带和典型村连线成片发展，因地制宜建设各具特色、各美其美、美美与共的未来社区或美丽乡村。</w:t>
      </w:r>
    </w:p>
    <w:p w14:paraId="1EBAFCA3">
      <w:pPr>
        <w:widowControl/>
        <w:spacing w:line="600" w:lineRule="exact"/>
        <w:ind w:firstLine="640" w:firstLineChars="200"/>
        <w:rPr>
          <w:rFonts w:ascii="Times New Roman" w:hAnsi="Times New Roman" w:eastAsia="仿宋_GB2312" w:cs="Times New Roman"/>
          <w:sz w:val="32"/>
          <w:szCs w:val="32"/>
          <w:lang w:bidi="ar"/>
        </w:rPr>
      </w:pPr>
      <w:r>
        <w:rPr>
          <w:rFonts w:hint="eastAsia" w:ascii="Times New Roman" w:hAnsi="Times New Roman" w:eastAsia="楷体_GB2312" w:cs="楷体_GB2312"/>
          <w:sz w:val="32"/>
          <w:szCs w:val="32"/>
          <w:lang w:bidi="ar"/>
        </w:rPr>
        <w:t>集聚提升类村庄。</w:t>
      </w:r>
      <w:r>
        <w:rPr>
          <w:rFonts w:hint="eastAsia" w:ascii="Times New Roman" w:hAnsi="Times New Roman" w:eastAsia="仿宋_GB2312" w:cs="Times New Roman"/>
          <w:sz w:val="32"/>
          <w:szCs w:val="32"/>
          <w:lang w:bidi="ar"/>
        </w:rPr>
        <w:t>位于城镇开发边界内，具备向城镇转型条件的村庄，主要包括</w:t>
      </w:r>
      <w:r>
        <w:rPr>
          <w:rFonts w:hint="eastAsia" w:ascii="仿宋_GB2312" w:hAnsi="Times New Roman" w:eastAsia="仿宋_GB2312" w:cs="仿宋_GB2312"/>
          <w:sz w:val="32"/>
          <w:szCs w:val="32"/>
          <w:lang w:bidi="ar"/>
        </w:rPr>
        <w:t>白耀前、佛岭、高头、禾山、寮仔、白马围、江头、桔龙、李屋、沥东、沥西、廖尾、刘屋、马嘶、沙头、上南、深沥、田头、土瓜圩、下南、新村、义合、阵村，石湾、里波水、湖山、中岗、鸾岗、</w:t>
      </w:r>
      <w:r>
        <w:rPr>
          <w:rFonts w:hint="eastAsia" w:ascii="Times New Roman" w:hAnsi="Times New Roman" w:eastAsia="仿宋_GB2312" w:cs="Times New Roman"/>
          <w:sz w:val="32"/>
          <w:szCs w:val="32"/>
          <w:lang w:bidi="ar"/>
        </w:rPr>
        <w:t>滘吓、渔村、铁场和源头等村，按照未来城市社区标准重点提升城市公共服务配套，通过拆整结合打造生活便利、环境优美、管理有序的城市空间。对纳入珠江东岸大型产业集聚区内的村庄，按照未来产业社区标准聚焦产业转型升级，引导产业工人市民化，打造一批配套集中、功能齐备、产城人融合的产业新城或产业平台。</w:t>
      </w:r>
    </w:p>
    <w:p w14:paraId="067AB011">
      <w:pPr>
        <w:spacing w:line="600" w:lineRule="exact"/>
        <w:ind w:left="-21" w:leftChars="-10" w:right="-21" w:rightChars="-10" w:firstLine="640" w:firstLineChars="200"/>
        <w:rPr>
          <w:rFonts w:ascii="仿宋_GB2312" w:hAnsi="Times New Roman" w:eastAsia="仿宋_GB2312" w:cs="仿宋_GB2312"/>
          <w:sz w:val="32"/>
          <w:szCs w:val="32"/>
          <w:lang w:bidi="ar"/>
        </w:rPr>
      </w:pPr>
      <w:r>
        <w:rPr>
          <w:rFonts w:hint="eastAsia" w:ascii="Times New Roman" w:hAnsi="Times New Roman" w:eastAsia="楷体_GB2312" w:cs="楷体_GB2312"/>
          <w:sz w:val="32"/>
          <w:szCs w:val="32"/>
          <w:lang w:bidi="ar"/>
        </w:rPr>
        <w:t>城郊融合类村庄。</w:t>
      </w:r>
      <w:r>
        <w:rPr>
          <w:rFonts w:hint="eastAsia" w:ascii="Times New Roman" w:hAnsi="Times New Roman" w:eastAsia="仿宋_GB2312" w:cs="Times New Roman"/>
          <w:sz w:val="32"/>
          <w:szCs w:val="32"/>
          <w:lang w:bidi="ar"/>
        </w:rPr>
        <w:t>位于城镇开发边界外，对周边具有一定带动辐射作用的村庄，主要包括上村、马石岗、凤山、水口，以及黄西、西田和白沙等村，以农村人居环境整治和村庄有机更新为主要模式推进未来</w:t>
      </w:r>
      <w:r>
        <w:rPr>
          <w:rFonts w:hint="eastAsia" w:ascii="仿宋_GB2312" w:hAnsi="Times New Roman" w:eastAsia="仿宋_GB2312" w:cs="仿宋_GB2312"/>
          <w:sz w:val="32"/>
          <w:szCs w:val="32"/>
          <w:lang w:bidi="ar"/>
        </w:rPr>
        <w:t>乡村建设，着力发掘不同村庄独有的自然、文化与社会价值，提升乡村空间活力和农房风貌特色，以保护、恢复连片优质耕地和农用地为目标，形成一批美丽田园和美丽乡村风貌带，增强数字化治理能力，有序打造未来乡村和农田生态社区。</w:t>
      </w:r>
    </w:p>
    <w:p w14:paraId="2BC12E28">
      <w:pPr>
        <w:widowControl/>
        <w:spacing w:line="600" w:lineRule="exact"/>
        <w:ind w:firstLine="640" w:firstLineChars="200"/>
        <w:jc w:val="left"/>
        <w:rPr>
          <w:rFonts w:ascii="Times New Roman" w:hAnsi="Times New Roman" w:eastAsia="仿宋_GB2312" w:cs="Times New Roman"/>
          <w:sz w:val="32"/>
          <w:szCs w:val="24"/>
          <w:lang w:bidi="ar"/>
        </w:rPr>
      </w:pPr>
      <w:r>
        <w:rPr>
          <w:rFonts w:hint="eastAsia" w:ascii="Times New Roman" w:hAnsi="Times New Roman" w:eastAsia="楷体_GB2312" w:cs="楷体_GB2312"/>
          <w:sz w:val="32"/>
          <w:szCs w:val="32"/>
          <w:lang w:bidi="ar"/>
        </w:rPr>
        <w:t>特色保护类村庄。</w:t>
      </w:r>
      <w:r>
        <w:rPr>
          <w:rFonts w:hint="eastAsia" w:ascii="Times New Roman" w:hAnsi="Times New Roman" w:eastAsia="仿宋_GB2312" w:cs="Times New Roman"/>
          <w:sz w:val="32"/>
          <w:szCs w:val="24"/>
          <w:lang w:bidi="ar"/>
        </w:rPr>
        <w:t>指历史文化名村、传统村落等自然历史文化特色资源丰富的村庄，以及具有产业特色或景观特色的村庄，是彰显和传承优秀传统文化、体现地域特色的重要载体。如源头村茹屋小组、马嘶古村等，重点保护村庄的传统选址、格局、风貌以及自然和田园景观等整体空间形态与环境，全面保护文物古迹、历史建筑、传统民居等传统建筑。探索发展“文化+”旅游乡村振兴模式。</w:t>
      </w:r>
    </w:p>
    <w:p w14:paraId="2D146DEE">
      <w:pPr>
        <w:pStyle w:val="18"/>
        <w:ind w:firstLine="600"/>
        <w:rPr>
          <w:rFonts w:hint="eastAsia"/>
        </w:rPr>
      </w:pPr>
    </w:p>
    <w:p w14:paraId="03C9FC30">
      <w:pPr>
        <w:pStyle w:val="18"/>
        <w:ind w:firstLine="600"/>
        <w:rPr>
          <w:rFonts w:hint="eastAsia"/>
        </w:rPr>
        <w:sectPr>
          <w:pgSz w:w="11906" w:h="16838"/>
          <w:pgMar w:top="1440" w:right="1800" w:bottom="1440" w:left="1800" w:header="851" w:footer="992" w:gutter="0"/>
          <w:cols w:space="425" w:num="1"/>
          <w:docGrid w:type="lines" w:linePitch="312" w:charSpace="0"/>
        </w:sectPr>
      </w:pPr>
    </w:p>
    <w:p w14:paraId="208F3C6A">
      <w:pPr>
        <w:pStyle w:val="3"/>
        <w:keepNext w:val="0"/>
        <w:keepLines w:val="0"/>
        <w:spacing w:before="312" w:beforeLines="100" w:after="312" w:afterLines="100" w:line="360" w:lineRule="auto"/>
        <w:jc w:val="center"/>
        <w:rPr>
          <w:rFonts w:ascii="Times New Roman" w:hAnsi="Times New Roman" w:eastAsia="黑体"/>
          <w:b w:val="0"/>
          <w:bCs w:val="0"/>
          <w:sz w:val="40"/>
          <w:szCs w:val="40"/>
        </w:rPr>
      </w:pPr>
      <w:bookmarkStart w:id="148" w:name="_Toc198247260"/>
      <w:bookmarkStart w:id="149" w:name="_Toc20945"/>
      <w:r>
        <w:rPr>
          <w:rFonts w:hint="eastAsia" w:ascii="Times New Roman" w:hAnsi="Times New Roman" w:eastAsia="黑体"/>
          <w:b w:val="0"/>
          <w:bCs w:val="0"/>
          <w:sz w:val="40"/>
          <w:szCs w:val="40"/>
        </w:rPr>
        <w:t>第九章 彰显现代社会美好生活治理新体系</w:t>
      </w:r>
      <w:bookmarkEnd w:id="148"/>
      <w:bookmarkEnd w:id="149"/>
    </w:p>
    <w:p w14:paraId="320D6668">
      <w:pPr>
        <w:widowControl/>
        <w:spacing w:line="600" w:lineRule="atLeas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全力推进县域副中心全域土地综合整治，重点开展农用地、建设用地、生态修复等整治工作，加快形成“良田连片、村庄集中、产业集聚、生态优美”的土地保护利用新格局。加速推进城市更新行动，盘活存量用地，提升城市品质和活力。</w:t>
      </w:r>
    </w:p>
    <w:p w14:paraId="471E6A97">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50" w:name="_Toc25034"/>
      <w:bookmarkStart w:id="151" w:name="_Toc198247261"/>
      <w:r>
        <w:rPr>
          <w:rFonts w:hint="eastAsia" w:ascii="Times New Roman" w:hAnsi="Times New Roman" w:eastAsia="黑体"/>
          <w:b w:val="0"/>
          <w:bCs w:val="0"/>
        </w:rPr>
        <w:t>实施全域土地综合整治</w:t>
      </w:r>
      <w:bookmarkEnd w:id="150"/>
      <w:bookmarkEnd w:id="151"/>
    </w:p>
    <w:p w14:paraId="1A47817D">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rPr>
        <w:t>农用地整治。</w:t>
      </w:r>
      <w:r>
        <w:rPr>
          <w:rFonts w:hint="eastAsia" w:ascii="Times New Roman" w:hAnsi="Times New Roman" w:eastAsia="仿宋_GB2312" w:cs="Times New Roman"/>
          <w:sz w:val="32"/>
          <w:szCs w:val="24"/>
        </w:rPr>
        <w:t>优化农用地布局，开展农用地集中连片整治工作，实施“小田变大田、农路弯变直、土地坑变平”工程，引导石湾、滘吓、铁场、上南村、沙头村等整治区零散耕地向外围农业地区集中，结合发展实际，谋划恢复耕地和补充耕地项目，逐步推动实施，确保实现区域平衡，当前具有补充潜力的耕地面积有14.67平方千米。加强高标准农田建设，重点提升耕地生产能力、灌溉能力和排涝能力，加快农业基础设施建设与升级，将永久基本农田以及成片连片种植条件较好的耕地逐步建设成为高标准农田。加强撂荒地整治，开展耕地撂荒基本情况调查，建立信息台账，通过强化政策扶持、健全补贴机制、设施建设等举措改善农民撂荒地耕种条件，盘活闲置农用地，促进撂荒耕地复耕复种。推动土地有序流转，鼓励农业适度规模经营，创新规模经营方式，深化村企共建，完善联农带农机制，构建企业与村集体、村民利益链接的新模式。到2027年，完成农用地整治1.50平方千米。</w:t>
      </w:r>
    </w:p>
    <w:p w14:paraId="4C9106A7">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rPr>
        <w:t>建设用地整治。</w:t>
      </w:r>
      <w:r>
        <w:rPr>
          <w:rFonts w:hint="eastAsia" w:ascii="Times New Roman" w:hAnsi="Times New Roman" w:eastAsia="仿宋_GB2312" w:cs="Times New Roman"/>
          <w:sz w:val="32"/>
          <w:szCs w:val="24"/>
        </w:rPr>
        <w:t>优化建设用地布局。推进农村旧住宅、闲置废弃宅基地、空心村、零星建设用地等低效闲置建设用地拆旧复垦，稳慎推进搬迁撤并类村庄和零星农村居民点集聚。落实《博罗县全域土地综合整治实施方案》，协调将新增土地指标优先保障县域副中心及园区用地，调入0.8平方千米的工业用地规模用于智能装备产业园项目用地，推动智能装备产业园提质扩容。衔接城市更新行动，实施“腾笼换鸟”“工改工”以及“退二进三”，通过批而未供和闲置土地的处置将腾挪的规模优先用于保障重大产业项目以及基础设施、市政设施、公益事业的发展，大力推进深沥工业区、再生资源园区、深沥村、桔龙村等“工改工”试点工作，以点带面，逐步改造全域范围内村镇级工业园，促进产业集聚发展。全力做好土地储备工作，通过征拆老旧厂房提质增效，盘活存量用地，促进土地资源优化配置。到2027年，完成建设用地整治7.16平方千米。</w:t>
      </w:r>
    </w:p>
    <w:p w14:paraId="6BC7D159">
      <w:pPr>
        <w:widowControl/>
        <w:spacing w:line="600" w:lineRule="exact"/>
        <w:ind w:firstLine="640" w:firstLineChars="200"/>
        <w:rPr>
          <w:rFonts w:hint="eastAsia" w:ascii="Times New Roman" w:hAnsi="Times New Roman" w:eastAsia="仿宋_GB2312" w:cs="Times New Roman"/>
          <w:sz w:val="32"/>
          <w:szCs w:val="24"/>
        </w:rPr>
      </w:pPr>
      <w:r>
        <w:rPr>
          <w:rFonts w:hint="eastAsia" w:ascii="楷体_GB2312" w:hAnsi="楷体_GB2312" w:eastAsia="楷体_GB2312" w:cs="楷体_GB2312"/>
          <w:sz w:val="32"/>
          <w:szCs w:val="24"/>
        </w:rPr>
        <w:t>推进乡村生态保护修复。</w:t>
      </w:r>
      <w:r>
        <w:rPr>
          <w:rFonts w:hint="eastAsia" w:ascii="Times New Roman" w:hAnsi="Times New Roman" w:eastAsia="仿宋_GB2312" w:cs="Times New Roman"/>
          <w:sz w:val="32"/>
          <w:szCs w:val="24"/>
        </w:rPr>
        <w:t>按照山水林田湖草整体保护、系统修复、综合治理的要求，针对生态功能不断退化的河湖、湿地、林地等空间，开展生态环境整治修复工程，维护生物多样性，提高防御自然灾害能力。保持乡村自然景观，保护特色传统生产方式和优秀农耕空间文化。加大废弃工矿土地复垦力度，组织实施复垦种植，引导废弃工矿土地应绿尽绿、应耕尽耕。</w:t>
      </w:r>
    </w:p>
    <w:p w14:paraId="6BB72FAD">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52" w:name="_Toc26165"/>
      <w:bookmarkStart w:id="153" w:name="_Toc198247262"/>
      <w:r>
        <w:rPr>
          <w:rFonts w:hint="eastAsia" w:ascii="Times New Roman" w:hAnsi="Times New Roman" w:eastAsia="黑体"/>
          <w:b w:val="0"/>
          <w:bCs w:val="0"/>
        </w:rPr>
        <w:t>加强生态保护与修复</w:t>
      </w:r>
      <w:bookmarkEnd w:id="152"/>
      <w:bookmarkEnd w:id="153"/>
    </w:p>
    <w:p w14:paraId="6DACF2DC">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rPr>
        <w:t>严格落实耕地和永久基本农田保护红线。</w:t>
      </w:r>
      <w:r>
        <w:rPr>
          <w:rFonts w:hint="eastAsia" w:ascii="Times New Roman" w:hAnsi="Times New Roman" w:eastAsia="仿宋_GB2312" w:cs="Times New Roman"/>
          <w:sz w:val="32"/>
          <w:szCs w:val="24"/>
        </w:rPr>
        <w:t>落实耕地保护任务，到2035年，县域副中心耕地保有量不低于38.54平方公里（5.782万亩）。按照“总体稳定、局部微调、应保尽保”原则，将可以长期稳定利用的耕地优先划入永久基本农田实行特殊保护，到2035年，划定永久基本农田29.17平方公里（4.526万亩）。全面推行田长制，严格保护耕地和永久基本农田，坚决遏制耕地“非农化”、严格管控“非粮化”。依据国家、广东省相关法律法规、政策进行管护，探索采用易地有偿代保等形式实现耕地资源跨区域调节平衡。</w:t>
      </w:r>
    </w:p>
    <w:p w14:paraId="1EEDDB3C">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rPr>
        <w:t>实施水生态修复工程。</w:t>
      </w:r>
      <w:r>
        <w:rPr>
          <w:rFonts w:hint="eastAsia" w:ascii="Times New Roman" w:hAnsi="Times New Roman" w:eastAsia="仿宋_GB2312" w:cs="Times New Roman"/>
          <w:sz w:val="32"/>
          <w:szCs w:val="24"/>
        </w:rPr>
        <w:t>因地制宜实施河流水系连通，河岸综合修复及治理和建设河流缓冲带，保持水网系统的完整性、连通性。启动实施茹屋村水环境整治、源头水乡联通工程河道疏浚，沙河生态廊道建设、里波水生态廊道建设、沙河水环境综合治理、里波水沙河水环境综合治理等生态修复重点工程，谋划推进沙河中央水岸EOD工程项目，进一步提升县域副中心生态环境。大力推进沙河万里碧道建设，打造美丽舒适的沙河滨水空间。推进农田生态系统保护修复，开展受污染耕地管控修复工作，加大现有村镇工业园区附近土地污染治理重点区域的土壤修复与综合治理力度，逐步改善土壤环境。</w:t>
      </w:r>
    </w:p>
    <w:p w14:paraId="732189ED">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54" w:name="_Toc198247263"/>
      <w:bookmarkEnd w:id="154"/>
      <w:bookmarkStart w:id="155" w:name="_Toc198247264"/>
      <w:bookmarkStart w:id="156" w:name="_Toc23840"/>
      <w:r>
        <w:rPr>
          <w:rFonts w:hint="eastAsia" w:ascii="Times New Roman" w:hAnsi="Times New Roman" w:eastAsia="黑体"/>
          <w:b w:val="0"/>
          <w:bCs w:val="0"/>
        </w:rPr>
        <w:t>加快推进城市更新</w:t>
      </w:r>
      <w:bookmarkEnd w:id="155"/>
      <w:bookmarkEnd w:id="156"/>
    </w:p>
    <w:p w14:paraId="68B53D76">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综合运用城市更新提升城市功能布局和空间结构，盘活存量用地明确用途结构优化方向，传承历史文化，提升城市品质和活力。严格落实建设用地“增存挂钩”机制，加大批而未供和闲置土地处置力度，促进存量用地空间腾挪与建设用地布局优化。稳步推进城镇低效用地再开发，支持旧城镇、旧村庄整体改造，倡导鼓励推进连片“工改工”，稳妥推进城中村改造与有机更新，同时加强历史文化保护。用好用实当前上园路历史遗留用地问题解决的有关措施，妥善处理历史遗留问题。</w:t>
      </w:r>
    </w:p>
    <w:p w14:paraId="0C03B528">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57" w:name="_Toc18505"/>
      <w:bookmarkStart w:id="158" w:name="_Toc198247265"/>
      <w:r>
        <w:rPr>
          <w:rFonts w:hint="eastAsia" w:ascii="Times New Roman" w:hAnsi="Times New Roman" w:eastAsia="黑体"/>
          <w:b w:val="0"/>
          <w:bCs w:val="0"/>
        </w:rPr>
        <w:t>提升城市治理水平</w:t>
      </w:r>
      <w:bookmarkEnd w:id="157"/>
      <w:bookmarkEnd w:id="158"/>
    </w:p>
    <w:p w14:paraId="6E9FBBF5">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rPr>
        <w:t>推进智慧城市建设。</w:t>
      </w:r>
      <w:r>
        <w:rPr>
          <w:rFonts w:hint="eastAsia" w:ascii="Times New Roman" w:hAnsi="Times New Roman" w:eastAsia="仿宋_GB2312" w:cs="Times New Roman"/>
          <w:sz w:val="32"/>
          <w:szCs w:val="24"/>
        </w:rPr>
        <w:t>健全完善精细化管理机制，加快大数据、云计算、人工智能等新一代信息技术在城市管理领域的推广应用。统筹物质资源、信息资源和智力资源综合利用，重点提升交通、校园、水务、旅游、管理等领域的智慧化水平。强化“粤平安”信息平台的运用支撑、提效赋能，因地制宜推进智慧综合信息平台建设，全方位普及“管理执法+互联网”，应用于市容秩序、河道及防溺水管理、露天焚烧及烟火预警、综合指挥调度、环境卫生、城管执法等场景，提升线上线下协同的精准治理能力。加强综治中心入驻人员、专兼职网格员等相关人员教育培训，提升队伍信息化应用能力。</w:t>
      </w:r>
    </w:p>
    <w:p w14:paraId="25DEE998">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rPr>
        <w:t>加强文明城市建设。</w:t>
      </w:r>
      <w:r>
        <w:rPr>
          <w:rFonts w:hint="eastAsia" w:ascii="Times New Roman" w:hAnsi="Times New Roman" w:eastAsia="仿宋_GB2312" w:cs="Times New Roman"/>
          <w:sz w:val="32"/>
          <w:szCs w:val="24"/>
        </w:rPr>
        <w:t>积极投身于博罗县新时代文明实践中心试点建设工作，整合当地文化资源、红色革命资源、文旅资源、山水资源、企业资源等，打造富有文化特色的文明实践示范带，推动文明实践与社会治理同向同行。常态化开展人居环境整治、护学护畅、帮助空巢老人、关爱困境儿童等志愿服务活动，传递温情与正能量。开展文明单位、文明校园、文明社区、文明景区、文明市场等创建工作。</w:t>
      </w:r>
    </w:p>
    <w:p w14:paraId="56B78B62">
      <w:pPr>
        <w:widowControl/>
        <w:spacing w:line="600" w:lineRule="exact"/>
        <w:ind w:firstLine="640" w:firstLineChars="200"/>
        <w:rPr>
          <w:rFonts w:ascii="Times New Roman" w:hAnsi="Times New Roman" w:eastAsia="仿宋_GB2312" w:cs="Times New Roman"/>
          <w:sz w:val="32"/>
          <w:szCs w:val="24"/>
        </w:rPr>
      </w:pPr>
      <w:r>
        <w:rPr>
          <w:rFonts w:hint="eastAsia" w:ascii="楷体_GB2312" w:hAnsi="楷体_GB2312" w:eastAsia="楷体_GB2312" w:cs="楷体_GB2312"/>
          <w:sz w:val="32"/>
          <w:szCs w:val="24"/>
        </w:rPr>
        <w:t>建设法治城市。</w:t>
      </w:r>
      <w:r>
        <w:rPr>
          <w:rFonts w:hint="eastAsia" w:ascii="Times New Roman" w:hAnsi="Times New Roman" w:eastAsia="仿宋_GB2312" w:cs="Times New Roman"/>
          <w:sz w:val="32"/>
          <w:szCs w:val="24"/>
        </w:rPr>
        <w:t>加强综治中心规范化建设，调度各种社会资源，建成集信访调处、人民调解、司法仲裁、诉前调解、法律援助、心理安抚等于一体的“一站式”群众诉求服务中心，做到“一站式受理、一揽子调处、全链条服务”。进一步推进网格化建设高质量发展，通过结合“服务+管理”“人工+智能”，形成条块结合、横向共建、多方参与的网格治理格局。建立健全“网格吹哨、中心派单、部门报到”机制，实现矛盾纠纷调处的快速反应。进一步统筹资源力量齐抓共管，建立完善工作联动机制、定期分析研判机制。</w:t>
      </w:r>
    </w:p>
    <w:p w14:paraId="5A6B06B7">
      <w:pPr>
        <w:numPr>
          <w:ilvl w:val="255"/>
          <w:numId w:val="0"/>
        </w:numPr>
        <w:spacing w:before="156" w:beforeLines="50" w:after="156" w:afterLines="50" w:line="600" w:lineRule="exact"/>
        <w:rPr>
          <w:rFonts w:ascii="Times New Roman" w:hAnsi="Times New Roman" w:eastAsia="楷体_GB2312" w:cs="楷体_GB2312"/>
          <w:b/>
          <w:sz w:val="32"/>
          <w:szCs w:val="32"/>
          <w14:ligatures w14:val="none"/>
        </w:rPr>
      </w:pPr>
    </w:p>
    <w:p w14:paraId="56ED8BB2">
      <w:pPr>
        <w:spacing w:before="156" w:beforeLines="50" w:after="156" w:afterLines="50"/>
        <w:rPr>
          <w:rFonts w:ascii="Times New Roman" w:hAnsi="Times New Roman" w:eastAsia="仿宋_GB2312" w:cs="楷体_GB2312"/>
          <w:b/>
          <w:bCs/>
          <w:kern w:val="0"/>
          <w:sz w:val="28"/>
          <w:szCs w:val="28"/>
        </w:rPr>
        <w:sectPr>
          <w:pgSz w:w="11906" w:h="16838"/>
          <w:pgMar w:top="1440" w:right="1800" w:bottom="1440" w:left="1800" w:header="851" w:footer="992" w:gutter="0"/>
          <w:cols w:space="425" w:num="1"/>
          <w:docGrid w:type="lines" w:linePitch="312" w:charSpace="0"/>
        </w:sectPr>
      </w:pPr>
    </w:p>
    <w:p w14:paraId="7215171C">
      <w:pPr>
        <w:pStyle w:val="3"/>
        <w:keepNext w:val="0"/>
        <w:keepLines w:val="0"/>
        <w:spacing w:before="312" w:beforeLines="100" w:after="312" w:afterLines="100" w:line="360" w:lineRule="auto"/>
        <w:jc w:val="center"/>
        <w:rPr>
          <w:rFonts w:ascii="Times New Roman" w:hAnsi="Times New Roman" w:eastAsia="黑体"/>
          <w:b w:val="0"/>
          <w:bCs w:val="0"/>
          <w:sz w:val="40"/>
          <w:szCs w:val="40"/>
        </w:rPr>
      </w:pPr>
      <w:bookmarkStart w:id="159" w:name="_Toc16829"/>
      <w:bookmarkStart w:id="160" w:name="_Toc198247266"/>
      <w:r>
        <w:rPr>
          <w:rFonts w:hint="eastAsia" w:ascii="Times New Roman" w:hAnsi="Times New Roman" w:eastAsia="黑体"/>
          <w:b w:val="0"/>
          <w:bCs w:val="0"/>
          <w:sz w:val="40"/>
          <w:szCs w:val="40"/>
        </w:rPr>
        <w:t>第十章 打造高能级大型产业集聚区</w:t>
      </w:r>
      <w:bookmarkEnd w:id="159"/>
      <w:bookmarkEnd w:id="160"/>
    </w:p>
    <w:p w14:paraId="2E247925">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强化产业空间资源整合，有序推动惠州博罗产业园区、博罗智能装备产业园的扩容增效和联动联产，建设面积达57.40平方公里（其中石湾片区14.94平方公里，园洲片区42.46平方公里）的县域副中心大型产业集聚区，争创国内一流的省级乃至国家级高新区。</w:t>
      </w:r>
    </w:p>
    <w:p w14:paraId="4848508A">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61" w:name="_Toc198247267"/>
      <w:bookmarkStart w:id="162" w:name="_Toc25732"/>
      <w:r>
        <w:rPr>
          <w:rFonts w:hint="eastAsia" w:ascii="Times New Roman" w:hAnsi="Times New Roman" w:eastAsia="黑体"/>
          <w:b w:val="0"/>
          <w:bCs w:val="0"/>
        </w:rPr>
        <w:t>集聚区目标定位</w:t>
      </w:r>
      <w:bookmarkEnd w:id="161"/>
      <w:bookmarkEnd w:id="162"/>
    </w:p>
    <w:p w14:paraId="19469EA5">
      <w:pPr>
        <w:pStyle w:val="5"/>
        <w:keepNext w:val="0"/>
        <w:keepLines w:val="0"/>
        <w:spacing w:before="0" w:after="0" w:line="600" w:lineRule="exact"/>
        <w:ind w:firstLine="643" w:firstLineChars="200"/>
        <w:rPr>
          <w:rFonts w:ascii="Times New Roman" w:hAnsi="Times New Roman" w:eastAsia="仿宋_GB2312"/>
        </w:rPr>
      </w:pPr>
      <w:bookmarkStart w:id="163" w:name="_Toc55469471"/>
      <w:bookmarkStart w:id="164" w:name="_Toc141711428"/>
      <w:r>
        <w:rPr>
          <w:rFonts w:hint="eastAsia" w:ascii="Times New Roman" w:hAnsi="Times New Roman" w:eastAsia="仿宋_GB2312"/>
        </w:rPr>
        <w:t>1．战略定位</w:t>
      </w:r>
    </w:p>
    <w:p w14:paraId="4540D19E">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深入实施制造业当家，着力培育发展具有区域竞争力的先进制造业产业集群，力争在惠州市千亿级产业园综合实力评比中争先进位，加快构建适应新经济发展的产业格局，加快将产业园建设成博罗县产业高质量发展的主阵地、招商引资的主力军、产城人文深度融合的主样板，主动融入粤港澳大湾区发展新格局，建设成为国内一流的高新区。</w:t>
      </w:r>
    </w:p>
    <w:p w14:paraId="62B684A5">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全国一流的高新技术产业园。</w:t>
      </w:r>
      <w:r>
        <w:rPr>
          <w:rFonts w:hint="eastAsia" w:ascii="Times New Roman" w:hAnsi="Times New Roman" w:eastAsia="仿宋_GB2312" w:cs="Times New Roman"/>
          <w:sz w:val="32"/>
          <w:szCs w:val="24"/>
        </w:rPr>
        <w:t>加快集聚创新资源，加快推进智能制造、创建一批示范智能工厂、培育一批智能制造领军企业，致力打造穗莞深智能制造产业承接区、国家新型储能产业基地、新一代信息技术产业基地，努力创建“世界知名、国内一流的高科技产业园”，成为粤港澳大湾区重要装备制造产业基地。</w:t>
      </w:r>
    </w:p>
    <w:bookmarkEnd w:id="163"/>
    <w:bookmarkEnd w:id="164"/>
    <w:p w14:paraId="0F0B9D83">
      <w:pPr>
        <w:widowControl/>
        <w:spacing w:line="600" w:lineRule="exact"/>
        <w:ind w:firstLine="640" w:firstLineChars="200"/>
        <w:rPr>
          <w:rFonts w:ascii="Times New Roman" w:hAnsi="Times New Roman" w:eastAsia="仿宋_GB2312" w:cs="Times New Roman"/>
          <w:sz w:val="32"/>
          <w:szCs w:val="24"/>
        </w:rPr>
      </w:pPr>
      <w:bookmarkStart w:id="165" w:name="_Toc141711430"/>
      <w:bookmarkStart w:id="166" w:name="_Toc55469473"/>
      <w:r>
        <w:rPr>
          <w:rFonts w:hint="eastAsia" w:ascii="Times New Roman" w:hAnsi="Times New Roman" w:eastAsia="楷体_GB2312" w:cs="楷体_GB2312"/>
          <w:sz w:val="32"/>
          <w:szCs w:val="24"/>
        </w:rPr>
        <w:t>珠江东岸重要的创智协同新平台。</w:t>
      </w:r>
      <w:r>
        <w:rPr>
          <w:rFonts w:hint="eastAsia" w:ascii="Times New Roman" w:hAnsi="Times New Roman" w:eastAsia="仿宋_GB2312" w:cs="Times New Roman"/>
          <w:sz w:val="32"/>
          <w:szCs w:val="24"/>
        </w:rPr>
        <w:t>依托高校、研究机构和高科技企业，紧密对接广深科技创新走廊，坚持以企业为主体，以市场为导向，以技术进步为支撑，以新材料新能源、智能装备制造、电子信息为主导产业，通过“配套+技术+资源+资本”的整体导入，完善“产学研推用”一体化发展模式，实现“孵化与投资”“制造业+信息技术”双引擎驱动，打造粤港澳大湾区科创成果转移转化高地。</w:t>
      </w:r>
    </w:p>
    <w:p w14:paraId="4BA66FD3">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惠州</w:t>
      </w:r>
      <w:bookmarkEnd w:id="165"/>
      <w:bookmarkEnd w:id="166"/>
      <w:r>
        <w:rPr>
          <w:rFonts w:hint="eastAsia" w:ascii="Times New Roman" w:hAnsi="Times New Roman" w:eastAsia="楷体_GB2312" w:cs="楷体_GB2312"/>
          <w:sz w:val="32"/>
          <w:szCs w:val="24"/>
        </w:rPr>
        <w:t>产城人文融合发展的活力新城。</w:t>
      </w:r>
      <w:r>
        <w:rPr>
          <w:rFonts w:hint="eastAsia" w:ascii="Times New Roman" w:hAnsi="Times New Roman" w:eastAsia="仿宋_GB2312" w:cs="Times New Roman"/>
          <w:sz w:val="32"/>
          <w:szCs w:val="24"/>
        </w:rPr>
        <w:t>围绕“产、城、人、文”融合，强化沟通对接，统筹大配套和小配套，加快产业园基础设施、生活配套等产城融合新模式。充分发挥山、水、林、田、村的独特生态优势，加大对闲置低效用地处置力度，积极引培总部经济、产业园区，着力补齐现代服务业短板，构筑形态更新、功能更全、活力更强、产城人文深度融合，宜居宜业宜游宜创现代化活力新城。</w:t>
      </w:r>
    </w:p>
    <w:p w14:paraId="4B1CC532">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博罗县域副中心高质量发展的主引擎。</w:t>
      </w:r>
      <w:r>
        <w:rPr>
          <w:rFonts w:hint="eastAsia" w:ascii="Times New Roman" w:hAnsi="Times New Roman" w:eastAsia="仿宋_GB2312" w:cs="Times New Roman"/>
          <w:sz w:val="32"/>
          <w:szCs w:val="24"/>
        </w:rPr>
        <w:t>大力培育战略性新兴产业，加快发展新型储能、前沿新材料、高端装备制造、新一代电子信息等产业，锻造新的产业竞争优势。突出企业科技创新主体地位，深入推进科技型中小企业增强科技创新驱动力。加快新型研发机构建设，全力支持欣旺达等龙头企业联合设立实验室，将产业园区打造成博罗县域副中心高质量发展的主引擎。</w:t>
      </w:r>
    </w:p>
    <w:p w14:paraId="29C5FD4F">
      <w:pPr>
        <w:pStyle w:val="5"/>
        <w:keepNext w:val="0"/>
        <w:keepLines w:val="0"/>
        <w:spacing w:before="0" w:after="0" w:line="600" w:lineRule="exact"/>
        <w:ind w:firstLine="643" w:firstLineChars="200"/>
        <w:rPr>
          <w:rFonts w:ascii="Times New Roman" w:hAnsi="Times New Roman" w:eastAsia="仿宋_GB2312"/>
        </w:rPr>
      </w:pPr>
      <w:r>
        <w:rPr>
          <w:rFonts w:hint="eastAsia" w:ascii="Times New Roman" w:hAnsi="Times New Roman" w:eastAsia="仿宋_GB2312"/>
        </w:rPr>
        <w:t>2．发展目标</w:t>
      </w:r>
    </w:p>
    <w:p w14:paraId="2B9399FD">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仿宋_GB2312" w:cs="仿宋_GB2312"/>
          <w:sz w:val="32"/>
          <w:szCs w:val="24"/>
        </w:rPr>
        <w:t>至2027年，集聚区常住人口力争达到5万人，建设用地总规模控制在20平方公里以内。集聚区基础设施、产业体系和体制机制不断完善，3—5个“链主”产业项目开工投产，形成多个高质量规模化的产业和生活组团，成为</w:t>
      </w:r>
      <w:r>
        <w:rPr>
          <w:rFonts w:hint="eastAsia" w:ascii="Times New Roman" w:hAnsi="Times New Roman" w:eastAsia="仿宋_GB2312" w:cs="Times New Roman"/>
          <w:sz w:val="32"/>
          <w:szCs w:val="24"/>
        </w:rPr>
        <w:t>博罗县域副中心的主引擎</w:t>
      </w:r>
      <w:r>
        <w:rPr>
          <w:rFonts w:hint="eastAsia" w:ascii="Times New Roman" w:hAnsi="Times New Roman" w:eastAsia="仿宋_GB2312" w:cs="仿宋_GB2312"/>
          <w:sz w:val="32"/>
          <w:szCs w:val="24"/>
        </w:rPr>
        <w:t>。</w:t>
      </w:r>
    </w:p>
    <w:p w14:paraId="58875407">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仿宋_GB2312" w:cs="仿宋_GB2312"/>
          <w:sz w:val="32"/>
          <w:szCs w:val="24"/>
        </w:rPr>
        <w:t>至2035年，集聚区常住人口力争达到10万人，建设用地总规模控制在40平方公里以内。集聚区新兴产业集群成链、公共设施功能完善、综合交通便捷高效、生活空间活力宜居，产业化城市化齐头并进，形成具有强大辐射带动作用的战略性新兴产业增长极。建成特色鲜明、国内一流的高科技智造产业园，产城人文深度融合的现代化大型产业园区。</w:t>
      </w:r>
    </w:p>
    <w:p w14:paraId="5AAF7791">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67" w:name="_Toc20217"/>
      <w:bookmarkStart w:id="168" w:name="_Toc198247268"/>
      <w:r>
        <w:rPr>
          <w:rFonts w:hint="eastAsia" w:ascii="Times New Roman" w:hAnsi="Times New Roman" w:eastAsia="黑体"/>
          <w:b w:val="0"/>
          <w:bCs w:val="0"/>
        </w:rPr>
        <w:t>集聚区主导产业</w:t>
      </w:r>
      <w:bookmarkEnd w:id="167"/>
      <w:bookmarkEnd w:id="168"/>
    </w:p>
    <w:p w14:paraId="188AEC84">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仿宋_GB2312" w:cs="仿宋_GB2312"/>
          <w:sz w:val="32"/>
          <w:szCs w:val="24"/>
        </w:rPr>
        <w:t>重点集聚智能制造1个主导产业，新一代电子信息、新能源、新材料3个战略性新兴产业，以及1个先进生产性服务业，完善产业相关配套，推动产业链补链延链强链，提高产业协作发展能力，增强产业链、供应链自主可控能力，打造具有一流竞争力的现代产业体系。</w:t>
      </w:r>
    </w:p>
    <w:p w14:paraId="24A03A94">
      <w:pPr>
        <w:pStyle w:val="5"/>
        <w:keepNext w:val="0"/>
        <w:keepLines w:val="0"/>
        <w:spacing w:before="0" w:after="0" w:line="600" w:lineRule="exact"/>
        <w:ind w:firstLine="643" w:firstLineChars="200"/>
        <w:rPr>
          <w:rFonts w:ascii="Times New Roman" w:hAnsi="Times New Roman" w:eastAsia="仿宋_GB2312"/>
        </w:rPr>
      </w:pPr>
      <w:bookmarkStart w:id="169" w:name="_Toc18292"/>
      <w:bookmarkStart w:id="170" w:name="_Toc27923"/>
      <w:r>
        <w:rPr>
          <w:rFonts w:hint="eastAsia" w:ascii="Times New Roman" w:hAnsi="Times New Roman" w:eastAsia="仿宋_GB2312"/>
        </w:rPr>
        <w:t>1．加快发展智能装备制造</w:t>
      </w:r>
      <w:bookmarkEnd w:id="169"/>
      <w:bookmarkEnd w:id="170"/>
    </w:p>
    <w:p w14:paraId="31F40334">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仿宋_GB2312" w:cs="仿宋_GB2312"/>
          <w:sz w:val="32"/>
          <w:szCs w:val="24"/>
        </w:rPr>
        <w:t>协同探索互联网与装备制造产业的融合发展，重点发展汽车零部件、精密模具、精密数控加工装备和医疗器械制造等产业，打造智能装备制造产业集群。</w:t>
      </w:r>
    </w:p>
    <w:p w14:paraId="792BA7A5">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汽车零部件。</w:t>
      </w:r>
      <w:r>
        <w:rPr>
          <w:rFonts w:hint="eastAsia" w:ascii="Times New Roman" w:hAnsi="Times New Roman" w:eastAsia="仿宋_GB2312" w:cs="仿宋_GB2312"/>
          <w:sz w:val="32"/>
          <w:szCs w:val="24"/>
        </w:rPr>
        <w:t>加快太古汽车、天倬科技和穗景科技等项目建设，以节能化和轻量化为导向，重点发展新能源汽车关键零部件及配件、汽车电子及汽车电控系统、新能源汽车电池、驱动电机、电子电器、动力总成系统、制动系统、传动系统等，培育发展新能源汽车新型充换电技术装备、智能网联汽车、无人驾驶汽车、高精度定位系统。</w:t>
      </w:r>
    </w:p>
    <w:p w14:paraId="1ACB6944">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精密模具。</w:t>
      </w:r>
      <w:r>
        <w:rPr>
          <w:rFonts w:hint="eastAsia" w:ascii="Times New Roman" w:hAnsi="Times New Roman" w:eastAsia="仿宋_GB2312" w:cs="仿宋_GB2312"/>
          <w:sz w:val="32"/>
          <w:szCs w:val="24"/>
        </w:rPr>
        <w:t>加快圣有利电机和鸿威盛精密科技项目建设，重点发展高速电主轴、多</w:t>
      </w:r>
      <w:r>
        <w:rPr>
          <w:rFonts w:ascii="Times New Roman" w:hAnsi="Times New Roman" w:eastAsia="仿宋_GB2312" w:cs="仿宋_GB2312"/>
          <w:sz w:val="32"/>
          <w:szCs w:val="24"/>
        </w:rPr>
        <w:t>轴联动主轴头、高速高精度主轴轴承、滚珠丝杆导轨、精密光栅、导轨、智能数控系统、伺服电机控制等关键零部件和系统</w:t>
      </w:r>
      <w:r>
        <w:rPr>
          <w:rFonts w:hint="eastAsia" w:ascii="Times New Roman" w:hAnsi="Times New Roman" w:eastAsia="仿宋_GB2312" w:cs="仿宋_GB2312"/>
          <w:sz w:val="32"/>
          <w:szCs w:val="24"/>
        </w:rPr>
        <w:t>。</w:t>
      </w:r>
    </w:p>
    <w:p w14:paraId="08922727">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精密数控加工装备。</w:t>
      </w:r>
      <w:r>
        <w:rPr>
          <w:rFonts w:hint="eastAsia" w:ascii="Times New Roman" w:hAnsi="Times New Roman" w:eastAsia="仿宋_GB2312" w:cs="仿宋_GB2312"/>
          <w:sz w:val="32"/>
          <w:szCs w:val="24"/>
        </w:rPr>
        <w:t>加快先力得、友鸿科技等项目建设，</w:t>
      </w:r>
      <w:r>
        <w:rPr>
          <w:rFonts w:ascii="Times New Roman" w:hAnsi="Times New Roman" w:eastAsia="仿宋_GB2312" w:cs="仿宋_GB2312"/>
          <w:sz w:val="32"/>
          <w:szCs w:val="24"/>
        </w:rPr>
        <w:t>重点发展金属切削机床、金属成形机床、铸造机械、金属切割和焊接、表面贴装设备、封装设备、显影设备、刻蚀设备、薄膜沉积设备等数控设备</w:t>
      </w:r>
      <w:r>
        <w:rPr>
          <w:rFonts w:hint="eastAsia" w:ascii="Times New Roman" w:hAnsi="Times New Roman" w:eastAsia="仿宋_GB2312" w:cs="仿宋_GB2312"/>
          <w:sz w:val="32"/>
          <w:szCs w:val="24"/>
        </w:rPr>
        <w:t>。力争在工业机器人领域取得优势，重点发展应用于3C领域及汽车产业的焊接、处理、装配、喷涂等四类工业机器人。</w:t>
      </w:r>
    </w:p>
    <w:p w14:paraId="69F4C7A6">
      <w:pPr>
        <w:widowControl/>
        <w:spacing w:line="600" w:lineRule="exact"/>
        <w:ind w:firstLine="640" w:firstLineChars="200"/>
        <w:rPr>
          <w:rFonts w:ascii="Times New Roman" w:hAnsi="Times New Roman" w:eastAsia="仿宋_GB2312" w:cs="仿宋_GB2312"/>
          <w:sz w:val="32"/>
          <w:szCs w:val="24"/>
        </w:rPr>
      </w:pPr>
      <w:r>
        <w:rPr>
          <w:rFonts w:ascii="Times New Roman" w:hAnsi="Times New Roman" w:eastAsia="楷体_GB2312" w:cs="楷体_GB2312"/>
          <w:sz w:val="32"/>
          <w:szCs w:val="24"/>
        </w:rPr>
        <w:t>医疗器械</w:t>
      </w:r>
      <w:r>
        <w:rPr>
          <w:rFonts w:hint="eastAsia" w:ascii="Times New Roman" w:hAnsi="Times New Roman" w:eastAsia="楷体_GB2312" w:cs="楷体_GB2312"/>
          <w:sz w:val="32"/>
          <w:szCs w:val="24"/>
        </w:rPr>
        <w:t>制造。</w:t>
      </w:r>
      <w:r>
        <w:rPr>
          <w:rFonts w:hint="eastAsia" w:ascii="Times New Roman" w:hAnsi="Times New Roman" w:eastAsia="仿宋_GB2312" w:cs="仿宋_GB2312"/>
          <w:sz w:val="32"/>
          <w:szCs w:val="24"/>
        </w:rPr>
        <w:t>加快惠扬科技和启泰生命等项目建设，</w:t>
      </w:r>
      <w:r>
        <w:rPr>
          <w:rFonts w:ascii="Times New Roman" w:hAnsi="Times New Roman" w:eastAsia="仿宋_GB2312" w:cs="仿宋_GB2312"/>
          <w:sz w:val="32"/>
          <w:szCs w:val="24"/>
        </w:rPr>
        <w:t>重点发展可穿戴医疗设备、中医诊断与治疗设备、医学影像设备、体外诊断设备、生命支持设备等医疗电子仪器及软件开发，加快移动医疗、智慧医疗、远程医疗技术创新与应用</w:t>
      </w:r>
      <w:r>
        <w:rPr>
          <w:rFonts w:hint="eastAsia" w:ascii="Times New Roman" w:hAnsi="Times New Roman" w:eastAsia="仿宋_GB2312" w:cs="仿宋_GB2312"/>
          <w:sz w:val="32"/>
          <w:szCs w:val="24"/>
        </w:rPr>
        <w:t>。积极对接国家高性能医疗器械创新中心、坪山国家生物医药产业基地，谋划建设医疗器械产业园，吸引一批医疗器械龙头企业进驻园区。主动对接粤澳合作中医药科技产业园，加强与横琴粤澳深度合作区中医药产业合作。</w:t>
      </w:r>
    </w:p>
    <w:p w14:paraId="6E9C2C41">
      <w:pPr>
        <w:pStyle w:val="5"/>
        <w:keepNext w:val="0"/>
        <w:keepLines w:val="0"/>
        <w:spacing w:before="0" w:after="0" w:line="600" w:lineRule="exact"/>
        <w:ind w:firstLine="643" w:firstLineChars="200"/>
        <w:rPr>
          <w:rFonts w:ascii="Times New Roman" w:hAnsi="Times New Roman" w:eastAsia="仿宋_GB2312"/>
        </w:rPr>
      </w:pPr>
      <w:bookmarkStart w:id="171" w:name="_Toc7169_WPSOffice_Level2"/>
      <w:bookmarkStart w:id="172" w:name="_Toc2789"/>
      <w:bookmarkStart w:id="173" w:name="_Toc31420"/>
      <w:r>
        <w:rPr>
          <w:rFonts w:hint="eastAsia" w:ascii="Times New Roman" w:hAnsi="Times New Roman" w:eastAsia="仿宋_GB2312"/>
        </w:rPr>
        <w:t>2．做大做强新一代</w:t>
      </w:r>
      <w:bookmarkEnd w:id="171"/>
      <w:r>
        <w:rPr>
          <w:rFonts w:hint="eastAsia" w:ascii="Times New Roman" w:hAnsi="Times New Roman" w:eastAsia="仿宋_GB2312"/>
        </w:rPr>
        <w:t>电子信息</w:t>
      </w:r>
      <w:bookmarkEnd w:id="172"/>
      <w:bookmarkEnd w:id="173"/>
    </w:p>
    <w:p w14:paraId="785AAA9A">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仿宋_GB2312" w:cs="仿宋_GB2312"/>
          <w:sz w:val="32"/>
          <w:szCs w:val="24"/>
        </w:rPr>
        <w:t>重点发展新一代通信与网络、智能终端、新一代信息技术应用和汽车电子等产业，培育一批具备核心竞争力和品牌影响力的龙头企业，建成新一代电子信息产业集聚区和工业互联网应用示范基地。</w:t>
      </w:r>
    </w:p>
    <w:p w14:paraId="494FD2DA">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新一代通信与网络。</w:t>
      </w:r>
      <w:r>
        <w:rPr>
          <w:rFonts w:hint="eastAsia" w:ascii="Times New Roman" w:hAnsi="Times New Roman" w:eastAsia="仿宋_GB2312" w:cs="仿宋_GB2312"/>
          <w:sz w:val="32"/>
          <w:szCs w:val="24"/>
        </w:rPr>
        <w:t>加快华利多科技、华红高科技和华瓷通信等项目建设，重点发展基站天线、基站设备、传输设备、光器件、射频器件与终端配件，优先发展光交换、基带、中高射频等新一代通信技术高端芯片，大力发展下一代核心网、100G至T级别波分光传输设备、刀片式基站、微基站、新一代数字化室分系统、大规模多输入多输出天线阵设备等网络产品和配套软件，补齐补强第三代半导体、滤波器、功率放大器等基础材料与核心零部件产业。</w:t>
      </w:r>
    </w:p>
    <w:p w14:paraId="1658C73F">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智能终端。</w:t>
      </w:r>
      <w:r>
        <w:rPr>
          <w:rFonts w:hint="eastAsia" w:ascii="Times New Roman" w:hAnsi="Times New Roman" w:eastAsia="仿宋_GB2312" w:cs="仿宋_GB2312"/>
          <w:sz w:val="32"/>
          <w:szCs w:val="24"/>
        </w:rPr>
        <w:t>加快精而美智能制造、明丰智能穿戴项目建设，重点发展穿戴设备和智能家居等优势领域，重点补齐芯片和高端半导体元器件等短板领域。依托香江智能、美合科技等企业，引培一批智慧生活平台运营商以及终端产品制造商，打造智慧家居开源创新平台，培育一批智能家居品牌。</w:t>
      </w:r>
    </w:p>
    <w:p w14:paraId="66E06B64">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新一代信息技术应用。重</w:t>
      </w:r>
      <w:r>
        <w:rPr>
          <w:rFonts w:hint="eastAsia" w:ascii="Times New Roman" w:hAnsi="Times New Roman" w:eastAsia="仿宋_GB2312" w:cs="仿宋_GB2312"/>
          <w:sz w:val="32"/>
          <w:szCs w:val="24"/>
        </w:rPr>
        <w:t>点发展传感器、无线模组、智能穿戴、智能家居和智能装备等新一代人工智能技术应用，培育发展车联网、VR/AR等应用场景。加快人机交互、生物特征识别、计算机视觉等关键技术在手机、平板、智能可穿戴设备等终端的应用。支持电子信息、智能装备制造、医疗健康等领域企业与大型平台企业合作，发展</w:t>
      </w:r>
      <w:r>
        <w:rPr>
          <w:rFonts w:ascii="Times New Roman" w:hAnsi="Times New Roman" w:eastAsia="仿宋_GB2312" w:cs="仿宋_GB2312"/>
          <w:sz w:val="32"/>
          <w:szCs w:val="24"/>
        </w:rPr>
        <w:t>SaaS</w:t>
      </w:r>
      <w:r>
        <w:rPr>
          <w:rFonts w:hint="eastAsia" w:ascii="Times New Roman" w:hAnsi="Times New Roman" w:eastAsia="仿宋_GB2312" w:cs="仿宋_GB2312"/>
          <w:sz w:val="32"/>
          <w:szCs w:val="24"/>
        </w:rPr>
        <w:t>化软件和新型信息服务。</w:t>
      </w:r>
    </w:p>
    <w:p w14:paraId="4A84BB50">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汽车电子。</w:t>
      </w:r>
      <w:r>
        <w:rPr>
          <w:rFonts w:hint="eastAsia" w:ascii="Times New Roman" w:hAnsi="Times New Roman" w:eastAsia="仿宋_GB2312" w:cs="仿宋_GB2312"/>
          <w:sz w:val="32"/>
          <w:szCs w:val="24"/>
        </w:rPr>
        <w:t>加强新一代电子信息与汽车制造产业协同发展，以华达、太古等汽车零部件制造企业为核心，大力支持发展汽车信息系统（行车电脑）、导航系统、汽车音响及电视娱乐系统、车载通信系统、上网设备等汽车电子，培育发展汽车电子控制装置等。合理引导发展</w:t>
      </w:r>
      <w:r>
        <w:rPr>
          <w:rFonts w:ascii="Times New Roman" w:hAnsi="Times New Roman" w:eastAsia="仿宋_GB2312" w:cs="仿宋_GB2312"/>
          <w:sz w:val="32"/>
          <w:szCs w:val="24"/>
        </w:rPr>
        <w:t>中高压MOSFET、IGBT、车规级电容电阻等短板领域</w:t>
      </w:r>
      <w:r>
        <w:rPr>
          <w:rFonts w:hint="eastAsia" w:ascii="Times New Roman" w:hAnsi="Times New Roman" w:eastAsia="仿宋_GB2312" w:cs="仿宋_GB2312"/>
          <w:sz w:val="32"/>
          <w:szCs w:val="24"/>
        </w:rPr>
        <w:t>。</w:t>
      </w:r>
    </w:p>
    <w:p w14:paraId="6112B9B0">
      <w:pPr>
        <w:pStyle w:val="5"/>
        <w:keepNext w:val="0"/>
        <w:keepLines w:val="0"/>
        <w:spacing w:before="0" w:after="0" w:line="600" w:lineRule="exact"/>
        <w:ind w:firstLine="643" w:firstLineChars="200"/>
        <w:rPr>
          <w:rFonts w:ascii="Times New Roman" w:hAnsi="Times New Roman" w:eastAsia="仿宋_GB2312"/>
        </w:rPr>
      </w:pPr>
      <w:bookmarkStart w:id="174" w:name="_Toc20437"/>
      <w:bookmarkStart w:id="175" w:name="_Toc27876"/>
      <w:bookmarkStart w:id="176" w:name="_Toc31538_WPSOffice_Level2"/>
      <w:r>
        <w:rPr>
          <w:rFonts w:hint="eastAsia" w:ascii="Times New Roman" w:hAnsi="Times New Roman" w:eastAsia="仿宋_GB2312"/>
        </w:rPr>
        <w:t>3．前瞻布局新能源</w:t>
      </w:r>
      <w:bookmarkEnd w:id="174"/>
      <w:bookmarkEnd w:id="175"/>
    </w:p>
    <w:p w14:paraId="266A75AC">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仿宋_GB2312" w:cs="仿宋_GB2312"/>
          <w:sz w:val="32"/>
          <w:szCs w:val="24"/>
        </w:rPr>
        <w:t>重点发展新能源电池及器件、</w:t>
      </w:r>
      <w:bookmarkStart w:id="177" w:name="_Hlk148364372"/>
      <w:r>
        <w:rPr>
          <w:rFonts w:hint="eastAsia" w:ascii="Times New Roman" w:hAnsi="Times New Roman" w:eastAsia="仿宋_GB2312" w:cs="仿宋_GB2312"/>
          <w:sz w:val="32"/>
          <w:szCs w:val="24"/>
        </w:rPr>
        <w:t>新型储</w:t>
      </w:r>
      <w:bookmarkEnd w:id="177"/>
      <w:r>
        <w:rPr>
          <w:rFonts w:hint="eastAsia" w:ascii="Times New Roman" w:hAnsi="Times New Roman" w:eastAsia="仿宋_GB2312" w:cs="仿宋_GB2312"/>
          <w:sz w:val="32"/>
          <w:szCs w:val="24"/>
        </w:rPr>
        <w:t>能、储能系统集成及装备制造和综合能源服务的四大产业，培育一批具有核心竞争力的龙头企业和领军人才，打造具有国内重要竞争力的新能源产业集群和新型储能创新应用高地</w:t>
      </w:r>
      <w:bookmarkStart w:id="178" w:name="_Toc14031"/>
      <w:r>
        <w:rPr>
          <w:rFonts w:hint="eastAsia" w:ascii="Times New Roman" w:hAnsi="Times New Roman" w:eastAsia="仿宋_GB2312" w:cs="仿宋_GB2312"/>
          <w:sz w:val="32"/>
          <w:szCs w:val="24"/>
        </w:rPr>
        <w:t>。</w:t>
      </w:r>
      <w:bookmarkEnd w:id="178"/>
    </w:p>
    <w:p w14:paraId="5D310E11">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新能源电池及器件。</w:t>
      </w:r>
      <w:r>
        <w:rPr>
          <w:rFonts w:hint="eastAsia" w:ascii="Times New Roman" w:hAnsi="Times New Roman" w:eastAsia="仿宋_GB2312" w:cs="仿宋_GB2312"/>
          <w:sz w:val="32"/>
          <w:szCs w:val="24"/>
        </w:rPr>
        <w:t>重点发展锂电新能源材料，以及正极、负极、隔膜、电解液、铜箔、铝箔等六大关键主材和结构件（壳体）等产业。布局固态电池、锂硫电池、钠离子电池等新型动力电池研发生产。支持欣旺达惠州新能源产业基地、惠州锂威新能源科技有限公司等储能锂电池企业优化锂电池制造工艺，进一步扩张锂电池产能，加快大容量储能锂电池项目落地。支持企业开展相关技术攻关，并推进技术研发成果转化落地，推动储能电池链式发展。</w:t>
      </w:r>
    </w:p>
    <w:p w14:paraId="3DF58010">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新型储能。</w:t>
      </w:r>
      <w:r>
        <w:rPr>
          <w:rFonts w:hint="eastAsia" w:ascii="Times New Roman" w:hAnsi="Times New Roman" w:eastAsia="仿宋_GB2312" w:cs="仿宋_GB2312"/>
          <w:sz w:val="32"/>
          <w:szCs w:val="24"/>
        </w:rPr>
        <w:t>围绕新型储能“研发—生产—运营—场景应用”全产业链，重点发展储能电池制造、新型储能材料、储能系统集成及装备制造、储能电池回收综合利用、新型储能场景应用，培育引进新型储能企业和技术人才，规划建设新型储能园中园，加快构建以电化学储能为主的新型储能产业体系，加强储能装备、电力装备和储能基础设施建设，示范开展储能产品应用和回收体系建设。</w:t>
      </w:r>
    </w:p>
    <w:p w14:paraId="0E3EB025">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新能源系统集成及装备制造。</w:t>
      </w:r>
      <w:r>
        <w:rPr>
          <w:rFonts w:hint="eastAsia" w:ascii="Times New Roman" w:hAnsi="Times New Roman" w:eastAsia="仿宋_GB2312" w:cs="仿宋_GB2312"/>
          <w:sz w:val="32"/>
          <w:szCs w:val="24"/>
        </w:rPr>
        <w:t>围绕新能源汽车电机和电控系统，布局新一代车用轮毂和轮边电机、高速扁铜线电机及高速轴承、高速高压密封件、新型功率半导体元器件等产业，重点发展储能电子元器件、电压传感器、电流传感器、温度传感器、气体传感器等储能领域检测用传感器器件研发生产，引入电池总装段自动化装备制造、锂电池全套自动化设备生产、电力变压器、高低压成套开关及储能设备制造和储能集成系统企业，积极拓展电池管理系统、能源管理系统、储能变流器等相关业务。</w:t>
      </w:r>
    </w:p>
    <w:p w14:paraId="15F8361D">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综合能源服务。</w:t>
      </w:r>
      <w:bookmarkEnd w:id="176"/>
      <w:r>
        <w:rPr>
          <w:rFonts w:hint="eastAsia" w:ascii="Times New Roman" w:hAnsi="Times New Roman" w:eastAsia="仿宋_GB2312" w:cs="仿宋_GB2312"/>
          <w:sz w:val="32"/>
          <w:szCs w:val="24"/>
        </w:rPr>
        <w:t>重点招引国电南自、特变电工等行业龙头企业，开发配送式智能变电站、站内多功能测控装置、站域保护控制装置、智能巡检机器人等关键技术和设备。力争招引ABB、西门子、施耐德、正泰电气等行业龙头企业，重点发展配电变压器、低压成套设备、配电箱（柜）、配电自动化系统等产品，开发面向能源互联网的灵活配电系统技术与关键装备。积极对接国家电网、南方电网等能源国企，重点发展一体化供能、能效管理、售电运营、充换电服务、电能托管等综合能源服务模式，研究交通运输、工业生产、居民生活、建筑楼宇等多领域应用，形成以技术创新、应用创新、模式创新为核心的新业态。</w:t>
      </w:r>
    </w:p>
    <w:p w14:paraId="6E40B2A0">
      <w:pPr>
        <w:pStyle w:val="5"/>
        <w:keepNext w:val="0"/>
        <w:keepLines w:val="0"/>
        <w:spacing w:before="0" w:after="0" w:line="600" w:lineRule="exact"/>
        <w:ind w:firstLine="643" w:firstLineChars="200"/>
        <w:rPr>
          <w:rFonts w:ascii="Times New Roman" w:hAnsi="Times New Roman" w:eastAsia="仿宋_GB2312"/>
        </w:rPr>
      </w:pPr>
      <w:r>
        <w:rPr>
          <w:rFonts w:hint="eastAsia" w:ascii="Times New Roman" w:hAnsi="Times New Roman" w:eastAsia="仿宋_GB2312"/>
        </w:rPr>
        <w:t>4．扶持壮大新材料产业</w:t>
      </w:r>
    </w:p>
    <w:p w14:paraId="431197E4">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仿宋_GB2312" w:cs="仿宋_GB2312"/>
          <w:sz w:val="32"/>
          <w:szCs w:val="24"/>
        </w:rPr>
        <w:t>加快构建以铜材料为主的电子材料、电池材料、前沿新材料和新型化工材料等产业链。支持链路型企业对上下游资源整合，鼓励和扶持中小企业主动参与龙头企业配套产品生产，提高产业协作发展能力。</w:t>
      </w:r>
    </w:p>
    <w:p w14:paraId="14FCD1BC">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以铜材料为主的电子材料。</w:t>
      </w:r>
      <w:r>
        <w:rPr>
          <w:rFonts w:hint="eastAsia" w:ascii="Times New Roman" w:hAnsi="Times New Roman" w:eastAsia="仿宋_GB2312" w:cs="仿宋_GB2312"/>
          <w:sz w:val="32"/>
          <w:szCs w:val="24"/>
        </w:rPr>
        <w:t>围绕铜材料“板、箔、管、线（杆）、合金（棒、粉）”的制造环节，重点发展铜杆、导线、精细和超精细漆包线、覆铜板、复合铜箔、高性能电子用铜合金、</w:t>
      </w:r>
      <w:r>
        <w:rPr>
          <w:rFonts w:ascii="Times New Roman" w:hAnsi="Times New Roman" w:eastAsia="仿宋_GB2312" w:cs="仿宋_GB2312"/>
          <w:sz w:val="32"/>
          <w:szCs w:val="24"/>
        </w:rPr>
        <w:t>纳米铜粉</w:t>
      </w:r>
      <w:r>
        <w:rPr>
          <w:rFonts w:hint="eastAsia" w:ascii="Times New Roman" w:hAnsi="Times New Roman" w:eastAsia="仿宋_GB2312" w:cs="仿宋_GB2312"/>
          <w:sz w:val="32"/>
          <w:szCs w:val="24"/>
        </w:rPr>
        <w:t>和</w:t>
      </w:r>
      <w:r>
        <w:rPr>
          <w:rFonts w:ascii="Times New Roman" w:hAnsi="Times New Roman" w:eastAsia="仿宋_GB2312" w:cs="仿宋_GB2312"/>
          <w:sz w:val="32"/>
          <w:szCs w:val="24"/>
        </w:rPr>
        <w:t>半导体键合丝</w:t>
      </w:r>
      <w:r>
        <w:rPr>
          <w:rFonts w:hint="eastAsia" w:ascii="Times New Roman" w:hAnsi="Times New Roman" w:eastAsia="仿宋_GB2312" w:cs="仿宋_GB2312"/>
          <w:sz w:val="32"/>
          <w:szCs w:val="24"/>
        </w:rPr>
        <w:t>等产业</w:t>
      </w:r>
      <w:r>
        <w:rPr>
          <w:rFonts w:hint="eastAsia" w:ascii="Times New Roman" w:hAnsi="Times New Roman" w:eastAsia="仿宋_GB2312" w:cs="仿宋_GB2312"/>
          <w:sz w:val="32"/>
          <w:szCs w:val="24"/>
        </w:rPr>
        <w:footnoteReference w:id="0"/>
      </w:r>
      <w:r>
        <w:rPr>
          <w:rFonts w:hint="eastAsia" w:ascii="Times New Roman" w:hAnsi="Times New Roman" w:eastAsia="仿宋_GB2312" w:cs="仿宋_GB2312"/>
          <w:sz w:val="32"/>
          <w:szCs w:val="24"/>
        </w:rPr>
        <w:t>。优化园区铜材料产业布局，引导企业集聚发展，推动传统铜材料向规模化、绿色化、高端化转型发展，努力打造国内知名的铜材料产业基地。</w:t>
      </w:r>
    </w:p>
    <w:p w14:paraId="4206CCD9">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生物医用材料。</w:t>
      </w:r>
      <w:r>
        <w:rPr>
          <w:rFonts w:hint="eastAsia" w:ascii="Times New Roman" w:hAnsi="Times New Roman" w:eastAsia="仿宋_GB2312" w:cs="仿宋_GB2312"/>
          <w:sz w:val="32"/>
          <w:szCs w:val="24"/>
        </w:rPr>
        <w:t>加快推进环球医药、罗浮药谷等项目建设，</w:t>
      </w:r>
      <w:r>
        <w:rPr>
          <w:rFonts w:ascii="Times New Roman" w:hAnsi="Times New Roman" w:eastAsia="仿宋_GB2312" w:cs="仿宋_GB2312"/>
          <w:sz w:val="32"/>
          <w:szCs w:val="24"/>
        </w:rPr>
        <w:t>重点发展纳米医药材料、</w:t>
      </w:r>
      <w:r>
        <w:rPr>
          <w:rFonts w:hint="eastAsia" w:ascii="Times New Roman" w:hAnsi="Times New Roman" w:eastAsia="仿宋_GB2312" w:cs="仿宋_GB2312"/>
          <w:sz w:val="32"/>
          <w:szCs w:val="24"/>
        </w:rPr>
        <w:t>医用高分子材料</w:t>
      </w:r>
      <w:r>
        <w:rPr>
          <w:rFonts w:ascii="Times New Roman" w:hAnsi="Times New Roman" w:eastAsia="仿宋_GB2312" w:cs="仿宋_GB2312"/>
          <w:sz w:val="32"/>
          <w:szCs w:val="24"/>
        </w:rPr>
        <w:t>、</w:t>
      </w:r>
      <w:r>
        <w:rPr>
          <w:rFonts w:hint="eastAsia" w:ascii="Times New Roman" w:hAnsi="Times New Roman" w:eastAsia="仿宋_GB2312" w:cs="仿宋_GB2312"/>
          <w:sz w:val="32"/>
          <w:szCs w:val="24"/>
        </w:rPr>
        <w:t>植</w:t>
      </w:r>
      <w:r>
        <w:rPr>
          <w:rFonts w:ascii="Times New Roman" w:hAnsi="Times New Roman" w:eastAsia="仿宋_GB2312" w:cs="仿宋_GB2312"/>
          <w:sz w:val="32"/>
          <w:szCs w:val="24"/>
        </w:rPr>
        <w:t>/</w:t>
      </w:r>
      <w:r>
        <w:rPr>
          <w:rFonts w:hint="eastAsia" w:ascii="Times New Roman" w:hAnsi="Times New Roman" w:eastAsia="仿宋_GB2312" w:cs="仿宋_GB2312"/>
          <w:sz w:val="32"/>
          <w:szCs w:val="24"/>
        </w:rPr>
        <w:t>介入医用材料</w:t>
      </w:r>
      <w:r>
        <w:rPr>
          <w:rFonts w:ascii="Times New Roman" w:hAnsi="Times New Roman" w:eastAsia="仿宋_GB2312" w:cs="仿宋_GB2312"/>
          <w:sz w:val="32"/>
          <w:szCs w:val="24"/>
        </w:rPr>
        <w:t>、</w:t>
      </w:r>
      <w:r>
        <w:rPr>
          <w:rFonts w:hint="eastAsia" w:ascii="Times New Roman" w:hAnsi="Times New Roman" w:eastAsia="仿宋_GB2312" w:cs="仿宋_GB2312"/>
          <w:sz w:val="32"/>
          <w:szCs w:val="24"/>
        </w:rPr>
        <w:t>医用耗材</w:t>
      </w:r>
      <w:r>
        <w:rPr>
          <w:rFonts w:ascii="Times New Roman" w:hAnsi="Times New Roman" w:eastAsia="仿宋_GB2312" w:cs="仿宋_GB2312"/>
          <w:sz w:val="32"/>
          <w:szCs w:val="24"/>
        </w:rPr>
        <w:t>、</w:t>
      </w:r>
      <w:r>
        <w:rPr>
          <w:rFonts w:hint="eastAsia" w:ascii="Times New Roman" w:hAnsi="Times New Roman" w:eastAsia="仿宋_GB2312" w:cs="仿宋_GB2312"/>
          <w:sz w:val="32"/>
          <w:szCs w:val="24"/>
        </w:rPr>
        <w:t>中成药原料提取物等技术和产业。支持生物医用材料在康复医疗、生物制药、美容养生、精密体检等领域临床应用研究和产品开发，塑造产业品牌，打造独具博罗特色的生物医用材料产业基地。提升区域优质企业吸纳力度，完善生物医用材料产业区域互动生态圈。</w:t>
      </w:r>
    </w:p>
    <w:p w14:paraId="19ED797A">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新能源电池材料。</w:t>
      </w:r>
      <w:r>
        <w:rPr>
          <w:rFonts w:hint="eastAsia" w:ascii="Times New Roman" w:hAnsi="Times New Roman" w:eastAsia="仿宋_GB2312" w:cs="仿宋_GB2312"/>
          <w:sz w:val="32"/>
          <w:szCs w:val="24"/>
        </w:rPr>
        <w:t>引入广州、东莞等地新能源电池上下游材料和配套企业，大力开发高效锂电池和燃料电池等关键材料和技术。加快推进广东芸海智能科技、博罗利诚汽车配件等一批企业落地建设，打造新能源电池产业集群。加快布局磷酸铁锂正极生产项目，重点研发快充、高电压碳负极材料，有序推进储能电池方形壳体、轻薄化电池壳体、翻转阀、防爆阀、电芯成组材料等产业配套，引入锂电池用绝缘、胶粘、安全防护等材料企业。</w:t>
      </w:r>
    </w:p>
    <w:p w14:paraId="4659EC3A">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前沿新材料。</w:t>
      </w:r>
      <w:r>
        <w:rPr>
          <w:rFonts w:hint="eastAsia" w:ascii="Times New Roman" w:hAnsi="Times New Roman" w:eastAsia="仿宋_GB2312" w:cs="仿宋_GB2312"/>
          <w:sz w:val="32"/>
          <w:szCs w:val="24"/>
        </w:rPr>
        <w:t>依托光达制造博罗智慧谷建设，重点发展石墨烯电极材料、石墨烯检测试剂、石墨烯规模化制备和石墨烯电路互联等产业。对接广州、深圳高端产业发展需求，结合5G设备生产趋势，</w:t>
      </w:r>
      <w:r>
        <w:rPr>
          <w:rFonts w:ascii="Times New Roman" w:hAnsi="Times New Roman" w:eastAsia="仿宋_GB2312" w:cs="仿宋_GB2312"/>
          <w:sz w:val="32"/>
          <w:szCs w:val="24"/>
        </w:rPr>
        <w:t>发展PI膜材、5G天线（LCP、MPI材料）、高导热及EMC材料、微波介质陶瓷材料、高稳定压电陶瓷、电磁屏蔽材料、终端壳体材料等</w:t>
      </w:r>
      <w:r>
        <w:rPr>
          <w:rFonts w:hint="eastAsia" w:ascii="Times New Roman" w:hAnsi="Times New Roman" w:eastAsia="仿宋_GB2312" w:cs="仿宋_GB2312"/>
          <w:sz w:val="32"/>
          <w:szCs w:val="24"/>
        </w:rPr>
        <w:t>。</w:t>
      </w:r>
    </w:p>
    <w:p w14:paraId="02C83BAD">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新型半导体材料。</w:t>
      </w:r>
      <w:r>
        <w:rPr>
          <w:rFonts w:hint="eastAsia" w:ascii="Times New Roman" w:hAnsi="Times New Roman" w:eastAsia="仿宋_GB2312" w:cs="仿宋_GB2312"/>
          <w:sz w:val="32"/>
          <w:szCs w:val="24"/>
        </w:rPr>
        <w:t>前瞻布局新型半导体材料产业，</w:t>
      </w:r>
      <w:r>
        <w:rPr>
          <w:rFonts w:ascii="Times New Roman" w:hAnsi="Times New Roman" w:eastAsia="仿宋_GB2312" w:cs="仿宋_GB2312"/>
          <w:sz w:val="32"/>
          <w:szCs w:val="24"/>
        </w:rPr>
        <w:t>重点开展碳化硅、</w:t>
      </w:r>
      <w:r>
        <w:rPr>
          <w:rFonts w:hint="eastAsia" w:ascii="Times New Roman" w:hAnsi="Times New Roman" w:eastAsia="仿宋_GB2312" w:cs="仿宋_GB2312"/>
          <w:sz w:val="32"/>
          <w:szCs w:val="24"/>
        </w:rPr>
        <w:t>氮化镓</w:t>
      </w:r>
      <w:r>
        <w:rPr>
          <w:rFonts w:ascii="Times New Roman" w:hAnsi="Times New Roman" w:eastAsia="仿宋_GB2312" w:cs="仿宋_GB2312"/>
          <w:sz w:val="32"/>
          <w:szCs w:val="24"/>
        </w:rPr>
        <w:t>、</w:t>
      </w:r>
      <w:r>
        <w:rPr>
          <w:rFonts w:hint="eastAsia" w:ascii="Times New Roman" w:hAnsi="Times New Roman" w:eastAsia="仿宋_GB2312" w:cs="仿宋_GB2312"/>
          <w:sz w:val="32"/>
          <w:szCs w:val="24"/>
        </w:rPr>
        <w:t>磷化铟等为代表的第三代半导体材料的研发与生产，</w:t>
      </w:r>
      <w:r>
        <w:rPr>
          <w:rFonts w:ascii="Times New Roman" w:hAnsi="Times New Roman" w:eastAsia="仿宋_GB2312" w:cs="仿宋_GB2312"/>
          <w:sz w:val="32"/>
          <w:szCs w:val="24"/>
        </w:rPr>
        <w:t>积极引入碳化硅功率器件、砷化镓器件、光刻胶、抛光材料等半导体关键材料</w:t>
      </w:r>
      <w:r>
        <w:rPr>
          <w:rFonts w:hint="eastAsia" w:ascii="Times New Roman" w:hAnsi="Times New Roman" w:eastAsia="仿宋_GB2312" w:cs="仿宋_GB2312"/>
          <w:sz w:val="32"/>
          <w:szCs w:val="24"/>
        </w:rPr>
        <w:t>。推进园区企业和高等院校、科研院所的密切合作，培育新型半导体材料产学研创新合作平台，实现相关材料与器件在重大科技基础设施与重大战略工程中的应用。</w:t>
      </w:r>
    </w:p>
    <w:p w14:paraId="56A5FDB7">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新型化工材料。</w:t>
      </w:r>
      <w:r>
        <w:rPr>
          <w:rFonts w:hint="eastAsia" w:ascii="Times New Roman" w:hAnsi="Times New Roman" w:eastAsia="仿宋_GB2312" w:cs="仿宋_GB2312"/>
          <w:sz w:val="32"/>
          <w:szCs w:val="24"/>
        </w:rPr>
        <w:t>依托红墙新材料、柏林（惠州）科技、飞凯新材料等龙头企业，发展环境友好型和节能环保型的墙体涂料等产业。优化产业布局，加快推进红墙新材料年产5万吨环保涂料项目完工和晶添彩环保材料项目落地建设。完善产业链供应链，支持新型墙体涂料等绿色建材等在园区建筑上的应用研究，促进产品的系列化和配套化开发。</w:t>
      </w:r>
    </w:p>
    <w:p w14:paraId="39033338">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新能源材料研发。</w:t>
      </w:r>
      <w:r>
        <w:rPr>
          <w:rFonts w:hint="eastAsia" w:ascii="Times New Roman" w:hAnsi="Times New Roman" w:eastAsia="仿宋_GB2312" w:cs="仿宋_GB2312"/>
          <w:sz w:val="32"/>
          <w:szCs w:val="24"/>
        </w:rPr>
        <w:t>推进科技成果转移转化，争取建立博罗与深圳福田新材料联合创新发展研究院，优化完善应用研究、成果转化、公共检测、科技金融等功能，打造生产应用示范平台和资源共享平台。建设产业孵化基地，鼓励与高等院校、科研院所加强合作，开展“订单式”技能型人才培养，为园区提供一站式人才服务。</w:t>
      </w:r>
    </w:p>
    <w:p w14:paraId="4AD0BEBD">
      <w:pPr>
        <w:pStyle w:val="5"/>
        <w:keepNext w:val="0"/>
        <w:keepLines w:val="0"/>
        <w:spacing w:before="0" w:after="0" w:line="600" w:lineRule="exact"/>
        <w:ind w:firstLine="643" w:firstLineChars="200"/>
        <w:rPr>
          <w:rFonts w:ascii="Times New Roman" w:hAnsi="Times New Roman" w:eastAsia="仿宋_GB2312"/>
        </w:rPr>
      </w:pPr>
      <w:bookmarkStart w:id="179" w:name="_Toc26729"/>
      <w:bookmarkStart w:id="180" w:name="_Toc24433"/>
      <w:r>
        <w:rPr>
          <w:rFonts w:hint="eastAsia" w:ascii="Times New Roman" w:hAnsi="Times New Roman" w:eastAsia="仿宋_GB2312"/>
        </w:rPr>
        <w:t>5．集聚培育先进生产性服务业</w:t>
      </w:r>
      <w:bookmarkEnd w:id="179"/>
      <w:bookmarkEnd w:id="180"/>
    </w:p>
    <w:p w14:paraId="453238DE">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仿宋_GB2312" w:cs="仿宋_GB2312"/>
          <w:sz w:val="32"/>
          <w:szCs w:val="24"/>
        </w:rPr>
        <w:t>加强生产性服务业供给，以提供产业链增值服务为主导，以金融支持作为企业发展保障，优化完善生活性和创新性服务业，推动制造业与现代服务产业深度融合发展。</w:t>
      </w:r>
    </w:p>
    <w:p w14:paraId="32BC7F2E">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现代金融。</w:t>
      </w:r>
      <w:r>
        <w:rPr>
          <w:rFonts w:hint="eastAsia" w:ascii="Times New Roman" w:hAnsi="Times New Roman" w:eastAsia="仿宋_GB2312" w:cs="仿宋_GB2312"/>
          <w:sz w:val="32"/>
          <w:szCs w:val="24"/>
        </w:rPr>
        <w:t>加强与深圳金融领域合作共建，积极对接专业基金管理机构，共同探索创新产业基金合作模式。鼓励金融机构加大制造业贷款投放力度，在企业设备购置、数字化转型及配套服务等方面创新融资模式，降低融资成本。健全企业上市全周期全链条服务机制，全方位支持制造业企业挂牌上市，利用资本市场直接融资。</w:t>
      </w:r>
    </w:p>
    <w:p w14:paraId="0467DC16">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现代物流。</w:t>
      </w:r>
      <w:r>
        <w:rPr>
          <w:rFonts w:hint="eastAsia" w:ascii="Times New Roman" w:hAnsi="Times New Roman" w:eastAsia="仿宋_GB2312" w:cs="仿宋_GB2312"/>
          <w:sz w:val="32"/>
          <w:szCs w:val="24"/>
        </w:rPr>
        <w:t>依托广东（石龙）铁路国际物流基地，构建“综合性物流园区</w:t>
      </w:r>
      <w:r>
        <w:rPr>
          <w:rFonts w:hint="eastAsia" w:ascii="Times New Roman" w:hAnsi="Times New Roman" w:eastAsia="微软雅黑" w:cs="微软雅黑"/>
          <w:sz w:val="32"/>
          <w:szCs w:val="24"/>
        </w:rPr>
        <w:t>―</w:t>
      </w:r>
      <w:r>
        <w:rPr>
          <w:rFonts w:hint="eastAsia" w:ascii="Times New Roman" w:hAnsi="Times New Roman" w:eastAsia="仿宋_GB2312" w:cs="仿宋_GB2312"/>
          <w:sz w:val="32"/>
          <w:szCs w:val="24"/>
        </w:rPr>
        <w:t>专业物流中心</w:t>
      </w:r>
      <w:r>
        <w:rPr>
          <w:rFonts w:hint="eastAsia" w:ascii="Times New Roman" w:hAnsi="Times New Roman" w:eastAsia="微软雅黑" w:cs="微软雅黑"/>
          <w:sz w:val="32"/>
          <w:szCs w:val="24"/>
        </w:rPr>
        <w:t>―</w:t>
      </w:r>
      <w:r>
        <w:rPr>
          <w:rFonts w:hint="eastAsia" w:ascii="Times New Roman" w:hAnsi="Times New Roman" w:eastAsia="仿宋_GB2312" w:cs="仿宋_GB2312"/>
          <w:sz w:val="32"/>
          <w:szCs w:val="24"/>
        </w:rPr>
        <w:t>物流服务站”三级配送体系。优化干线运输、区域配送、末端网点布局，融入现代物流业的区域功能节点体系。加快发展国际物流业务，推动区域性跨境电商物流集散中心建设，推动物流企业和金融保险、信息服务等配套企业融合发展，构建功能完善、便捷高效的物流平台网络。</w:t>
      </w:r>
    </w:p>
    <w:p w14:paraId="1F72D956">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商贸会展。</w:t>
      </w:r>
      <w:r>
        <w:rPr>
          <w:rFonts w:hint="eastAsia" w:ascii="Times New Roman" w:hAnsi="Times New Roman" w:eastAsia="仿宋_GB2312" w:cs="仿宋_GB2312"/>
          <w:sz w:val="32"/>
          <w:szCs w:val="24"/>
        </w:rPr>
        <w:t>营造滨水景观生态空间，吸引旗舰型、创新型和平台型企业总部，重点打造“总部经济”高地品牌。加强与国内外知名电商合作，加强移动电子商务金融科技服务创新，建立专业化电子商务交易平台，支持跨境电子商务创新化、规模化发展。高标准建设国际化、现代化、多功能国际会展中心，培养和引进具有较高国际知名度和专业化水平的品牌会展，举办工业博览会，发展和壮大具有市场活力和国际竞争力的会展市场主体</w:t>
      </w:r>
    </w:p>
    <w:p w14:paraId="14088B91">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未来社区。</w:t>
      </w:r>
      <w:r>
        <w:rPr>
          <w:rFonts w:hint="eastAsia" w:ascii="Times New Roman" w:hAnsi="Times New Roman" w:eastAsia="仿宋_GB2312" w:cs="仿宋_GB2312"/>
          <w:sz w:val="32"/>
          <w:szCs w:val="24"/>
        </w:rPr>
        <w:t>依托优质的区位条件、生态景观和人文资源，鼓励开发未来社区，提供未来邻里、教育、健康、创业、建筑、交通、能源、服务和治理生产生活场景，推动镇村高质量发展，打造成为未来理想栖息地。</w:t>
      </w:r>
    </w:p>
    <w:p w14:paraId="26DEEC8E">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文化休闲。</w:t>
      </w:r>
      <w:r>
        <w:rPr>
          <w:rFonts w:hint="eastAsia" w:ascii="Times New Roman" w:hAnsi="Times New Roman" w:eastAsia="仿宋_GB2312" w:cs="仿宋_GB2312"/>
          <w:sz w:val="32"/>
          <w:szCs w:val="24"/>
        </w:rPr>
        <w:t>加强文化休闲设施建设，鼓励有条件的园区改造为文化旅游、文化创意、休闲度假和精品民宿。推动餐饮、购物、休闲、文化等多业态融合聚集，提供多元化、差异化休闲文化体验。</w:t>
      </w:r>
    </w:p>
    <w:p w14:paraId="5125C3E0">
      <w:pPr>
        <w:widowControl/>
        <w:spacing w:line="600" w:lineRule="exact"/>
        <w:ind w:firstLine="640" w:firstLineChars="200"/>
        <w:rPr>
          <w:rFonts w:ascii="Times New Roman" w:hAnsi="Times New Roman" w:eastAsia="仿宋_GB2312" w:cs="仿宋_GB2312"/>
          <w:sz w:val="32"/>
          <w:szCs w:val="24"/>
        </w:rPr>
      </w:pPr>
      <w:r>
        <w:rPr>
          <w:rFonts w:hint="eastAsia" w:ascii="Times New Roman" w:hAnsi="Times New Roman" w:eastAsia="楷体_GB2312" w:cs="楷体_GB2312"/>
          <w:sz w:val="32"/>
          <w:szCs w:val="24"/>
        </w:rPr>
        <w:t>科技研发。</w:t>
      </w:r>
      <w:r>
        <w:rPr>
          <w:rFonts w:hint="eastAsia" w:ascii="Times New Roman" w:hAnsi="Times New Roman" w:eastAsia="仿宋_GB2312" w:cs="仿宋_GB2312"/>
          <w:sz w:val="32"/>
          <w:szCs w:val="24"/>
        </w:rPr>
        <w:t>加快融入广深科技创新走廊，积极对接广深莞惠高端科技创新要素，加快推动技术转移和研发转化。引导规模以上工业企业设立研发机构，推进欣旺达动力电芯研究院等新型研发机构建设。支持组建省、市工程中心和企业技术中心，支持鼓励有条件企业申报国家级工程中心、国家级实验室。</w:t>
      </w:r>
    </w:p>
    <w:p w14:paraId="30D83C5F">
      <w:pPr>
        <w:widowControl/>
        <w:spacing w:line="600" w:lineRule="exact"/>
        <w:ind w:firstLine="640" w:firstLineChars="200"/>
        <w:rPr>
          <w:rFonts w:ascii="Times New Roman" w:hAnsi="Times New Roman" w:eastAsia="黑体" w:cs="Times New Roman"/>
          <w:bCs/>
          <w:kern w:val="44"/>
          <w:sz w:val="40"/>
          <w:szCs w:val="40"/>
        </w:rPr>
      </w:pPr>
      <w:r>
        <w:rPr>
          <w:rFonts w:hint="eastAsia" w:ascii="Times New Roman" w:hAnsi="Times New Roman" w:eastAsia="楷体_GB2312" w:cs="楷体_GB2312"/>
          <w:sz w:val="32"/>
          <w:szCs w:val="24"/>
        </w:rPr>
        <w:t>创业孵化。</w:t>
      </w:r>
      <w:r>
        <w:rPr>
          <w:rFonts w:hint="eastAsia" w:ascii="Times New Roman" w:hAnsi="Times New Roman" w:eastAsia="仿宋_GB2312" w:cs="仿宋_GB2312"/>
          <w:sz w:val="32"/>
          <w:szCs w:val="24"/>
        </w:rPr>
        <w:t>完善创业孵化培育体系，加快“众创空间</w:t>
      </w:r>
      <w:r>
        <w:rPr>
          <w:rFonts w:hint="eastAsia" w:ascii="Times New Roman" w:hAnsi="Times New Roman" w:eastAsia="微软雅黑" w:cs="微软雅黑"/>
          <w:sz w:val="32"/>
          <w:szCs w:val="24"/>
        </w:rPr>
        <w:t>―</w:t>
      </w:r>
      <w:r>
        <w:rPr>
          <w:rFonts w:hint="eastAsia" w:ascii="Times New Roman" w:hAnsi="Times New Roman" w:eastAsia="仿宋_GB2312" w:cs="仿宋_GB2312"/>
          <w:sz w:val="32"/>
          <w:szCs w:val="24"/>
        </w:rPr>
        <w:t>孵化器</w:t>
      </w:r>
      <w:r>
        <w:rPr>
          <w:rFonts w:hint="eastAsia" w:ascii="Times New Roman" w:hAnsi="Times New Roman" w:eastAsia="微软雅黑" w:cs="微软雅黑"/>
          <w:sz w:val="32"/>
          <w:szCs w:val="24"/>
        </w:rPr>
        <w:t>―</w:t>
      </w:r>
      <w:r>
        <w:rPr>
          <w:rFonts w:hint="eastAsia" w:ascii="Times New Roman" w:hAnsi="Times New Roman" w:eastAsia="仿宋_GB2312" w:cs="仿宋_GB2312"/>
          <w:sz w:val="32"/>
          <w:szCs w:val="24"/>
        </w:rPr>
        <w:t>加速器</w:t>
      </w:r>
      <w:r>
        <w:rPr>
          <w:rFonts w:hint="eastAsia" w:ascii="Times New Roman" w:hAnsi="Times New Roman" w:eastAsia="微软雅黑" w:cs="微软雅黑"/>
          <w:sz w:val="32"/>
          <w:szCs w:val="24"/>
        </w:rPr>
        <w:t>―</w:t>
      </w:r>
      <w:r>
        <w:rPr>
          <w:rFonts w:hint="eastAsia" w:ascii="Times New Roman" w:hAnsi="Times New Roman" w:eastAsia="仿宋_GB2312" w:cs="仿宋_GB2312"/>
          <w:sz w:val="32"/>
          <w:szCs w:val="24"/>
        </w:rPr>
        <w:t>专业园区”的科技创业孵化链条，按照政府引导、市场运作的方式，进一步提升孵化器、众创空间管理水平与创业孵化能力。充分发挥互联网在创新驱动汇聚创新要素作用。以促进创业创新为重点，推动各类要素资源聚集、开放和共享，实施开放创新。</w:t>
      </w:r>
    </w:p>
    <w:p w14:paraId="7290D3BD">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81" w:name="_Toc22189"/>
      <w:bookmarkStart w:id="182" w:name="_Toc198247269"/>
      <w:r>
        <w:rPr>
          <w:rFonts w:hint="eastAsia" w:ascii="Times New Roman" w:hAnsi="Times New Roman" w:eastAsia="黑体"/>
          <w:b w:val="0"/>
          <w:bCs w:val="0"/>
        </w:rPr>
        <w:t>集聚区功能布局</w:t>
      </w:r>
      <w:bookmarkEnd w:id="181"/>
      <w:bookmarkEnd w:id="182"/>
    </w:p>
    <w:p w14:paraId="3917E196">
      <w:pPr>
        <w:widowControl/>
        <w:spacing w:line="600" w:lineRule="exact"/>
        <w:ind w:firstLine="640" w:firstLineChars="200"/>
        <w:rPr>
          <w:rFonts w:ascii="Times New Roman" w:hAnsi="Times New Roman" w:eastAsia="仿宋_GB2312" w:cs="仿宋_GB2312"/>
          <w:sz w:val="32"/>
          <w:szCs w:val="32"/>
        </w:rPr>
      </w:pPr>
      <w:r>
        <w:rPr>
          <w:rFonts w:hint="eastAsia" w:ascii="Times New Roman" w:hAnsi="Times New Roman" w:eastAsia="仿宋_GB2312" w:cs="仿宋_GB2312"/>
          <w:sz w:val="32"/>
          <w:szCs w:val="32"/>
        </w:rPr>
        <w:t>在环“南昆山—罗浮山”引领区建设背景下，立足珠江东岸科创产业转移转化高地和全国一流的高新区的使命任务，基于县域副中心的资源环境承载能力，规划提出组团集聚、服务升级、协调发展、做大做强的布局理念，形成“一心六组团”的空间结构，加速集聚区国土空间格局优化调整，重点预留工业发展、未来社区、时尚商业街区、文创旅游的空间保障，培育专业化、特色化功能复合组团，形成有机结合的全产业链条，促进各类要素合理流动和高效集聚。</w:t>
      </w:r>
    </w:p>
    <w:p w14:paraId="64360EEE">
      <w:pPr>
        <w:widowControl/>
        <w:spacing w:line="600" w:lineRule="exact"/>
        <w:ind w:firstLine="640" w:firstLineChars="200"/>
        <w:rPr>
          <w:rFonts w:ascii="Times New Roman" w:hAnsi="Times New Roman" w:eastAsia="仿宋_GB2312" w:cs="仿宋_GB2312"/>
          <w:sz w:val="32"/>
          <w:szCs w:val="32"/>
        </w:rPr>
      </w:pPr>
      <w:r>
        <w:rPr>
          <w:rFonts w:hint="eastAsia" w:ascii="Times New Roman" w:hAnsi="Times New Roman" w:eastAsia="楷体_GB2312" w:cs="楷体_GB2312"/>
          <w:sz w:val="32"/>
          <w:szCs w:val="32"/>
        </w:rPr>
        <w:t>一个综合服务中心。</w:t>
      </w:r>
      <w:r>
        <w:rPr>
          <w:rFonts w:hint="eastAsia" w:ascii="Times New Roman" w:hAnsi="Times New Roman" w:eastAsia="仿宋_GB2312" w:cs="仿宋_GB2312"/>
          <w:sz w:val="32"/>
          <w:szCs w:val="32"/>
        </w:rPr>
        <w:t>位于集聚区中部，石湾镇源头村和园洲镇阵村村区域，围绕“更具创新活力的世界级生态水岸城市”定位，深化优势分工、集群共建、资源共享，研学产高效互动，打通“原始创新 —技术创新—产业创新—服务创新”链条，培育高端服务经济，推动多元创新载体共建、创新要素对流，努力打造绿色和创新经济发展的新引擎、生态圈和价值链，建成创新经济中心、生态价值高地、岭南城市典范和乡村治理样板。</w:t>
      </w:r>
    </w:p>
    <w:p w14:paraId="08E7BFB1">
      <w:pPr>
        <w:pStyle w:val="26"/>
        <w:spacing w:line="600" w:lineRule="exact"/>
        <w:ind w:firstLine="640"/>
        <w:rPr>
          <w:rFonts w:eastAsia="仿宋_GB2312" w:cs="仿宋_GB2312"/>
          <w:sz w:val="32"/>
          <w:szCs w:val="32"/>
        </w:rPr>
      </w:pPr>
      <w:r>
        <w:rPr>
          <w:rFonts w:hint="eastAsia" w:eastAsia="楷体_GB2312" w:cs="楷体_GB2312"/>
          <w:sz w:val="32"/>
          <w:szCs w:val="32"/>
        </w:rPr>
        <w:t>六个专业化、特色化产业组团。</w:t>
      </w:r>
      <w:r>
        <w:rPr>
          <w:rFonts w:hint="eastAsia" w:eastAsia="仿宋_GB2312" w:cs="仿宋_GB2312"/>
          <w:sz w:val="32"/>
          <w:szCs w:val="32"/>
        </w:rPr>
        <w:t>分别为先进装备和器械制造组团、汽车零部件和高端装备组团、新型储能和先进材料组团、新材料和节能环保设备组团，新能源和新一代信息技术组团，以及滨水休闲和生态居住组团。建立适应集约用地、适度混合、弹性灵活的新型创新产业空间组织模式，提高制造业企业准入门槛，发挥“触媒”作用，引导在地产业提档升级、交叉融合创新，形成若干个主要的创新集聚区，研发园区、现代服务业集聚区、产业社区、产业基地等板块有序组合，建成珠江东岸产业转型样板。</w:t>
      </w:r>
    </w:p>
    <w:p w14:paraId="3DB1AD1D">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83" w:name="_Toc198247270"/>
      <w:bookmarkStart w:id="184" w:name="_Toc27651"/>
      <w:r>
        <w:rPr>
          <w:rFonts w:hint="eastAsia" w:ascii="Times New Roman" w:hAnsi="Times New Roman" w:eastAsia="黑体"/>
          <w:b w:val="0"/>
          <w:bCs w:val="0"/>
        </w:rPr>
        <w:t>集聚区近期建设重点</w:t>
      </w:r>
      <w:bookmarkEnd w:id="183"/>
      <w:bookmarkEnd w:id="184"/>
    </w:p>
    <w:p w14:paraId="644AF3C5">
      <w:pPr>
        <w:pStyle w:val="26"/>
        <w:spacing w:line="600" w:lineRule="exact"/>
        <w:ind w:firstLine="640"/>
        <w:rPr>
          <w:rFonts w:eastAsia="仿宋_GB2312" w:cs="仿宋_GB2312"/>
          <w:sz w:val="32"/>
          <w:szCs w:val="32"/>
        </w:rPr>
      </w:pPr>
      <w:r>
        <w:rPr>
          <w:rFonts w:hint="eastAsia" w:eastAsia="楷体_GB2312" w:cs="楷体_GB2312"/>
          <w:sz w:val="32"/>
          <w:szCs w:val="32"/>
        </w:rPr>
        <w:t>制定发布“正负面”清单。“</w:t>
      </w:r>
      <w:r>
        <w:rPr>
          <w:rFonts w:hint="eastAsia" w:eastAsia="仿宋_GB2312" w:cs="仿宋_GB2312"/>
          <w:sz w:val="32"/>
          <w:szCs w:val="32"/>
        </w:rPr>
        <w:t>正面清单”即集聚区产业发展指导目录，主要用于新市场主体的招商引导与政策扶持，以利于接轨国际标准、技术前沿，引导既有产业的集群化、智能化、绿色化提升。“负面清单”即集聚区产业结构调整目录，主要用于规定和引导“低散污”企业的腾退整改，以推进产业结构调整和存量空间盘活，加快产能和生产模式转换。“负面清单”限制类包括对原生环境干扰较大的一次产业，产能过剩、低技术、低效用地的一般制造业及批发物流业；“负面清单”淘汰类针对资源开采产业及高耗能、高污染、高风险型产业。</w:t>
      </w:r>
    </w:p>
    <w:p w14:paraId="2A76BC49">
      <w:pPr>
        <w:pStyle w:val="26"/>
        <w:spacing w:line="600" w:lineRule="exact"/>
        <w:ind w:firstLine="640"/>
        <w:rPr>
          <w:rFonts w:eastAsia="仿宋_GB2312" w:cs="仿宋_GB2312"/>
          <w:sz w:val="32"/>
          <w:szCs w:val="32"/>
        </w:rPr>
      </w:pPr>
      <w:r>
        <w:rPr>
          <w:rFonts w:hint="eastAsia" w:eastAsia="楷体_GB2312" w:cs="楷体_GB2312"/>
          <w:sz w:val="32"/>
          <w:szCs w:val="32"/>
        </w:rPr>
        <w:t>实施与资源配给相挂钩的用地绩效考核。</w:t>
      </w:r>
      <w:r>
        <w:rPr>
          <w:rFonts w:hint="eastAsia" w:eastAsia="仿宋_GB2312" w:cs="仿宋_GB2312"/>
          <w:sz w:val="32"/>
          <w:szCs w:val="32"/>
        </w:rPr>
        <w:t>考核指标涉及产出绩效、用地强度、投资密度、建设质量、污染能耗、科技含量等多方面。依据评价结果划分优先发展、支持发展、提升发展、限制发展等多个级别，用于指导精细化分类施策，同时建立“低效用地评价定级+依企业申请”的退出机制，稳妥有序推进集聚区产业升级和用地提质增效。</w:t>
      </w:r>
    </w:p>
    <w:p w14:paraId="28220FB1">
      <w:pPr>
        <w:pStyle w:val="26"/>
        <w:spacing w:line="600" w:lineRule="exact"/>
        <w:ind w:firstLine="640"/>
        <w:rPr>
          <w:rFonts w:eastAsia="仿宋_GB2312" w:cs="仿宋_GB2312"/>
          <w:sz w:val="32"/>
          <w:szCs w:val="32"/>
        </w:rPr>
      </w:pPr>
      <w:r>
        <w:rPr>
          <w:rFonts w:hint="eastAsia" w:eastAsia="楷体_GB2312" w:cs="楷体_GB2312"/>
          <w:sz w:val="32"/>
          <w:szCs w:val="32"/>
        </w:rPr>
        <w:t>试点供给新型产业用地。</w:t>
      </w:r>
      <w:r>
        <w:rPr>
          <w:rFonts w:hint="eastAsia" w:eastAsia="仿宋_GB2312" w:cs="仿宋_GB2312"/>
          <w:sz w:val="32"/>
          <w:szCs w:val="32"/>
        </w:rPr>
        <w:t>为加快推进集聚区提档升级与生产性服务业融合发展，吸引龙头企业研发总部、专业研究机构等核心创新载体与平台在集聚区落地。引导关联产业的集群建设和高效互动。在集聚区试点供给新型产业用地，适当提升产业与研发用地的开发强度。同时，允许研发办公、试验、制造、配套服务、配建公寓按适当比例混合，允许一定比例和建筑形态的分割出让。</w:t>
      </w:r>
    </w:p>
    <w:p w14:paraId="3DC0C49B">
      <w:pPr>
        <w:pStyle w:val="26"/>
        <w:spacing w:line="600" w:lineRule="exact"/>
        <w:ind w:firstLine="640"/>
        <w:rPr>
          <w:rFonts w:eastAsia="仿宋_GB2312" w:cs="仿宋_GB2312"/>
          <w:sz w:val="32"/>
          <w:szCs w:val="32"/>
        </w:rPr>
      </w:pPr>
      <w:r>
        <w:rPr>
          <w:rFonts w:hint="eastAsia" w:eastAsia="楷体_GB2312" w:cs="楷体_GB2312"/>
          <w:sz w:val="32"/>
          <w:szCs w:val="32"/>
        </w:rPr>
        <w:t>培育一批未来产业社区。</w:t>
      </w:r>
      <w:r>
        <w:rPr>
          <w:rFonts w:hint="eastAsia" w:eastAsia="仿宋_GB2312" w:cs="仿宋_GB2312"/>
          <w:sz w:val="32"/>
          <w:szCs w:val="32"/>
        </w:rPr>
        <w:t>加快集聚区空置、低效企业和闲置用地的整理，释放用地潜力，为高水平高质量企业的入驻提供空间。兼顾自身基础，明确招商方向，每个产业社区聚焦1—2个细分行业、专精领域，鼓励关联企业集聚布局，营造活力开放的公共研发与创新交往空间，提供多元化的高品质服务与文娱休闲场所，实施灵活的人才住房保障措施，保障枢纽交通通达社区核心地带，实现与枢纽地区、中心城区、集聚区其他片区核心的快速直连，打造一批高新制造与研发孵化相结合的未来社区。</w:t>
      </w:r>
    </w:p>
    <w:p w14:paraId="274336D7">
      <w:pPr>
        <w:pStyle w:val="26"/>
        <w:ind w:firstLine="640"/>
        <w:rPr>
          <w:rFonts w:eastAsia="仿宋_GB2312" w:cs="仿宋_GB2312"/>
          <w:sz w:val="32"/>
          <w:szCs w:val="32"/>
        </w:rPr>
      </w:pPr>
    </w:p>
    <w:p w14:paraId="589BA95A">
      <w:pPr>
        <w:pStyle w:val="26"/>
        <w:ind w:firstLine="640"/>
        <w:rPr>
          <w:rFonts w:eastAsia="仿宋_GB2312" w:cs="仿宋_GB2312"/>
          <w:sz w:val="32"/>
          <w:szCs w:val="32"/>
        </w:rPr>
        <w:sectPr>
          <w:pgSz w:w="11906" w:h="16838"/>
          <w:pgMar w:top="1440" w:right="1800" w:bottom="1440" w:left="1800" w:header="851" w:footer="992" w:gutter="0"/>
          <w:cols w:space="425" w:num="1"/>
          <w:docGrid w:type="lines" w:linePitch="312" w:charSpace="0"/>
        </w:sectPr>
      </w:pPr>
    </w:p>
    <w:p w14:paraId="66BCB3F7">
      <w:pPr>
        <w:pStyle w:val="3"/>
        <w:keepNext w:val="0"/>
        <w:keepLines w:val="0"/>
        <w:spacing w:before="312" w:beforeLines="100" w:after="312" w:afterLines="100" w:line="360" w:lineRule="auto"/>
        <w:jc w:val="center"/>
        <w:rPr>
          <w:rFonts w:ascii="Times New Roman" w:hAnsi="Times New Roman" w:eastAsia="黑体"/>
          <w:b w:val="0"/>
          <w:bCs w:val="0"/>
          <w:sz w:val="40"/>
          <w:szCs w:val="40"/>
        </w:rPr>
      </w:pPr>
      <w:bookmarkStart w:id="185" w:name="_Toc198247271"/>
      <w:bookmarkStart w:id="186" w:name="_Toc24988"/>
      <w:r>
        <w:rPr>
          <w:rFonts w:hint="eastAsia" w:ascii="Times New Roman" w:hAnsi="Times New Roman" w:eastAsia="黑体"/>
          <w:b w:val="0"/>
          <w:bCs w:val="0"/>
          <w:sz w:val="40"/>
          <w:szCs w:val="40"/>
        </w:rPr>
        <w:t>第十一章 建设起步区生态智慧新城</w:t>
      </w:r>
      <w:bookmarkEnd w:id="185"/>
      <w:bookmarkEnd w:id="186"/>
    </w:p>
    <w:p w14:paraId="7050F580">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划定县域副中心起步区23.47平方公里，按照生态润城、慢行链城、更新塑城、村落暖城和山麓绘城的设计理念，将起步区打造成为现代化生态智慧新城，重点布局城市功能配套，推动产城人融合，提升县域副中心整体承载力。</w:t>
      </w:r>
    </w:p>
    <w:p w14:paraId="6CE7297B">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87" w:name="_Toc198247272"/>
      <w:bookmarkStart w:id="188" w:name="_Toc28467"/>
      <w:r>
        <w:rPr>
          <w:rFonts w:hint="eastAsia" w:ascii="Times New Roman" w:hAnsi="Times New Roman" w:eastAsia="黑体"/>
          <w:b w:val="0"/>
          <w:bCs w:val="0"/>
        </w:rPr>
        <w:t>起步区目标愿景</w:t>
      </w:r>
      <w:bookmarkEnd w:id="187"/>
      <w:bookmarkEnd w:id="188"/>
    </w:p>
    <w:p w14:paraId="7B2F48CB">
      <w:pPr>
        <w:widowControl/>
        <w:spacing w:line="600" w:lineRule="exact"/>
        <w:ind w:firstLine="640" w:firstLineChars="200"/>
        <w:rPr>
          <w:rFonts w:ascii="Times New Roman" w:hAnsi="Times New Roman" w:eastAsia="仿宋_GB2312" w:cs="Times New Roman"/>
          <w:sz w:val="32"/>
          <w:szCs w:val="24"/>
        </w:rPr>
      </w:pPr>
      <w:r>
        <w:rPr>
          <w:rFonts w:ascii="Times New Roman" w:hAnsi="Times New Roman" w:eastAsia="仿宋_GB2312" w:cs="Times New Roman"/>
          <w:sz w:val="32"/>
          <w:szCs w:val="24"/>
        </w:rPr>
        <w:t>总结</w:t>
      </w:r>
      <w:r>
        <w:rPr>
          <w:rFonts w:hint="eastAsia" w:ascii="Times New Roman" w:hAnsi="Times New Roman" w:eastAsia="仿宋_GB2312" w:cs="Times New Roman"/>
          <w:sz w:val="32"/>
          <w:szCs w:val="24"/>
        </w:rPr>
        <w:t>借鉴</w:t>
      </w:r>
      <w:r>
        <w:rPr>
          <w:rFonts w:ascii="Times New Roman" w:hAnsi="Times New Roman" w:eastAsia="仿宋_GB2312" w:cs="Times New Roman"/>
          <w:sz w:val="32"/>
          <w:szCs w:val="24"/>
        </w:rPr>
        <w:t>世界</w:t>
      </w:r>
      <w:r>
        <w:rPr>
          <w:rFonts w:hint="eastAsia" w:ascii="Times New Roman" w:hAnsi="Times New Roman" w:eastAsia="仿宋_GB2312" w:cs="Times New Roman"/>
          <w:sz w:val="32"/>
          <w:szCs w:val="24"/>
        </w:rPr>
        <w:t>生态</w:t>
      </w:r>
      <w:r>
        <w:rPr>
          <w:rFonts w:ascii="Times New Roman" w:hAnsi="Times New Roman" w:eastAsia="仿宋_GB2312" w:cs="Times New Roman"/>
          <w:sz w:val="32"/>
          <w:szCs w:val="24"/>
        </w:rPr>
        <w:t>城市和国内知名</w:t>
      </w:r>
      <w:r>
        <w:rPr>
          <w:rFonts w:hint="eastAsia" w:ascii="Times New Roman" w:hAnsi="Times New Roman" w:eastAsia="仿宋_GB2312" w:cs="Times New Roman"/>
          <w:sz w:val="32"/>
          <w:szCs w:val="24"/>
        </w:rPr>
        <w:t>生态</w:t>
      </w:r>
      <w:r>
        <w:rPr>
          <w:rFonts w:ascii="Times New Roman" w:hAnsi="Times New Roman" w:eastAsia="仿宋_GB2312" w:cs="Times New Roman"/>
          <w:sz w:val="32"/>
          <w:szCs w:val="24"/>
        </w:rPr>
        <w:t>城市的</w:t>
      </w:r>
      <w:r>
        <w:rPr>
          <w:rFonts w:hint="eastAsia" w:ascii="Times New Roman" w:hAnsi="Times New Roman" w:eastAsia="仿宋_GB2312" w:cs="Times New Roman"/>
          <w:sz w:val="32"/>
          <w:szCs w:val="24"/>
        </w:rPr>
        <w:t>建设</w:t>
      </w:r>
      <w:r>
        <w:rPr>
          <w:rFonts w:ascii="Times New Roman" w:hAnsi="Times New Roman" w:eastAsia="仿宋_GB2312" w:cs="Times New Roman"/>
          <w:sz w:val="32"/>
          <w:szCs w:val="24"/>
        </w:rPr>
        <w:t>经验</w:t>
      </w:r>
      <w:r>
        <w:rPr>
          <w:rFonts w:hint="eastAsia" w:ascii="Times New Roman" w:hAnsi="Times New Roman" w:eastAsia="仿宋_GB2312" w:cs="Times New Roman"/>
          <w:sz w:val="32"/>
          <w:szCs w:val="24"/>
        </w:rPr>
        <w:t>，契合起步区水田城乡生态本底、产业创新基础和人口集聚特征，</w:t>
      </w:r>
      <w:r>
        <w:rPr>
          <w:rFonts w:ascii="Times New Roman" w:hAnsi="Times New Roman" w:eastAsia="仿宋_GB2312" w:cs="Times New Roman"/>
          <w:sz w:val="32"/>
          <w:szCs w:val="24"/>
        </w:rPr>
        <w:t>将起步区</w:t>
      </w:r>
      <w:r>
        <w:rPr>
          <w:rFonts w:hint="eastAsia" w:ascii="Times New Roman" w:hAnsi="Times New Roman" w:eastAsia="仿宋_GB2312" w:cs="Times New Roman"/>
          <w:sz w:val="32"/>
          <w:szCs w:val="24"/>
        </w:rPr>
        <w:t>打造成珠江—东江高质量发展带的创新湾、环</w:t>
      </w:r>
      <w:r>
        <w:rPr>
          <w:rFonts w:ascii="Times New Roman" w:hAnsi="Times New Roman" w:eastAsia="仿宋_GB2312" w:cs="Times New Roman"/>
          <w:sz w:val="32"/>
          <w:szCs w:val="24"/>
        </w:rPr>
        <w:t>“</w:t>
      </w:r>
      <w:r>
        <w:rPr>
          <w:rFonts w:hint="eastAsia" w:ascii="Times New Roman" w:hAnsi="Times New Roman" w:eastAsia="仿宋_GB2312" w:cs="Times New Roman"/>
          <w:sz w:val="32"/>
          <w:szCs w:val="24"/>
        </w:rPr>
        <w:t>南昆山—罗浮山”引领区的生态城和粤港澳大湾区新颜值担当的活力芯。</w:t>
      </w:r>
    </w:p>
    <w:p w14:paraId="6008905A">
      <w:pPr>
        <w:pStyle w:val="26"/>
        <w:spacing w:line="600" w:lineRule="exact"/>
        <w:ind w:firstLine="640"/>
        <w:rPr>
          <w:rFonts w:eastAsia="仿宋_GB2312"/>
          <w:sz w:val="32"/>
        </w:rPr>
      </w:pPr>
      <w:r>
        <w:rPr>
          <w:rFonts w:hint="eastAsia" w:eastAsia="楷体_GB2312" w:cs="楷体_GB2312"/>
          <w:sz w:val="32"/>
        </w:rPr>
        <w:t>沙河创新湾。</w:t>
      </w:r>
      <w:r>
        <w:rPr>
          <w:rFonts w:hint="eastAsia" w:eastAsia="仿宋_GB2312"/>
          <w:sz w:val="32"/>
        </w:rPr>
        <w:t>依托沙河水岸空间，链接广深港科技创新走廊，集聚区域创新要素资源和科创成果转移转化，构筑“珠江—东江”跨区域的人才联盟、产学创平台和服务共享圈，推动起步区产业承接发展和转型升级，促进科技创新成果加速转化，打造成为穗莞惠三地重要的战略性新兴产业基地和创新创意发展新高地区。</w:t>
      </w:r>
    </w:p>
    <w:p w14:paraId="4396A93B">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两山生态城。</w:t>
      </w:r>
      <w:r>
        <w:rPr>
          <w:rFonts w:hint="eastAsia" w:ascii="Times New Roman" w:hAnsi="Times New Roman" w:eastAsia="仿宋_GB2312" w:cs="Times New Roman"/>
          <w:sz w:val="32"/>
          <w:szCs w:val="24"/>
        </w:rPr>
        <w:t>围绕沙河、铁场排渠打造环“南昆山—罗浮山”引领区城市封面，凸显世界级岭南水网水乡风光，构建城田共生、蓝绿交织的生态网络，提供更丰富的生态休闲空间和更高品质的生态公共产品，打造宜居宜业、功能完善、产城融合、活力充沛、生态宜居的现代化智慧新城，为环“南昆山—罗浮山”引领区推动生态价值转化探索路径和提供示范。</w:t>
      </w:r>
    </w:p>
    <w:p w14:paraId="05E722CA">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湾区活力芯。</w:t>
      </w:r>
      <w:r>
        <w:rPr>
          <w:rFonts w:hint="eastAsia" w:ascii="Times New Roman" w:hAnsi="Times New Roman" w:eastAsia="仿宋_GB2312" w:cs="Times New Roman"/>
          <w:sz w:val="32"/>
          <w:szCs w:val="24"/>
        </w:rPr>
        <w:t>以沙河、铁场排渠为脉，汇聚两岸镇村田产和谐共生的聚落图景，构筑多层次、高水平、智能化的公共服务网络和高效便捷、绿色安全的基础设施体系，集中展现岭南滨水人居场景，丰富罗浮文化体验，打造岭南风、罗浮味、现代派的现代滨水生态城市。</w:t>
      </w:r>
    </w:p>
    <w:p w14:paraId="7FDFCB92">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89" w:name="_Toc198247273"/>
      <w:bookmarkEnd w:id="189"/>
      <w:bookmarkStart w:id="190" w:name="_Toc3513"/>
      <w:bookmarkStart w:id="191" w:name="_Toc198247274"/>
      <w:r>
        <w:rPr>
          <w:rFonts w:hint="eastAsia" w:ascii="Times New Roman" w:hAnsi="Times New Roman" w:eastAsia="黑体"/>
          <w:b w:val="0"/>
          <w:bCs w:val="0"/>
        </w:rPr>
        <w:t>起步区建设规模</w:t>
      </w:r>
      <w:bookmarkEnd w:id="190"/>
      <w:bookmarkEnd w:id="191"/>
    </w:p>
    <w:p w14:paraId="4791ACD4">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人口规模。</w:t>
      </w:r>
      <w:r>
        <w:rPr>
          <w:rFonts w:ascii="Times New Roman" w:hAnsi="Times New Roman" w:eastAsia="仿宋_GB2312" w:cs="Times New Roman"/>
          <w:sz w:val="32"/>
          <w:szCs w:val="24"/>
        </w:rPr>
        <w:t>至2035年，</w:t>
      </w:r>
      <w:r>
        <w:rPr>
          <w:rFonts w:hint="eastAsia" w:ascii="Times New Roman" w:hAnsi="Times New Roman" w:eastAsia="仿宋_GB2312" w:cs="Times New Roman"/>
          <w:sz w:val="32"/>
          <w:szCs w:val="24"/>
        </w:rPr>
        <w:t>起步区</w:t>
      </w:r>
      <w:r>
        <w:rPr>
          <w:rFonts w:ascii="Times New Roman" w:hAnsi="Times New Roman" w:eastAsia="仿宋_GB2312" w:cs="Times New Roman"/>
          <w:sz w:val="32"/>
          <w:szCs w:val="24"/>
        </w:rPr>
        <w:t>常住人口规模约</w:t>
      </w:r>
      <w:r>
        <w:rPr>
          <w:rFonts w:hint="eastAsia" w:ascii="Times New Roman" w:hAnsi="Times New Roman" w:eastAsia="仿宋_GB2312" w:cs="Times New Roman"/>
          <w:sz w:val="32"/>
          <w:szCs w:val="24"/>
        </w:rPr>
        <w:t>8</w:t>
      </w:r>
      <w:r>
        <w:rPr>
          <w:rFonts w:ascii="Times New Roman" w:hAnsi="Times New Roman" w:eastAsia="仿宋_GB2312" w:cs="Times New Roman"/>
          <w:sz w:val="32"/>
          <w:szCs w:val="24"/>
        </w:rPr>
        <w:t>万，建设用地上人口密度为</w:t>
      </w:r>
      <w:r>
        <w:rPr>
          <w:rFonts w:hint="eastAsia" w:ascii="Times New Roman" w:hAnsi="Times New Roman" w:eastAsia="仿宋_GB2312" w:cs="Times New Roman"/>
          <w:sz w:val="32"/>
          <w:szCs w:val="24"/>
        </w:rPr>
        <w:t>6</w:t>
      </w:r>
      <w:r>
        <w:rPr>
          <w:rFonts w:ascii="Times New Roman" w:hAnsi="Times New Roman" w:eastAsia="仿宋_GB2312" w:cs="Times New Roman"/>
          <w:sz w:val="32"/>
          <w:szCs w:val="24"/>
        </w:rPr>
        <w:t>000</w:t>
      </w:r>
      <w:r>
        <w:rPr>
          <w:rFonts w:hint="eastAsia" w:ascii="Times New Roman" w:hAnsi="Times New Roman" w:eastAsia="仿宋_GB2312" w:cs="Times New Roman"/>
          <w:sz w:val="32"/>
          <w:szCs w:val="24"/>
        </w:rPr>
        <w:t>—8</w:t>
      </w:r>
      <w:r>
        <w:rPr>
          <w:rFonts w:ascii="Times New Roman" w:hAnsi="Times New Roman" w:eastAsia="仿宋_GB2312" w:cs="Times New Roman"/>
          <w:sz w:val="32"/>
          <w:szCs w:val="24"/>
        </w:rPr>
        <w:t>000人/平方公里。</w:t>
      </w:r>
    </w:p>
    <w:p w14:paraId="3AA0268B">
      <w:pPr>
        <w:widowControl/>
        <w:spacing w:line="600" w:lineRule="exact"/>
        <w:ind w:firstLine="640" w:firstLineChars="200"/>
        <w:rPr>
          <w:rFonts w:ascii="Times New Roman" w:hAnsi="Times New Roman" w:eastAsia="楷体_GB2312" w:cs="楷体_GB2312"/>
          <w:sz w:val="32"/>
          <w:szCs w:val="24"/>
        </w:rPr>
      </w:pPr>
      <w:r>
        <w:rPr>
          <w:rFonts w:hint="eastAsia" w:ascii="Times New Roman" w:hAnsi="Times New Roman" w:eastAsia="楷体_GB2312" w:cs="楷体_GB2312"/>
          <w:sz w:val="32"/>
          <w:szCs w:val="24"/>
        </w:rPr>
        <w:t>用地规模。</w:t>
      </w:r>
      <w:r>
        <w:rPr>
          <w:rFonts w:ascii="Times New Roman" w:hAnsi="Times New Roman" w:eastAsia="仿宋_GB2312" w:cs="Times New Roman"/>
          <w:sz w:val="32"/>
          <w:szCs w:val="24"/>
        </w:rPr>
        <w:t>为突出生态</w:t>
      </w:r>
      <w:r>
        <w:rPr>
          <w:rFonts w:hint="eastAsia" w:ascii="Times New Roman" w:hAnsi="Times New Roman" w:eastAsia="仿宋_GB2312" w:cs="Times New Roman"/>
          <w:sz w:val="32"/>
          <w:szCs w:val="24"/>
        </w:rPr>
        <w:t>城市建设保障，起步区</w:t>
      </w:r>
      <w:r>
        <w:rPr>
          <w:rFonts w:ascii="Times New Roman" w:hAnsi="Times New Roman" w:eastAsia="仿宋_GB2312" w:cs="Times New Roman"/>
          <w:sz w:val="32"/>
          <w:szCs w:val="24"/>
        </w:rPr>
        <w:t>严格控制开发强度，至2035年，</w:t>
      </w:r>
      <w:r>
        <w:rPr>
          <w:rFonts w:hint="eastAsia" w:ascii="Times New Roman" w:hAnsi="Times New Roman" w:eastAsia="仿宋_GB2312" w:cs="Times New Roman"/>
          <w:sz w:val="32"/>
          <w:szCs w:val="24"/>
        </w:rPr>
        <w:t>起步区</w:t>
      </w:r>
      <w:r>
        <w:rPr>
          <w:rFonts w:ascii="Times New Roman" w:hAnsi="Times New Roman" w:eastAsia="仿宋_GB2312" w:cs="Times New Roman"/>
          <w:sz w:val="32"/>
          <w:szCs w:val="24"/>
        </w:rPr>
        <w:t>蓝绿空间占比不低于</w:t>
      </w:r>
      <w:r>
        <w:rPr>
          <w:rFonts w:hint="eastAsia" w:ascii="Times New Roman" w:hAnsi="Times New Roman" w:eastAsia="仿宋_GB2312" w:cs="Times New Roman"/>
          <w:sz w:val="32"/>
          <w:szCs w:val="24"/>
        </w:rPr>
        <w:t>6</w:t>
      </w:r>
      <w:r>
        <w:rPr>
          <w:rFonts w:ascii="Times New Roman" w:hAnsi="Times New Roman" w:eastAsia="仿宋_GB2312" w:cs="Times New Roman"/>
          <w:sz w:val="32"/>
          <w:szCs w:val="24"/>
        </w:rPr>
        <w:t>5%</w:t>
      </w:r>
      <w:r>
        <w:rPr>
          <w:rFonts w:hint="eastAsia" w:ascii="Times New Roman" w:hAnsi="Times New Roman" w:eastAsia="仿宋_GB2312" w:cs="Times New Roman"/>
          <w:sz w:val="32"/>
          <w:szCs w:val="24"/>
        </w:rPr>
        <w:t>，</w:t>
      </w:r>
      <w:r>
        <w:rPr>
          <w:rFonts w:ascii="Times New Roman" w:hAnsi="Times New Roman" w:eastAsia="仿宋_GB2312" w:cs="Times New Roman"/>
          <w:sz w:val="32"/>
          <w:szCs w:val="24"/>
        </w:rPr>
        <w:t>规划建设用地总面积不高于</w:t>
      </w:r>
      <w:r>
        <w:rPr>
          <w:rFonts w:hint="eastAsia" w:ascii="Times New Roman" w:hAnsi="Times New Roman" w:eastAsia="仿宋_GB2312" w:cs="Times New Roman"/>
          <w:sz w:val="32"/>
          <w:szCs w:val="24"/>
        </w:rPr>
        <w:t>12</w:t>
      </w:r>
      <w:r>
        <w:rPr>
          <w:rFonts w:ascii="Times New Roman" w:hAnsi="Times New Roman" w:eastAsia="仿宋_GB2312" w:cs="Times New Roman"/>
          <w:sz w:val="32"/>
          <w:szCs w:val="24"/>
        </w:rPr>
        <w:t>平方公里。</w:t>
      </w:r>
    </w:p>
    <w:p w14:paraId="2CF3810F">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92" w:name="_Toc25846"/>
      <w:bookmarkStart w:id="193" w:name="_Toc198247275"/>
      <w:r>
        <w:rPr>
          <w:rFonts w:hint="eastAsia" w:ascii="Times New Roman" w:hAnsi="Times New Roman" w:eastAsia="黑体"/>
          <w:b w:val="0"/>
          <w:bCs w:val="0"/>
        </w:rPr>
        <w:t>起步区总体城市设计</w:t>
      </w:r>
      <w:bookmarkEnd w:id="192"/>
      <w:bookmarkEnd w:id="193"/>
    </w:p>
    <w:p w14:paraId="14AAD8C5">
      <w:pPr>
        <w:pStyle w:val="5"/>
        <w:keepNext w:val="0"/>
        <w:keepLines w:val="0"/>
        <w:spacing w:before="0" w:after="0" w:line="600" w:lineRule="exact"/>
        <w:ind w:firstLine="643" w:firstLineChars="200"/>
        <w:rPr>
          <w:rFonts w:ascii="Times New Roman" w:hAnsi="Times New Roman" w:eastAsia="仿宋_GB2312"/>
        </w:rPr>
      </w:pPr>
      <w:r>
        <w:rPr>
          <w:rFonts w:hint="eastAsia" w:ascii="Times New Roman" w:hAnsi="Times New Roman" w:eastAsia="仿宋_GB2312"/>
        </w:rPr>
        <w:t>1．总体城市设计目标</w:t>
      </w:r>
    </w:p>
    <w:p w14:paraId="794AB982">
      <w:pPr>
        <w:pStyle w:val="26"/>
        <w:spacing w:line="600" w:lineRule="exact"/>
        <w:ind w:firstLine="640"/>
        <w:rPr>
          <w:rFonts w:eastAsia="仿宋_GB2312" w:cs="仿宋_GB2312"/>
          <w:sz w:val="32"/>
        </w:rPr>
      </w:pPr>
      <w:r>
        <w:rPr>
          <w:rFonts w:hint="eastAsia" w:eastAsia="仿宋_GB2312" w:cs="仿宋_GB2312"/>
          <w:sz w:val="32"/>
        </w:rPr>
        <w:t>统筹起步区全域全要素，重点协调生态、生产、生活三生空间，擘画风貌特色鲜明的现代化生态滨水城市蓝图，为建设生态、智慧、产城融合的宜居宜业宜游宜创新的生态智慧新城提出三维空间引领性规划。针对起步区特色不显、场所失活、资源沉默等关键问题，制定“强生态、优格局、链场所、注活力”等设计内容，因地制宜提出“两山封面</w:t>
      </w:r>
      <w:r>
        <w:rPr>
          <w:rFonts w:hint="eastAsia" w:eastAsia="微软雅黑" w:cs="微软雅黑"/>
          <w:sz w:val="32"/>
        </w:rPr>
        <w:t>•</w:t>
      </w:r>
      <w:r>
        <w:rPr>
          <w:rFonts w:hint="eastAsia" w:eastAsia="仿宋_GB2312" w:cs="仿宋_GB2312"/>
          <w:sz w:val="32"/>
        </w:rPr>
        <w:t>水岸客厅”的现代化生态滨江城市意象。</w:t>
      </w:r>
    </w:p>
    <w:p w14:paraId="42BB960E">
      <w:pPr>
        <w:pStyle w:val="5"/>
        <w:keepNext w:val="0"/>
        <w:keepLines w:val="0"/>
        <w:spacing w:before="0" w:after="0" w:line="600" w:lineRule="exact"/>
        <w:ind w:firstLine="643" w:firstLineChars="200"/>
        <w:rPr>
          <w:rFonts w:ascii="Times New Roman" w:hAnsi="Times New Roman" w:eastAsia="仿宋_GB2312"/>
        </w:rPr>
      </w:pPr>
      <w:r>
        <w:rPr>
          <w:rFonts w:hint="eastAsia" w:ascii="Times New Roman" w:hAnsi="Times New Roman" w:eastAsia="仿宋_GB2312"/>
        </w:rPr>
        <w:t>2．总体城市设计导引</w:t>
      </w:r>
    </w:p>
    <w:p w14:paraId="31786B3B">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传承起步区“通山达江入田园”的大尺度生态场景和“蓝色交织”</w:t>
      </w:r>
      <w:r>
        <w:rPr>
          <w:rFonts w:ascii="Times New Roman" w:hAnsi="Times New Roman" w:eastAsia="仿宋_GB2312" w:cs="Times New Roman"/>
          <w:sz w:val="32"/>
          <w:szCs w:val="24"/>
        </w:rPr>
        <w:t>的特色功能体系，</w:t>
      </w:r>
      <w:r>
        <w:rPr>
          <w:rFonts w:hint="eastAsia" w:ascii="Times New Roman" w:hAnsi="Times New Roman" w:eastAsia="仿宋_GB2312" w:cs="Times New Roman"/>
          <w:sz w:val="32"/>
          <w:szCs w:val="24"/>
        </w:rPr>
        <w:t>起步区形成“一水八脉、双心极聚”的总体城市设计</w:t>
      </w:r>
      <w:r>
        <w:rPr>
          <w:rFonts w:ascii="Times New Roman" w:hAnsi="Times New Roman" w:eastAsia="仿宋_GB2312" w:cs="Times New Roman"/>
          <w:sz w:val="32"/>
          <w:szCs w:val="24"/>
        </w:rPr>
        <w:t>空间结构要素</w:t>
      </w:r>
      <w:r>
        <w:rPr>
          <w:rFonts w:hint="eastAsia" w:ascii="Times New Roman" w:hAnsi="Times New Roman" w:eastAsia="仿宋_GB2312" w:cs="Times New Roman"/>
          <w:sz w:val="32"/>
          <w:szCs w:val="24"/>
        </w:rPr>
        <w:t>管控。</w:t>
      </w:r>
    </w:p>
    <w:p w14:paraId="73B68F98">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沙河生态绿廊设计导引。</w:t>
      </w:r>
      <w:r>
        <w:rPr>
          <w:rFonts w:ascii="Times New Roman" w:hAnsi="Times New Roman" w:eastAsia="仿宋_GB2312" w:cs="Times New Roman"/>
          <w:sz w:val="32"/>
          <w:szCs w:val="24"/>
        </w:rPr>
        <w:t>沿</w:t>
      </w:r>
      <w:r>
        <w:rPr>
          <w:rFonts w:hint="eastAsia" w:ascii="Times New Roman" w:hAnsi="Times New Roman" w:eastAsia="仿宋_GB2312" w:cs="Times New Roman"/>
          <w:sz w:val="32"/>
          <w:szCs w:val="24"/>
        </w:rPr>
        <w:t>沙</w:t>
      </w:r>
      <w:r>
        <w:rPr>
          <w:rFonts w:ascii="Times New Roman" w:hAnsi="Times New Roman" w:eastAsia="仿宋_GB2312" w:cs="Times New Roman"/>
          <w:sz w:val="32"/>
          <w:szCs w:val="24"/>
        </w:rPr>
        <w:t>河构建横贯东西</w:t>
      </w:r>
      <w:r>
        <w:rPr>
          <w:rFonts w:hint="eastAsia" w:ascii="Times New Roman" w:hAnsi="Times New Roman" w:eastAsia="仿宋_GB2312" w:cs="Times New Roman"/>
          <w:sz w:val="32"/>
          <w:szCs w:val="24"/>
        </w:rPr>
        <w:t>、链接南北</w:t>
      </w:r>
      <w:r>
        <w:rPr>
          <w:rFonts w:ascii="Times New Roman" w:hAnsi="Times New Roman" w:eastAsia="仿宋_GB2312" w:cs="Times New Roman"/>
          <w:sz w:val="32"/>
          <w:szCs w:val="24"/>
        </w:rPr>
        <w:t>的</w:t>
      </w:r>
      <w:r>
        <w:rPr>
          <w:rFonts w:hint="eastAsia" w:ascii="Times New Roman" w:hAnsi="Times New Roman" w:eastAsia="仿宋_GB2312" w:cs="Times New Roman"/>
          <w:sz w:val="32"/>
          <w:szCs w:val="24"/>
        </w:rPr>
        <w:t>生态</w:t>
      </w:r>
      <w:r>
        <w:rPr>
          <w:rFonts w:ascii="Times New Roman" w:hAnsi="Times New Roman" w:eastAsia="仿宋_GB2312" w:cs="Times New Roman"/>
          <w:sz w:val="32"/>
          <w:szCs w:val="24"/>
        </w:rPr>
        <w:t>长廊，兼具绿色洪涝通道、绿色引水通道、绿色航运通道、绿色景观通道等复合功能，推进水体优化</w:t>
      </w:r>
      <w:r>
        <w:rPr>
          <w:rFonts w:hint="eastAsia" w:ascii="Times New Roman" w:hAnsi="Times New Roman" w:eastAsia="仿宋_GB2312" w:cs="Times New Roman"/>
          <w:sz w:val="32"/>
          <w:szCs w:val="24"/>
        </w:rPr>
        <w:t>提质</w:t>
      </w:r>
      <w:r>
        <w:rPr>
          <w:rFonts w:ascii="Times New Roman" w:hAnsi="Times New Roman" w:eastAsia="仿宋_GB2312" w:cs="Times New Roman"/>
          <w:sz w:val="32"/>
          <w:szCs w:val="24"/>
        </w:rPr>
        <w:t>、土地功能调整、产业转型升级、公共空间贯通、环境景观塑造等全方位工作</w:t>
      </w:r>
      <w:r>
        <w:rPr>
          <w:rFonts w:hint="eastAsia" w:ascii="Times New Roman" w:hAnsi="Times New Roman" w:eastAsia="仿宋_GB2312" w:cs="Times New Roman"/>
          <w:sz w:val="32"/>
          <w:szCs w:val="24"/>
        </w:rPr>
        <w:t>，</w:t>
      </w:r>
      <w:r>
        <w:rPr>
          <w:rFonts w:ascii="Times New Roman" w:hAnsi="Times New Roman" w:eastAsia="仿宋_GB2312" w:cs="Times New Roman"/>
          <w:sz w:val="32"/>
          <w:szCs w:val="24"/>
        </w:rPr>
        <w:t>成为集水资源、水安全、水景观等为一体的综合性示范工程。</w:t>
      </w:r>
    </w:p>
    <w:p w14:paraId="3DAFC044">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八渠绿带链珠汇聚创新设计导引。</w:t>
      </w:r>
      <w:r>
        <w:rPr>
          <w:rFonts w:hint="eastAsia" w:ascii="Times New Roman" w:hAnsi="Times New Roman" w:eastAsia="仿宋_GB2312" w:cs="Times New Roman"/>
          <w:sz w:val="32"/>
          <w:szCs w:val="24"/>
        </w:rPr>
        <w:t>以石湾镇铁场排渠、中心排渠、源头水乡排渠、大牛垒排渠，园洲镇小海河、中心排渠、新村排渠、北冲口排渠八条水渠为支撑，加强水系联通，提升水质，保障安全，复合绿道、碧道等交通链，串联沿线各类功能性节点组团，打造“一渠一景、一水一业”，成为休闲游憩和新经济的重要生态载体空间，</w:t>
      </w:r>
    </w:p>
    <w:p w14:paraId="1A6FC8E5">
      <w:pPr>
        <w:widowControl/>
        <w:spacing w:line="600" w:lineRule="exact"/>
        <w:ind w:firstLine="640" w:firstLineChars="200"/>
        <w:rPr>
          <w:rFonts w:ascii="Times New Roman" w:hAnsi="Times New Roman" w:eastAsia="仿宋_GB2312" w:cs="Times New Roman"/>
          <w:sz w:val="32"/>
          <w:szCs w:val="24"/>
        </w:rPr>
      </w:pPr>
      <w:r>
        <w:rPr>
          <w:rFonts w:ascii="Times New Roman" w:hAnsi="Times New Roman" w:eastAsia="楷体_GB2312" w:cs="楷体_GB2312"/>
          <w:sz w:val="32"/>
          <w:szCs w:val="24"/>
        </w:rPr>
        <w:t>生态绿心彰显</w:t>
      </w:r>
      <w:r>
        <w:rPr>
          <w:rFonts w:hint="eastAsia" w:ascii="Times New Roman" w:hAnsi="Times New Roman" w:eastAsia="楷体_GB2312" w:cs="楷体_GB2312"/>
          <w:sz w:val="32"/>
          <w:szCs w:val="24"/>
        </w:rPr>
        <w:t>岭南水网水乡场景设计导引</w:t>
      </w:r>
      <w:r>
        <w:rPr>
          <w:rFonts w:ascii="Times New Roman" w:hAnsi="Times New Roman" w:eastAsia="楷体_GB2312" w:cs="楷体_GB2312"/>
          <w:sz w:val="32"/>
          <w:szCs w:val="24"/>
        </w:rPr>
        <w:t>。</w:t>
      </w:r>
      <w:r>
        <w:rPr>
          <w:rFonts w:ascii="Times New Roman" w:hAnsi="Times New Roman" w:eastAsia="仿宋_GB2312" w:cs="Times New Roman"/>
          <w:sz w:val="32"/>
          <w:szCs w:val="24"/>
        </w:rPr>
        <w:t>以</w:t>
      </w:r>
      <w:r>
        <w:rPr>
          <w:rFonts w:hint="eastAsia" w:ascii="Times New Roman" w:hAnsi="Times New Roman" w:eastAsia="仿宋_GB2312" w:cs="Times New Roman"/>
          <w:sz w:val="32"/>
          <w:szCs w:val="24"/>
        </w:rPr>
        <w:t>小海河，李屋村和高头村的连片基塘、农田</w:t>
      </w:r>
      <w:r>
        <w:rPr>
          <w:rFonts w:ascii="Times New Roman" w:hAnsi="Times New Roman" w:eastAsia="仿宋_GB2312" w:cs="Times New Roman"/>
          <w:sz w:val="32"/>
          <w:szCs w:val="24"/>
        </w:rPr>
        <w:t>为主体，完善</w:t>
      </w:r>
      <w:r>
        <w:rPr>
          <w:rFonts w:hint="eastAsia" w:ascii="Times New Roman" w:hAnsi="Times New Roman" w:eastAsia="仿宋_GB2312" w:cs="Times New Roman"/>
          <w:sz w:val="32"/>
          <w:szCs w:val="24"/>
        </w:rPr>
        <w:t>小海河东江一沙河水系连通工程</w:t>
      </w:r>
      <w:r>
        <w:rPr>
          <w:rFonts w:ascii="Times New Roman" w:hAnsi="Times New Roman" w:eastAsia="仿宋_GB2312" w:cs="Times New Roman"/>
          <w:sz w:val="32"/>
          <w:szCs w:val="24"/>
        </w:rPr>
        <w:t>和提升区域生态品质，</w:t>
      </w:r>
      <w:r>
        <w:rPr>
          <w:rFonts w:hint="eastAsia" w:ascii="Times New Roman" w:hAnsi="Times New Roman" w:eastAsia="仿宋_GB2312" w:cs="Times New Roman"/>
          <w:sz w:val="32"/>
          <w:szCs w:val="24"/>
        </w:rPr>
        <w:t>制定李屋村、高头村岭南水乡建设规划，实施河塘贯通工程和连塘成湖工程，</w:t>
      </w:r>
      <w:r>
        <w:rPr>
          <w:rFonts w:ascii="Times New Roman" w:hAnsi="Times New Roman" w:eastAsia="仿宋_GB2312" w:cs="Times New Roman"/>
          <w:sz w:val="32"/>
          <w:szCs w:val="24"/>
        </w:rPr>
        <w:t>贯通</w:t>
      </w:r>
      <w:r>
        <w:rPr>
          <w:rFonts w:hint="eastAsia" w:ascii="Times New Roman" w:hAnsi="Times New Roman" w:eastAsia="仿宋_GB2312" w:cs="Times New Roman"/>
          <w:sz w:val="32"/>
          <w:szCs w:val="24"/>
        </w:rPr>
        <w:t>滨水、</w:t>
      </w:r>
      <w:r>
        <w:rPr>
          <w:rFonts w:ascii="Times New Roman" w:hAnsi="Times New Roman" w:eastAsia="仿宋_GB2312" w:cs="Times New Roman"/>
          <w:sz w:val="32"/>
          <w:szCs w:val="24"/>
        </w:rPr>
        <w:t>环湖岸线和慢行系统，</w:t>
      </w:r>
      <w:r>
        <w:rPr>
          <w:rFonts w:hint="eastAsia" w:ascii="Times New Roman" w:hAnsi="Times New Roman" w:eastAsia="仿宋_GB2312" w:cs="Times New Roman"/>
          <w:sz w:val="32"/>
          <w:szCs w:val="24"/>
        </w:rPr>
        <w:t>滨河</w:t>
      </w:r>
      <w:r>
        <w:rPr>
          <w:rFonts w:ascii="Times New Roman" w:hAnsi="Times New Roman" w:eastAsia="仿宋_GB2312" w:cs="Times New Roman"/>
          <w:sz w:val="32"/>
          <w:szCs w:val="24"/>
        </w:rPr>
        <w:t>环湖造林</w:t>
      </w:r>
      <w:r>
        <w:rPr>
          <w:rFonts w:hint="eastAsia" w:ascii="Times New Roman" w:hAnsi="Times New Roman" w:eastAsia="仿宋_GB2312" w:cs="Times New Roman"/>
          <w:sz w:val="32"/>
          <w:szCs w:val="24"/>
        </w:rPr>
        <w:t>造景</w:t>
      </w:r>
      <w:r>
        <w:rPr>
          <w:rFonts w:ascii="Times New Roman" w:hAnsi="Times New Roman" w:eastAsia="仿宋_GB2312" w:cs="Times New Roman"/>
          <w:sz w:val="32"/>
          <w:szCs w:val="24"/>
        </w:rPr>
        <w:t>，植入湖畔特色功能，跨界形成一体化的</w:t>
      </w:r>
      <w:r>
        <w:rPr>
          <w:rFonts w:hint="eastAsia" w:ascii="Times New Roman" w:hAnsi="Times New Roman" w:eastAsia="仿宋_GB2312" w:cs="Times New Roman"/>
          <w:sz w:val="32"/>
          <w:szCs w:val="24"/>
        </w:rPr>
        <w:t>滨河</w:t>
      </w:r>
      <w:r>
        <w:rPr>
          <w:rFonts w:ascii="Times New Roman" w:hAnsi="Times New Roman" w:eastAsia="仿宋_GB2312" w:cs="Times New Roman"/>
          <w:sz w:val="32"/>
          <w:szCs w:val="24"/>
        </w:rPr>
        <w:t>环湖景观系统，打造区域级生态绿心和</w:t>
      </w:r>
      <w:r>
        <w:rPr>
          <w:rFonts w:hint="eastAsia" w:ascii="Times New Roman" w:hAnsi="Times New Roman" w:eastAsia="仿宋_GB2312" w:cs="Times New Roman"/>
          <w:sz w:val="32"/>
          <w:szCs w:val="24"/>
        </w:rPr>
        <w:t>重要的</w:t>
      </w:r>
      <w:r>
        <w:rPr>
          <w:rFonts w:ascii="Times New Roman" w:hAnsi="Times New Roman" w:eastAsia="仿宋_GB2312" w:cs="Times New Roman"/>
          <w:sz w:val="32"/>
          <w:szCs w:val="24"/>
        </w:rPr>
        <w:t>岭南水网水乡</w:t>
      </w:r>
      <w:r>
        <w:rPr>
          <w:rFonts w:hint="eastAsia" w:ascii="Times New Roman" w:hAnsi="Times New Roman" w:eastAsia="仿宋_GB2312" w:cs="Times New Roman"/>
          <w:sz w:val="32"/>
          <w:szCs w:val="24"/>
        </w:rPr>
        <w:t>展示区</w:t>
      </w:r>
      <w:r>
        <w:rPr>
          <w:rFonts w:ascii="Times New Roman" w:hAnsi="Times New Roman" w:eastAsia="仿宋_GB2312" w:cs="Times New Roman"/>
          <w:sz w:val="32"/>
          <w:szCs w:val="24"/>
        </w:rPr>
        <w:t xml:space="preserve">。 </w:t>
      </w:r>
    </w:p>
    <w:p w14:paraId="4D7ACB03">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城市</w:t>
      </w:r>
      <w:r>
        <w:rPr>
          <w:rFonts w:ascii="Times New Roman" w:hAnsi="Times New Roman" w:eastAsia="楷体_GB2312" w:cs="楷体_GB2312"/>
          <w:sz w:val="32"/>
          <w:szCs w:val="24"/>
        </w:rPr>
        <w:t>客厅聚合</w:t>
      </w:r>
      <w:r>
        <w:rPr>
          <w:rFonts w:hint="eastAsia" w:ascii="Times New Roman" w:hAnsi="Times New Roman" w:eastAsia="楷体_GB2312" w:cs="楷体_GB2312"/>
          <w:sz w:val="32"/>
          <w:szCs w:val="24"/>
        </w:rPr>
        <w:t>城市功能配套服务</w:t>
      </w:r>
      <w:r>
        <w:rPr>
          <w:rFonts w:ascii="Times New Roman" w:hAnsi="Times New Roman" w:eastAsia="楷体_GB2312" w:cs="楷体_GB2312"/>
          <w:sz w:val="32"/>
          <w:szCs w:val="24"/>
        </w:rPr>
        <w:t>中心</w:t>
      </w:r>
      <w:r>
        <w:rPr>
          <w:rFonts w:hint="eastAsia" w:ascii="Times New Roman" w:hAnsi="Times New Roman" w:eastAsia="楷体_GB2312" w:cs="楷体_GB2312"/>
          <w:sz w:val="32"/>
          <w:szCs w:val="24"/>
        </w:rPr>
        <w:t>设计导引</w:t>
      </w:r>
      <w:r>
        <w:rPr>
          <w:rFonts w:ascii="Times New Roman" w:hAnsi="Times New Roman" w:eastAsia="楷体_GB2312" w:cs="楷体_GB2312"/>
          <w:sz w:val="32"/>
          <w:szCs w:val="24"/>
        </w:rPr>
        <w:t>。</w:t>
      </w:r>
      <w:r>
        <w:rPr>
          <w:rFonts w:ascii="Times New Roman" w:hAnsi="Times New Roman" w:eastAsia="仿宋_GB2312" w:cs="Times New Roman"/>
          <w:sz w:val="32"/>
          <w:szCs w:val="24"/>
        </w:rPr>
        <w:t>在</w:t>
      </w:r>
      <w:r>
        <w:rPr>
          <w:rFonts w:hint="eastAsia" w:ascii="Times New Roman" w:hAnsi="Times New Roman" w:eastAsia="仿宋_GB2312" w:cs="Times New Roman"/>
          <w:sz w:val="32"/>
          <w:szCs w:val="24"/>
        </w:rPr>
        <w:t>铁场排渠、沙河、新村排渠交汇处北岸区域</w:t>
      </w:r>
      <w:r>
        <w:rPr>
          <w:rFonts w:ascii="Times New Roman" w:hAnsi="Times New Roman" w:eastAsia="仿宋_GB2312" w:cs="Times New Roman"/>
          <w:sz w:val="32"/>
          <w:szCs w:val="24"/>
        </w:rPr>
        <w:t>打造一处体现</w:t>
      </w:r>
      <w:r>
        <w:rPr>
          <w:rFonts w:hint="eastAsia" w:ascii="Times New Roman" w:hAnsi="Times New Roman" w:eastAsia="仿宋_GB2312" w:cs="Times New Roman"/>
          <w:sz w:val="32"/>
          <w:szCs w:val="24"/>
        </w:rPr>
        <w:t>罗浮</w:t>
      </w:r>
      <w:r>
        <w:rPr>
          <w:rFonts w:ascii="Times New Roman" w:hAnsi="Times New Roman" w:eastAsia="仿宋_GB2312" w:cs="Times New Roman"/>
          <w:sz w:val="32"/>
          <w:szCs w:val="24"/>
        </w:rPr>
        <w:t>意境、</w:t>
      </w:r>
      <w:r>
        <w:rPr>
          <w:rFonts w:hint="eastAsia" w:ascii="Times New Roman" w:hAnsi="Times New Roman" w:eastAsia="仿宋_GB2312" w:cs="Times New Roman"/>
          <w:sz w:val="32"/>
          <w:szCs w:val="24"/>
        </w:rPr>
        <w:t>水岸</w:t>
      </w:r>
      <w:r>
        <w:rPr>
          <w:rFonts w:ascii="Times New Roman" w:hAnsi="Times New Roman" w:eastAsia="仿宋_GB2312" w:cs="Times New Roman"/>
          <w:sz w:val="32"/>
          <w:szCs w:val="24"/>
        </w:rPr>
        <w:t>生境、游憩</w:t>
      </w:r>
      <w:r>
        <w:rPr>
          <w:rFonts w:hint="eastAsia" w:ascii="Times New Roman" w:hAnsi="Times New Roman" w:eastAsia="仿宋_GB2312" w:cs="Times New Roman"/>
          <w:sz w:val="32"/>
          <w:szCs w:val="24"/>
        </w:rPr>
        <w:t>圣</w:t>
      </w:r>
      <w:r>
        <w:rPr>
          <w:rFonts w:ascii="Times New Roman" w:hAnsi="Times New Roman" w:eastAsia="仿宋_GB2312" w:cs="Times New Roman"/>
          <w:sz w:val="32"/>
          <w:szCs w:val="24"/>
        </w:rPr>
        <w:t>境、创新佳境的“</w:t>
      </w:r>
      <w:r>
        <w:rPr>
          <w:rFonts w:hint="eastAsia" w:ascii="Times New Roman" w:hAnsi="Times New Roman" w:eastAsia="仿宋_GB2312" w:cs="Times New Roman"/>
          <w:sz w:val="32"/>
          <w:szCs w:val="24"/>
        </w:rPr>
        <w:t>罗浮院落</w:t>
      </w:r>
      <w:r>
        <w:rPr>
          <w:rFonts w:ascii="Times New Roman" w:hAnsi="Times New Roman" w:eastAsia="仿宋_GB2312" w:cs="Times New Roman"/>
          <w:sz w:val="32"/>
          <w:szCs w:val="24"/>
        </w:rPr>
        <w:t>、水乡客厅”，构建</w:t>
      </w:r>
      <w:r>
        <w:rPr>
          <w:rFonts w:hint="eastAsia" w:ascii="Times New Roman" w:hAnsi="Times New Roman" w:eastAsia="仿宋_GB2312" w:cs="Times New Roman"/>
          <w:sz w:val="32"/>
          <w:szCs w:val="24"/>
        </w:rPr>
        <w:t>起步区城市级</w:t>
      </w:r>
      <w:r>
        <w:rPr>
          <w:rFonts w:ascii="Times New Roman" w:hAnsi="Times New Roman" w:eastAsia="仿宋_GB2312" w:cs="Times New Roman"/>
          <w:sz w:val="32"/>
          <w:szCs w:val="24"/>
        </w:rPr>
        <w:t>公共活动中心体系</w:t>
      </w:r>
      <w:r>
        <w:rPr>
          <w:rFonts w:hint="eastAsia" w:ascii="Times New Roman" w:hAnsi="Times New Roman" w:eastAsia="仿宋_GB2312" w:cs="Times New Roman"/>
          <w:sz w:val="32"/>
          <w:szCs w:val="24"/>
        </w:rPr>
        <w:t>，并</w:t>
      </w:r>
      <w:r>
        <w:rPr>
          <w:rFonts w:ascii="Times New Roman" w:hAnsi="Times New Roman" w:eastAsia="仿宋_GB2312" w:cs="Times New Roman"/>
          <w:sz w:val="32"/>
          <w:szCs w:val="24"/>
        </w:rPr>
        <w:t>关联各</w:t>
      </w:r>
      <w:r>
        <w:rPr>
          <w:rFonts w:hint="eastAsia" w:ascii="Times New Roman" w:hAnsi="Times New Roman" w:eastAsia="仿宋_GB2312" w:cs="Times New Roman"/>
          <w:sz w:val="32"/>
          <w:szCs w:val="24"/>
        </w:rPr>
        <w:t>片区组团公共</w:t>
      </w:r>
      <w:r>
        <w:rPr>
          <w:rFonts w:ascii="Times New Roman" w:hAnsi="Times New Roman" w:eastAsia="仿宋_GB2312" w:cs="Times New Roman"/>
          <w:sz w:val="32"/>
          <w:szCs w:val="24"/>
        </w:rPr>
        <w:t>中心，</w:t>
      </w:r>
      <w:r>
        <w:rPr>
          <w:rFonts w:hint="eastAsia" w:ascii="Times New Roman" w:hAnsi="Times New Roman" w:eastAsia="仿宋_GB2312" w:cs="Times New Roman"/>
          <w:sz w:val="32"/>
          <w:szCs w:val="24"/>
        </w:rPr>
        <w:t>提供环“南昆山—罗浮山”引领区城市级功能配套，</w:t>
      </w:r>
      <w:r>
        <w:rPr>
          <w:rFonts w:ascii="Times New Roman" w:hAnsi="Times New Roman" w:eastAsia="仿宋_GB2312" w:cs="Times New Roman"/>
          <w:sz w:val="32"/>
          <w:szCs w:val="24"/>
        </w:rPr>
        <w:t>集中实践和示范</w:t>
      </w:r>
      <w:r>
        <w:rPr>
          <w:rFonts w:hint="eastAsia" w:ascii="Times New Roman" w:hAnsi="Times New Roman" w:eastAsia="仿宋_GB2312" w:cs="Times New Roman"/>
          <w:sz w:val="32"/>
          <w:szCs w:val="24"/>
        </w:rPr>
        <w:t>岭南地区</w:t>
      </w:r>
      <w:r>
        <w:rPr>
          <w:rFonts w:ascii="Times New Roman" w:hAnsi="Times New Roman" w:eastAsia="仿宋_GB2312" w:cs="Times New Roman"/>
          <w:sz w:val="32"/>
          <w:szCs w:val="24"/>
        </w:rPr>
        <w:t>水城共生、活力共襄、</w:t>
      </w:r>
      <w:r>
        <w:rPr>
          <w:rFonts w:hint="eastAsia" w:ascii="Times New Roman" w:hAnsi="Times New Roman" w:eastAsia="仿宋_GB2312" w:cs="Times New Roman"/>
          <w:sz w:val="32"/>
          <w:szCs w:val="24"/>
        </w:rPr>
        <w:t>生态</w:t>
      </w:r>
      <w:r>
        <w:rPr>
          <w:rFonts w:ascii="Times New Roman" w:hAnsi="Times New Roman" w:eastAsia="仿宋_GB2312" w:cs="Times New Roman"/>
          <w:sz w:val="32"/>
          <w:szCs w:val="24"/>
        </w:rPr>
        <w:t>共享的发展理念</w:t>
      </w:r>
      <w:r>
        <w:rPr>
          <w:rFonts w:hint="eastAsia" w:ascii="Times New Roman" w:hAnsi="Times New Roman" w:eastAsia="仿宋_GB2312" w:cs="Times New Roman"/>
          <w:sz w:val="32"/>
          <w:szCs w:val="24"/>
        </w:rPr>
        <w:t>。</w:t>
      </w:r>
    </w:p>
    <w:p w14:paraId="7ACB196A">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十字双轴两端汇聚创新要素跨界流动设计导引。</w:t>
      </w:r>
      <w:r>
        <w:rPr>
          <w:rFonts w:hint="eastAsia" w:ascii="Times New Roman" w:hAnsi="Times New Roman" w:eastAsia="仿宋_GB2312" w:cs="Times New Roman"/>
          <w:sz w:val="32"/>
          <w:szCs w:val="24"/>
        </w:rPr>
        <w:t>依托石湾大道、石园快速、和安大道—水电路，在起步区东西两侧形成南通莞深、北达罗浮山、西连广州、东接博罗县城的两条绿色人文和创新功能轴，串联各中心区和创新组团，促进区域创新要素对流，带动沿线城镇高质量发展，将十字双轴打造成为起步区的对外门户枢纽。</w:t>
      </w:r>
    </w:p>
    <w:p w14:paraId="5C9AE3DA">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特色分区统筹镇村功能配置高质量发展设计导引。</w:t>
      </w:r>
      <w:r>
        <w:rPr>
          <w:rFonts w:hint="eastAsia" w:ascii="Times New Roman" w:hAnsi="Times New Roman" w:eastAsia="仿宋_GB2312" w:cs="Times New Roman"/>
          <w:sz w:val="32"/>
          <w:szCs w:val="24"/>
        </w:rPr>
        <w:t>根据起步区生态基底特征和历史聚落格局，从功能导向出发，兼顾行政区划和交通距离，划分智创产业区、生态发展区、文化村落区、综合服务区和生活配套区5个特色分区。每个分区既相互独立、又互相依存，形成相对平等均衡的网络型小镇群。通过特色分区建设，统筹跨界地区功能配置和公共服务资源供给，协同空间治理和实施管控，促进网络化、均等化、融合化城乡发展。</w:t>
      </w:r>
    </w:p>
    <w:p w14:paraId="3D241536">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未来社区统筹规划实施和管理基本单元设计导引。</w:t>
      </w:r>
      <w:r>
        <w:rPr>
          <w:rFonts w:hint="eastAsia" w:ascii="Times New Roman" w:hAnsi="Times New Roman" w:eastAsia="仿宋_GB2312" w:cs="Times New Roman"/>
          <w:sz w:val="32"/>
          <w:szCs w:val="24"/>
        </w:rPr>
        <w:t>起步区先行开展未来居住社区和未来产业社区两类未来社区建设探索，每个未来社区面积一般控制在3—5平方公里左右，率先开展农业转移人口市民化、城镇化投融资机制、农村宅基地制度、集体经营性建设用地管理、农业设施用地管理、存量土地更新改造等方面的改革探索，构建城乡融合、服务均等的15分钟便民生活圈。加强分类引导和社区特色塑造，明确各社区的功能定位、用地布局以及相关控制要求，统筹配置公共服务资源和基础设施，提出下位规划编制或调整的要求，指导下位规划的编制。</w:t>
      </w:r>
    </w:p>
    <w:p w14:paraId="2C4E8B7D">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94" w:name="_Toc198247276"/>
      <w:bookmarkStart w:id="195" w:name="_Toc27838"/>
      <w:r>
        <w:rPr>
          <w:rFonts w:hint="eastAsia" w:ascii="Times New Roman" w:hAnsi="Times New Roman" w:eastAsia="黑体"/>
          <w:b w:val="0"/>
          <w:bCs w:val="0"/>
        </w:rPr>
        <w:t>起步区生态城市近期建设重点</w:t>
      </w:r>
      <w:bookmarkEnd w:id="194"/>
      <w:bookmarkEnd w:id="195"/>
    </w:p>
    <w:p w14:paraId="5C4A1034">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国土空间控制线支撑。</w:t>
      </w:r>
      <w:r>
        <w:rPr>
          <w:rFonts w:hint="eastAsia" w:ascii="Times New Roman" w:hAnsi="Times New Roman" w:eastAsia="仿宋_GB2312" w:cs="Times New Roman"/>
          <w:sz w:val="32"/>
          <w:szCs w:val="24"/>
        </w:rPr>
        <w:t>衔接博罗县国土空间总体规划“三区三线”划定成果，起步区落实耕地保护目标443.49公顷（6652.35亩）；落实永久基本农田保护面积324.21公顷（4863.15亩）；划定城镇开发边界面积996.85公顷（14952.75亩），其中新增城镇集中建设区183.16公顷（2747.4亩）。三条控制线是起步区国土空间用途管制的基本依据，也是生态、生产和生活空间布局优化的核心框架。</w:t>
      </w:r>
    </w:p>
    <w:p w14:paraId="205C73E8">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“路网、水网、绿网”相融的综合交通体系。</w:t>
      </w:r>
      <w:r>
        <w:rPr>
          <w:rFonts w:hint="eastAsia" w:ascii="Times New Roman" w:hAnsi="Times New Roman" w:eastAsia="仿宋_GB2312" w:cs="Times New Roman"/>
          <w:sz w:val="32"/>
          <w:szCs w:val="24"/>
        </w:rPr>
        <w:t>起步区加快石园快速、东坡大道、时尚大道、石湾沿河路、将军路、园洲沿江路、绿兰大道北延线建设，强化跨界交通协同、内外交通衔接、出行品质提升。充分依托特色村落、林地、绿地、水系等人文、生态资源，建设绿道、碧道和文化游径，形成覆盖广泛、系统融合的特色交通系统，极大改善出行体验。至2035年，起步区公共交通占机动化出行方式比例达到30%，常规公交站点500米覆盖率100%，绿色交通出行比例不低于60%。</w:t>
      </w:r>
    </w:p>
    <w:p w14:paraId="15D75D08">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全龄段、全时段城市级公共服务配套。</w:t>
      </w:r>
      <w:r>
        <w:rPr>
          <w:rFonts w:hint="eastAsia" w:ascii="Times New Roman" w:hAnsi="Times New Roman" w:eastAsia="仿宋_GB2312" w:cs="Times New Roman"/>
          <w:sz w:val="32"/>
          <w:szCs w:val="24"/>
        </w:rPr>
        <w:t>起步区率先构建跨界服务便利共享、覆盖公平均等，面向全龄段和全时段的公共服务体系。包括1座三甲医院、1所完全中学、1个产业邻里社区、1个市民服务中心、1个创新服务中心、1个大型商业MALL、1处主题公园、1个体育文化中心、1个未来社区和1个未来乡村。至2035年，起步区卫生、养老、教育、文化、体育等社区公共服务设施15分钟步行可达覆盖率达到80%以上，人地关系和谐的职住体系和多元化住房保障体系基本形成。</w:t>
      </w:r>
    </w:p>
    <w:p w14:paraId="0218B5E8">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人水和谐、品质宜居的生态环境安全。</w:t>
      </w:r>
      <w:r>
        <w:rPr>
          <w:rFonts w:hint="eastAsia" w:ascii="Times New Roman" w:hAnsi="Times New Roman" w:eastAsia="仿宋_GB2312" w:cs="Times New Roman"/>
          <w:sz w:val="32"/>
          <w:szCs w:val="24"/>
        </w:rPr>
        <w:t>以沙河、铁场排渠、中心排渠、里波水等河湖空间保护为核心，优化划定河湖管理范围，构建多层级蓝线管控体系。加强江河渠塘水系互联互通，实施水环境治理和万里碧道建设工程，以沙河15公里碧道建设为示范，营造更丰富和更高品质的水空间。推进农用地综合整治，集中保护更优质的农业空间。以城乡公园和绿道建设为重点，建设更多样化、网络化的林地空间。至2035年，起步区人均公园绿地面积达到 12平方米/人以上，绿地、广场等公共开放空间5分钟步行可达覆盖率达到90%，绿道网长度达100公里以上。</w:t>
      </w:r>
    </w:p>
    <w:p w14:paraId="09072907">
      <w:pPr>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楷体_GB2312"/>
          <w:sz w:val="32"/>
          <w:szCs w:val="24"/>
        </w:rPr>
        <w:t>岭南风格，时尚气派的生态城市风貌。</w:t>
      </w:r>
      <w:r>
        <w:rPr>
          <w:rFonts w:hint="eastAsia" w:ascii="Times New Roman" w:hAnsi="Times New Roman" w:eastAsia="仿宋_GB2312" w:cs="Times New Roman"/>
          <w:sz w:val="32"/>
          <w:szCs w:val="24"/>
        </w:rPr>
        <w:t>划定起步区风貌管控分区，引领打造风情别致的生态城市风貌。加强基准高度控制，打造舒缓优美、特色鲜明的城市天际线与景观眺望系统，强调沙河等重要景观河道，东坡大道等景观大道沿线建筑群体的整体秩序与空间韵律，构建从沙河城市中心区到罗浮山风景名胜区的优美天际线和景观眺望系统，营造与蓝绿空间和谐相融、与历史文化交相辉映、具有高度可识别性的城市第五立面，塑造融于自然、简洁大方、典雅亲切的建筑风格，强调起步区滨水空间、绿色空间的环境营造，注重建筑风貌与生态环境相协调。</w:t>
      </w:r>
    </w:p>
    <w:p w14:paraId="72BD974E">
      <w:pPr>
        <w:ind w:firstLine="640" w:firstLineChars="200"/>
        <w:rPr>
          <w:rFonts w:ascii="Times New Roman" w:hAnsi="Times New Roman" w:eastAsia="仿宋_GB2312" w:cs="Times New Roman"/>
          <w:sz w:val="32"/>
          <w:szCs w:val="24"/>
        </w:rPr>
      </w:pPr>
    </w:p>
    <w:p w14:paraId="6E629125">
      <w:pPr>
        <w:ind w:firstLine="640" w:firstLineChars="200"/>
        <w:rPr>
          <w:rFonts w:ascii="Times New Roman" w:hAnsi="Times New Roman" w:eastAsia="仿宋_GB2312" w:cs="Times New Roman"/>
          <w:sz w:val="32"/>
          <w:szCs w:val="24"/>
        </w:rPr>
        <w:sectPr>
          <w:pgSz w:w="11906" w:h="16838"/>
          <w:pgMar w:top="1440" w:right="1800" w:bottom="1440" w:left="1800" w:header="851" w:footer="992" w:gutter="0"/>
          <w:cols w:space="425" w:num="1"/>
          <w:docGrid w:type="lines" w:linePitch="312" w:charSpace="0"/>
        </w:sectPr>
      </w:pPr>
    </w:p>
    <w:p w14:paraId="5667393E">
      <w:pPr>
        <w:pStyle w:val="3"/>
        <w:keepNext w:val="0"/>
        <w:keepLines w:val="0"/>
        <w:spacing w:before="312" w:beforeLines="100" w:after="312" w:afterLines="100" w:line="360" w:lineRule="auto"/>
        <w:jc w:val="center"/>
        <w:rPr>
          <w:rFonts w:ascii="Times New Roman" w:hAnsi="Times New Roman" w:eastAsia="黑体"/>
          <w:b w:val="0"/>
          <w:bCs w:val="0"/>
          <w:sz w:val="40"/>
          <w:szCs w:val="40"/>
        </w:rPr>
      </w:pPr>
      <w:bookmarkStart w:id="196" w:name="_Toc31518"/>
      <w:bookmarkStart w:id="197" w:name="_Toc198247277"/>
      <w:r>
        <w:rPr>
          <w:rFonts w:hint="eastAsia" w:ascii="Times New Roman" w:hAnsi="Times New Roman" w:eastAsia="黑体"/>
          <w:b w:val="0"/>
          <w:bCs w:val="0"/>
          <w:sz w:val="40"/>
          <w:szCs w:val="40"/>
        </w:rPr>
        <w:t>第十二章 规划有序有效实施保障</w:t>
      </w:r>
      <w:bookmarkEnd w:id="196"/>
      <w:bookmarkEnd w:id="197"/>
    </w:p>
    <w:p w14:paraId="510BE2A7">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建立高规格县域副中心组织架构，形成高效率工作推进机制，赋予县域副中心发展定位相适应的政策措施，精准聚焦产业升级的用地、资金、人才保障，为县域副中心又好又快发展提供坚强保障。</w:t>
      </w:r>
    </w:p>
    <w:p w14:paraId="5003066C">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198" w:name="_Toc13385"/>
      <w:bookmarkStart w:id="199" w:name="_Toc198247278"/>
      <w:r>
        <w:rPr>
          <w:rFonts w:hint="eastAsia" w:ascii="Times New Roman" w:hAnsi="Times New Roman" w:eastAsia="黑体"/>
          <w:b w:val="0"/>
          <w:bCs w:val="0"/>
        </w:rPr>
        <w:t>加强体制机制建设</w:t>
      </w:r>
      <w:bookmarkEnd w:id="198"/>
      <w:bookmarkEnd w:id="199"/>
    </w:p>
    <w:p w14:paraId="1F1A2A57">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建议县域副中心以统一领导、分级统筹、共赢共享、共同担当为引领，采取“管委会+镇政府+开发公司”的管理运营模式，明确各责任主体，提高管理水平与管理效率。管委会聚焦产业经济与开发建设职能，统筹重大事项（总体规划、重要项目等）、起步区建设等重要内容，社会管理由镇政府承担，一般经营性项目可适当参与。开发投资集团公司优先管理产业与城市建设，同时介入土地一级开发与二级开发，统筹安排招商引资项目。同时设立明确的准入门槛，保证项目符合生态保护与开发管控等要求。</w:t>
      </w:r>
    </w:p>
    <w:p w14:paraId="49D6FB8F">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200" w:name="_Toc7060"/>
      <w:bookmarkStart w:id="201" w:name="_Toc198247279"/>
      <w:r>
        <w:rPr>
          <w:rFonts w:hint="eastAsia" w:ascii="Times New Roman" w:hAnsi="Times New Roman" w:eastAsia="黑体"/>
          <w:b w:val="0"/>
          <w:bCs w:val="0"/>
        </w:rPr>
        <w:t>强化用地要素保障</w:t>
      </w:r>
      <w:bookmarkEnd w:id="200"/>
      <w:bookmarkEnd w:id="201"/>
    </w:p>
    <w:p w14:paraId="577D8061">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以管理模式清单化、审批流程精简化、保障环节链条化为导向，深入推进规划用地“多审合一、多证合一、多测合一、多验合一”改革，优化程序、提高效率。以园洲再生资源工业园区和深沥村（柳树、思达）工业园区升级改造为契机，完善“亩产论英雄”评价机制。综合运用土地综合整治、城乡建设用地增减挂钩和新增建设用地指标等政策工具，在县域副中心全域全面推进“亩产论英雄”实施，实行灵活多样土地配置和混合产业用地供给，深化实施“标准地+双信地+定制地”供应方式，探索建立“产业园区+连片净地+工业上楼”的立体保障体系，促进县域副中心重大产业项目向大型产业集聚区集中集聚发展。</w:t>
      </w:r>
    </w:p>
    <w:p w14:paraId="04B2E481">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202" w:name="_Toc198247280"/>
      <w:bookmarkStart w:id="203" w:name="_Toc11841"/>
      <w:r>
        <w:rPr>
          <w:rFonts w:hint="eastAsia" w:ascii="Times New Roman" w:hAnsi="Times New Roman" w:eastAsia="黑体"/>
          <w:b w:val="0"/>
          <w:bCs w:val="0"/>
        </w:rPr>
        <w:t>强化资金要素保障</w:t>
      </w:r>
      <w:bookmarkEnd w:id="202"/>
      <w:bookmarkEnd w:id="203"/>
    </w:p>
    <w:p w14:paraId="5DF4E57B">
      <w:pPr>
        <w:widowControl/>
        <w:spacing w:line="60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积极争取将县域副中心及园区基础设施等项目尽可能纳入专项债。加强国企平台建设，加快推进县域副中心融资平台建设。创新融资方式，鼓励社会资本参与博罗产业发展建设。支持粤财集团、市产投、市交投、广发证券公司等金融机构在县域副中心设立各类发展基金，引导社会资本投入先进装备制造等新兴产业。</w:t>
      </w:r>
    </w:p>
    <w:p w14:paraId="17147781">
      <w:pPr>
        <w:pStyle w:val="4"/>
        <w:keepNext w:val="0"/>
        <w:keepLines w:val="0"/>
        <w:numPr>
          <w:ilvl w:val="1"/>
          <w:numId w:val="1"/>
        </w:numPr>
        <w:spacing w:before="0" w:after="0" w:line="360" w:lineRule="auto"/>
        <w:ind w:firstLine="0"/>
        <w:jc w:val="center"/>
        <w:rPr>
          <w:rFonts w:ascii="Times New Roman" w:hAnsi="Times New Roman" w:eastAsia="黑体"/>
          <w:b w:val="0"/>
          <w:bCs w:val="0"/>
        </w:rPr>
      </w:pPr>
      <w:bookmarkStart w:id="204" w:name="_Toc22977"/>
      <w:bookmarkStart w:id="205" w:name="_Toc198247281"/>
      <w:r>
        <w:rPr>
          <w:rFonts w:hint="eastAsia" w:ascii="Times New Roman" w:hAnsi="Times New Roman" w:eastAsia="黑体"/>
          <w:b w:val="0"/>
          <w:bCs w:val="0"/>
        </w:rPr>
        <w:t>强化人才要素保障</w:t>
      </w:r>
      <w:bookmarkEnd w:id="204"/>
      <w:bookmarkEnd w:id="205"/>
    </w:p>
    <w:p w14:paraId="07393ED9">
      <w:pPr>
        <w:widowControl/>
        <w:spacing w:line="600" w:lineRule="exact"/>
        <w:ind w:firstLine="640" w:firstLineChars="200"/>
        <w:rPr>
          <w:rFonts w:ascii="Times New Roman" w:hAnsi="Times New Roman" w:eastAsia="仿宋_GB2312" w:cs="Times New Roman"/>
          <w:sz w:val="32"/>
          <w:szCs w:val="24"/>
        </w:rPr>
        <w:sectPr>
          <w:pgSz w:w="11906" w:h="16838"/>
          <w:pgMar w:top="1440" w:right="1800" w:bottom="1440" w:left="1800" w:header="851" w:footer="992" w:gutter="0"/>
          <w:cols w:space="425" w:num="1"/>
          <w:docGrid w:type="lines" w:linePitch="312" w:charSpace="0"/>
        </w:sectPr>
      </w:pPr>
      <w:r>
        <w:rPr>
          <w:rFonts w:hint="eastAsia" w:ascii="Times New Roman" w:hAnsi="Times New Roman" w:eastAsia="仿宋_GB2312" w:cs="Times New Roman"/>
          <w:sz w:val="32"/>
          <w:szCs w:val="24"/>
        </w:rPr>
        <w:t>建设人才交流培养平台，加强与省内外高等院校、企业及中等职业学校的交流与合作，设立联合研发基地，开展学术交流和项目共建；争取在县域副中心落地建设一所大学或高职院校，强化“政校企”合作机制，实施“订单式”人才培养模式。积极探索人才开发、股权激励、技术入股、科技成果产业化、人才中介服务等方面的特殊政策和机制，引进更多“高精尖缺”专业化人才，为县域副中心提供现代化人才支撑。</w:t>
      </w:r>
    </w:p>
    <w:p w14:paraId="60E9D5BE">
      <w:pPr>
        <w:pStyle w:val="3"/>
        <w:keepNext w:val="0"/>
        <w:keepLines w:val="0"/>
        <w:spacing w:before="0" w:after="0" w:line="360" w:lineRule="auto"/>
        <w:rPr>
          <w:rFonts w:ascii="Times New Roman" w:hAnsi="Times New Roman" w:eastAsia="黑体"/>
          <w:b w:val="0"/>
          <w:bCs w:val="0"/>
          <w:sz w:val="40"/>
          <w:szCs w:val="40"/>
        </w:rPr>
      </w:pPr>
      <w:bookmarkStart w:id="206" w:name="_Toc198247282"/>
      <w:bookmarkStart w:id="207" w:name="_Toc31287"/>
      <w:bookmarkStart w:id="208" w:name="_Toc12335"/>
      <w:r>
        <w:rPr>
          <w:rFonts w:hint="eastAsia" w:ascii="Times New Roman" w:hAnsi="Times New Roman" w:eastAsia="黑体"/>
          <w:b w:val="0"/>
          <w:bCs w:val="0"/>
          <w:sz w:val="40"/>
          <w:szCs w:val="40"/>
        </w:rPr>
        <w:t>附表</w:t>
      </w:r>
      <w:bookmarkEnd w:id="206"/>
    </w:p>
    <w:p w14:paraId="05B9B823">
      <w:pPr>
        <w:pStyle w:val="4"/>
        <w:keepNext w:val="0"/>
        <w:keepLines w:val="0"/>
        <w:numPr>
          <w:ilvl w:val="255"/>
          <w:numId w:val="0"/>
        </w:numPr>
        <w:spacing w:before="0" w:after="0" w:line="360" w:lineRule="auto"/>
        <w:jc w:val="center"/>
        <w:rPr>
          <w:rFonts w:ascii="Times New Roman" w:hAnsi="Times New Roman" w:eastAsia="黑体" w:cstheme="minorBidi"/>
          <w:b w:val="0"/>
          <w:bCs w:val="0"/>
          <w:kern w:val="44"/>
          <w:sz w:val="40"/>
          <w:szCs w:val="40"/>
        </w:rPr>
      </w:pPr>
      <w:bookmarkStart w:id="209" w:name="_Toc198247283"/>
      <w:r>
        <w:rPr>
          <w:rFonts w:hint="eastAsia" w:ascii="Times New Roman" w:hAnsi="Times New Roman" w:eastAsia="黑体"/>
          <w:b w:val="0"/>
          <w:bCs w:val="0"/>
        </w:rPr>
        <w:t>附表一 近期重大项目计划表</w:t>
      </w:r>
      <w:bookmarkEnd w:id="207"/>
      <w:bookmarkEnd w:id="209"/>
    </w:p>
    <w:tbl>
      <w:tblPr>
        <w:tblStyle w:val="19"/>
        <w:tblW w:w="506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fixed"/>
        <w:tblCellMar>
          <w:top w:w="0" w:type="dxa"/>
          <w:left w:w="0" w:type="dxa"/>
          <w:bottom w:w="0" w:type="dxa"/>
          <w:right w:w="0" w:type="dxa"/>
        </w:tblCellMar>
      </w:tblPr>
      <w:tblGrid>
        <w:gridCol w:w="574"/>
        <w:gridCol w:w="1302"/>
        <w:gridCol w:w="2316"/>
        <w:gridCol w:w="5502"/>
        <w:gridCol w:w="1158"/>
        <w:gridCol w:w="1158"/>
        <w:gridCol w:w="1158"/>
        <w:gridCol w:w="1271"/>
      </w:tblGrid>
      <w:tr w14:paraId="78FDA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295" w:hRule="atLeast"/>
          <w:tblHeader/>
          <w:jc w:val="center"/>
        </w:trPr>
        <w:tc>
          <w:tcPr>
            <w:tcW w:w="199" w:type="pct"/>
            <w:shd w:val="clear" w:color="auto" w:fill="FFFFFF" w:themeFill="background1"/>
            <w:tcMar>
              <w:top w:w="72" w:type="dxa"/>
              <w:left w:w="144" w:type="dxa"/>
              <w:bottom w:w="72" w:type="dxa"/>
              <w:right w:w="144" w:type="dxa"/>
            </w:tcMar>
            <w:vAlign w:val="center"/>
          </w:tcPr>
          <w:p w14:paraId="40D9CF96">
            <w:pPr>
              <w:jc w:val="center"/>
              <w:rPr>
                <w:rFonts w:ascii="Times New Roman" w:hAnsi="Times New Roman" w:eastAsia="宋体" w:cs="宋体"/>
                <w:b/>
                <w:bCs/>
                <w:kern w:val="0"/>
                <w:szCs w:val="21"/>
              </w:rPr>
            </w:pPr>
            <w:r>
              <w:rPr>
                <w:rFonts w:hint="eastAsia" w:ascii="Times New Roman" w:hAnsi="Times New Roman" w:eastAsia="宋体" w:cs="宋体"/>
                <w:b/>
                <w:bCs/>
                <w:kern w:val="0"/>
                <w:szCs w:val="21"/>
              </w:rPr>
              <w:t>序号</w:t>
            </w:r>
          </w:p>
        </w:tc>
        <w:tc>
          <w:tcPr>
            <w:tcW w:w="451" w:type="pct"/>
            <w:shd w:val="clear" w:color="auto" w:fill="FFFFFF" w:themeFill="background1"/>
            <w:tcMar>
              <w:top w:w="72" w:type="dxa"/>
              <w:left w:w="144" w:type="dxa"/>
              <w:bottom w:w="72" w:type="dxa"/>
              <w:right w:w="144" w:type="dxa"/>
            </w:tcMar>
            <w:vAlign w:val="center"/>
          </w:tcPr>
          <w:p w14:paraId="7EFD8228">
            <w:pPr>
              <w:jc w:val="center"/>
              <w:rPr>
                <w:rFonts w:ascii="Times New Roman" w:hAnsi="Times New Roman" w:eastAsia="宋体" w:cs="宋体"/>
                <w:b/>
                <w:bCs/>
                <w:kern w:val="0"/>
                <w:szCs w:val="21"/>
              </w:rPr>
            </w:pPr>
            <w:r>
              <w:rPr>
                <w:rFonts w:hint="eastAsia" w:ascii="Times New Roman" w:hAnsi="Times New Roman" w:eastAsia="宋体" w:cs="宋体"/>
                <w:b/>
                <w:bCs/>
                <w:kern w:val="0"/>
                <w:szCs w:val="21"/>
              </w:rPr>
              <w:t>项目类型</w:t>
            </w:r>
          </w:p>
        </w:tc>
        <w:tc>
          <w:tcPr>
            <w:tcW w:w="802" w:type="pct"/>
            <w:shd w:val="clear" w:color="auto" w:fill="FFFFFF" w:themeFill="background1"/>
            <w:tcMar>
              <w:top w:w="72" w:type="dxa"/>
              <w:left w:w="144" w:type="dxa"/>
              <w:bottom w:w="72" w:type="dxa"/>
              <w:right w:w="144" w:type="dxa"/>
            </w:tcMar>
            <w:vAlign w:val="center"/>
          </w:tcPr>
          <w:p w14:paraId="5E774279">
            <w:pPr>
              <w:jc w:val="center"/>
              <w:rPr>
                <w:rFonts w:ascii="Times New Roman" w:hAnsi="Times New Roman" w:eastAsia="宋体" w:cs="宋体"/>
                <w:b/>
                <w:bCs/>
                <w:kern w:val="0"/>
                <w:szCs w:val="21"/>
              </w:rPr>
            </w:pPr>
            <w:r>
              <w:rPr>
                <w:rFonts w:hint="eastAsia" w:ascii="Times New Roman" w:hAnsi="Times New Roman" w:eastAsia="宋体" w:cs="宋体"/>
                <w:b/>
                <w:bCs/>
                <w:kern w:val="0"/>
                <w:szCs w:val="21"/>
              </w:rPr>
              <w:t>项目名称</w:t>
            </w:r>
          </w:p>
        </w:tc>
        <w:tc>
          <w:tcPr>
            <w:tcW w:w="1905" w:type="pct"/>
            <w:shd w:val="clear" w:color="auto" w:fill="FFFFFF" w:themeFill="background1"/>
            <w:tcMar>
              <w:top w:w="72" w:type="dxa"/>
              <w:left w:w="144" w:type="dxa"/>
              <w:bottom w:w="72" w:type="dxa"/>
              <w:right w:w="144" w:type="dxa"/>
            </w:tcMar>
            <w:vAlign w:val="center"/>
          </w:tcPr>
          <w:p w14:paraId="203E053C">
            <w:pPr>
              <w:jc w:val="center"/>
              <w:rPr>
                <w:rFonts w:ascii="Times New Roman" w:hAnsi="Times New Roman" w:eastAsia="宋体" w:cs="宋体"/>
                <w:b/>
                <w:bCs/>
                <w:kern w:val="0"/>
                <w:szCs w:val="21"/>
              </w:rPr>
            </w:pPr>
            <w:r>
              <w:rPr>
                <w:rFonts w:hint="eastAsia" w:ascii="Times New Roman" w:hAnsi="Times New Roman" w:eastAsia="宋体" w:cs="宋体"/>
                <w:b/>
                <w:bCs/>
                <w:kern w:val="0"/>
                <w:szCs w:val="21"/>
              </w:rPr>
              <w:t>建设规模</w:t>
            </w:r>
          </w:p>
        </w:tc>
        <w:tc>
          <w:tcPr>
            <w:tcW w:w="401" w:type="pct"/>
            <w:shd w:val="clear" w:color="auto" w:fill="FFFFFF" w:themeFill="background1"/>
            <w:tcMar>
              <w:top w:w="72" w:type="dxa"/>
              <w:left w:w="144" w:type="dxa"/>
              <w:bottom w:w="72" w:type="dxa"/>
              <w:right w:w="144" w:type="dxa"/>
            </w:tcMar>
            <w:vAlign w:val="center"/>
          </w:tcPr>
          <w:p w14:paraId="065B8A25">
            <w:pPr>
              <w:jc w:val="center"/>
              <w:rPr>
                <w:rFonts w:ascii="Times New Roman" w:hAnsi="Times New Roman" w:eastAsia="宋体" w:cs="宋体"/>
                <w:b/>
                <w:bCs/>
                <w:kern w:val="0"/>
                <w:szCs w:val="21"/>
              </w:rPr>
            </w:pPr>
            <w:r>
              <w:rPr>
                <w:rFonts w:hint="eastAsia" w:ascii="Times New Roman" w:hAnsi="Times New Roman" w:eastAsia="宋体" w:cs="宋体"/>
                <w:b/>
                <w:bCs/>
                <w:kern w:val="0"/>
                <w:szCs w:val="21"/>
              </w:rPr>
              <w:t>投资估算</w:t>
            </w:r>
          </w:p>
          <w:p w14:paraId="00CF5B87">
            <w:pPr>
              <w:jc w:val="center"/>
              <w:rPr>
                <w:rFonts w:ascii="Times New Roman" w:hAnsi="Times New Roman" w:eastAsia="宋体" w:cs="宋体"/>
                <w:b/>
                <w:bCs/>
                <w:kern w:val="0"/>
                <w:szCs w:val="21"/>
              </w:rPr>
            </w:pPr>
            <w:r>
              <w:rPr>
                <w:rFonts w:hint="eastAsia" w:ascii="Times New Roman" w:hAnsi="Times New Roman" w:eastAsia="宋体" w:cs="宋体"/>
                <w:b/>
                <w:bCs/>
                <w:kern w:val="0"/>
                <w:szCs w:val="21"/>
              </w:rPr>
              <w:t>（亿元）</w:t>
            </w:r>
          </w:p>
        </w:tc>
        <w:tc>
          <w:tcPr>
            <w:tcW w:w="401" w:type="pct"/>
            <w:shd w:val="clear" w:color="auto" w:fill="FFFFFF" w:themeFill="background1"/>
            <w:tcMar>
              <w:top w:w="72" w:type="dxa"/>
              <w:left w:w="144" w:type="dxa"/>
              <w:bottom w:w="72" w:type="dxa"/>
              <w:right w:w="144" w:type="dxa"/>
            </w:tcMar>
            <w:vAlign w:val="center"/>
          </w:tcPr>
          <w:p w14:paraId="2DF6F25B">
            <w:pPr>
              <w:jc w:val="center"/>
              <w:rPr>
                <w:rFonts w:ascii="Times New Roman" w:hAnsi="Times New Roman" w:eastAsia="宋体" w:cs="宋体"/>
                <w:b/>
                <w:bCs/>
                <w:kern w:val="0"/>
                <w:szCs w:val="21"/>
              </w:rPr>
            </w:pPr>
            <w:r>
              <w:rPr>
                <w:rFonts w:hint="eastAsia" w:ascii="Times New Roman" w:hAnsi="Times New Roman" w:eastAsia="宋体" w:cs="宋体"/>
                <w:b/>
                <w:bCs/>
                <w:kern w:val="0"/>
                <w:szCs w:val="21"/>
              </w:rPr>
              <w:t>建设性质</w:t>
            </w:r>
          </w:p>
        </w:tc>
        <w:tc>
          <w:tcPr>
            <w:tcW w:w="401" w:type="pct"/>
            <w:shd w:val="clear" w:color="auto" w:fill="FFFFFF" w:themeFill="background1"/>
            <w:tcMar>
              <w:top w:w="72" w:type="dxa"/>
              <w:left w:w="144" w:type="dxa"/>
              <w:bottom w:w="72" w:type="dxa"/>
              <w:right w:w="144" w:type="dxa"/>
            </w:tcMar>
            <w:vAlign w:val="center"/>
          </w:tcPr>
          <w:p w14:paraId="75BC5C42">
            <w:pPr>
              <w:jc w:val="center"/>
              <w:rPr>
                <w:rFonts w:ascii="Times New Roman" w:hAnsi="Times New Roman" w:eastAsia="宋体" w:cs="宋体"/>
                <w:b/>
                <w:bCs/>
                <w:kern w:val="0"/>
                <w:szCs w:val="21"/>
              </w:rPr>
            </w:pPr>
            <w:r>
              <w:rPr>
                <w:rFonts w:hint="eastAsia" w:ascii="Times New Roman" w:hAnsi="Times New Roman" w:eastAsia="宋体" w:cs="宋体"/>
                <w:b/>
                <w:bCs/>
                <w:kern w:val="0"/>
                <w:szCs w:val="21"/>
              </w:rPr>
              <w:t>建设年限</w:t>
            </w:r>
          </w:p>
        </w:tc>
        <w:tc>
          <w:tcPr>
            <w:tcW w:w="440" w:type="pct"/>
            <w:shd w:val="clear" w:color="auto" w:fill="FFFFFF" w:themeFill="background1"/>
            <w:tcMar>
              <w:top w:w="72" w:type="dxa"/>
              <w:left w:w="144" w:type="dxa"/>
              <w:bottom w:w="72" w:type="dxa"/>
              <w:right w:w="144" w:type="dxa"/>
            </w:tcMar>
            <w:vAlign w:val="center"/>
          </w:tcPr>
          <w:p w14:paraId="562C3517">
            <w:pPr>
              <w:jc w:val="center"/>
              <w:rPr>
                <w:rFonts w:ascii="Times New Roman" w:hAnsi="Times New Roman" w:eastAsia="宋体" w:cs="宋体"/>
                <w:b/>
                <w:bCs/>
                <w:kern w:val="0"/>
                <w:szCs w:val="21"/>
              </w:rPr>
            </w:pPr>
            <w:r>
              <w:rPr>
                <w:rFonts w:hint="eastAsia" w:ascii="Times New Roman" w:hAnsi="Times New Roman" w:eastAsia="宋体" w:cs="宋体"/>
                <w:b/>
                <w:bCs/>
                <w:kern w:val="0"/>
                <w:szCs w:val="21"/>
              </w:rPr>
              <w:t>牵头单位</w:t>
            </w:r>
          </w:p>
        </w:tc>
      </w:tr>
      <w:tr w14:paraId="4F46E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84" w:hRule="atLeast"/>
          <w:jc w:val="center"/>
        </w:trPr>
        <w:tc>
          <w:tcPr>
            <w:tcW w:w="199" w:type="pct"/>
            <w:shd w:val="clear" w:color="auto" w:fill="FFFFFF" w:themeFill="background1"/>
            <w:tcMar>
              <w:top w:w="72" w:type="dxa"/>
              <w:left w:w="144" w:type="dxa"/>
              <w:bottom w:w="72" w:type="dxa"/>
              <w:right w:w="144" w:type="dxa"/>
            </w:tcMar>
            <w:vAlign w:val="center"/>
          </w:tcPr>
          <w:p w14:paraId="35B65F74">
            <w:pPr>
              <w:jc w:val="center"/>
              <w:rPr>
                <w:rFonts w:ascii="Times New Roman" w:hAnsi="Times New Roman" w:eastAsia="宋体" w:cs="宋体"/>
                <w:kern w:val="0"/>
                <w:szCs w:val="21"/>
              </w:rPr>
            </w:pPr>
            <w:r>
              <w:rPr>
                <w:rFonts w:ascii="Times New Roman" w:hAnsi="Times New Roman" w:eastAsia="宋体" w:cs="宋体"/>
                <w:kern w:val="0"/>
                <w:szCs w:val="21"/>
              </w:rPr>
              <w:t>1</w:t>
            </w:r>
          </w:p>
        </w:tc>
        <w:tc>
          <w:tcPr>
            <w:tcW w:w="451" w:type="pct"/>
            <w:vMerge w:val="restart"/>
            <w:shd w:val="clear" w:color="auto" w:fill="FFFFFF" w:themeFill="background1"/>
            <w:tcMar>
              <w:top w:w="72" w:type="dxa"/>
              <w:left w:w="144" w:type="dxa"/>
              <w:bottom w:w="72" w:type="dxa"/>
              <w:right w:w="144" w:type="dxa"/>
            </w:tcMar>
            <w:vAlign w:val="center"/>
          </w:tcPr>
          <w:p w14:paraId="3078B04C">
            <w:pPr>
              <w:jc w:val="center"/>
              <w:rPr>
                <w:rFonts w:ascii="Times New Roman" w:hAnsi="Times New Roman" w:eastAsia="宋体" w:cs="宋体"/>
                <w:kern w:val="0"/>
                <w:szCs w:val="21"/>
              </w:rPr>
            </w:pPr>
            <w:r>
              <w:rPr>
                <w:rFonts w:hint="eastAsia" w:ascii="Times New Roman" w:hAnsi="Times New Roman" w:eastAsia="宋体" w:cs="宋体"/>
                <w:kern w:val="0"/>
                <w:szCs w:val="21"/>
              </w:rPr>
              <w:t>现代产业发展</w:t>
            </w:r>
          </w:p>
        </w:tc>
        <w:tc>
          <w:tcPr>
            <w:tcW w:w="802" w:type="pct"/>
            <w:shd w:val="clear" w:color="auto" w:fill="FFFFFF" w:themeFill="background1"/>
            <w:tcMar>
              <w:top w:w="20" w:type="dxa"/>
              <w:left w:w="20" w:type="dxa"/>
              <w:bottom w:w="72" w:type="dxa"/>
              <w:right w:w="20" w:type="dxa"/>
            </w:tcMar>
            <w:vAlign w:val="center"/>
          </w:tcPr>
          <w:p w14:paraId="21100E35">
            <w:pPr>
              <w:jc w:val="center"/>
              <w:rPr>
                <w:rFonts w:ascii="Times New Roman" w:hAnsi="Times New Roman" w:eastAsia="宋体" w:cs="宋体"/>
                <w:kern w:val="0"/>
                <w:szCs w:val="21"/>
              </w:rPr>
            </w:pPr>
            <w:r>
              <w:rPr>
                <w:rFonts w:hint="eastAsia" w:ascii="Times New Roman" w:hAnsi="Times New Roman" w:eastAsia="宋体" w:cs="宋体"/>
                <w:kern w:val="0"/>
                <w:szCs w:val="21"/>
              </w:rPr>
              <w:t>产业平台能级提升工程</w:t>
            </w:r>
          </w:p>
        </w:tc>
        <w:tc>
          <w:tcPr>
            <w:tcW w:w="1905" w:type="pct"/>
            <w:shd w:val="clear" w:color="auto" w:fill="FFFFFF" w:themeFill="background1"/>
            <w:tcMar>
              <w:top w:w="20" w:type="dxa"/>
              <w:left w:w="20" w:type="dxa"/>
              <w:bottom w:w="72" w:type="dxa"/>
              <w:right w:w="20" w:type="dxa"/>
            </w:tcMar>
            <w:vAlign w:val="center"/>
          </w:tcPr>
          <w:p w14:paraId="7FFDBC60">
            <w:pPr>
              <w:jc w:val="center"/>
              <w:rPr>
                <w:rFonts w:ascii="Times New Roman" w:hAnsi="Times New Roman" w:eastAsia="宋体" w:cs="宋体"/>
                <w:kern w:val="0"/>
                <w:szCs w:val="21"/>
              </w:rPr>
            </w:pPr>
            <w:r>
              <w:rPr>
                <w:rFonts w:hint="eastAsia" w:ascii="Times New Roman" w:hAnsi="Times New Roman" w:eastAsia="宋体" w:cs="宋体"/>
                <w:kern w:val="0"/>
                <w:szCs w:val="21"/>
              </w:rPr>
              <w:t>推动省级开发区—惠州博罗产业园区（博西片区）托管博罗产业园，推动按照</w:t>
            </w:r>
            <w:r>
              <w:rPr>
                <w:rFonts w:ascii="Times New Roman" w:hAnsi="Times New Roman" w:eastAsia="宋体" w:cs="宋体"/>
                <w:kern w:val="0"/>
                <w:szCs w:val="21"/>
              </w:rPr>
              <w:t>30</w:t>
            </w:r>
            <w:r>
              <w:rPr>
                <w:rFonts w:hint="eastAsia" w:ascii="Times New Roman" w:hAnsi="Times New Roman" w:eastAsia="宋体" w:cs="宋体"/>
                <w:kern w:val="0"/>
                <w:szCs w:val="21"/>
              </w:rPr>
              <w:t>平方公里先行申报省级高新区。</w:t>
            </w:r>
          </w:p>
        </w:tc>
        <w:tc>
          <w:tcPr>
            <w:tcW w:w="401" w:type="pct"/>
            <w:shd w:val="clear" w:color="auto" w:fill="FFFFFF" w:themeFill="background1"/>
            <w:tcMar>
              <w:top w:w="20" w:type="dxa"/>
              <w:left w:w="20" w:type="dxa"/>
              <w:bottom w:w="72" w:type="dxa"/>
              <w:right w:w="20" w:type="dxa"/>
            </w:tcMar>
            <w:vAlign w:val="center"/>
          </w:tcPr>
          <w:p w14:paraId="4430A6C3">
            <w:pPr>
              <w:jc w:val="center"/>
              <w:rPr>
                <w:rFonts w:ascii="Times New Roman" w:hAnsi="Times New Roman" w:eastAsia="宋体" w:cs="宋体"/>
                <w:kern w:val="0"/>
                <w:szCs w:val="21"/>
              </w:rPr>
            </w:pPr>
            <w:r>
              <w:rPr>
                <w:rFonts w:hint="eastAsia" w:ascii="Times New Roman" w:hAnsi="Times New Roman" w:eastAsia="宋体" w:cs="宋体"/>
                <w:b/>
                <w:bCs/>
                <w:kern w:val="0"/>
                <w:szCs w:val="21"/>
              </w:rPr>
              <w:t>——</w:t>
            </w:r>
          </w:p>
        </w:tc>
        <w:tc>
          <w:tcPr>
            <w:tcW w:w="401" w:type="pct"/>
            <w:shd w:val="clear" w:color="auto" w:fill="FFFFFF" w:themeFill="background1"/>
            <w:tcMar>
              <w:top w:w="20" w:type="dxa"/>
              <w:left w:w="20" w:type="dxa"/>
              <w:bottom w:w="72" w:type="dxa"/>
              <w:right w:w="20" w:type="dxa"/>
            </w:tcMar>
            <w:vAlign w:val="center"/>
          </w:tcPr>
          <w:p w14:paraId="197A524C">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04B3DDB8">
            <w:pPr>
              <w:jc w:val="center"/>
              <w:rPr>
                <w:rFonts w:ascii="Times New Roman" w:hAnsi="Times New Roman" w:eastAsia="宋体" w:cs="宋体"/>
                <w:kern w:val="0"/>
                <w:szCs w:val="21"/>
              </w:rPr>
            </w:pPr>
            <w:r>
              <w:rPr>
                <w:rFonts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034D807D">
            <w:pPr>
              <w:jc w:val="center"/>
              <w:rPr>
                <w:rFonts w:ascii="Times New Roman" w:hAnsi="Times New Roman" w:eastAsia="宋体" w:cs="宋体"/>
                <w:kern w:val="0"/>
                <w:szCs w:val="21"/>
              </w:rPr>
            </w:pPr>
            <w:r>
              <w:rPr>
                <w:rFonts w:hint="eastAsia" w:ascii="Times New Roman" w:hAnsi="Times New Roman" w:eastAsia="宋体" w:cs="宋体"/>
                <w:kern w:val="0"/>
                <w:szCs w:val="21"/>
              </w:rPr>
              <w:t>博罗产业转移工业园管理委员会</w:t>
            </w:r>
          </w:p>
        </w:tc>
      </w:tr>
      <w:tr w14:paraId="3C0FF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63" w:hRule="atLeast"/>
          <w:jc w:val="center"/>
        </w:trPr>
        <w:tc>
          <w:tcPr>
            <w:tcW w:w="199" w:type="pct"/>
            <w:shd w:val="clear" w:color="auto" w:fill="FFFFFF" w:themeFill="background1"/>
            <w:tcMar>
              <w:top w:w="72" w:type="dxa"/>
              <w:left w:w="144" w:type="dxa"/>
              <w:bottom w:w="72" w:type="dxa"/>
              <w:right w:w="144" w:type="dxa"/>
            </w:tcMar>
            <w:vAlign w:val="center"/>
          </w:tcPr>
          <w:p w14:paraId="6E41B7E8">
            <w:pPr>
              <w:jc w:val="center"/>
              <w:rPr>
                <w:rFonts w:ascii="Times New Roman" w:hAnsi="Times New Roman" w:eastAsia="宋体" w:cs="宋体"/>
                <w:kern w:val="0"/>
                <w:szCs w:val="21"/>
              </w:rPr>
            </w:pPr>
            <w:r>
              <w:rPr>
                <w:rFonts w:hint="eastAsia" w:ascii="Times New Roman" w:hAnsi="Times New Roman" w:eastAsia="宋体" w:cs="宋体"/>
                <w:kern w:val="0"/>
                <w:szCs w:val="21"/>
              </w:rPr>
              <w:t>2</w:t>
            </w:r>
          </w:p>
        </w:tc>
        <w:tc>
          <w:tcPr>
            <w:tcW w:w="451" w:type="pct"/>
            <w:vMerge w:val="continue"/>
            <w:shd w:val="clear" w:color="auto" w:fill="FFFFFF" w:themeFill="background1"/>
            <w:tcMar>
              <w:top w:w="72" w:type="dxa"/>
              <w:left w:w="144" w:type="dxa"/>
              <w:bottom w:w="72" w:type="dxa"/>
              <w:right w:w="144" w:type="dxa"/>
            </w:tcMar>
            <w:vAlign w:val="center"/>
          </w:tcPr>
          <w:p w14:paraId="6A39270E">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2D9C33F5">
            <w:pPr>
              <w:jc w:val="center"/>
              <w:rPr>
                <w:rFonts w:ascii="Times New Roman" w:hAnsi="Times New Roman" w:eastAsia="宋体" w:cs="宋体"/>
                <w:kern w:val="0"/>
                <w:szCs w:val="21"/>
              </w:rPr>
            </w:pPr>
            <w:r>
              <w:rPr>
                <w:rFonts w:hint="eastAsia" w:ascii="Times New Roman" w:hAnsi="Times New Roman" w:eastAsia="宋体" w:cs="宋体"/>
                <w:kern w:val="0"/>
                <w:szCs w:val="21"/>
              </w:rPr>
              <w:t>广深莞产业协同创新与转化服务平台</w:t>
            </w:r>
          </w:p>
        </w:tc>
        <w:tc>
          <w:tcPr>
            <w:tcW w:w="1905" w:type="pct"/>
            <w:shd w:val="clear" w:color="auto" w:fill="FFFFFF" w:themeFill="background1"/>
            <w:tcMar>
              <w:top w:w="20" w:type="dxa"/>
              <w:left w:w="20" w:type="dxa"/>
              <w:bottom w:w="72" w:type="dxa"/>
              <w:right w:w="20" w:type="dxa"/>
            </w:tcMar>
            <w:vAlign w:val="center"/>
          </w:tcPr>
          <w:p w14:paraId="5C81F8BF">
            <w:pPr>
              <w:rPr>
                <w:rFonts w:ascii="Times New Roman" w:hAnsi="Times New Roman" w:eastAsia="宋体" w:cs="宋体"/>
                <w:kern w:val="0"/>
                <w:szCs w:val="21"/>
              </w:rPr>
            </w:pPr>
            <w:r>
              <w:rPr>
                <w:rFonts w:hint="eastAsia" w:ascii="Times New Roman" w:hAnsi="Times New Roman" w:eastAsia="宋体" w:cs="宋体"/>
                <w:kern w:val="0"/>
                <w:szCs w:val="21"/>
              </w:rPr>
              <w:t>依托企业、协会搭建广深莞科技资源共享平台、创新成果转化服务平台、产业前端孵化器、高新技术产业加速器和国家商标品牌创新创业基地博罗县域副中心分基地等，加速相关科技成果在博罗县域副中心转化，诠释“广深研发、博罗转化”协同格局。</w:t>
            </w:r>
          </w:p>
        </w:tc>
        <w:tc>
          <w:tcPr>
            <w:tcW w:w="401" w:type="pct"/>
            <w:shd w:val="clear" w:color="auto" w:fill="FFFFFF" w:themeFill="background1"/>
            <w:tcMar>
              <w:top w:w="20" w:type="dxa"/>
              <w:left w:w="20" w:type="dxa"/>
              <w:bottom w:w="72" w:type="dxa"/>
              <w:right w:w="20" w:type="dxa"/>
            </w:tcMar>
            <w:vAlign w:val="center"/>
          </w:tcPr>
          <w:p w14:paraId="0130A0D1">
            <w:pPr>
              <w:jc w:val="center"/>
              <w:rPr>
                <w:rFonts w:ascii="Times New Roman" w:hAnsi="Times New Roman" w:eastAsia="宋体" w:cs="宋体"/>
                <w:b/>
                <w:bCs/>
                <w:kern w:val="0"/>
                <w:szCs w:val="21"/>
              </w:rPr>
            </w:pPr>
            <w:r>
              <w:rPr>
                <w:rFonts w:hint="eastAsia" w:ascii="Times New Roman" w:hAnsi="Times New Roman" w:eastAsia="宋体" w:cs="宋体"/>
                <w:b/>
                <w:bCs/>
                <w:kern w:val="0"/>
                <w:szCs w:val="21"/>
              </w:rPr>
              <w:t>——</w:t>
            </w:r>
          </w:p>
        </w:tc>
        <w:tc>
          <w:tcPr>
            <w:tcW w:w="401" w:type="pct"/>
            <w:shd w:val="clear" w:color="auto" w:fill="FFFFFF" w:themeFill="background1"/>
            <w:tcMar>
              <w:top w:w="20" w:type="dxa"/>
              <w:left w:w="20" w:type="dxa"/>
              <w:bottom w:w="72" w:type="dxa"/>
              <w:right w:w="20" w:type="dxa"/>
            </w:tcMar>
            <w:vAlign w:val="center"/>
          </w:tcPr>
          <w:p w14:paraId="419614D8">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35AA6EAC">
            <w:pPr>
              <w:jc w:val="center"/>
              <w:rPr>
                <w:rFonts w:ascii="Times New Roman" w:hAnsi="Times New Roman" w:eastAsia="宋体" w:cs="宋体"/>
                <w:kern w:val="0"/>
                <w:szCs w:val="21"/>
              </w:rPr>
            </w:pPr>
            <w:r>
              <w:rPr>
                <w:rFonts w:hint="eastAsia" w:ascii="Times New Roman" w:hAnsi="Times New Roman" w:eastAsia="宋体" w:cs="宋体"/>
                <w:kern w:val="0"/>
                <w:szCs w:val="21"/>
              </w:rPr>
              <w:t>2025-2035</w:t>
            </w:r>
          </w:p>
        </w:tc>
        <w:tc>
          <w:tcPr>
            <w:tcW w:w="440" w:type="pct"/>
            <w:shd w:val="clear" w:color="auto" w:fill="FFFFFF" w:themeFill="background1"/>
            <w:tcMar>
              <w:top w:w="20" w:type="dxa"/>
              <w:left w:w="20" w:type="dxa"/>
              <w:bottom w:w="72" w:type="dxa"/>
              <w:right w:w="20" w:type="dxa"/>
            </w:tcMar>
            <w:vAlign w:val="center"/>
          </w:tcPr>
          <w:p w14:paraId="6664975F">
            <w:pPr>
              <w:jc w:val="center"/>
              <w:rPr>
                <w:rFonts w:ascii="Times New Roman" w:hAnsi="Times New Roman" w:eastAsia="宋体" w:cs="宋体"/>
                <w:kern w:val="0"/>
                <w:szCs w:val="21"/>
              </w:rPr>
            </w:pPr>
            <w:r>
              <w:rPr>
                <w:rFonts w:hint="eastAsia" w:ascii="Times New Roman" w:hAnsi="Times New Roman" w:eastAsia="宋体" w:cs="宋体"/>
                <w:kern w:val="0"/>
                <w:szCs w:val="21"/>
              </w:rPr>
              <w:t>县科工信局</w:t>
            </w:r>
          </w:p>
        </w:tc>
      </w:tr>
      <w:tr w14:paraId="11AC9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0" w:hRule="atLeast"/>
          <w:jc w:val="center"/>
        </w:trPr>
        <w:tc>
          <w:tcPr>
            <w:tcW w:w="199" w:type="pct"/>
            <w:shd w:val="clear" w:color="auto" w:fill="FFFFFF" w:themeFill="background1"/>
            <w:tcMar>
              <w:top w:w="72" w:type="dxa"/>
              <w:left w:w="144" w:type="dxa"/>
              <w:bottom w:w="72" w:type="dxa"/>
              <w:right w:w="144" w:type="dxa"/>
            </w:tcMar>
            <w:vAlign w:val="center"/>
          </w:tcPr>
          <w:p w14:paraId="4C90A583">
            <w:pPr>
              <w:jc w:val="center"/>
              <w:rPr>
                <w:rFonts w:ascii="Times New Roman" w:hAnsi="Times New Roman" w:eastAsia="宋体" w:cs="宋体"/>
                <w:kern w:val="0"/>
                <w:szCs w:val="21"/>
              </w:rPr>
            </w:pPr>
            <w:r>
              <w:rPr>
                <w:rFonts w:hint="eastAsia" w:ascii="Times New Roman" w:hAnsi="Times New Roman" w:eastAsia="宋体" w:cs="宋体"/>
                <w:kern w:val="0"/>
                <w:szCs w:val="21"/>
              </w:rPr>
              <w:t>3</w:t>
            </w:r>
          </w:p>
        </w:tc>
        <w:tc>
          <w:tcPr>
            <w:tcW w:w="451" w:type="pct"/>
            <w:vMerge w:val="continue"/>
            <w:shd w:val="clear" w:color="auto" w:fill="FFFFFF" w:themeFill="background1"/>
            <w:tcMar>
              <w:top w:w="72" w:type="dxa"/>
              <w:left w:w="144" w:type="dxa"/>
              <w:bottom w:w="72" w:type="dxa"/>
              <w:right w:w="144" w:type="dxa"/>
            </w:tcMar>
            <w:vAlign w:val="center"/>
          </w:tcPr>
          <w:p w14:paraId="642A660F">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499A34A0">
            <w:pPr>
              <w:jc w:val="center"/>
              <w:rPr>
                <w:rFonts w:ascii="Times New Roman" w:hAnsi="Times New Roman" w:eastAsia="宋体" w:cs="宋体"/>
                <w:kern w:val="0"/>
                <w:szCs w:val="21"/>
              </w:rPr>
            </w:pPr>
            <w:r>
              <w:rPr>
                <w:rFonts w:hint="eastAsia" w:ascii="Times New Roman" w:hAnsi="Times New Roman" w:eastAsia="宋体" w:cs="宋体"/>
                <w:kern w:val="0"/>
                <w:szCs w:val="21"/>
              </w:rPr>
              <w:t>博罗县域副中心现代</w:t>
            </w:r>
            <w:r>
              <w:rPr>
                <w:rFonts w:ascii="Times New Roman" w:hAnsi="Times New Roman" w:eastAsia="宋体" w:cs="宋体"/>
                <w:kern w:val="0"/>
                <w:szCs w:val="21"/>
              </w:rPr>
              <w:t>农业众创空间</w:t>
            </w:r>
          </w:p>
        </w:tc>
        <w:tc>
          <w:tcPr>
            <w:tcW w:w="1905" w:type="pct"/>
            <w:shd w:val="clear" w:color="auto" w:fill="FFFFFF" w:themeFill="background1"/>
            <w:tcMar>
              <w:top w:w="20" w:type="dxa"/>
              <w:left w:w="20" w:type="dxa"/>
              <w:bottom w:w="72" w:type="dxa"/>
              <w:right w:w="20" w:type="dxa"/>
            </w:tcMar>
            <w:vAlign w:val="center"/>
          </w:tcPr>
          <w:p w14:paraId="3BE1BC89">
            <w:pPr>
              <w:rPr>
                <w:rFonts w:ascii="Times New Roman" w:hAnsi="Times New Roman" w:eastAsia="宋体" w:cs="宋体"/>
                <w:kern w:val="0"/>
                <w:szCs w:val="21"/>
              </w:rPr>
            </w:pPr>
            <w:r>
              <w:rPr>
                <w:rFonts w:ascii="Times New Roman" w:hAnsi="Times New Roman" w:eastAsia="宋体" w:cs="宋体"/>
                <w:kern w:val="0"/>
                <w:szCs w:val="21"/>
              </w:rPr>
              <w:t>重点构建集</w:t>
            </w:r>
            <w:r>
              <w:rPr>
                <w:rFonts w:hint="eastAsia" w:ascii="Times New Roman" w:hAnsi="Times New Roman" w:eastAsia="宋体" w:cs="宋体"/>
                <w:kern w:val="0"/>
                <w:szCs w:val="21"/>
              </w:rPr>
              <w:t>“</w:t>
            </w:r>
            <w:r>
              <w:rPr>
                <w:rFonts w:ascii="Times New Roman" w:hAnsi="Times New Roman" w:eastAsia="宋体" w:cs="宋体"/>
                <w:kern w:val="0"/>
                <w:szCs w:val="21"/>
              </w:rPr>
              <w:t>生产+加工+科技+品牌+流通+休闲旅游</w:t>
            </w:r>
            <w:r>
              <w:rPr>
                <w:rFonts w:hint="eastAsia" w:ascii="Times New Roman" w:hAnsi="Times New Roman" w:eastAsia="宋体" w:cs="宋体"/>
                <w:kern w:val="0"/>
                <w:szCs w:val="21"/>
              </w:rPr>
              <w:t>”</w:t>
            </w:r>
            <w:r>
              <w:rPr>
                <w:rFonts w:ascii="Times New Roman" w:hAnsi="Times New Roman" w:eastAsia="宋体" w:cs="宋体"/>
                <w:kern w:val="0"/>
                <w:szCs w:val="21"/>
              </w:rPr>
              <w:t>全产业链，</w:t>
            </w:r>
            <w:r>
              <w:rPr>
                <w:rFonts w:hint="eastAsia" w:ascii="Times New Roman" w:hAnsi="Times New Roman" w:eastAsia="宋体" w:cs="宋体"/>
                <w:kern w:val="0"/>
                <w:szCs w:val="21"/>
              </w:rPr>
              <w:t>打造成为环南昆山-罗浮山引领区</w:t>
            </w:r>
            <w:r>
              <w:rPr>
                <w:rFonts w:ascii="Times New Roman" w:hAnsi="Times New Roman" w:eastAsia="宋体" w:cs="宋体"/>
                <w:kern w:val="0"/>
                <w:szCs w:val="21"/>
              </w:rPr>
              <w:t>现代农业交易平台、信息平台、金融平台、科技创新平台和农技推广平台</w:t>
            </w:r>
          </w:p>
        </w:tc>
        <w:tc>
          <w:tcPr>
            <w:tcW w:w="401" w:type="pct"/>
            <w:shd w:val="clear" w:color="auto" w:fill="FFFFFF" w:themeFill="background1"/>
            <w:tcMar>
              <w:top w:w="20" w:type="dxa"/>
              <w:left w:w="20" w:type="dxa"/>
              <w:bottom w:w="72" w:type="dxa"/>
              <w:right w:w="20" w:type="dxa"/>
            </w:tcMar>
            <w:vAlign w:val="center"/>
          </w:tcPr>
          <w:p w14:paraId="5E0AA883">
            <w:pPr>
              <w:jc w:val="center"/>
              <w:rPr>
                <w:rFonts w:ascii="Times New Roman" w:hAnsi="Times New Roman" w:eastAsia="宋体" w:cs="宋体"/>
                <w:b/>
                <w:bCs/>
                <w:kern w:val="0"/>
                <w:szCs w:val="21"/>
              </w:rPr>
            </w:pPr>
            <w:r>
              <w:rPr>
                <w:rFonts w:hint="eastAsia" w:ascii="Times New Roman" w:hAnsi="Times New Roman" w:eastAsia="宋体" w:cs="宋体"/>
                <w:b/>
                <w:bCs/>
                <w:kern w:val="0"/>
                <w:szCs w:val="21"/>
              </w:rPr>
              <w:t>——</w:t>
            </w:r>
          </w:p>
        </w:tc>
        <w:tc>
          <w:tcPr>
            <w:tcW w:w="401" w:type="pct"/>
            <w:shd w:val="clear" w:color="auto" w:fill="FFFFFF" w:themeFill="background1"/>
            <w:tcMar>
              <w:top w:w="20" w:type="dxa"/>
              <w:left w:w="20" w:type="dxa"/>
              <w:bottom w:w="72" w:type="dxa"/>
              <w:right w:w="20" w:type="dxa"/>
            </w:tcMar>
            <w:vAlign w:val="center"/>
          </w:tcPr>
          <w:p w14:paraId="59EF9423">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5712E7CB">
            <w:pPr>
              <w:jc w:val="center"/>
              <w:rPr>
                <w:rFonts w:ascii="Times New Roman" w:hAnsi="Times New Roman" w:eastAsia="宋体" w:cs="宋体"/>
                <w:kern w:val="0"/>
                <w:szCs w:val="21"/>
              </w:rPr>
            </w:pPr>
            <w:r>
              <w:rPr>
                <w:rFonts w:hint="eastAsia" w:ascii="Times New Roman" w:hAnsi="Times New Roman" w:eastAsia="宋体" w:cs="宋体"/>
                <w:kern w:val="0"/>
                <w:szCs w:val="21"/>
              </w:rPr>
              <w:t>2025-2035</w:t>
            </w:r>
          </w:p>
        </w:tc>
        <w:tc>
          <w:tcPr>
            <w:tcW w:w="440" w:type="pct"/>
            <w:shd w:val="clear" w:color="auto" w:fill="FFFFFF" w:themeFill="background1"/>
            <w:tcMar>
              <w:top w:w="20" w:type="dxa"/>
              <w:left w:w="20" w:type="dxa"/>
              <w:bottom w:w="72" w:type="dxa"/>
              <w:right w:w="20" w:type="dxa"/>
            </w:tcMar>
            <w:vAlign w:val="center"/>
          </w:tcPr>
          <w:p w14:paraId="0B5331DD">
            <w:pPr>
              <w:jc w:val="center"/>
              <w:rPr>
                <w:rFonts w:ascii="Times New Roman" w:hAnsi="Times New Roman" w:eastAsia="宋体" w:cs="宋体"/>
                <w:kern w:val="0"/>
                <w:szCs w:val="21"/>
              </w:rPr>
            </w:pPr>
            <w:r>
              <w:rPr>
                <w:rFonts w:hint="eastAsia" w:ascii="Times New Roman" w:hAnsi="Times New Roman" w:eastAsia="宋体" w:cs="宋体"/>
                <w:kern w:val="0"/>
                <w:szCs w:val="21"/>
              </w:rPr>
              <w:t>县农业农村局</w:t>
            </w:r>
          </w:p>
        </w:tc>
      </w:tr>
      <w:tr w14:paraId="26598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6" w:hRule="atLeast"/>
          <w:jc w:val="center"/>
        </w:trPr>
        <w:tc>
          <w:tcPr>
            <w:tcW w:w="199" w:type="pct"/>
            <w:shd w:val="clear" w:color="auto" w:fill="FFFFFF" w:themeFill="background1"/>
            <w:tcMar>
              <w:top w:w="72" w:type="dxa"/>
              <w:left w:w="144" w:type="dxa"/>
              <w:bottom w:w="72" w:type="dxa"/>
              <w:right w:w="144" w:type="dxa"/>
            </w:tcMar>
            <w:vAlign w:val="center"/>
          </w:tcPr>
          <w:p w14:paraId="259B78CA">
            <w:pPr>
              <w:jc w:val="center"/>
              <w:rPr>
                <w:rFonts w:ascii="Times New Roman" w:hAnsi="Times New Roman" w:eastAsia="宋体" w:cs="宋体"/>
                <w:kern w:val="0"/>
                <w:szCs w:val="21"/>
              </w:rPr>
            </w:pPr>
            <w:r>
              <w:rPr>
                <w:rFonts w:hint="eastAsia" w:ascii="Times New Roman" w:hAnsi="Times New Roman" w:eastAsia="宋体" w:cs="宋体"/>
                <w:kern w:val="0"/>
                <w:szCs w:val="21"/>
              </w:rPr>
              <w:t>4</w:t>
            </w:r>
          </w:p>
        </w:tc>
        <w:tc>
          <w:tcPr>
            <w:tcW w:w="451" w:type="pct"/>
            <w:vMerge w:val="continue"/>
            <w:shd w:val="clear" w:color="auto" w:fill="FFFFFF" w:themeFill="background1"/>
            <w:tcMar>
              <w:top w:w="72" w:type="dxa"/>
              <w:left w:w="144" w:type="dxa"/>
              <w:bottom w:w="72" w:type="dxa"/>
              <w:right w:w="144" w:type="dxa"/>
            </w:tcMar>
            <w:vAlign w:val="center"/>
          </w:tcPr>
          <w:p w14:paraId="5875B1FA">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3639A06F">
            <w:pPr>
              <w:jc w:val="center"/>
              <w:rPr>
                <w:rFonts w:ascii="Times New Roman" w:hAnsi="Times New Roman" w:eastAsia="宋体" w:cs="宋体"/>
                <w:kern w:val="0"/>
                <w:szCs w:val="21"/>
              </w:rPr>
            </w:pPr>
            <w:r>
              <w:rPr>
                <w:rFonts w:hint="eastAsia" w:ascii="Times New Roman" w:hAnsi="Times New Roman" w:eastAsia="宋体" w:cs="宋体"/>
                <w:kern w:val="0"/>
                <w:szCs w:val="21"/>
              </w:rPr>
              <w:t>健康医疗大数据产业园</w:t>
            </w:r>
          </w:p>
        </w:tc>
        <w:tc>
          <w:tcPr>
            <w:tcW w:w="1905" w:type="pct"/>
            <w:shd w:val="clear" w:color="auto" w:fill="FFFFFF" w:themeFill="background1"/>
            <w:tcMar>
              <w:top w:w="20" w:type="dxa"/>
              <w:left w:w="20" w:type="dxa"/>
              <w:bottom w:w="72" w:type="dxa"/>
              <w:right w:w="20" w:type="dxa"/>
            </w:tcMar>
            <w:vAlign w:val="center"/>
          </w:tcPr>
          <w:p w14:paraId="5BCC8948">
            <w:pPr>
              <w:rPr>
                <w:rFonts w:ascii="Times New Roman" w:hAnsi="Times New Roman" w:eastAsia="宋体" w:cs="宋体"/>
                <w:kern w:val="0"/>
                <w:szCs w:val="21"/>
              </w:rPr>
            </w:pPr>
            <w:r>
              <w:rPr>
                <w:rFonts w:hint="eastAsia" w:ascii="Times New Roman" w:hAnsi="Times New Roman" w:eastAsia="宋体" w:cs="宋体"/>
                <w:kern w:val="0"/>
                <w:szCs w:val="21"/>
              </w:rPr>
              <w:t>运动健康管理中心，承接粤港澳大湾区和环南昆山</w:t>
            </w:r>
            <w:r>
              <w:rPr>
                <w:rFonts w:ascii="Times New Roman" w:hAnsi="Times New Roman" w:eastAsia="宋体" w:cs="宋体"/>
                <w:kern w:val="0"/>
                <w:szCs w:val="21"/>
              </w:rPr>
              <w:t>-</w:t>
            </w:r>
            <w:r>
              <w:rPr>
                <w:rFonts w:hint="eastAsia" w:ascii="Times New Roman" w:hAnsi="Times New Roman" w:eastAsia="宋体" w:cs="宋体"/>
                <w:kern w:val="0"/>
                <w:szCs w:val="21"/>
              </w:rPr>
              <w:t>罗浮山引领区医疗健康大数据的存储、计算、应用等服务。</w:t>
            </w:r>
          </w:p>
        </w:tc>
        <w:tc>
          <w:tcPr>
            <w:tcW w:w="401" w:type="pct"/>
            <w:shd w:val="clear" w:color="auto" w:fill="FFFFFF" w:themeFill="background1"/>
            <w:tcMar>
              <w:top w:w="20" w:type="dxa"/>
              <w:left w:w="20" w:type="dxa"/>
              <w:bottom w:w="72" w:type="dxa"/>
              <w:right w:w="20" w:type="dxa"/>
            </w:tcMar>
            <w:vAlign w:val="center"/>
          </w:tcPr>
          <w:p w14:paraId="50BB6985">
            <w:pPr>
              <w:jc w:val="center"/>
              <w:rPr>
                <w:rFonts w:ascii="Times New Roman" w:hAnsi="Times New Roman" w:eastAsia="宋体" w:cs="宋体"/>
                <w:kern w:val="0"/>
                <w:szCs w:val="21"/>
              </w:rPr>
            </w:pPr>
            <w:r>
              <w:rPr>
                <w:rFonts w:hint="eastAsia" w:ascii="Times New Roman" w:hAnsi="Times New Roman" w:eastAsia="宋体" w:cs="宋体"/>
                <w:kern w:val="0"/>
                <w:szCs w:val="21"/>
              </w:rPr>
              <w:t>——</w:t>
            </w:r>
          </w:p>
        </w:tc>
        <w:tc>
          <w:tcPr>
            <w:tcW w:w="401" w:type="pct"/>
            <w:shd w:val="clear" w:color="auto" w:fill="FFFFFF" w:themeFill="background1"/>
            <w:tcMar>
              <w:top w:w="20" w:type="dxa"/>
              <w:left w:w="20" w:type="dxa"/>
              <w:bottom w:w="72" w:type="dxa"/>
              <w:right w:w="20" w:type="dxa"/>
            </w:tcMar>
            <w:vAlign w:val="center"/>
          </w:tcPr>
          <w:p w14:paraId="40CBEF67">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6AAC2552">
            <w:pPr>
              <w:jc w:val="center"/>
              <w:rPr>
                <w:rFonts w:ascii="Times New Roman" w:hAnsi="Times New Roman" w:eastAsia="宋体" w:cs="宋体"/>
                <w:kern w:val="0"/>
                <w:szCs w:val="21"/>
              </w:rPr>
            </w:pPr>
            <w:r>
              <w:rPr>
                <w:rFonts w:ascii="Times New Roman" w:hAnsi="Times New Roman" w:eastAsia="宋体" w:cs="宋体"/>
                <w:kern w:val="0"/>
                <w:szCs w:val="21"/>
              </w:rPr>
              <w:t>2025-2035</w:t>
            </w:r>
          </w:p>
        </w:tc>
        <w:tc>
          <w:tcPr>
            <w:tcW w:w="440" w:type="pct"/>
            <w:shd w:val="clear" w:color="auto" w:fill="FFFFFF" w:themeFill="background1"/>
            <w:tcMar>
              <w:top w:w="20" w:type="dxa"/>
              <w:left w:w="20" w:type="dxa"/>
              <w:bottom w:w="72" w:type="dxa"/>
              <w:right w:w="20" w:type="dxa"/>
            </w:tcMar>
            <w:vAlign w:val="center"/>
          </w:tcPr>
          <w:p w14:paraId="6920B1FF">
            <w:pPr>
              <w:jc w:val="center"/>
              <w:rPr>
                <w:rFonts w:ascii="Times New Roman" w:hAnsi="Times New Roman" w:eastAsia="宋体" w:cs="宋体"/>
                <w:kern w:val="0"/>
                <w:szCs w:val="21"/>
              </w:rPr>
            </w:pPr>
            <w:r>
              <w:rPr>
                <w:rFonts w:hint="eastAsia" w:ascii="Times New Roman" w:hAnsi="Times New Roman" w:eastAsia="宋体" w:cs="宋体"/>
                <w:kern w:val="0"/>
                <w:szCs w:val="21"/>
              </w:rPr>
              <w:t>县卫健局</w:t>
            </w:r>
          </w:p>
        </w:tc>
      </w:tr>
      <w:tr w14:paraId="0DB3A1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20" w:hRule="atLeast"/>
          <w:jc w:val="center"/>
        </w:trPr>
        <w:tc>
          <w:tcPr>
            <w:tcW w:w="199" w:type="pct"/>
            <w:shd w:val="clear" w:color="auto" w:fill="FFFFFF" w:themeFill="background1"/>
            <w:tcMar>
              <w:top w:w="72" w:type="dxa"/>
              <w:left w:w="144" w:type="dxa"/>
              <w:bottom w:w="72" w:type="dxa"/>
              <w:right w:w="144" w:type="dxa"/>
            </w:tcMar>
            <w:vAlign w:val="center"/>
          </w:tcPr>
          <w:p w14:paraId="5315416C">
            <w:pPr>
              <w:jc w:val="center"/>
              <w:rPr>
                <w:rFonts w:ascii="Times New Roman" w:hAnsi="Times New Roman" w:eastAsia="宋体" w:cs="宋体"/>
                <w:kern w:val="0"/>
                <w:szCs w:val="21"/>
              </w:rPr>
            </w:pPr>
            <w:r>
              <w:rPr>
                <w:rFonts w:hint="eastAsia" w:ascii="Times New Roman" w:hAnsi="Times New Roman" w:eastAsia="宋体" w:cs="宋体"/>
                <w:kern w:val="0"/>
                <w:szCs w:val="21"/>
              </w:rPr>
              <w:t>5</w:t>
            </w:r>
          </w:p>
        </w:tc>
        <w:tc>
          <w:tcPr>
            <w:tcW w:w="451" w:type="pct"/>
            <w:vMerge w:val="continue"/>
            <w:shd w:val="clear" w:color="auto" w:fill="FFFFFF" w:themeFill="background1"/>
            <w:tcMar>
              <w:top w:w="72" w:type="dxa"/>
              <w:left w:w="144" w:type="dxa"/>
              <w:bottom w:w="72" w:type="dxa"/>
              <w:right w:w="144" w:type="dxa"/>
            </w:tcMar>
            <w:vAlign w:val="center"/>
          </w:tcPr>
          <w:p w14:paraId="717BBA3A">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32A435C9">
            <w:pPr>
              <w:jc w:val="center"/>
              <w:rPr>
                <w:rFonts w:ascii="Times New Roman" w:hAnsi="Times New Roman" w:eastAsia="宋体" w:cs="宋体"/>
                <w:kern w:val="0"/>
                <w:szCs w:val="21"/>
              </w:rPr>
            </w:pPr>
            <w:r>
              <w:rPr>
                <w:rFonts w:hint="eastAsia" w:ascii="Times New Roman" w:hAnsi="Times New Roman" w:eastAsia="宋体" w:cs="宋体"/>
                <w:kern w:val="0"/>
                <w:szCs w:val="21"/>
              </w:rPr>
              <w:t>中俄贸易产业园石湾分院</w:t>
            </w:r>
          </w:p>
        </w:tc>
        <w:tc>
          <w:tcPr>
            <w:tcW w:w="1905" w:type="pct"/>
            <w:shd w:val="clear" w:color="auto" w:fill="FFFFFF" w:themeFill="background1"/>
            <w:tcMar>
              <w:top w:w="20" w:type="dxa"/>
              <w:left w:w="20" w:type="dxa"/>
              <w:bottom w:w="72" w:type="dxa"/>
              <w:right w:w="20" w:type="dxa"/>
            </w:tcMar>
            <w:vAlign w:val="center"/>
          </w:tcPr>
          <w:p w14:paraId="60B03D74">
            <w:pPr>
              <w:rPr>
                <w:rFonts w:ascii="Times New Roman" w:hAnsi="Times New Roman" w:eastAsia="宋体" w:cs="宋体"/>
                <w:kern w:val="0"/>
                <w:szCs w:val="21"/>
              </w:rPr>
            </w:pPr>
            <w:r>
              <w:rPr>
                <w:rFonts w:hint="eastAsia" w:ascii="Times New Roman" w:hAnsi="Times New Roman" w:eastAsia="宋体" w:cs="宋体"/>
                <w:kern w:val="0"/>
                <w:szCs w:val="21"/>
              </w:rPr>
              <w:t>预留用地约</w:t>
            </w:r>
            <w:r>
              <w:rPr>
                <w:rFonts w:ascii="Times New Roman" w:hAnsi="Times New Roman" w:eastAsia="宋体" w:cs="宋体"/>
                <w:kern w:val="0"/>
                <w:szCs w:val="21"/>
              </w:rPr>
              <w:t>250</w:t>
            </w:r>
            <w:r>
              <w:rPr>
                <w:rFonts w:hint="eastAsia" w:ascii="Times New Roman" w:hAnsi="Times New Roman" w:eastAsia="宋体" w:cs="宋体"/>
                <w:kern w:val="0"/>
                <w:szCs w:val="21"/>
              </w:rPr>
              <w:t>公顷，集进出口拼（拆）箱、保税物流、库存管理、金融物流、产品展示、货物仓储等为一体。</w:t>
            </w:r>
          </w:p>
        </w:tc>
        <w:tc>
          <w:tcPr>
            <w:tcW w:w="401" w:type="pct"/>
            <w:shd w:val="clear" w:color="auto" w:fill="FFFFFF" w:themeFill="background1"/>
            <w:tcMar>
              <w:top w:w="20" w:type="dxa"/>
              <w:left w:w="20" w:type="dxa"/>
              <w:bottom w:w="72" w:type="dxa"/>
              <w:right w:w="20" w:type="dxa"/>
            </w:tcMar>
            <w:vAlign w:val="center"/>
          </w:tcPr>
          <w:p w14:paraId="64327862">
            <w:pPr>
              <w:jc w:val="center"/>
              <w:rPr>
                <w:rFonts w:ascii="Times New Roman" w:hAnsi="Times New Roman" w:eastAsia="宋体" w:cs="宋体"/>
                <w:kern w:val="0"/>
                <w:szCs w:val="21"/>
              </w:rPr>
            </w:pPr>
            <w:r>
              <w:rPr>
                <w:rFonts w:hint="eastAsia" w:ascii="Times New Roman" w:hAnsi="Times New Roman" w:eastAsia="宋体" w:cs="宋体"/>
                <w:kern w:val="0"/>
                <w:szCs w:val="21"/>
              </w:rPr>
              <w:t>0.45</w:t>
            </w:r>
          </w:p>
        </w:tc>
        <w:tc>
          <w:tcPr>
            <w:tcW w:w="401" w:type="pct"/>
            <w:shd w:val="clear" w:color="auto" w:fill="FFFFFF" w:themeFill="background1"/>
            <w:tcMar>
              <w:top w:w="20" w:type="dxa"/>
              <w:left w:w="20" w:type="dxa"/>
              <w:bottom w:w="72" w:type="dxa"/>
              <w:right w:w="20" w:type="dxa"/>
            </w:tcMar>
            <w:vAlign w:val="center"/>
          </w:tcPr>
          <w:p w14:paraId="7F41415B">
            <w:pPr>
              <w:jc w:val="center"/>
              <w:rPr>
                <w:rFonts w:ascii="Times New Roman" w:hAnsi="Times New Roman" w:eastAsia="宋体" w:cs="宋体"/>
                <w:b/>
                <w:bCs/>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057546A2">
            <w:pPr>
              <w:jc w:val="center"/>
              <w:rPr>
                <w:rFonts w:ascii="Times New Roman" w:hAnsi="Times New Roman" w:eastAsia="宋体" w:cs="宋体"/>
                <w:kern w:val="0"/>
                <w:szCs w:val="21"/>
              </w:rPr>
            </w:pPr>
            <w:r>
              <w:rPr>
                <w:rFonts w:hint="eastAsia" w:ascii="Times New Roman" w:hAnsi="Times New Roman" w:eastAsia="宋体" w:cs="宋体"/>
                <w:kern w:val="0"/>
                <w:szCs w:val="21"/>
              </w:rPr>
              <w:t>2024-2027</w:t>
            </w:r>
          </w:p>
        </w:tc>
        <w:tc>
          <w:tcPr>
            <w:tcW w:w="440" w:type="pct"/>
            <w:shd w:val="clear" w:color="auto" w:fill="FFFFFF" w:themeFill="background1"/>
            <w:tcMar>
              <w:top w:w="20" w:type="dxa"/>
              <w:left w:w="20" w:type="dxa"/>
              <w:bottom w:w="72" w:type="dxa"/>
              <w:right w:w="20" w:type="dxa"/>
            </w:tcMar>
            <w:vAlign w:val="center"/>
          </w:tcPr>
          <w:p w14:paraId="7F237104">
            <w:pPr>
              <w:jc w:val="center"/>
              <w:rPr>
                <w:rFonts w:ascii="Times New Roman" w:hAnsi="Times New Roman" w:eastAsia="宋体" w:cs="宋体"/>
                <w:kern w:val="0"/>
                <w:szCs w:val="21"/>
              </w:rPr>
            </w:pPr>
            <w:r>
              <w:rPr>
                <w:rFonts w:hint="eastAsia" w:ascii="Times New Roman" w:hAnsi="Times New Roman" w:eastAsia="宋体" w:cs="宋体"/>
                <w:kern w:val="0"/>
                <w:szCs w:val="21"/>
              </w:rPr>
              <w:t>县商务局</w:t>
            </w:r>
          </w:p>
        </w:tc>
      </w:tr>
      <w:tr w14:paraId="100EF1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3F3B764B">
            <w:pPr>
              <w:jc w:val="center"/>
              <w:rPr>
                <w:rFonts w:ascii="Times New Roman" w:hAnsi="Times New Roman" w:eastAsia="宋体" w:cs="宋体"/>
                <w:kern w:val="0"/>
                <w:szCs w:val="21"/>
              </w:rPr>
            </w:pPr>
            <w:r>
              <w:rPr>
                <w:rFonts w:hint="eastAsia" w:ascii="Times New Roman" w:hAnsi="Times New Roman" w:eastAsia="宋体" w:cs="宋体"/>
                <w:kern w:val="0"/>
                <w:szCs w:val="21"/>
              </w:rPr>
              <w:t>6</w:t>
            </w:r>
          </w:p>
        </w:tc>
        <w:tc>
          <w:tcPr>
            <w:tcW w:w="451" w:type="pct"/>
            <w:vMerge w:val="continue"/>
            <w:shd w:val="clear" w:color="auto" w:fill="FFFFFF" w:themeFill="background1"/>
            <w:tcMar>
              <w:top w:w="72" w:type="dxa"/>
              <w:left w:w="144" w:type="dxa"/>
              <w:bottom w:w="72" w:type="dxa"/>
              <w:right w:w="144" w:type="dxa"/>
            </w:tcMar>
            <w:vAlign w:val="center"/>
          </w:tcPr>
          <w:p w14:paraId="6735FC80">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1D24B1DD">
            <w:pPr>
              <w:jc w:val="center"/>
              <w:rPr>
                <w:rFonts w:ascii="Times New Roman" w:hAnsi="Times New Roman" w:eastAsia="宋体" w:cs="宋体"/>
                <w:kern w:val="0"/>
                <w:szCs w:val="21"/>
              </w:rPr>
            </w:pPr>
            <w:r>
              <w:rPr>
                <w:rFonts w:hint="eastAsia" w:ascii="Times New Roman" w:hAnsi="Times New Roman" w:eastAsia="宋体" w:cs="宋体"/>
                <w:kern w:val="0"/>
                <w:szCs w:val="21"/>
              </w:rPr>
              <w:t>电竞产业协同平台</w:t>
            </w:r>
          </w:p>
        </w:tc>
        <w:tc>
          <w:tcPr>
            <w:tcW w:w="1905" w:type="pct"/>
            <w:shd w:val="clear" w:color="auto" w:fill="FFFFFF" w:themeFill="background1"/>
            <w:tcMar>
              <w:top w:w="20" w:type="dxa"/>
              <w:left w:w="20" w:type="dxa"/>
              <w:bottom w:w="72" w:type="dxa"/>
              <w:right w:w="20" w:type="dxa"/>
            </w:tcMar>
            <w:vAlign w:val="center"/>
          </w:tcPr>
          <w:p w14:paraId="23C82C53">
            <w:pPr>
              <w:rPr>
                <w:rFonts w:ascii="Times New Roman" w:hAnsi="Times New Roman" w:eastAsia="宋体" w:cs="宋体"/>
                <w:kern w:val="0"/>
                <w:szCs w:val="21"/>
              </w:rPr>
            </w:pPr>
            <w:r>
              <w:rPr>
                <w:rFonts w:hint="eastAsia" w:ascii="Times New Roman" w:hAnsi="Times New Roman" w:eastAsia="宋体" w:cs="宋体"/>
                <w:kern w:val="0"/>
                <w:szCs w:val="21"/>
              </w:rPr>
              <w:t>与广深莞协同，联合游戏运营商、赛事执行方，建设高质量电竞场馆、电子竞技平台和电竞直播平台，提供高规格电竞赛事及配套服务，培育电子竞技产业生态。</w:t>
            </w:r>
          </w:p>
        </w:tc>
        <w:tc>
          <w:tcPr>
            <w:tcW w:w="401" w:type="pct"/>
            <w:shd w:val="clear" w:color="auto" w:fill="FFFFFF" w:themeFill="background1"/>
            <w:tcMar>
              <w:top w:w="20" w:type="dxa"/>
              <w:left w:w="20" w:type="dxa"/>
              <w:bottom w:w="72" w:type="dxa"/>
              <w:right w:w="20" w:type="dxa"/>
            </w:tcMar>
            <w:vAlign w:val="center"/>
          </w:tcPr>
          <w:p w14:paraId="5159391A">
            <w:pPr>
              <w:jc w:val="center"/>
              <w:rPr>
                <w:rFonts w:ascii="Times New Roman" w:hAnsi="Times New Roman" w:eastAsia="宋体" w:cs="宋体"/>
                <w:kern w:val="0"/>
                <w:szCs w:val="21"/>
              </w:rPr>
            </w:pPr>
            <w:r>
              <w:rPr>
                <w:rFonts w:hint="eastAsia" w:ascii="Times New Roman" w:hAnsi="Times New Roman" w:eastAsia="宋体" w:cs="宋体"/>
                <w:kern w:val="0"/>
                <w:szCs w:val="21"/>
              </w:rPr>
              <w:t>——</w:t>
            </w:r>
          </w:p>
        </w:tc>
        <w:tc>
          <w:tcPr>
            <w:tcW w:w="401" w:type="pct"/>
            <w:shd w:val="clear" w:color="auto" w:fill="FFFFFF" w:themeFill="background1"/>
            <w:tcMar>
              <w:top w:w="20" w:type="dxa"/>
              <w:left w:w="20" w:type="dxa"/>
              <w:bottom w:w="72" w:type="dxa"/>
              <w:right w:w="20" w:type="dxa"/>
            </w:tcMar>
            <w:vAlign w:val="center"/>
          </w:tcPr>
          <w:p w14:paraId="66F08930">
            <w:pPr>
              <w:jc w:val="center"/>
              <w:rPr>
                <w:rFonts w:ascii="Times New Roman" w:hAnsi="Times New Roman" w:eastAsia="宋体" w:cs="宋体"/>
                <w:b/>
                <w:bCs/>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34CBE21C">
            <w:pPr>
              <w:jc w:val="center"/>
              <w:rPr>
                <w:rFonts w:ascii="Times New Roman" w:hAnsi="Times New Roman" w:eastAsia="宋体" w:cs="宋体"/>
                <w:kern w:val="0"/>
                <w:szCs w:val="21"/>
              </w:rPr>
            </w:pPr>
            <w:r>
              <w:rPr>
                <w:rFonts w:hint="eastAsia" w:ascii="Times New Roman" w:hAnsi="Times New Roman" w:eastAsia="宋体" w:cs="宋体"/>
                <w:kern w:val="0"/>
                <w:szCs w:val="21"/>
              </w:rPr>
              <w:t>2025-2035</w:t>
            </w:r>
          </w:p>
        </w:tc>
        <w:tc>
          <w:tcPr>
            <w:tcW w:w="440" w:type="pct"/>
            <w:shd w:val="clear" w:color="auto" w:fill="FFFFFF" w:themeFill="background1"/>
            <w:tcMar>
              <w:top w:w="20" w:type="dxa"/>
              <w:left w:w="20" w:type="dxa"/>
              <w:bottom w:w="72" w:type="dxa"/>
              <w:right w:w="20" w:type="dxa"/>
            </w:tcMar>
            <w:vAlign w:val="center"/>
          </w:tcPr>
          <w:p w14:paraId="0CAE26B0">
            <w:pPr>
              <w:jc w:val="center"/>
              <w:rPr>
                <w:rFonts w:ascii="Times New Roman" w:hAnsi="Times New Roman" w:eastAsia="宋体" w:cs="宋体"/>
                <w:kern w:val="0"/>
                <w:szCs w:val="21"/>
              </w:rPr>
            </w:pPr>
            <w:r>
              <w:rPr>
                <w:rFonts w:hint="eastAsia" w:ascii="Times New Roman" w:hAnsi="Times New Roman" w:eastAsia="宋体" w:cs="宋体"/>
                <w:kern w:val="0"/>
                <w:szCs w:val="21"/>
              </w:rPr>
              <w:t>县科工信局</w:t>
            </w:r>
          </w:p>
        </w:tc>
      </w:tr>
      <w:tr w14:paraId="75BBD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2857553F">
            <w:pPr>
              <w:jc w:val="center"/>
              <w:rPr>
                <w:rFonts w:ascii="Times New Roman" w:hAnsi="Times New Roman" w:eastAsia="宋体" w:cs="宋体"/>
                <w:kern w:val="0"/>
                <w:szCs w:val="21"/>
              </w:rPr>
            </w:pPr>
            <w:r>
              <w:rPr>
                <w:rFonts w:hint="eastAsia" w:ascii="Times New Roman" w:hAnsi="Times New Roman" w:eastAsia="宋体" w:cs="宋体"/>
                <w:kern w:val="0"/>
                <w:szCs w:val="21"/>
              </w:rPr>
              <w:t>7</w:t>
            </w:r>
          </w:p>
        </w:tc>
        <w:tc>
          <w:tcPr>
            <w:tcW w:w="451" w:type="pct"/>
            <w:vMerge w:val="continue"/>
            <w:shd w:val="clear" w:color="auto" w:fill="FFFFFF" w:themeFill="background1"/>
            <w:tcMar>
              <w:top w:w="72" w:type="dxa"/>
              <w:left w:w="144" w:type="dxa"/>
              <w:bottom w:w="72" w:type="dxa"/>
              <w:right w:w="144" w:type="dxa"/>
            </w:tcMar>
            <w:vAlign w:val="center"/>
          </w:tcPr>
          <w:p w14:paraId="396E237C">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51541E78">
            <w:pPr>
              <w:jc w:val="center"/>
              <w:rPr>
                <w:rFonts w:ascii="Times New Roman" w:hAnsi="Times New Roman" w:eastAsia="宋体" w:cs="宋体"/>
                <w:kern w:val="0"/>
                <w:szCs w:val="21"/>
              </w:rPr>
            </w:pPr>
            <w:r>
              <w:rPr>
                <w:rFonts w:hint="eastAsia" w:ascii="Times New Roman" w:hAnsi="Times New Roman" w:eastAsia="宋体" w:cs="宋体"/>
                <w:kern w:val="0"/>
                <w:szCs w:val="21"/>
              </w:rPr>
              <w:t>智能网联汽车产业协同平台</w:t>
            </w:r>
          </w:p>
        </w:tc>
        <w:tc>
          <w:tcPr>
            <w:tcW w:w="1905" w:type="pct"/>
            <w:shd w:val="clear" w:color="auto" w:fill="FFFFFF" w:themeFill="background1"/>
            <w:tcMar>
              <w:top w:w="20" w:type="dxa"/>
              <w:left w:w="20" w:type="dxa"/>
              <w:bottom w:w="72" w:type="dxa"/>
              <w:right w:w="20" w:type="dxa"/>
            </w:tcMar>
            <w:vAlign w:val="center"/>
          </w:tcPr>
          <w:p w14:paraId="2321B3F1">
            <w:pPr>
              <w:rPr>
                <w:rFonts w:ascii="Times New Roman" w:hAnsi="Times New Roman" w:eastAsia="宋体" w:cs="宋体"/>
                <w:kern w:val="0"/>
                <w:szCs w:val="21"/>
              </w:rPr>
            </w:pPr>
            <w:r>
              <w:rPr>
                <w:rFonts w:hint="eastAsia" w:ascii="Times New Roman" w:hAnsi="Times New Roman" w:eastAsia="宋体" w:cs="宋体"/>
                <w:kern w:val="0"/>
                <w:szCs w:val="21"/>
              </w:rPr>
              <w:t>加强与广深智能网联汽车产业集群的协同发展，建设智能网联汽车数据智能中心，打造智能网联汽车测试环境。</w:t>
            </w:r>
          </w:p>
        </w:tc>
        <w:tc>
          <w:tcPr>
            <w:tcW w:w="401" w:type="pct"/>
            <w:shd w:val="clear" w:color="auto" w:fill="FFFFFF" w:themeFill="background1"/>
            <w:tcMar>
              <w:top w:w="20" w:type="dxa"/>
              <w:left w:w="20" w:type="dxa"/>
              <w:bottom w:w="72" w:type="dxa"/>
              <w:right w:w="20" w:type="dxa"/>
            </w:tcMar>
            <w:vAlign w:val="center"/>
          </w:tcPr>
          <w:p w14:paraId="5F00EFED">
            <w:pPr>
              <w:jc w:val="center"/>
              <w:rPr>
                <w:rFonts w:ascii="Times New Roman" w:hAnsi="Times New Roman" w:eastAsia="宋体" w:cs="宋体"/>
                <w:kern w:val="0"/>
                <w:szCs w:val="21"/>
              </w:rPr>
            </w:pPr>
            <w:r>
              <w:rPr>
                <w:rFonts w:hint="eastAsia" w:ascii="Times New Roman" w:hAnsi="Times New Roman" w:eastAsia="宋体" w:cs="宋体"/>
                <w:kern w:val="0"/>
                <w:szCs w:val="21"/>
              </w:rPr>
              <w:t>——</w:t>
            </w:r>
          </w:p>
        </w:tc>
        <w:tc>
          <w:tcPr>
            <w:tcW w:w="401" w:type="pct"/>
            <w:shd w:val="clear" w:color="auto" w:fill="FFFFFF" w:themeFill="background1"/>
            <w:tcMar>
              <w:top w:w="20" w:type="dxa"/>
              <w:left w:w="20" w:type="dxa"/>
              <w:bottom w:w="72" w:type="dxa"/>
              <w:right w:w="20" w:type="dxa"/>
            </w:tcMar>
            <w:vAlign w:val="center"/>
          </w:tcPr>
          <w:p w14:paraId="42014CF6">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46F2487E">
            <w:pPr>
              <w:jc w:val="center"/>
              <w:rPr>
                <w:rFonts w:ascii="Times New Roman" w:hAnsi="Times New Roman" w:eastAsia="宋体" w:cs="宋体"/>
                <w:kern w:val="0"/>
                <w:szCs w:val="21"/>
              </w:rPr>
            </w:pPr>
            <w:r>
              <w:rPr>
                <w:rFonts w:hint="eastAsia" w:ascii="Times New Roman" w:hAnsi="Times New Roman" w:eastAsia="宋体" w:cs="宋体"/>
                <w:kern w:val="0"/>
                <w:szCs w:val="21"/>
              </w:rPr>
              <w:t>2025-2035</w:t>
            </w:r>
          </w:p>
        </w:tc>
        <w:tc>
          <w:tcPr>
            <w:tcW w:w="440" w:type="pct"/>
            <w:shd w:val="clear" w:color="auto" w:fill="FFFFFF" w:themeFill="background1"/>
            <w:tcMar>
              <w:top w:w="20" w:type="dxa"/>
              <w:left w:w="20" w:type="dxa"/>
              <w:bottom w:w="72" w:type="dxa"/>
              <w:right w:w="20" w:type="dxa"/>
            </w:tcMar>
            <w:vAlign w:val="center"/>
          </w:tcPr>
          <w:p w14:paraId="57D3DC6B">
            <w:pPr>
              <w:jc w:val="center"/>
              <w:rPr>
                <w:rFonts w:ascii="Times New Roman" w:hAnsi="Times New Roman" w:eastAsia="宋体" w:cs="宋体"/>
                <w:kern w:val="0"/>
                <w:szCs w:val="21"/>
              </w:rPr>
            </w:pPr>
            <w:r>
              <w:rPr>
                <w:rFonts w:hint="eastAsia" w:ascii="Times New Roman" w:hAnsi="Times New Roman" w:eastAsia="宋体" w:cs="宋体"/>
                <w:kern w:val="0"/>
                <w:szCs w:val="21"/>
              </w:rPr>
              <w:t>县科工信局</w:t>
            </w:r>
          </w:p>
        </w:tc>
      </w:tr>
      <w:tr w14:paraId="7B9FF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42F876A4">
            <w:pPr>
              <w:jc w:val="center"/>
              <w:rPr>
                <w:rFonts w:ascii="Times New Roman" w:hAnsi="Times New Roman" w:eastAsia="宋体" w:cs="宋体"/>
                <w:kern w:val="0"/>
                <w:szCs w:val="21"/>
              </w:rPr>
            </w:pPr>
            <w:r>
              <w:rPr>
                <w:rFonts w:hint="eastAsia" w:ascii="Times New Roman" w:hAnsi="Times New Roman" w:eastAsia="宋体" w:cs="宋体"/>
                <w:kern w:val="0"/>
                <w:szCs w:val="21"/>
              </w:rPr>
              <w:t>8</w:t>
            </w:r>
          </w:p>
        </w:tc>
        <w:tc>
          <w:tcPr>
            <w:tcW w:w="451" w:type="pct"/>
            <w:vMerge w:val="continue"/>
            <w:shd w:val="clear" w:color="auto" w:fill="FFFFFF" w:themeFill="background1"/>
            <w:tcMar>
              <w:top w:w="72" w:type="dxa"/>
              <w:left w:w="144" w:type="dxa"/>
              <w:bottom w:w="72" w:type="dxa"/>
              <w:right w:w="144" w:type="dxa"/>
            </w:tcMar>
            <w:vAlign w:val="center"/>
          </w:tcPr>
          <w:p w14:paraId="50EC4246">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12B76953">
            <w:pPr>
              <w:jc w:val="center"/>
              <w:rPr>
                <w:rFonts w:ascii="Times New Roman" w:hAnsi="Times New Roman" w:eastAsia="宋体" w:cs="宋体"/>
                <w:kern w:val="0"/>
                <w:szCs w:val="21"/>
              </w:rPr>
            </w:pPr>
            <w:r>
              <w:rPr>
                <w:rFonts w:hint="eastAsia" w:ascii="Times New Roman" w:hAnsi="Times New Roman" w:eastAsia="宋体" w:cs="宋体"/>
                <w:kern w:val="0"/>
                <w:szCs w:val="21"/>
              </w:rPr>
              <w:t>新型智能算力供应中心</w:t>
            </w:r>
          </w:p>
        </w:tc>
        <w:tc>
          <w:tcPr>
            <w:tcW w:w="1905" w:type="pct"/>
            <w:shd w:val="clear" w:color="auto" w:fill="FFFFFF" w:themeFill="background1"/>
            <w:tcMar>
              <w:top w:w="20" w:type="dxa"/>
              <w:left w:w="20" w:type="dxa"/>
              <w:bottom w:w="72" w:type="dxa"/>
              <w:right w:w="20" w:type="dxa"/>
            </w:tcMar>
            <w:vAlign w:val="center"/>
          </w:tcPr>
          <w:p w14:paraId="21504C3A">
            <w:pPr>
              <w:rPr>
                <w:rFonts w:ascii="Times New Roman" w:hAnsi="Times New Roman" w:eastAsia="宋体" w:cs="宋体"/>
                <w:kern w:val="0"/>
                <w:szCs w:val="21"/>
              </w:rPr>
            </w:pPr>
            <w:r>
              <w:rPr>
                <w:rFonts w:hint="eastAsia" w:ascii="Times New Roman" w:hAnsi="Times New Roman" w:eastAsia="宋体" w:cs="宋体"/>
                <w:kern w:val="0"/>
                <w:szCs w:val="21"/>
              </w:rPr>
              <w:t>构筑云设施、云服务、云应用产业链，提升算力供应能力。积极引入科研仿真计算平台，为广深两地科研院所、高校、企业提供模拟实验服务。</w:t>
            </w:r>
          </w:p>
        </w:tc>
        <w:tc>
          <w:tcPr>
            <w:tcW w:w="401" w:type="pct"/>
            <w:shd w:val="clear" w:color="auto" w:fill="FFFFFF" w:themeFill="background1"/>
            <w:tcMar>
              <w:top w:w="20" w:type="dxa"/>
              <w:left w:w="20" w:type="dxa"/>
              <w:bottom w:w="72" w:type="dxa"/>
              <w:right w:w="20" w:type="dxa"/>
            </w:tcMar>
            <w:vAlign w:val="center"/>
          </w:tcPr>
          <w:p w14:paraId="208913F4">
            <w:pPr>
              <w:jc w:val="center"/>
              <w:rPr>
                <w:rFonts w:ascii="Times New Roman" w:hAnsi="Times New Roman" w:eastAsia="宋体" w:cs="宋体"/>
                <w:kern w:val="0"/>
                <w:szCs w:val="21"/>
              </w:rPr>
            </w:pPr>
            <w:r>
              <w:rPr>
                <w:rFonts w:hint="eastAsia" w:ascii="Times New Roman" w:hAnsi="Times New Roman" w:eastAsia="宋体" w:cs="宋体"/>
                <w:kern w:val="0"/>
                <w:szCs w:val="21"/>
              </w:rPr>
              <w:t>——</w:t>
            </w:r>
          </w:p>
        </w:tc>
        <w:tc>
          <w:tcPr>
            <w:tcW w:w="401" w:type="pct"/>
            <w:shd w:val="clear" w:color="auto" w:fill="FFFFFF" w:themeFill="background1"/>
            <w:tcMar>
              <w:top w:w="20" w:type="dxa"/>
              <w:left w:w="20" w:type="dxa"/>
              <w:bottom w:w="72" w:type="dxa"/>
              <w:right w:w="20" w:type="dxa"/>
            </w:tcMar>
            <w:vAlign w:val="center"/>
          </w:tcPr>
          <w:p w14:paraId="45CF4B09">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3C7E787A">
            <w:pPr>
              <w:jc w:val="center"/>
              <w:rPr>
                <w:rFonts w:ascii="Times New Roman" w:hAnsi="Times New Roman" w:eastAsia="宋体" w:cs="宋体"/>
                <w:kern w:val="0"/>
                <w:szCs w:val="21"/>
              </w:rPr>
            </w:pPr>
            <w:r>
              <w:rPr>
                <w:rFonts w:hint="eastAsia" w:ascii="Times New Roman" w:hAnsi="Times New Roman" w:eastAsia="宋体" w:cs="宋体"/>
                <w:kern w:val="0"/>
                <w:szCs w:val="21"/>
              </w:rPr>
              <w:t>2025-2035</w:t>
            </w:r>
          </w:p>
        </w:tc>
        <w:tc>
          <w:tcPr>
            <w:tcW w:w="440" w:type="pct"/>
            <w:shd w:val="clear" w:color="auto" w:fill="FFFFFF" w:themeFill="background1"/>
            <w:tcMar>
              <w:top w:w="20" w:type="dxa"/>
              <w:left w:w="20" w:type="dxa"/>
              <w:bottom w:w="72" w:type="dxa"/>
              <w:right w:w="20" w:type="dxa"/>
            </w:tcMar>
            <w:vAlign w:val="center"/>
          </w:tcPr>
          <w:p w14:paraId="5AE0C2DA">
            <w:pPr>
              <w:jc w:val="center"/>
              <w:rPr>
                <w:rFonts w:ascii="Times New Roman" w:hAnsi="Times New Roman" w:eastAsia="宋体" w:cs="宋体"/>
                <w:kern w:val="0"/>
                <w:szCs w:val="21"/>
              </w:rPr>
            </w:pPr>
            <w:r>
              <w:rPr>
                <w:rFonts w:hint="eastAsia" w:ascii="Times New Roman" w:hAnsi="Times New Roman" w:eastAsia="宋体" w:cs="宋体"/>
                <w:kern w:val="0"/>
                <w:szCs w:val="21"/>
              </w:rPr>
              <w:t>县科工信局</w:t>
            </w:r>
          </w:p>
        </w:tc>
      </w:tr>
      <w:tr w14:paraId="5FD16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4335F762">
            <w:pPr>
              <w:jc w:val="center"/>
              <w:rPr>
                <w:rFonts w:ascii="Times New Roman" w:hAnsi="Times New Roman" w:eastAsia="宋体" w:cs="宋体"/>
                <w:kern w:val="0"/>
                <w:szCs w:val="21"/>
              </w:rPr>
            </w:pPr>
            <w:r>
              <w:rPr>
                <w:rFonts w:hint="eastAsia" w:ascii="Times New Roman" w:hAnsi="Times New Roman" w:eastAsia="宋体" w:cs="宋体"/>
                <w:kern w:val="0"/>
                <w:szCs w:val="21"/>
              </w:rPr>
              <w:t>9</w:t>
            </w:r>
          </w:p>
        </w:tc>
        <w:tc>
          <w:tcPr>
            <w:tcW w:w="451" w:type="pct"/>
            <w:vMerge w:val="continue"/>
            <w:shd w:val="clear" w:color="auto" w:fill="FFFFFF" w:themeFill="background1"/>
            <w:tcMar>
              <w:top w:w="72" w:type="dxa"/>
              <w:left w:w="144" w:type="dxa"/>
              <w:bottom w:w="72" w:type="dxa"/>
              <w:right w:w="144" w:type="dxa"/>
            </w:tcMar>
            <w:vAlign w:val="center"/>
          </w:tcPr>
          <w:p w14:paraId="08603E00">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6F373FD8">
            <w:pPr>
              <w:jc w:val="center"/>
              <w:rPr>
                <w:rFonts w:ascii="Times New Roman" w:hAnsi="Times New Roman" w:eastAsia="宋体" w:cs="宋体"/>
                <w:kern w:val="0"/>
                <w:szCs w:val="21"/>
              </w:rPr>
            </w:pPr>
            <w:r>
              <w:rPr>
                <w:rFonts w:hint="eastAsia" w:ascii="Times New Roman" w:hAnsi="Times New Roman" w:eastAsia="宋体" w:cs="宋体"/>
                <w:kern w:val="0"/>
                <w:szCs w:val="21"/>
              </w:rPr>
              <w:t>基础数据协同标注平台</w:t>
            </w:r>
          </w:p>
        </w:tc>
        <w:tc>
          <w:tcPr>
            <w:tcW w:w="1905" w:type="pct"/>
            <w:shd w:val="clear" w:color="auto" w:fill="FFFFFF" w:themeFill="background1"/>
            <w:tcMar>
              <w:top w:w="20" w:type="dxa"/>
              <w:left w:w="20" w:type="dxa"/>
              <w:bottom w:w="72" w:type="dxa"/>
              <w:right w:w="20" w:type="dxa"/>
            </w:tcMar>
            <w:vAlign w:val="center"/>
          </w:tcPr>
          <w:p w14:paraId="35992400">
            <w:pPr>
              <w:rPr>
                <w:rFonts w:ascii="Times New Roman" w:hAnsi="Times New Roman" w:eastAsia="宋体" w:cs="宋体"/>
                <w:kern w:val="0"/>
                <w:szCs w:val="21"/>
              </w:rPr>
            </w:pPr>
            <w:r>
              <w:rPr>
                <w:rFonts w:hint="eastAsia" w:ascii="Times New Roman" w:hAnsi="Times New Roman" w:eastAsia="宋体" w:cs="宋体"/>
                <w:kern w:val="0"/>
                <w:szCs w:val="21"/>
              </w:rPr>
              <w:t>建设视频图像大数据资源中心和视频图像基础数据协同标注平台，为广深莞人工智能企业提供远程数据标注服务。逐步建设视频图像标准测试数据集，提供深度学习算法模型训练服务。</w:t>
            </w:r>
          </w:p>
        </w:tc>
        <w:tc>
          <w:tcPr>
            <w:tcW w:w="401" w:type="pct"/>
            <w:shd w:val="clear" w:color="auto" w:fill="FFFFFF" w:themeFill="background1"/>
            <w:tcMar>
              <w:top w:w="20" w:type="dxa"/>
              <w:left w:w="20" w:type="dxa"/>
              <w:bottom w:w="72" w:type="dxa"/>
              <w:right w:w="20" w:type="dxa"/>
            </w:tcMar>
            <w:vAlign w:val="center"/>
          </w:tcPr>
          <w:p w14:paraId="4F06E872">
            <w:pPr>
              <w:jc w:val="center"/>
              <w:rPr>
                <w:rFonts w:ascii="Times New Roman" w:hAnsi="Times New Roman" w:eastAsia="宋体" w:cs="宋体"/>
                <w:kern w:val="0"/>
                <w:szCs w:val="21"/>
              </w:rPr>
            </w:pPr>
            <w:r>
              <w:rPr>
                <w:rFonts w:hint="eastAsia" w:ascii="Times New Roman" w:hAnsi="Times New Roman" w:eastAsia="宋体" w:cs="宋体"/>
                <w:kern w:val="0"/>
                <w:szCs w:val="21"/>
              </w:rPr>
              <w:t>——</w:t>
            </w:r>
          </w:p>
        </w:tc>
        <w:tc>
          <w:tcPr>
            <w:tcW w:w="401" w:type="pct"/>
            <w:shd w:val="clear" w:color="auto" w:fill="FFFFFF" w:themeFill="background1"/>
            <w:tcMar>
              <w:top w:w="20" w:type="dxa"/>
              <w:left w:w="20" w:type="dxa"/>
              <w:bottom w:w="72" w:type="dxa"/>
              <w:right w:w="20" w:type="dxa"/>
            </w:tcMar>
            <w:vAlign w:val="center"/>
          </w:tcPr>
          <w:p w14:paraId="57102C16">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22783D8F">
            <w:pPr>
              <w:jc w:val="center"/>
              <w:rPr>
                <w:rFonts w:ascii="Times New Roman" w:hAnsi="Times New Roman" w:eastAsia="宋体" w:cs="宋体"/>
                <w:kern w:val="0"/>
                <w:szCs w:val="21"/>
              </w:rPr>
            </w:pPr>
            <w:r>
              <w:rPr>
                <w:rFonts w:hint="eastAsia" w:ascii="Times New Roman" w:hAnsi="Times New Roman" w:eastAsia="宋体" w:cs="宋体"/>
                <w:kern w:val="0"/>
                <w:szCs w:val="21"/>
              </w:rPr>
              <w:t>2025-2035</w:t>
            </w:r>
          </w:p>
        </w:tc>
        <w:tc>
          <w:tcPr>
            <w:tcW w:w="440" w:type="pct"/>
            <w:shd w:val="clear" w:color="auto" w:fill="FFFFFF" w:themeFill="background1"/>
            <w:tcMar>
              <w:top w:w="20" w:type="dxa"/>
              <w:left w:w="20" w:type="dxa"/>
              <w:bottom w:w="72" w:type="dxa"/>
              <w:right w:w="20" w:type="dxa"/>
            </w:tcMar>
            <w:vAlign w:val="center"/>
          </w:tcPr>
          <w:p w14:paraId="79DE4A32">
            <w:pPr>
              <w:jc w:val="center"/>
              <w:rPr>
                <w:rFonts w:ascii="Times New Roman" w:hAnsi="Times New Roman" w:eastAsia="宋体" w:cs="宋体"/>
                <w:kern w:val="0"/>
                <w:szCs w:val="21"/>
              </w:rPr>
            </w:pPr>
            <w:r>
              <w:rPr>
                <w:rFonts w:hint="eastAsia" w:ascii="Times New Roman" w:hAnsi="Times New Roman" w:eastAsia="宋体" w:cs="宋体"/>
                <w:kern w:val="0"/>
                <w:szCs w:val="21"/>
              </w:rPr>
              <w:t>县科工信局</w:t>
            </w:r>
          </w:p>
        </w:tc>
      </w:tr>
      <w:tr w14:paraId="0E19A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7FCF37DB">
            <w:pPr>
              <w:jc w:val="center"/>
              <w:rPr>
                <w:rFonts w:ascii="Times New Roman" w:hAnsi="Times New Roman" w:eastAsia="宋体" w:cs="宋体"/>
                <w:kern w:val="0"/>
                <w:szCs w:val="21"/>
              </w:rPr>
            </w:pPr>
            <w:r>
              <w:rPr>
                <w:rFonts w:hint="eastAsia" w:ascii="Times New Roman" w:hAnsi="Times New Roman" w:eastAsia="宋体" w:cs="宋体"/>
                <w:kern w:val="0"/>
                <w:szCs w:val="21"/>
              </w:rPr>
              <w:t>10</w:t>
            </w:r>
          </w:p>
        </w:tc>
        <w:tc>
          <w:tcPr>
            <w:tcW w:w="451" w:type="pct"/>
            <w:vMerge w:val="continue"/>
            <w:shd w:val="clear" w:color="auto" w:fill="FFFFFF" w:themeFill="background1"/>
            <w:tcMar>
              <w:top w:w="72" w:type="dxa"/>
              <w:left w:w="144" w:type="dxa"/>
              <w:bottom w:w="72" w:type="dxa"/>
              <w:right w:w="144" w:type="dxa"/>
            </w:tcMar>
            <w:vAlign w:val="center"/>
          </w:tcPr>
          <w:p w14:paraId="4B9EC6FE">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2544D09F">
            <w:pPr>
              <w:jc w:val="center"/>
              <w:rPr>
                <w:rFonts w:ascii="Times New Roman" w:hAnsi="Times New Roman" w:eastAsia="宋体" w:cs="宋体"/>
                <w:kern w:val="0"/>
                <w:szCs w:val="21"/>
              </w:rPr>
            </w:pPr>
            <w:r>
              <w:rPr>
                <w:rFonts w:hint="eastAsia" w:ascii="Times New Roman" w:hAnsi="Times New Roman" w:eastAsia="宋体" w:cs="宋体"/>
                <w:kern w:val="0"/>
                <w:szCs w:val="21"/>
              </w:rPr>
              <w:t>园洲</w:t>
            </w:r>
            <w:bookmarkStart w:id="210" w:name="OLE_LINK22"/>
            <w:r>
              <w:rPr>
                <w:rFonts w:hint="eastAsia" w:ascii="Times New Roman" w:hAnsi="Times New Roman" w:eastAsia="宋体" w:cs="宋体"/>
                <w:kern w:val="0"/>
                <w:szCs w:val="21"/>
              </w:rPr>
              <w:t>时尚服装物流中心</w:t>
            </w:r>
            <w:bookmarkEnd w:id="210"/>
          </w:p>
        </w:tc>
        <w:tc>
          <w:tcPr>
            <w:tcW w:w="1905" w:type="pct"/>
            <w:shd w:val="clear" w:color="auto" w:fill="FFFFFF" w:themeFill="background1"/>
            <w:tcMar>
              <w:top w:w="20" w:type="dxa"/>
              <w:left w:w="20" w:type="dxa"/>
              <w:bottom w:w="72" w:type="dxa"/>
              <w:right w:w="20" w:type="dxa"/>
            </w:tcMar>
            <w:vAlign w:val="center"/>
          </w:tcPr>
          <w:p w14:paraId="5C042F23">
            <w:pPr>
              <w:rPr>
                <w:rFonts w:ascii="Times New Roman" w:hAnsi="Times New Roman" w:eastAsia="宋体" w:cs="宋体"/>
                <w:kern w:val="0"/>
                <w:szCs w:val="21"/>
              </w:rPr>
            </w:pPr>
            <w:r>
              <w:rPr>
                <w:rFonts w:hint="eastAsia" w:ascii="Times New Roman" w:hAnsi="Times New Roman" w:eastAsia="宋体" w:cs="宋体"/>
                <w:kern w:val="0"/>
                <w:szCs w:val="21"/>
              </w:rPr>
              <w:t>占地面积约2.08公顷，聚焦“物流+服装”，线上线下一体化、一站式采购、体验式购物的全业态商品展销平台</w:t>
            </w:r>
          </w:p>
        </w:tc>
        <w:tc>
          <w:tcPr>
            <w:tcW w:w="401" w:type="pct"/>
            <w:shd w:val="clear" w:color="auto" w:fill="FFFFFF" w:themeFill="background1"/>
            <w:tcMar>
              <w:top w:w="20" w:type="dxa"/>
              <w:left w:w="20" w:type="dxa"/>
              <w:bottom w:w="72" w:type="dxa"/>
              <w:right w:w="20" w:type="dxa"/>
            </w:tcMar>
            <w:vAlign w:val="center"/>
          </w:tcPr>
          <w:p w14:paraId="27914794">
            <w:pPr>
              <w:jc w:val="center"/>
              <w:rPr>
                <w:rFonts w:ascii="Times New Roman" w:hAnsi="Times New Roman" w:eastAsia="宋体" w:cs="宋体"/>
                <w:kern w:val="0"/>
                <w:szCs w:val="21"/>
              </w:rPr>
            </w:pPr>
            <w:r>
              <w:rPr>
                <w:rFonts w:hint="eastAsia" w:ascii="Times New Roman" w:hAnsi="Times New Roman" w:eastAsia="宋体" w:cs="宋体"/>
                <w:kern w:val="0"/>
                <w:szCs w:val="21"/>
              </w:rPr>
              <w:t>——</w:t>
            </w:r>
          </w:p>
        </w:tc>
        <w:tc>
          <w:tcPr>
            <w:tcW w:w="401" w:type="pct"/>
            <w:shd w:val="clear" w:color="auto" w:fill="FFFFFF" w:themeFill="background1"/>
            <w:tcMar>
              <w:top w:w="20" w:type="dxa"/>
              <w:left w:w="20" w:type="dxa"/>
              <w:bottom w:w="72" w:type="dxa"/>
              <w:right w:w="20" w:type="dxa"/>
            </w:tcMar>
            <w:vAlign w:val="center"/>
          </w:tcPr>
          <w:p w14:paraId="0B73C7E5">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73C84879">
            <w:pPr>
              <w:jc w:val="center"/>
              <w:rPr>
                <w:rFonts w:ascii="Times New Roman" w:hAnsi="Times New Roman" w:eastAsia="宋体" w:cs="宋体"/>
                <w:kern w:val="0"/>
                <w:szCs w:val="21"/>
              </w:rPr>
            </w:pPr>
            <w:r>
              <w:rPr>
                <w:rFonts w:hint="eastAsia" w:ascii="Times New Roman" w:hAnsi="Times New Roman" w:eastAsia="宋体" w:cs="宋体"/>
                <w:kern w:val="0"/>
                <w:szCs w:val="21"/>
              </w:rPr>
              <w:t>2025-2035</w:t>
            </w:r>
          </w:p>
        </w:tc>
        <w:tc>
          <w:tcPr>
            <w:tcW w:w="440" w:type="pct"/>
            <w:shd w:val="clear" w:color="auto" w:fill="FFFFFF" w:themeFill="background1"/>
            <w:tcMar>
              <w:top w:w="20" w:type="dxa"/>
              <w:left w:w="20" w:type="dxa"/>
              <w:bottom w:w="72" w:type="dxa"/>
              <w:right w:w="20" w:type="dxa"/>
            </w:tcMar>
            <w:vAlign w:val="center"/>
          </w:tcPr>
          <w:p w14:paraId="65913135">
            <w:pPr>
              <w:jc w:val="center"/>
              <w:rPr>
                <w:rFonts w:ascii="Times New Roman" w:hAnsi="Times New Roman" w:eastAsia="宋体" w:cs="宋体"/>
                <w:kern w:val="0"/>
                <w:szCs w:val="21"/>
              </w:rPr>
            </w:pPr>
            <w:r>
              <w:rPr>
                <w:rFonts w:hint="eastAsia" w:ascii="Times New Roman" w:hAnsi="Times New Roman" w:eastAsia="宋体" w:cs="宋体"/>
                <w:kern w:val="0"/>
                <w:szCs w:val="21"/>
              </w:rPr>
              <w:t>园洲镇政府</w:t>
            </w:r>
          </w:p>
        </w:tc>
      </w:tr>
      <w:tr w14:paraId="0FE47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08AD0E38">
            <w:pPr>
              <w:jc w:val="center"/>
              <w:rPr>
                <w:rFonts w:ascii="Times New Roman" w:hAnsi="Times New Roman" w:eastAsia="宋体" w:cs="宋体"/>
                <w:kern w:val="0"/>
                <w:szCs w:val="21"/>
              </w:rPr>
            </w:pPr>
            <w:r>
              <w:rPr>
                <w:rFonts w:hint="eastAsia" w:ascii="Times New Roman" w:hAnsi="Times New Roman" w:eastAsia="宋体" w:cs="宋体"/>
                <w:kern w:val="0"/>
                <w:szCs w:val="21"/>
              </w:rPr>
              <w:t>11</w:t>
            </w:r>
          </w:p>
        </w:tc>
        <w:tc>
          <w:tcPr>
            <w:tcW w:w="451" w:type="pct"/>
            <w:vMerge w:val="continue"/>
            <w:shd w:val="clear" w:color="auto" w:fill="FFFFFF" w:themeFill="background1"/>
            <w:tcMar>
              <w:top w:w="72" w:type="dxa"/>
              <w:left w:w="144" w:type="dxa"/>
              <w:bottom w:w="72" w:type="dxa"/>
              <w:right w:w="144" w:type="dxa"/>
            </w:tcMar>
            <w:vAlign w:val="center"/>
          </w:tcPr>
          <w:p w14:paraId="720736A9">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19C8D3B4">
            <w:pPr>
              <w:jc w:val="center"/>
              <w:rPr>
                <w:rFonts w:ascii="Times New Roman" w:hAnsi="Times New Roman" w:eastAsia="宋体" w:cs="宋体"/>
                <w:kern w:val="0"/>
                <w:szCs w:val="21"/>
              </w:rPr>
            </w:pPr>
            <w:r>
              <w:rPr>
                <w:rFonts w:hint="eastAsia" w:ascii="Times New Roman" w:hAnsi="Times New Roman" w:eastAsia="宋体" w:cs="宋体"/>
                <w:kern w:val="0"/>
                <w:szCs w:val="21"/>
              </w:rPr>
              <w:t>石湾</w:t>
            </w:r>
            <w:bookmarkStart w:id="211" w:name="OLE_LINK23"/>
            <w:r>
              <w:rPr>
                <w:rFonts w:hint="eastAsia" w:ascii="Times New Roman" w:hAnsi="Times New Roman" w:eastAsia="宋体" w:cs="宋体"/>
                <w:kern w:val="0"/>
                <w:szCs w:val="21"/>
              </w:rPr>
              <w:t>智能装备及汽配物流中心</w:t>
            </w:r>
            <w:bookmarkEnd w:id="211"/>
          </w:p>
        </w:tc>
        <w:tc>
          <w:tcPr>
            <w:tcW w:w="1905" w:type="pct"/>
            <w:shd w:val="clear" w:color="auto" w:fill="FFFFFF" w:themeFill="background1"/>
            <w:tcMar>
              <w:top w:w="20" w:type="dxa"/>
              <w:left w:w="20" w:type="dxa"/>
              <w:bottom w:w="72" w:type="dxa"/>
              <w:right w:w="20" w:type="dxa"/>
            </w:tcMar>
            <w:vAlign w:val="center"/>
          </w:tcPr>
          <w:p w14:paraId="486E5FDB">
            <w:pPr>
              <w:rPr>
                <w:rFonts w:ascii="Times New Roman" w:hAnsi="Times New Roman" w:eastAsia="宋体" w:cs="宋体"/>
                <w:kern w:val="0"/>
                <w:szCs w:val="21"/>
              </w:rPr>
            </w:pPr>
            <w:r>
              <w:rPr>
                <w:rFonts w:hint="eastAsia" w:ascii="Times New Roman" w:hAnsi="Times New Roman" w:eastAsia="宋体" w:cs="宋体"/>
                <w:kern w:val="0"/>
                <w:szCs w:val="21"/>
              </w:rPr>
              <w:t>占地面积约8.4公顷，建设集智能网联新能源汽车零部件研发、生产、试制试验、国内外物流、客户互动于一体的智能化工厂物流配套区。</w:t>
            </w:r>
          </w:p>
        </w:tc>
        <w:tc>
          <w:tcPr>
            <w:tcW w:w="401" w:type="pct"/>
            <w:shd w:val="clear" w:color="auto" w:fill="FFFFFF" w:themeFill="background1"/>
            <w:tcMar>
              <w:top w:w="20" w:type="dxa"/>
              <w:left w:w="20" w:type="dxa"/>
              <w:bottom w:w="72" w:type="dxa"/>
              <w:right w:w="20" w:type="dxa"/>
            </w:tcMar>
            <w:vAlign w:val="center"/>
          </w:tcPr>
          <w:p w14:paraId="4D6028A1">
            <w:pPr>
              <w:jc w:val="center"/>
              <w:rPr>
                <w:rFonts w:ascii="Times New Roman" w:hAnsi="Times New Roman" w:eastAsia="宋体" w:cs="宋体"/>
                <w:kern w:val="0"/>
                <w:szCs w:val="21"/>
              </w:rPr>
            </w:pPr>
            <w:r>
              <w:rPr>
                <w:rFonts w:hint="eastAsia" w:ascii="Times New Roman" w:hAnsi="Times New Roman" w:eastAsia="宋体" w:cs="宋体"/>
                <w:kern w:val="0"/>
                <w:szCs w:val="21"/>
              </w:rPr>
              <w:t>——</w:t>
            </w:r>
          </w:p>
        </w:tc>
        <w:tc>
          <w:tcPr>
            <w:tcW w:w="401" w:type="pct"/>
            <w:shd w:val="clear" w:color="auto" w:fill="FFFFFF" w:themeFill="background1"/>
            <w:tcMar>
              <w:top w:w="20" w:type="dxa"/>
              <w:left w:w="20" w:type="dxa"/>
              <w:bottom w:w="72" w:type="dxa"/>
              <w:right w:w="20" w:type="dxa"/>
            </w:tcMar>
            <w:vAlign w:val="center"/>
          </w:tcPr>
          <w:p w14:paraId="7D037AAE">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09866F62">
            <w:pPr>
              <w:jc w:val="center"/>
              <w:rPr>
                <w:rFonts w:ascii="Times New Roman" w:hAnsi="Times New Roman" w:eastAsia="宋体" w:cs="宋体"/>
                <w:kern w:val="0"/>
                <w:szCs w:val="21"/>
              </w:rPr>
            </w:pPr>
            <w:r>
              <w:rPr>
                <w:rFonts w:hint="eastAsia" w:ascii="Times New Roman" w:hAnsi="Times New Roman" w:eastAsia="宋体" w:cs="宋体"/>
                <w:kern w:val="0"/>
                <w:szCs w:val="21"/>
              </w:rPr>
              <w:t>2025-2035</w:t>
            </w:r>
          </w:p>
        </w:tc>
        <w:tc>
          <w:tcPr>
            <w:tcW w:w="440" w:type="pct"/>
            <w:shd w:val="clear" w:color="auto" w:fill="FFFFFF" w:themeFill="background1"/>
            <w:tcMar>
              <w:top w:w="20" w:type="dxa"/>
              <w:left w:w="20" w:type="dxa"/>
              <w:bottom w:w="72" w:type="dxa"/>
              <w:right w:w="20" w:type="dxa"/>
            </w:tcMar>
            <w:vAlign w:val="center"/>
          </w:tcPr>
          <w:p w14:paraId="056BB3FC">
            <w:pPr>
              <w:jc w:val="center"/>
              <w:rPr>
                <w:rFonts w:ascii="Times New Roman" w:hAnsi="Times New Roman" w:eastAsia="宋体" w:cs="宋体"/>
                <w:kern w:val="0"/>
                <w:szCs w:val="21"/>
              </w:rPr>
            </w:pPr>
            <w:r>
              <w:rPr>
                <w:rFonts w:hint="eastAsia" w:ascii="Times New Roman" w:hAnsi="Times New Roman" w:eastAsia="宋体" w:cs="宋体"/>
                <w:kern w:val="0"/>
                <w:szCs w:val="21"/>
              </w:rPr>
              <w:t>石湾镇政府</w:t>
            </w:r>
          </w:p>
        </w:tc>
      </w:tr>
      <w:tr w14:paraId="71E83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4A0BB1A3">
            <w:pPr>
              <w:jc w:val="center"/>
              <w:rPr>
                <w:rFonts w:ascii="Times New Roman" w:hAnsi="Times New Roman" w:eastAsia="宋体" w:cs="宋体"/>
                <w:kern w:val="0"/>
                <w:szCs w:val="21"/>
              </w:rPr>
            </w:pPr>
            <w:r>
              <w:rPr>
                <w:rFonts w:hint="eastAsia" w:ascii="Times New Roman" w:hAnsi="Times New Roman" w:eastAsia="宋体" w:cs="宋体"/>
                <w:kern w:val="0"/>
                <w:szCs w:val="21"/>
              </w:rPr>
              <w:t>12</w:t>
            </w:r>
          </w:p>
        </w:tc>
        <w:tc>
          <w:tcPr>
            <w:tcW w:w="451" w:type="pct"/>
            <w:vMerge w:val="continue"/>
            <w:shd w:val="clear" w:color="auto" w:fill="FFFFFF" w:themeFill="background1"/>
            <w:tcMar>
              <w:top w:w="72" w:type="dxa"/>
              <w:left w:w="144" w:type="dxa"/>
              <w:bottom w:w="72" w:type="dxa"/>
              <w:right w:w="144" w:type="dxa"/>
            </w:tcMar>
            <w:vAlign w:val="center"/>
          </w:tcPr>
          <w:p w14:paraId="3DAAA450">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566E72B1">
            <w:pPr>
              <w:jc w:val="center"/>
              <w:rPr>
                <w:rFonts w:ascii="Times New Roman" w:hAnsi="Times New Roman" w:eastAsia="宋体" w:cs="宋体"/>
                <w:kern w:val="0"/>
                <w:szCs w:val="21"/>
              </w:rPr>
            </w:pPr>
            <w:r>
              <w:rPr>
                <w:rFonts w:hint="eastAsia" w:ascii="Times New Roman" w:hAnsi="Times New Roman" w:eastAsia="宋体" w:cs="宋体"/>
                <w:kern w:val="0"/>
                <w:szCs w:val="21"/>
              </w:rPr>
              <w:t>应用人才培训服务平台</w:t>
            </w:r>
          </w:p>
        </w:tc>
        <w:tc>
          <w:tcPr>
            <w:tcW w:w="1905" w:type="pct"/>
            <w:shd w:val="clear" w:color="auto" w:fill="FFFFFF" w:themeFill="background1"/>
            <w:tcMar>
              <w:top w:w="20" w:type="dxa"/>
              <w:left w:w="20" w:type="dxa"/>
              <w:bottom w:w="72" w:type="dxa"/>
              <w:right w:w="20" w:type="dxa"/>
            </w:tcMar>
            <w:vAlign w:val="center"/>
          </w:tcPr>
          <w:p w14:paraId="6632E423">
            <w:pPr>
              <w:rPr>
                <w:rFonts w:ascii="Times New Roman" w:hAnsi="Times New Roman" w:eastAsia="宋体" w:cs="宋体"/>
                <w:kern w:val="0"/>
                <w:szCs w:val="21"/>
              </w:rPr>
            </w:pPr>
            <w:r>
              <w:rPr>
                <w:rFonts w:hint="eastAsia" w:ascii="Times New Roman" w:hAnsi="Times New Roman" w:eastAsia="宋体" w:cs="宋体"/>
                <w:kern w:val="0"/>
                <w:szCs w:val="21"/>
              </w:rPr>
              <w:t>结合博罗本地院校，以及本地企业培训机构，紧扣产业基地人才需求，联合开展“学历+技能”双证书教育培训，打造粤港澳大湾区首个集“公共实训、技能评价、技能竞赛、技能研修、就业指导、劳动教育、职业体验”于一体的智能制造实训基地和青年创新创业服务平台。</w:t>
            </w:r>
          </w:p>
        </w:tc>
        <w:tc>
          <w:tcPr>
            <w:tcW w:w="401" w:type="pct"/>
            <w:shd w:val="clear" w:color="auto" w:fill="FFFFFF" w:themeFill="background1"/>
            <w:tcMar>
              <w:top w:w="20" w:type="dxa"/>
              <w:left w:w="20" w:type="dxa"/>
              <w:bottom w:w="72" w:type="dxa"/>
              <w:right w:w="20" w:type="dxa"/>
            </w:tcMar>
            <w:vAlign w:val="center"/>
          </w:tcPr>
          <w:p w14:paraId="49670BE0">
            <w:pPr>
              <w:jc w:val="center"/>
              <w:rPr>
                <w:rFonts w:ascii="Times New Roman" w:hAnsi="Times New Roman" w:eastAsia="宋体" w:cs="宋体"/>
                <w:kern w:val="0"/>
                <w:szCs w:val="21"/>
              </w:rPr>
            </w:pPr>
            <w:r>
              <w:rPr>
                <w:rFonts w:hint="eastAsia" w:ascii="Times New Roman" w:hAnsi="Times New Roman" w:eastAsia="宋体" w:cs="宋体"/>
                <w:kern w:val="0"/>
                <w:szCs w:val="21"/>
              </w:rPr>
              <w:t>——</w:t>
            </w:r>
          </w:p>
        </w:tc>
        <w:tc>
          <w:tcPr>
            <w:tcW w:w="401" w:type="pct"/>
            <w:shd w:val="clear" w:color="auto" w:fill="FFFFFF" w:themeFill="background1"/>
            <w:tcMar>
              <w:top w:w="20" w:type="dxa"/>
              <w:left w:w="20" w:type="dxa"/>
              <w:bottom w:w="72" w:type="dxa"/>
              <w:right w:w="20" w:type="dxa"/>
            </w:tcMar>
            <w:vAlign w:val="center"/>
          </w:tcPr>
          <w:p w14:paraId="113F5F34">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473404AA">
            <w:pPr>
              <w:jc w:val="center"/>
              <w:rPr>
                <w:rFonts w:ascii="Times New Roman" w:hAnsi="Times New Roman" w:eastAsia="宋体" w:cs="宋体"/>
                <w:kern w:val="0"/>
                <w:szCs w:val="21"/>
              </w:rPr>
            </w:pPr>
            <w:r>
              <w:rPr>
                <w:rFonts w:hint="eastAsia" w:ascii="Times New Roman" w:hAnsi="Times New Roman" w:eastAsia="宋体" w:cs="宋体"/>
                <w:kern w:val="0"/>
                <w:szCs w:val="21"/>
              </w:rPr>
              <w:t>2025-2035</w:t>
            </w:r>
          </w:p>
        </w:tc>
        <w:tc>
          <w:tcPr>
            <w:tcW w:w="440" w:type="pct"/>
            <w:shd w:val="clear" w:color="auto" w:fill="FFFFFF" w:themeFill="background1"/>
            <w:tcMar>
              <w:top w:w="20" w:type="dxa"/>
              <w:left w:w="20" w:type="dxa"/>
              <w:bottom w:w="72" w:type="dxa"/>
              <w:right w:w="20" w:type="dxa"/>
            </w:tcMar>
            <w:vAlign w:val="center"/>
          </w:tcPr>
          <w:p w14:paraId="31A3BF22">
            <w:pPr>
              <w:jc w:val="center"/>
              <w:rPr>
                <w:rFonts w:ascii="Times New Roman" w:hAnsi="Times New Roman" w:eastAsia="宋体" w:cs="宋体"/>
                <w:kern w:val="0"/>
                <w:szCs w:val="21"/>
              </w:rPr>
            </w:pPr>
            <w:r>
              <w:rPr>
                <w:rFonts w:hint="eastAsia" w:ascii="Times New Roman" w:hAnsi="Times New Roman" w:eastAsia="宋体" w:cs="宋体"/>
                <w:kern w:val="0"/>
                <w:szCs w:val="21"/>
              </w:rPr>
              <w:t>县科工信局</w:t>
            </w:r>
          </w:p>
        </w:tc>
      </w:tr>
      <w:tr w14:paraId="06EF1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 w:hRule="atLeast"/>
          <w:jc w:val="center"/>
        </w:trPr>
        <w:tc>
          <w:tcPr>
            <w:tcW w:w="199" w:type="pct"/>
            <w:shd w:val="clear" w:color="auto" w:fill="FFFFFF" w:themeFill="background1"/>
            <w:tcMar>
              <w:top w:w="72" w:type="dxa"/>
              <w:left w:w="144" w:type="dxa"/>
              <w:bottom w:w="72" w:type="dxa"/>
              <w:right w:w="144" w:type="dxa"/>
            </w:tcMar>
            <w:vAlign w:val="center"/>
          </w:tcPr>
          <w:p w14:paraId="74DA7B5B">
            <w:pPr>
              <w:jc w:val="center"/>
              <w:rPr>
                <w:rFonts w:ascii="Times New Roman" w:hAnsi="Times New Roman" w:eastAsia="宋体" w:cs="宋体"/>
                <w:kern w:val="0"/>
                <w:szCs w:val="21"/>
              </w:rPr>
            </w:pPr>
            <w:r>
              <w:rPr>
                <w:rFonts w:hint="eastAsia" w:ascii="Times New Roman" w:hAnsi="Times New Roman" w:eastAsia="宋体" w:cs="宋体"/>
                <w:kern w:val="0"/>
                <w:szCs w:val="21"/>
              </w:rPr>
              <w:t>13</w:t>
            </w:r>
          </w:p>
        </w:tc>
        <w:tc>
          <w:tcPr>
            <w:tcW w:w="451" w:type="pct"/>
            <w:vMerge w:val="continue"/>
            <w:shd w:val="clear" w:color="auto" w:fill="FFFFFF" w:themeFill="background1"/>
            <w:tcMar>
              <w:top w:w="72" w:type="dxa"/>
              <w:left w:w="144" w:type="dxa"/>
              <w:bottom w:w="72" w:type="dxa"/>
              <w:right w:w="144" w:type="dxa"/>
            </w:tcMar>
            <w:vAlign w:val="center"/>
          </w:tcPr>
          <w:p w14:paraId="7CBB42AC">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36F9C0FD">
            <w:pPr>
              <w:jc w:val="center"/>
              <w:rPr>
                <w:rFonts w:ascii="Times New Roman" w:hAnsi="Times New Roman" w:eastAsia="宋体" w:cs="宋体"/>
                <w:kern w:val="0"/>
                <w:szCs w:val="21"/>
              </w:rPr>
            </w:pPr>
            <w:bookmarkStart w:id="212" w:name="OLE_LINK19"/>
            <w:r>
              <w:rPr>
                <w:rFonts w:hint="eastAsia" w:ascii="Times New Roman" w:hAnsi="Times New Roman" w:eastAsia="宋体" w:cs="宋体"/>
                <w:kern w:val="0"/>
                <w:szCs w:val="21"/>
              </w:rPr>
              <w:t>（深圳</w:t>
            </w:r>
            <w:bookmarkStart w:id="213" w:name="OLE_LINK26"/>
            <w:r>
              <w:rPr>
                <w:rFonts w:hint="eastAsia" w:ascii="Times New Roman" w:hAnsi="Times New Roman" w:eastAsia="宋体" w:cs="宋体"/>
                <w:kern w:val="0"/>
                <w:szCs w:val="21"/>
              </w:rPr>
              <w:t>）福田产投高标厂房项目</w:t>
            </w:r>
            <w:bookmarkEnd w:id="212"/>
            <w:bookmarkEnd w:id="213"/>
          </w:p>
        </w:tc>
        <w:tc>
          <w:tcPr>
            <w:tcW w:w="1905" w:type="pct"/>
            <w:shd w:val="clear" w:color="auto" w:fill="FFFFFF" w:themeFill="background1"/>
            <w:tcMar>
              <w:top w:w="20" w:type="dxa"/>
              <w:left w:w="20" w:type="dxa"/>
              <w:bottom w:w="72" w:type="dxa"/>
              <w:right w:w="20" w:type="dxa"/>
            </w:tcMar>
            <w:vAlign w:val="center"/>
          </w:tcPr>
          <w:p w14:paraId="266D712B">
            <w:pPr>
              <w:rPr>
                <w:rFonts w:ascii="Times New Roman" w:hAnsi="Times New Roman" w:eastAsia="宋体" w:cs="宋体"/>
                <w:kern w:val="0"/>
                <w:szCs w:val="21"/>
              </w:rPr>
            </w:pPr>
            <w:r>
              <w:rPr>
                <w:rFonts w:hint="eastAsia" w:ascii="Times New Roman" w:hAnsi="Times New Roman" w:eastAsia="宋体" w:cs="宋体"/>
                <w:kern w:val="0"/>
                <w:szCs w:val="21"/>
              </w:rPr>
              <w:t>该项目由22栋4层厂房，1栋5层宿舍（含食堂），配电网开关站及地下室、地下消防水池等组成，协助福田产投做好招商引资工作。</w:t>
            </w:r>
          </w:p>
        </w:tc>
        <w:tc>
          <w:tcPr>
            <w:tcW w:w="401" w:type="pct"/>
            <w:shd w:val="clear" w:color="auto" w:fill="FFFFFF" w:themeFill="background1"/>
            <w:tcMar>
              <w:top w:w="20" w:type="dxa"/>
              <w:left w:w="20" w:type="dxa"/>
              <w:bottom w:w="72" w:type="dxa"/>
              <w:right w:w="20" w:type="dxa"/>
            </w:tcMar>
            <w:vAlign w:val="center"/>
          </w:tcPr>
          <w:p w14:paraId="4F9B4E7E">
            <w:pPr>
              <w:jc w:val="center"/>
              <w:rPr>
                <w:rFonts w:ascii="Times New Roman" w:hAnsi="Times New Roman" w:eastAsia="宋体" w:cs="宋体"/>
                <w:kern w:val="0"/>
                <w:szCs w:val="21"/>
              </w:rPr>
            </w:pPr>
            <w:r>
              <w:rPr>
                <w:rFonts w:hint="eastAsia" w:ascii="Times New Roman" w:hAnsi="Times New Roman" w:eastAsia="宋体" w:cs="宋体"/>
                <w:kern w:val="0"/>
                <w:szCs w:val="21"/>
              </w:rPr>
              <w:t>5.0</w:t>
            </w:r>
          </w:p>
        </w:tc>
        <w:tc>
          <w:tcPr>
            <w:tcW w:w="401" w:type="pct"/>
            <w:shd w:val="clear" w:color="auto" w:fill="FFFFFF" w:themeFill="background1"/>
            <w:tcMar>
              <w:top w:w="20" w:type="dxa"/>
              <w:left w:w="20" w:type="dxa"/>
              <w:bottom w:w="72" w:type="dxa"/>
              <w:right w:w="20" w:type="dxa"/>
            </w:tcMar>
            <w:vAlign w:val="center"/>
          </w:tcPr>
          <w:p w14:paraId="141F29BE">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0A911C11">
            <w:pPr>
              <w:jc w:val="center"/>
              <w:rPr>
                <w:rFonts w:ascii="Times New Roman" w:hAnsi="Times New Roman" w:eastAsia="宋体" w:cs="宋体"/>
                <w:kern w:val="0"/>
                <w:szCs w:val="21"/>
              </w:rPr>
            </w:pPr>
            <w:r>
              <w:rPr>
                <w:rFonts w:hint="eastAsia" w:ascii="Times New Roman" w:hAnsi="Times New Roman" w:eastAsia="宋体" w:cs="宋体"/>
                <w:kern w:val="0"/>
                <w:szCs w:val="21"/>
              </w:rPr>
              <w:t>2025-2027</w:t>
            </w:r>
          </w:p>
        </w:tc>
        <w:tc>
          <w:tcPr>
            <w:tcW w:w="440" w:type="pct"/>
            <w:shd w:val="clear" w:color="auto" w:fill="FFFFFF" w:themeFill="background1"/>
            <w:tcMar>
              <w:top w:w="20" w:type="dxa"/>
              <w:left w:w="20" w:type="dxa"/>
              <w:bottom w:w="72" w:type="dxa"/>
              <w:right w:w="20" w:type="dxa"/>
            </w:tcMar>
            <w:vAlign w:val="center"/>
          </w:tcPr>
          <w:p w14:paraId="7BEE7AEF">
            <w:pPr>
              <w:jc w:val="center"/>
              <w:rPr>
                <w:rFonts w:ascii="Times New Roman" w:hAnsi="Times New Roman" w:eastAsia="宋体" w:cs="宋体"/>
                <w:kern w:val="0"/>
                <w:szCs w:val="21"/>
              </w:rPr>
            </w:pPr>
            <w:r>
              <w:rPr>
                <w:rFonts w:hint="eastAsia" w:ascii="Times New Roman" w:hAnsi="Times New Roman" w:eastAsia="宋体" w:cs="宋体"/>
                <w:kern w:val="0"/>
                <w:szCs w:val="21"/>
              </w:rPr>
              <w:t>博罗产业转移工业园管理委员会</w:t>
            </w:r>
          </w:p>
        </w:tc>
      </w:tr>
      <w:tr w14:paraId="3EB60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1631" w:hRule="atLeast"/>
          <w:jc w:val="center"/>
        </w:trPr>
        <w:tc>
          <w:tcPr>
            <w:tcW w:w="199" w:type="pct"/>
            <w:shd w:val="clear" w:color="auto" w:fill="FFFFFF" w:themeFill="background1"/>
            <w:tcMar>
              <w:top w:w="72" w:type="dxa"/>
              <w:left w:w="144" w:type="dxa"/>
              <w:bottom w:w="72" w:type="dxa"/>
              <w:right w:w="144" w:type="dxa"/>
            </w:tcMar>
            <w:vAlign w:val="center"/>
          </w:tcPr>
          <w:p w14:paraId="1E36BFD8">
            <w:pPr>
              <w:jc w:val="center"/>
              <w:rPr>
                <w:rFonts w:ascii="Times New Roman" w:hAnsi="Times New Roman" w:eastAsia="宋体" w:cs="宋体"/>
                <w:kern w:val="0"/>
                <w:szCs w:val="21"/>
              </w:rPr>
            </w:pPr>
            <w:r>
              <w:rPr>
                <w:rFonts w:hint="eastAsia" w:ascii="Times New Roman" w:hAnsi="Times New Roman" w:eastAsia="宋体" w:cs="宋体"/>
                <w:kern w:val="0"/>
                <w:szCs w:val="21"/>
              </w:rPr>
              <w:t>14</w:t>
            </w:r>
          </w:p>
        </w:tc>
        <w:tc>
          <w:tcPr>
            <w:tcW w:w="451" w:type="pct"/>
            <w:vMerge w:val="continue"/>
            <w:shd w:val="clear" w:color="auto" w:fill="FFFFFF" w:themeFill="background1"/>
            <w:tcMar>
              <w:top w:w="72" w:type="dxa"/>
              <w:left w:w="144" w:type="dxa"/>
              <w:bottom w:w="72" w:type="dxa"/>
              <w:right w:w="144" w:type="dxa"/>
            </w:tcMar>
            <w:vAlign w:val="center"/>
          </w:tcPr>
          <w:p w14:paraId="356A76F8">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5062D618">
            <w:pPr>
              <w:jc w:val="center"/>
              <w:rPr>
                <w:rFonts w:ascii="Times New Roman" w:hAnsi="Times New Roman" w:eastAsia="宋体" w:cs="宋体"/>
                <w:kern w:val="0"/>
                <w:szCs w:val="21"/>
              </w:rPr>
            </w:pPr>
            <w:bookmarkStart w:id="214" w:name="OLE_LINK25"/>
            <w:r>
              <w:rPr>
                <w:rFonts w:hint="eastAsia" w:ascii="Times New Roman" w:hAnsi="Times New Roman" w:eastAsia="宋体" w:cs="宋体"/>
                <w:kern w:val="0"/>
                <w:szCs w:val="21"/>
              </w:rPr>
              <w:t>建诚恒瑞新能源新通信产品数智化制造项目</w:t>
            </w:r>
            <w:bookmarkEnd w:id="214"/>
          </w:p>
        </w:tc>
        <w:tc>
          <w:tcPr>
            <w:tcW w:w="1905" w:type="pct"/>
            <w:shd w:val="clear" w:color="auto" w:fill="FFFFFF" w:themeFill="background1"/>
            <w:tcMar>
              <w:top w:w="20" w:type="dxa"/>
              <w:left w:w="20" w:type="dxa"/>
              <w:bottom w:w="72" w:type="dxa"/>
              <w:right w:w="20" w:type="dxa"/>
            </w:tcMar>
            <w:vAlign w:val="center"/>
          </w:tcPr>
          <w:p w14:paraId="7ABC33ED">
            <w:pPr>
              <w:rPr>
                <w:rFonts w:ascii="Times New Roman" w:hAnsi="Times New Roman" w:eastAsia="宋体" w:cs="宋体"/>
                <w:kern w:val="0"/>
                <w:szCs w:val="21"/>
              </w:rPr>
            </w:pPr>
            <w:r>
              <w:rPr>
                <w:rFonts w:ascii="Times New Roman" w:hAnsi="Times New Roman" w:eastAsia="宋体" w:cs="宋体"/>
                <w:kern w:val="0"/>
                <w:szCs w:val="21"/>
              </w:rPr>
              <w:t>占地面积37383</w:t>
            </w:r>
            <w:r>
              <w:rPr>
                <w:rFonts w:hint="eastAsia" w:ascii="Times New Roman" w:hAnsi="Times New Roman" w:eastAsia="宋体" w:cs="宋体"/>
                <w:kern w:val="0"/>
                <w:szCs w:val="21"/>
              </w:rPr>
              <w:t>平方米</w:t>
            </w:r>
            <w:r>
              <w:rPr>
                <w:rFonts w:ascii="Times New Roman" w:hAnsi="Times New Roman" w:eastAsia="宋体" w:cs="宋体"/>
                <w:kern w:val="0"/>
                <w:szCs w:val="21"/>
              </w:rPr>
              <w:t>，建筑面积72072.7</w:t>
            </w:r>
            <w:r>
              <w:rPr>
                <w:rFonts w:hint="eastAsia" w:ascii="Times New Roman" w:hAnsi="Times New Roman" w:eastAsia="宋体" w:cs="宋体"/>
                <w:kern w:val="0"/>
                <w:szCs w:val="21"/>
              </w:rPr>
              <w:t>平方米</w:t>
            </w:r>
            <w:r>
              <w:rPr>
                <w:rFonts w:ascii="Times New Roman" w:hAnsi="Times New Roman" w:eastAsia="宋体" w:cs="宋体"/>
                <w:kern w:val="0"/>
                <w:szCs w:val="21"/>
              </w:rPr>
              <w:t>。项目主要从事智能IT服务器机柜体、智能5G通信基站电源系统柜体、智能UPS电源系统体、逆变器柜体、电源插框加工生产，年生产智能IT服务器机柜体30万件、智能5G通信基站电源系统柜体30万件、智能UPS电源系统体10 万件、逆变器柜体30万件、电源插框15万件</w:t>
            </w:r>
            <w:r>
              <w:rPr>
                <w:rFonts w:hint="eastAsia" w:ascii="Times New Roman" w:hAnsi="Times New Roman" w:eastAsia="宋体" w:cs="宋体"/>
                <w:kern w:val="0"/>
                <w:szCs w:val="21"/>
              </w:rPr>
              <w:t>。</w:t>
            </w:r>
          </w:p>
        </w:tc>
        <w:tc>
          <w:tcPr>
            <w:tcW w:w="401" w:type="pct"/>
            <w:shd w:val="clear" w:color="auto" w:fill="FFFFFF" w:themeFill="background1"/>
            <w:tcMar>
              <w:top w:w="20" w:type="dxa"/>
              <w:left w:w="20" w:type="dxa"/>
              <w:bottom w:w="72" w:type="dxa"/>
              <w:right w:w="20" w:type="dxa"/>
            </w:tcMar>
            <w:vAlign w:val="center"/>
          </w:tcPr>
          <w:p w14:paraId="212109CE">
            <w:pPr>
              <w:jc w:val="center"/>
              <w:rPr>
                <w:rFonts w:ascii="Times New Roman" w:hAnsi="Times New Roman" w:eastAsia="宋体" w:cs="宋体"/>
                <w:kern w:val="0"/>
                <w:szCs w:val="21"/>
              </w:rPr>
            </w:pPr>
            <w:r>
              <w:rPr>
                <w:rFonts w:hint="eastAsia" w:ascii="Times New Roman" w:hAnsi="Times New Roman" w:eastAsia="宋体" w:cs="宋体"/>
                <w:kern w:val="0"/>
                <w:szCs w:val="21"/>
              </w:rPr>
              <w:t>3.3</w:t>
            </w:r>
          </w:p>
        </w:tc>
        <w:tc>
          <w:tcPr>
            <w:tcW w:w="401" w:type="pct"/>
            <w:shd w:val="clear" w:color="auto" w:fill="FFFFFF" w:themeFill="background1"/>
            <w:tcMar>
              <w:top w:w="20" w:type="dxa"/>
              <w:left w:w="20" w:type="dxa"/>
              <w:bottom w:w="72" w:type="dxa"/>
              <w:right w:w="20" w:type="dxa"/>
            </w:tcMar>
            <w:vAlign w:val="center"/>
          </w:tcPr>
          <w:p w14:paraId="0B81DD4F">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1013DF64">
            <w:pPr>
              <w:jc w:val="center"/>
              <w:rPr>
                <w:rFonts w:ascii="Times New Roman" w:hAnsi="Times New Roman" w:eastAsia="宋体" w:cs="宋体"/>
                <w:kern w:val="0"/>
                <w:szCs w:val="21"/>
              </w:rPr>
            </w:pPr>
            <w:r>
              <w:rPr>
                <w:rFonts w:hint="eastAsia" w:ascii="Times New Roman" w:hAnsi="Times New Roman" w:eastAsia="宋体" w:cs="宋体"/>
                <w:kern w:val="0"/>
                <w:szCs w:val="21"/>
              </w:rPr>
              <w:t>2025-2027</w:t>
            </w:r>
          </w:p>
        </w:tc>
        <w:tc>
          <w:tcPr>
            <w:tcW w:w="440" w:type="pct"/>
            <w:shd w:val="clear" w:color="auto" w:fill="FFFFFF" w:themeFill="background1"/>
            <w:tcMar>
              <w:top w:w="20" w:type="dxa"/>
              <w:left w:w="20" w:type="dxa"/>
              <w:bottom w:w="72" w:type="dxa"/>
              <w:right w:w="20" w:type="dxa"/>
            </w:tcMar>
            <w:vAlign w:val="center"/>
          </w:tcPr>
          <w:p w14:paraId="656DC1F0">
            <w:pPr>
              <w:jc w:val="center"/>
              <w:rPr>
                <w:rFonts w:ascii="Times New Roman" w:hAnsi="Times New Roman" w:eastAsia="宋体" w:cs="宋体"/>
                <w:kern w:val="0"/>
                <w:szCs w:val="21"/>
              </w:rPr>
            </w:pPr>
            <w:r>
              <w:rPr>
                <w:rFonts w:hint="eastAsia" w:ascii="Times New Roman" w:hAnsi="Times New Roman" w:eastAsia="宋体" w:cs="宋体"/>
                <w:kern w:val="0"/>
                <w:szCs w:val="21"/>
              </w:rPr>
              <w:t>绵阳建诚恒瑞集团有限公司</w:t>
            </w:r>
          </w:p>
        </w:tc>
      </w:tr>
      <w:tr w14:paraId="722F6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6" w:hRule="atLeast"/>
          <w:jc w:val="center"/>
        </w:trPr>
        <w:tc>
          <w:tcPr>
            <w:tcW w:w="199" w:type="pct"/>
            <w:shd w:val="clear" w:color="auto" w:fill="FFFFFF" w:themeFill="background1"/>
            <w:tcMar>
              <w:top w:w="72" w:type="dxa"/>
              <w:left w:w="144" w:type="dxa"/>
              <w:bottom w:w="72" w:type="dxa"/>
              <w:right w:w="144" w:type="dxa"/>
            </w:tcMar>
            <w:vAlign w:val="center"/>
          </w:tcPr>
          <w:p w14:paraId="67399487">
            <w:pPr>
              <w:jc w:val="center"/>
              <w:rPr>
                <w:rFonts w:ascii="Times New Roman" w:hAnsi="Times New Roman" w:eastAsia="宋体" w:cs="宋体"/>
                <w:kern w:val="0"/>
                <w:szCs w:val="21"/>
              </w:rPr>
            </w:pPr>
            <w:r>
              <w:rPr>
                <w:rFonts w:hint="eastAsia" w:ascii="Times New Roman" w:hAnsi="Times New Roman" w:eastAsia="宋体" w:cs="宋体"/>
                <w:kern w:val="0"/>
                <w:szCs w:val="21"/>
              </w:rPr>
              <w:t>15</w:t>
            </w:r>
          </w:p>
        </w:tc>
        <w:tc>
          <w:tcPr>
            <w:tcW w:w="451" w:type="pct"/>
            <w:vMerge w:val="continue"/>
            <w:shd w:val="clear" w:color="auto" w:fill="FFFFFF" w:themeFill="background1"/>
            <w:tcMar>
              <w:top w:w="72" w:type="dxa"/>
              <w:left w:w="144" w:type="dxa"/>
              <w:bottom w:w="72" w:type="dxa"/>
              <w:right w:w="144" w:type="dxa"/>
            </w:tcMar>
            <w:vAlign w:val="center"/>
          </w:tcPr>
          <w:p w14:paraId="2703F296">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5D7E1B6A">
            <w:pPr>
              <w:jc w:val="center"/>
              <w:rPr>
                <w:rFonts w:ascii="Times New Roman" w:hAnsi="Times New Roman" w:eastAsia="宋体" w:cs="宋体"/>
                <w:kern w:val="0"/>
                <w:szCs w:val="21"/>
              </w:rPr>
            </w:pPr>
            <w:bookmarkStart w:id="215" w:name="OLE_LINK27"/>
            <w:r>
              <w:rPr>
                <w:rFonts w:hint="eastAsia" w:ascii="Times New Roman" w:hAnsi="Times New Roman" w:eastAsia="宋体" w:cs="宋体"/>
                <w:kern w:val="0"/>
                <w:szCs w:val="21"/>
              </w:rPr>
              <w:t>广东椰泰天然食品有限公司咖啡、椰子汁、果汁、凉茶、运动饮料生产项目</w:t>
            </w:r>
            <w:bookmarkEnd w:id="215"/>
          </w:p>
        </w:tc>
        <w:tc>
          <w:tcPr>
            <w:tcW w:w="1905" w:type="pct"/>
            <w:shd w:val="clear" w:color="auto" w:fill="FFFFFF" w:themeFill="background1"/>
            <w:tcMar>
              <w:top w:w="20" w:type="dxa"/>
              <w:left w:w="20" w:type="dxa"/>
              <w:bottom w:w="72" w:type="dxa"/>
              <w:right w:w="20" w:type="dxa"/>
            </w:tcMar>
            <w:vAlign w:val="center"/>
          </w:tcPr>
          <w:p w14:paraId="49EE90D1">
            <w:pPr>
              <w:rPr>
                <w:rFonts w:ascii="Times New Roman" w:hAnsi="Times New Roman" w:eastAsia="宋体" w:cs="宋体"/>
                <w:kern w:val="0"/>
                <w:szCs w:val="21"/>
              </w:rPr>
            </w:pPr>
            <w:r>
              <w:rPr>
                <w:rFonts w:hint="eastAsia" w:ascii="Times New Roman" w:hAnsi="Times New Roman" w:eastAsia="宋体" w:cs="宋体"/>
                <w:kern w:val="0"/>
                <w:szCs w:val="21"/>
              </w:rPr>
              <w:t>建设10条无菌饮料生产线，项目设计年产椰子汁和其他果汁270000吨、咖啡10000吨、酸奶9000吨、运动饮料3000吨、凉茶8000吨。</w:t>
            </w:r>
          </w:p>
        </w:tc>
        <w:tc>
          <w:tcPr>
            <w:tcW w:w="401" w:type="pct"/>
            <w:shd w:val="clear" w:color="auto" w:fill="FFFFFF" w:themeFill="background1"/>
            <w:tcMar>
              <w:top w:w="20" w:type="dxa"/>
              <w:left w:w="20" w:type="dxa"/>
              <w:bottom w:w="72" w:type="dxa"/>
              <w:right w:w="20" w:type="dxa"/>
            </w:tcMar>
            <w:vAlign w:val="center"/>
          </w:tcPr>
          <w:p w14:paraId="60367D90">
            <w:pPr>
              <w:jc w:val="center"/>
              <w:rPr>
                <w:rFonts w:ascii="Times New Roman" w:hAnsi="Times New Roman" w:eastAsia="宋体" w:cs="宋体"/>
                <w:kern w:val="0"/>
                <w:szCs w:val="21"/>
              </w:rPr>
            </w:pPr>
            <w:r>
              <w:rPr>
                <w:rFonts w:hint="eastAsia" w:ascii="Times New Roman" w:hAnsi="Times New Roman" w:eastAsia="宋体" w:cs="宋体"/>
                <w:kern w:val="0"/>
                <w:szCs w:val="21"/>
              </w:rPr>
              <w:t>10</w:t>
            </w:r>
          </w:p>
        </w:tc>
        <w:tc>
          <w:tcPr>
            <w:tcW w:w="401" w:type="pct"/>
            <w:shd w:val="clear" w:color="auto" w:fill="FFFFFF" w:themeFill="background1"/>
            <w:tcMar>
              <w:top w:w="20" w:type="dxa"/>
              <w:left w:w="20" w:type="dxa"/>
              <w:bottom w:w="72" w:type="dxa"/>
              <w:right w:w="20" w:type="dxa"/>
            </w:tcMar>
            <w:vAlign w:val="center"/>
          </w:tcPr>
          <w:p w14:paraId="257BDCC6">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1BD15B25">
            <w:pPr>
              <w:jc w:val="center"/>
              <w:rPr>
                <w:rFonts w:ascii="Times New Roman" w:hAnsi="Times New Roman" w:eastAsia="宋体" w:cs="宋体"/>
                <w:kern w:val="0"/>
                <w:szCs w:val="21"/>
              </w:rPr>
            </w:pPr>
            <w:r>
              <w:rPr>
                <w:rFonts w:hint="eastAsia" w:ascii="Times New Roman" w:hAnsi="Times New Roman" w:eastAsia="宋体" w:cs="宋体"/>
                <w:kern w:val="0"/>
                <w:szCs w:val="21"/>
              </w:rPr>
              <w:t>2025-2027</w:t>
            </w:r>
          </w:p>
        </w:tc>
        <w:tc>
          <w:tcPr>
            <w:tcW w:w="440" w:type="pct"/>
            <w:shd w:val="clear" w:color="auto" w:fill="FFFFFF" w:themeFill="background1"/>
            <w:tcMar>
              <w:top w:w="20" w:type="dxa"/>
              <w:left w:w="20" w:type="dxa"/>
              <w:bottom w:w="72" w:type="dxa"/>
              <w:right w:w="20" w:type="dxa"/>
            </w:tcMar>
            <w:vAlign w:val="center"/>
          </w:tcPr>
          <w:p w14:paraId="49A24B4B">
            <w:pPr>
              <w:jc w:val="center"/>
              <w:rPr>
                <w:rFonts w:ascii="Times New Roman" w:hAnsi="Times New Roman" w:eastAsia="宋体" w:cs="宋体"/>
                <w:kern w:val="0"/>
                <w:szCs w:val="21"/>
              </w:rPr>
            </w:pPr>
            <w:r>
              <w:rPr>
                <w:rFonts w:hint="eastAsia" w:ascii="Times New Roman" w:hAnsi="Times New Roman" w:eastAsia="宋体" w:cs="宋体"/>
                <w:kern w:val="0"/>
                <w:szCs w:val="21"/>
              </w:rPr>
              <w:t>园洲镇政府</w:t>
            </w:r>
          </w:p>
        </w:tc>
      </w:tr>
      <w:tr w14:paraId="1ACD7F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8" w:hRule="atLeast"/>
          <w:jc w:val="center"/>
        </w:trPr>
        <w:tc>
          <w:tcPr>
            <w:tcW w:w="199" w:type="pct"/>
            <w:shd w:val="clear" w:color="auto" w:fill="FFFFFF" w:themeFill="background1"/>
            <w:tcMar>
              <w:top w:w="72" w:type="dxa"/>
              <w:left w:w="144" w:type="dxa"/>
              <w:bottom w:w="72" w:type="dxa"/>
              <w:right w:w="144" w:type="dxa"/>
            </w:tcMar>
            <w:vAlign w:val="center"/>
          </w:tcPr>
          <w:p w14:paraId="1F7EBF37">
            <w:pPr>
              <w:jc w:val="center"/>
              <w:rPr>
                <w:rFonts w:ascii="Times New Roman" w:hAnsi="Times New Roman" w:eastAsia="宋体" w:cs="宋体"/>
                <w:kern w:val="0"/>
                <w:szCs w:val="21"/>
              </w:rPr>
            </w:pPr>
            <w:r>
              <w:rPr>
                <w:rFonts w:hint="eastAsia" w:ascii="Times New Roman" w:hAnsi="Times New Roman" w:eastAsia="宋体" w:cs="宋体"/>
                <w:kern w:val="0"/>
                <w:szCs w:val="21"/>
              </w:rPr>
              <w:t>16</w:t>
            </w:r>
          </w:p>
        </w:tc>
        <w:tc>
          <w:tcPr>
            <w:tcW w:w="451" w:type="pct"/>
            <w:vMerge w:val="continue"/>
            <w:shd w:val="clear" w:color="auto" w:fill="FFFFFF" w:themeFill="background1"/>
            <w:tcMar>
              <w:top w:w="72" w:type="dxa"/>
              <w:left w:w="144" w:type="dxa"/>
              <w:bottom w:w="72" w:type="dxa"/>
              <w:right w:w="144" w:type="dxa"/>
            </w:tcMar>
            <w:vAlign w:val="center"/>
          </w:tcPr>
          <w:p w14:paraId="5C7A623E">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5E17C661">
            <w:pPr>
              <w:jc w:val="center"/>
              <w:rPr>
                <w:rFonts w:ascii="Times New Roman" w:hAnsi="Times New Roman" w:eastAsia="宋体" w:cs="宋体"/>
                <w:kern w:val="0"/>
                <w:szCs w:val="21"/>
              </w:rPr>
            </w:pPr>
            <w:r>
              <w:rPr>
                <w:rFonts w:hint="eastAsia" w:ascii="Times New Roman" w:hAnsi="Times New Roman" w:eastAsia="宋体" w:cs="宋体"/>
                <w:kern w:val="0"/>
                <w:szCs w:val="21"/>
              </w:rPr>
              <w:t>惠州产投博罗（博西片区）智能制造产业园</w:t>
            </w:r>
          </w:p>
        </w:tc>
        <w:tc>
          <w:tcPr>
            <w:tcW w:w="1905" w:type="pct"/>
            <w:shd w:val="clear" w:color="auto" w:fill="FFFFFF" w:themeFill="background1"/>
            <w:tcMar>
              <w:top w:w="20" w:type="dxa"/>
              <w:left w:w="20" w:type="dxa"/>
              <w:bottom w:w="72" w:type="dxa"/>
              <w:right w:w="20" w:type="dxa"/>
            </w:tcMar>
            <w:vAlign w:val="center"/>
          </w:tcPr>
          <w:p w14:paraId="5122599E">
            <w:pPr>
              <w:jc w:val="center"/>
              <w:rPr>
                <w:rFonts w:ascii="Times New Roman" w:hAnsi="Times New Roman" w:eastAsia="宋体" w:cs="宋体"/>
                <w:kern w:val="0"/>
                <w:szCs w:val="21"/>
              </w:rPr>
            </w:pPr>
            <w:r>
              <w:rPr>
                <w:rFonts w:hint="eastAsia" w:ascii="Times New Roman" w:hAnsi="Times New Roman" w:eastAsia="宋体" w:cs="宋体"/>
                <w:kern w:val="0"/>
                <w:szCs w:val="21"/>
              </w:rPr>
              <w:t>主要建设高层厂房、多层厂房、宿舍、5G通信基站等。</w:t>
            </w:r>
          </w:p>
        </w:tc>
        <w:tc>
          <w:tcPr>
            <w:tcW w:w="401" w:type="pct"/>
            <w:shd w:val="clear" w:color="auto" w:fill="FFFFFF" w:themeFill="background1"/>
            <w:tcMar>
              <w:top w:w="20" w:type="dxa"/>
              <w:left w:w="20" w:type="dxa"/>
              <w:bottom w:w="72" w:type="dxa"/>
              <w:right w:w="20" w:type="dxa"/>
            </w:tcMar>
            <w:vAlign w:val="center"/>
          </w:tcPr>
          <w:p w14:paraId="2DD4EF32">
            <w:pPr>
              <w:jc w:val="center"/>
              <w:rPr>
                <w:rFonts w:ascii="Times New Roman" w:hAnsi="Times New Roman" w:eastAsia="宋体" w:cs="宋体"/>
                <w:kern w:val="0"/>
                <w:szCs w:val="21"/>
              </w:rPr>
            </w:pPr>
            <w:r>
              <w:rPr>
                <w:rFonts w:hint="eastAsia" w:ascii="Times New Roman" w:hAnsi="Times New Roman" w:eastAsia="宋体" w:cs="宋体"/>
                <w:kern w:val="0"/>
                <w:szCs w:val="21"/>
              </w:rPr>
              <w:t>5.0</w:t>
            </w:r>
          </w:p>
        </w:tc>
        <w:tc>
          <w:tcPr>
            <w:tcW w:w="401" w:type="pct"/>
            <w:shd w:val="clear" w:color="auto" w:fill="FFFFFF" w:themeFill="background1"/>
            <w:tcMar>
              <w:top w:w="20" w:type="dxa"/>
              <w:left w:w="20" w:type="dxa"/>
              <w:bottom w:w="72" w:type="dxa"/>
              <w:right w:w="20" w:type="dxa"/>
            </w:tcMar>
            <w:vAlign w:val="center"/>
          </w:tcPr>
          <w:p w14:paraId="5CE9211C">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76A8281A">
            <w:pPr>
              <w:jc w:val="center"/>
              <w:rPr>
                <w:rFonts w:ascii="Times New Roman" w:hAnsi="Times New Roman" w:eastAsia="宋体" w:cs="宋体"/>
                <w:kern w:val="0"/>
                <w:szCs w:val="21"/>
              </w:rPr>
            </w:pPr>
            <w:r>
              <w:rPr>
                <w:rFonts w:hint="eastAsia" w:ascii="Times New Roman" w:hAnsi="Times New Roman" w:eastAsia="宋体" w:cs="宋体"/>
                <w:kern w:val="0"/>
                <w:szCs w:val="21"/>
              </w:rPr>
              <w:t>2025-2027</w:t>
            </w:r>
          </w:p>
        </w:tc>
        <w:tc>
          <w:tcPr>
            <w:tcW w:w="440" w:type="pct"/>
            <w:shd w:val="clear" w:color="auto" w:fill="FFFFFF" w:themeFill="background1"/>
            <w:tcMar>
              <w:top w:w="20" w:type="dxa"/>
              <w:left w:w="20" w:type="dxa"/>
              <w:bottom w:w="72" w:type="dxa"/>
              <w:right w:w="20" w:type="dxa"/>
            </w:tcMar>
            <w:vAlign w:val="center"/>
          </w:tcPr>
          <w:p w14:paraId="2C177418">
            <w:pPr>
              <w:jc w:val="center"/>
              <w:rPr>
                <w:rFonts w:ascii="Times New Roman" w:hAnsi="Times New Roman" w:eastAsia="宋体" w:cs="宋体"/>
                <w:kern w:val="0"/>
                <w:szCs w:val="21"/>
              </w:rPr>
            </w:pPr>
            <w:r>
              <w:rPr>
                <w:rFonts w:hint="eastAsia" w:ascii="Times New Roman" w:hAnsi="Times New Roman" w:eastAsia="宋体" w:cs="宋体"/>
                <w:kern w:val="0"/>
                <w:szCs w:val="21"/>
              </w:rPr>
              <w:t>惠州产投园区开发建设有限公司</w:t>
            </w:r>
          </w:p>
        </w:tc>
      </w:tr>
      <w:tr w14:paraId="42FF88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58B1A4AD">
            <w:pPr>
              <w:jc w:val="center"/>
              <w:rPr>
                <w:rFonts w:ascii="Times New Roman" w:hAnsi="Times New Roman" w:eastAsia="宋体" w:cs="宋体"/>
                <w:kern w:val="0"/>
                <w:szCs w:val="21"/>
              </w:rPr>
            </w:pPr>
            <w:r>
              <w:rPr>
                <w:rFonts w:hint="eastAsia" w:ascii="Times New Roman" w:hAnsi="Times New Roman" w:eastAsia="宋体" w:cs="宋体"/>
                <w:kern w:val="0"/>
                <w:szCs w:val="21"/>
              </w:rPr>
              <w:t>17</w:t>
            </w:r>
          </w:p>
        </w:tc>
        <w:tc>
          <w:tcPr>
            <w:tcW w:w="451" w:type="pct"/>
            <w:vMerge w:val="continue"/>
            <w:shd w:val="clear" w:color="auto" w:fill="FFFFFF" w:themeFill="background1"/>
            <w:tcMar>
              <w:top w:w="72" w:type="dxa"/>
              <w:left w:w="144" w:type="dxa"/>
              <w:bottom w:w="72" w:type="dxa"/>
              <w:right w:w="144" w:type="dxa"/>
            </w:tcMar>
            <w:vAlign w:val="center"/>
          </w:tcPr>
          <w:p w14:paraId="32076B2C">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61A74728">
            <w:pPr>
              <w:jc w:val="center"/>
              <w:rPr>
                <w:rFonts w:ascii="Times New Roman" w:hAnsi="Times New Roman" w:eastAsia="宋体" w:cs="宋体"/>
                <w:kern w:val="0"/>
                <w:szCs w:val="21"/>
              </w:rPr>
            </w:pPr>
            <w:r>
              <w:rPr>
                <w:rFonts w:hint="eastAsia" w:ascii="Times New Roman" w:hAnsi="Times New Roman" w:eastAsia="宋体" w:cs="宋体"/>
                <w:kern w:val="0"/>
                <w:szCs w:val="21"/>
              </w:rPr>
              <w:t>胜丰织造制衣（惠州）有限公司年产800万件服饰生产线新建项目</w:t>
            </w:r>
          </w:p>
        </w:tc>
        <w:tc>
          <w:tcPr>
            <w:tcW w:w="1905" w:type="pct"/>
            <w:shd w:val="clear" w:color="auto" w:fill="FFFFFF" w:themeFill="background1"/>
            <w:tcMar>
              <w:top w:w="20" w:type="dxa"/>
              <w:left w:w="20" w:type="dxa"/>
              <w:bottom w:w="72" w:type="dxa"/>
              <w:right w:w="20" w:type="dxa"/>
            </w:tcMar>
            <w:vAlign w:val="center"/>
          </w:tcPr>
          <w:p w14:paraId="6961B101">
            <w:pPr>
              <w:rPr>
                <w:rFonts w:ascii="Times New Roman" w:hAnsi="Times New Roman" w:eastAsia="宋体" w:cs="宋体"/>
                <w:kern w:val="0"/>
                <w:szCs w:val="21"/>
              </w:rPr>
            </w:pPr>
            <w:r>
              <w:rPr>
                <w:rFonts w:hint="eastAsia" w:ascii="Times New Roman" w:hAnsi="Times New Roman" w:eastAsia="宋体" w:cs="宋体"/>
                <w:kern w:val="0"/>
                <w:szCs w:val="21"/>
              </w:rPr>
              <w:t>主要生产织布、漂染、布制玩具；采用智能化、连续化纺纱成套装备生产高品质纱线，采用新型数控装备生产高支、高密、提花等高档机织、针织纺织品，达产预计生产规模800万件/年服饰。</w:t>
            </w:r>
          </w:p>
        </w:tc>
        <w:tc>
          <w:tcPr>
            <w:tcW w:w="401" w:type="pct"/>
            <w:shd w:val="clear" w:color="auto" w:fill="FFFFFF" w:themeFill="background1"/>
            <w:tcMar>
              <w:top w:w="20" w:type="dxa"/>
              <w:left w:w="20" w:type="dxa"/>
              <w:bottom w:w="72" w:type="dxa"/>
              <w:right w:w="20" w:type="dxa"/>
            </w:tcMar>
            <w:vAlign w:val="center"/>
          </w:tcPr>
          <w:p w14:paraId="63D06DA5">
            <w:pPr>
              <w:jc w:val="center"/>
              <w:rPr>
                <w:rFonts w:ascii="Times New Roman" w:hAnsi="Times New Roman" w:eastAsia="宋体" w:cs="宋体"/>
                <w:kern w:val="0"/>
                <w:szCs w:val="21"/>
              </w:rPr>
            </w:pPr>
            <w:r>
              <w:rPr>
                <w:rFonts w:hint="eastAsia" w:ascii="Times New Roman" w:hAnsi="Times New Roman" w:eastAsia="宋体" w:cs="宋体"/>
                <w:kern w:val="0"/>
                <w:szCs w:val="21"/>
              </w:rPr>
              <w:t>17</w:t>
            </w:r>
          </w:p>
        </w:tc>
        <w:tc>
          <w:tcPr>
            <w:tcW w:w="401" w:type="pct"/>
            <w:shd w:val="clear" w:color="auto" w:fill="FFFFFF" w:themeFill="background1"/>
            <w:tcMar>
              <w:top w:w="20" w:type="dxa"/>
              <w:left w:w="20" w:type="dxa"/>
              <w:bottom w:w="72" w:type="dxa"/>
              <w:right w:w="20" w:type="dxa"/>
            </w:tcMar>
            <w:vAlign w:val="center"/>
          </w:tcPr>
          <w:p w14:paraId="4E0B3D90">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2045A95D">
            <w:pPr>
              <w:jc w:val="center"/>
              <w:rPr>
                <w:rFonts w:ascii="Times New Roman" w:hAnsi="Times New Roman" w:eastAsia="宋体" w:cs="宋体"/>
                <w:kern w:val="0"/>
                <w:szCs w:val="21"/>
              </w:rPr>
            </w:pPr>
            <w:r>
              <w:rPr>
                <w:rFonts w:hint="eastAsia" w:ascii="Times New Roman" w:hAnsi="Times New Roman" w:eastAsia="宋体" w:cs="宋体"/>
                <w:kern w:val="0"/>
                <w:szCs w:val="21"/>
              </w:rPr>
              <w:t>2025-2027</w:t>
            </w:r>
          </w:p>
        </w:tc>
        <w:tc>
          <w:tcPr>
            <w:tcW w:w="440" w:type="pct"/>
            <w:shd w:val="clear" w:color="auto" w:fill="FFFFFF" w:themeFill="background1"/>
            <w:tcMar>
              <w:top w:w="20" w:type="dxa"/>
              <w:left w:w="20" w:type="dxa"/>
              <w:bottom w:w="72" w:type="dxa"/>
              <w:right w:w="20" w:type="dxa"/>
            </w:tcMar>
            <w:vAlign w:val="center"/>
          </w:tcPr>
          <w:p w14:paraId="2B7F056A">
            <w:pPr>
              <w:jc w:val="center"/>
              <w:rPr>
                <w:rFonts w:ascii="Times New Roman" w:hAnsi="Times New Roman" w:eastAsia="宋体" w:cs="宋体"/>
                <w:kern w:val="0"/>
                <w:szCs w:val="21"/>
              </w:rPr>
            </w:pPr>
            <w:r>
              <w:rPr>
                <w:rFonts w:hint="eastAsia" w:ascii="Times New Roman" w:hAnsi="Times New Roman" w:eastAsia="宋体" w:cs="宋体"/>
                <w:kern w:val="0"/>
                <w:szCs w:val="21"/>
              </w:rPr>
              <w:t>胜丰织造制衣（惠州）有限公司</w:t>
            </w:r>
          </w:p>
        </w:tc>
      </w:tr>
      <w:tr w14:paraId="6DA23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699" w:hRule="atLeast"/>
          <w:jc w:val="center"/>
        </w:trPr>
        <w:tc>
          <w:tcPr>
            <w:tcW w:w="199" w:type="pct"/>
            <w:shd w:val="clear" w:color="auto" w:fill="FFFFFF" w:themeFill="background1"/>
            <w:tcMar>
              <w:top w:w="72" w:type="dxa"/>
              <w:left w:w="144" w:type="dxa"/>
              <w:bottom w:w="72" w:type="dxa"/>
              <w:right w:w="144" w:type="dxa"/>
            </w:tcMar>
            <w:vAlign w:val="center"/>
          </w:tcPr>
          <w:p w14:paraId="6034C8A2">
            <w:pPr>
              <w:jc w:val="center"/>
              <w:rPr>
                <w:rFonts w:ascii="Times New Roman" w:hAnsi="Times New Roman" w:eastAsia="宋体" w:cs="宋体"/>
                <w:kern w:val="0"/>
                <w:szCs w:val="21"/>
              </w:rPr>
            </w:pPr>
            <w:r>
              <w:rPr>
                <w:rFonts w:ascii="Times New Roman" w:hAnsi="Times New Roman" w:eastAsia="宋体" w:cs="宋体"/>
                <w:kern w:val="0"/>
                <w:szCs w:val="21"/>
              </w:rPr>
              <w:t>1</w:t>
            </w:r>
            <w:r>
              <w:rPr>
                <w:rFonts w:hint="eastAsia" w:ascii="Times New Roman" w:hAnsi="Times New Roman" w:eastAsia="宋体" w:cs="宋体"/>
                <w:kern w:val="0"/>
                <w:szCs w:val="21"/>
              </w:rPr>
              <w:t>8</w:t>
            </w:r>
          </w:p>
        </w:tc>
        <w:tc>
          <w:tcPr>
            <w:tcW w:w="451" w:type="pct"/>
            <w:vMerge w:val="restart"/>
            <w:shd w:val="clear" w:color="auto" w:fill="FFFFFF" w:themeFill="background1"/>
            <w:tcMar>
              <w:top w:w="72" w:type="dxa"/>
              <w:left w:w="144" w:type="dxa"/>
              <w:bottom w:w="72" w:type="dxa"/>
              <w:right w:w="144" w:type="dxa"/>
            </w:tcMar>
            <w:vAlign w:val="center"/>
          </w:tcPr>
          <w:p w14:paraId="355D0A60">
            <w:pPr>
              <w:jc w:val="center"/>
              <w:rPr>
                <w:rFonts w:ascii="Times New Roman" w:hAnsi="Times New Roman" w:eastAsia="宋体" w:cs="宋体"/>
                <w:kern w:val="0"/>
                <w:szCs w:val="21"/>
              </w:rPr>
            </w:pPr>
            <w:r>
              <w:rPr>
                <w:rFonts w:hint="eastAsia" w:ascii="Times New Roman" w:hAnsi="Times New Roman" w:eastAsia="宋体" w:cs="宋体"/>
                <w:kern w:val="0"/>
                <w:szCs w:val="21"/>
              </w:rPr>
              <w:t>综合交通设施</w:t>
            </w:r>
          </w:p>
        </w:tc>
        <w:tc>
          <w:tcPr>
            <w:tcW w:w="802" w:type="pct"/>
            <w:shd w:val="clear" w:color="auto" w:fill="FFFFFF" w:themeFill="background1"/>
            <w:tcMar>
              <w:top w:w="20" w:type="dxa"/>
              <w:left w:w="20" w:type="dxa"/>
              <w:bottom w:w="72" w:type="dxa"/>
              <w:right w:w="20" w:type="dxa"/>
            </w:tcMar>
            <w:vAlign w:val="center"/>
          </w:tcPr>
          <w:p w14:paraId="4D63E096">
            <w:pPr>
              <w:jc w:val="center"/>
              <w:rPr>
                <w:rFonts w:ascii="Times New Roman" w:hAnsi="Times New Roman" w:eastAsia="宋体" w:cs="宋体"/>
                <w:kern w:val="0"/>
                <w:szCs w:val="21"/>
              </w:rPr>
            </w:pPr>
            <w:r>
              <w:rPr>
                <w:rFonts w:hint="eastAsia" w:ascii="Times New Roman" w:hAnsi="Times New Roman" w:eastAsia="宋体" w:cs="宋体"/>
                <w:kern w:val="0"/>
                <w:szCs w:val="21"/>
              </w:rPr>
              <w:t>广深城际东莞站—县域副中心—广汕铁路罗浮山站的莞博城际铁路通道项目</w:t>
            </w:r>
          </w:p>
        </w:tc>
        <w:tc>
          <w:tcPr>
            <w:tcW w:w="1905" w:type="pct"/>
            <w:shd w:val="clear" w:color="auto" w:fill="FFFFFF" w:themeFill="background1"/>
            <w:tcMar>
              <w:top w:w="20" w:type="dxa"/>
              <w:left w:w="20" w:type="dxa"/>
              <w:bottom w:w="72" w:type="dxa"/>
              <w:right w:w="20" w:type="dxa"/>
            </w:tcMar>
            <w:vAlign w:val="center"/>
          </w:tcPr>
          <w:p w14:paraId="0BABC0EC">
            <w:pPr>
              <w:rPr>
                <w:rFonts w:ascii="Times New Roman" w:hAnsi="Times New Roman" w:eastAsia="宋体" w:cs="宋体"/>
                <w:kern w:val="0"/>
                <w:szCs w:val="21"/>
              </w:rPr>
            </w:pPr>
            <w:r>
              <w:rPr>
                <w:rFonts w:hint="eastAsia" w:ascii="Times New Roman" w:hAnsi="Times New Roman" w:eastAsia="宋体" w:cs="宋体"/>
                <w:kern w:val="0"/>
                <w:szCs w:val="21"/>
              </w:rPr>
              <w:t>积极争取列入粤港澳大湾区城际铁路建设规划，下达勘察设计计划，完成项目开工建设前期工作。</w:t>
            </w:r>
          </w:p>
        </w:tc>
        <w:tc>
          <w:tcPr>
            <w:tcW w:w="401" w:type="pct"/>
            <w:shd w:val="clear" w:color="auto" w:fill="FFFFFF" w:themeFill="background1"/>
            <w:tcMar>
              <w:top w:w="20" w:type="dxa"/>
              <w:left w:w="20" w:type="dxa"/>
              <w:bottom w:w="72" w:type="dxa"/>
              <w:right w:w="20" w:type="dxa"/>
            </w:tcMar>
            <w:vAlign w:val="center"/>
          </w:tcPr>
          <w:p w14:paraId="5714DCD3">
            <w:pPr>
              <w:jc w:val="center"/>
              <w:rPr>
                <w:rFonts w:ascii="Times New Roman" w:hAnsi="Times New Roman" w:eastAsia="宋体" w:cs="宋体"/>
                <w:kern w:val="0"/>
                <w:szCs w:val="21"/>
              </w:rPr>
            </w:pPr>
            <w:r>
              <w:rPr>
                <w:rFonts w:hint="eastAsia" w:ascii="Times New Roman" w:hAnsi="Times New Roman" w:eastAsia="宋体" w:cs="宋体"/>
                <w:kern w:val="0"/>
                <w:szCs w:val="21"/>
              </w:rPr>
              <w:t>——</w:t>
            </w:r>
          </w:p>
        </w:tc>
        <w:tc>
          <w:tcPr>
            <w:tcW w:w="401" w:type="pct"/>
            <w:shd w:val="clear" w:color="auto" w:fill="FFFFFF" w:themeFill="background1"/>
            <w:tcMar>
              <w:top w:w="20" w:type="dxa"/>
              <w:left w:w="20" w:type="dxa"/>
              <w:bottom w:w="72" w:type="dxa"/>
              <w:right w:w="20" w:type="dxa"/>
            </w:tcMar>
            <w:vAlign w:val="center"/>
          </w:tcPr>
          <w:p w14:paraId="5668623E">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7D8DCB52">
            <w:pPr>
              <w:jc w:val="center"/>
              <w:rPr>
                <w:rFonts w:ascii="Times New Roman" w:hAnsi="Times New Roman" w:eastAsia="宋体" w:cs="宋体"/>
                <w:kern w:val="0"/>
                <w:szCs w:val="21"/>
              </w:rPr>
            </w:pPr>
            <w:r>
              <w:rPr>
                <w:rFonts w:hint="eastAsia" w:ascii="Times New Roman" w:hAnsi="Times New Roman" w:eastAsia="宋体" w:cs="宋体"/>
                <w:kern w:val="0"/>
                <w:szCs w:val="21"/>
              </w:rPr>
              <w:t>2030-2035</w:t>
            </w:r>
          </w:p>
        </w:tc>
        <w:tc>
          <w:tcPr>
            <w:tcW w:w="440" w:type="pct"/>
            <w:shd w:val="clear" w:color="auto" w:fill="FFFFFF" w:themeFill="background1"/>
            <w:tcMar>
              <w:top w:w="20" w:type="dxa"/>
              <w:left w:w="20" w:type="dxa"/>
              <w:bottom w:w="72" w:type="dxa"/>
              <w:right w:w="20" w:type="dxa"/>
            </w:tcMar>
            <w:vAlign w:val="center"/>
          </w:tcPr>
          <w:p w14:paraId="43BE1115">
            <w:pPr>
              <w:jc w:val="center"/>
              <w:rPr>
                <w:rFonts w:ascii="Times New Roman" w:hAnsi="Times New Roman" w:eastAsia="宋体" w:cs="宋体"/>
                <w:kern w:val="0"/>
                <w:szCs w:val="21"/>
              </w:rPr>
            </w:pPr>
            <w:r>
              <w:rPr>
                <w:rFonts w:hint="eastAsia" w:ascii="Times New Roman" w:hAnsi="Times New Roman" w:eastAsia="宋体" w:cs="宋体"/>
                <w:kern w:val="0"/>
                <w:szCs w:val="21"/>
              </w:rPr>
              <w:t>县交通运输</w:t>
            </w:r>
          </w:p>
        </w:tc>
      </w:tr>
      <w:tr w14:paraId="36BAA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03E6AE5F">
            <w:pPr>
              <w:jc w:val="center"/>
              <w:rPr>
                <w:rFonts w:ascii="Times New Roman" w:hAnsi="Times New Roman" w:eastAsia="宋体" w:cs="宋体"/>
                <w:kern w:val="0"/>
                <w:szCs w:val="21"/>
              </w:rPr>
            </w:pPr>
            <w:r>
              <w:rPr>
                <w:rFonts w:hint="eastAsia" w:ascii="Times New Roman" w:hAnsi="Times New Roman" w:eastAsia="宋体" w:cs="宋体"/>
                <w:kern w:val="0"/>
                <w:szCs w:val="21"/>
              </w:rPr>
              <w:t>19</w:t>
            </w:r>
          </w:p>
        </w:tc>
        <w:tc>
          <w:tcPr>
            <w:tcW w:w="451" w:type="pct"/>
            <w:vMerge w:val="continue"/>
            <w:shd w:val="clear" w:color="auto" w:fill="FFFFFF" w:themeFill="background1"/>
            <w:tcMar>
              <w:top w:w="72" w:type="dxa"/>
              <w:left w:w="144" w:type="dxa"/>
              <w:bottom w:w="72" w:type="dxa"/>
              <w:right w:w="144" w:type="dxa"/>
            </w:tcMar>
            <w:vAlign w:val="center"/>
          </w:tcPr>
          <w:p w14:paraId="43BC1880">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2204C3DD">
            <w:pPr>
              <w:jc w:val="center"/>
              <w:rPr>
                <w:rFonts w:ascii="Times New Roman" w:hAnsi="Times New Roman" w:eastAsia="宋体" w:cs="宋体"/>
                <w:kern w:val="0"/>
                <w:szCs w:val="21"/>
              </w:rPr>
            </w:pPr>
            <w:r>
              <w:rPr>
                <w:rFonts w:hint="eastAsia" w:ascii="Times New Roman" w:hAnsi="Times New Roman" w:eastAsia="宋体" w:cs="宋体"/>
                <w:kern w:val="0"/>
                <w:szCs w:val="21"/>
              </w:rPr>
              <w:t>博罗县域副中心通用机场项目</w:t>
            </w:r>
          </w:p>
        </w:tc>
        <w:tc>
          <w:tcPr>
            <w:tcW w:w="1905" w:type="pct"/>
            <w:shd w:val="clear" w:color="auto" w:fill="FFFFFF" w:themeFill="background1"/>
            <w:tcMar>
              <w:top w:w="20" w:type="dxa"/>
              <w:left w:w="20" w:type="dxa"/>
              <w:bottom w:w="72" w:type="dxa"/>
              <w:right w:w="20" w:type="dxa"/>
            </w:tcMar>
            <w:vAlign w:val="center"/>
          </w:tcPr>
          <w:p w14:paraId="2BDAB533">
            <w:pPr>
              <w:rPr>
                <w:rFonts w:ascii="Times New Roman" w:hAnsi="Times New Roman" w:eastAsia="宋体" w:cs="宋体"/>
                <w:kern w:val="0"/>
                <w:szCs w:val="21"/>
              </w:rPr>
            </w:pPr>
            <w:r>
              <w:rPr>
                <w:rFonts w:hint="eastAsia" w:ascii="Times New Roman" w:hAnsi="Times New Roman" w:eastAsia="宋体" w:cs="宋体"/>
                <w:kern w:val="0"/>
                <w:szCs w:val="21"/>
              </w:rPr>
              <w:t>积极争取列入省通用机场“十五五”规划重大项目计划，完成项目立项，开展选址论证、地质勘察、勘测定界、环境评估和初步设计及施工图设计等准备工作。</w:t>
            </w:r>
            <w:bookmarkStart w:id="236" w:name="_GoBack"/>
            <w:bookmarkEnd w:id="236"/>
          </w:p>
        </w:tc>
        <w:tc>
          <w:tcPr>
            <w:tcW w:w="401" w:type="pct"/>
            <w:shd w:val="clear" w:color="auto" w:fill="FFFFFF" w:themeFill="background1"/>
            <w:tcMar>
              <w:top w:w="20" w:type="dxa"/>
              <w:left w:w="20" w:type="dxa"/>
              <w:bottom w:w="72" w:type="dxa"/>
              <w:right w:w="20" w:type="dxa"/>
            </w:tcMar>
            <w:vAlign w:val="center"/>
          </w:tcPr>
          <w:p w14:paraId="00663D0C">
            <w:pPr>
              <w:jc w:val="center"/>
              <w:rPr>
                <w:rFonts w:ascii="Times New Roman" w:hAnsi="Times New Roman" w:eastAsia="宋体" w:cs="宋体"/>
                <w:kern w:val="0"/>
                <w:szCs w:val="21"/>
              </w:rPr>
            </w:pPr>
            <w:r>
              <w:rPr>
                <w:rFonts w:hint="eastAsia" w:ascii="Times New Roman" w:hAnsi="Times New Roman" w:eastAsia="宋体" w:cs="宋体"/>
                <w:kern w:val="0"/>
                <w:szCs w:val="21"/>
              </w:rPr>
              <w:t>——</w:t>
            </w:r>
          </w:p>
        </w:tc>
        <w:tc>
          <w:tcPr>
            <w:tcW w:w="401" w:type="pct"/>
            <w:shd w:val="clear" w:color="auto" w:fill="FFFFFF" w:themeFill="background1"/>
            <w:tcMar>
              <w:top w:w="20" w:type="dxa"/>
              <w:left w:w="20" w:type="dxa"/>
              <w:bottom w:w="72" w:type="dxa"/>
              <w:right w:w="20" w:type="dxa"/>
            </w:tcMar>
            <w:vAlign w:val="center"/>
          </w:tcPr>
          <w:p w14:paraId="6D40AED4">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657FE111">
            <w:pPr>
              <w:jc w:val="center"/>
              <w:rPr>
                <w:rFonts w:ascii="Times New Roman" w:hAnsi="Times New Roman" w:eastAsia="宋体" w:cs="宋体"/>
                <w:kern w:val="0"/>
                <w:szCs w:val="21"/>
              </w:rPr>
            </w:pPr>
            <w:r>
              <w:rPr>
                <w:rFonts w:hint="eastAsia" w:ascii="Times New Roman" w:hAnsi="Times New Roman" w:eastAsia="宋体" w:cs="宋体"/>
                <w:kern w:val="0"/>
                <w:szCs w:val="21"/>
              </w:rPr>
              <w:t>2030-2035</w:t>
            </w:r>
          </w:p>
        </w:tc>
        <w:tc>
          <w:tcPr>
            <w:tcW w:w="440" w:type="pct"/>
            <w:shd w:val="clear" w:color="auto" w:fill="FFFFFF" w:themeFill="background1"/>
            <w:tcMar>
              <w:top w:w="20" w:type="dxa"/>
              <w:left w:w="20" w:type="dxa"/>
              <w:bottom w:w="72" w:type="dxa"/>
              <w:right w:w="20" w:type="dxa"/>
            </w:tcMar>
            <w:vAlign w:val="center"/>
          </w:tcPr>
          <w:p w14:paraId="75EA4089">
            <w:pPr>
              <w:jc w:val="center"/>
              <w:rPr>
                <w:rFonts w:ascii="Times New Roman" w:hAnsi="Times New Roman" w:eastAsia="宋体" w:cs="宋体"/>
                <w:kern w:val="0"/>
                <w:szCs w:val="21"/>
              </w:rPr>
            </w:pPr>
            <w:r>
              <w:rPr>
                <w:rFonts w:hint="eastAsia" w:ascii="Times New Roman" w:hAnsi="Times New Roman" w:eastAsia="宋体" w:cs="宋体"/>
                <w:kern w:val="0"/>
                <w:szCs w:val="21"/>
              </w:rPr>
              <w:t>县交通运输</w:t>
            </w:r>
          </w:p>
        </w:tc>
      </w:tr>
      <w:tr w14:paraId="74524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32DEF7F0">
            <w:pPr>
              <w:jc w:val="center"/>
              <w:rPr>
                <w:rFonts w:ascii="Times New Roman" w:hAnsi="Times New Roman" w:eastAsia="宋体" w:cs="宋体"/>
                <w:kern w:val="0"/>
                <w:szCs w:val="21"/>
              </w:rPr>
            </w:pPr>
            <w:r>
              <w:rPr>
                <w:rFonts w:hint="eastAsia" w:ascii="Times New Roman" w:hAnsi="Times New Roman" w:eastAsia="宋体" w:cs="宋体"/>
                <w:kern w:val="0"/>
                <w:szCs w:val="21"/>
              </w:rPr>
              <w:t>20</w:t>
            </w:r>
          </w:p>
        </w:tc>
        <w:tc>
          <w:tcPr>
            <w:tcW w:w="451" w:type="pct"/>
            <w:vMerge w:val="continue"/>
            <w:shd w:val="clear" w:color="auto" w:fill="FFFFFF" w:themeFill="background1"/>
            <w:tcMar>
              <w:top w:w="72" w:type="dxa"/>
              <w:left w:w="144" w:type="dxa"/>
              <w:bottom w:w="72" w:type="dxa"/>
              <w:right w:w="144" w:type="dxa"/>
            </w:tcMar>
            <w:vAlign w:val="center"/>
          </w:tcPr>
          <w:p w14:paraId="2EDA7A92">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0E9CF85A">
            <w:pPr>
              <w:jc w:val="center"/>
              <w:rPr>
                <w:rFonts w:ascii="Times New Roman" w:hAnsi="Times New Roman" w:eastAsia="宋体" w:cs="宋体"/>
                <w:kern w:val="0"/>
                <w:szCs w:val="21"/>
              </w:rPr>
            </w:pPr>
            <w:r>
              <w:rPr>
                <w:rFonts w:ascii="Times New Roman" w:hAnsi="Times New Roman" w:eastAsia="宋体" w:cs="宋体"/>
                <w:kern w:val="0"/>
                <w:szCs w:val="21"/>
              </w:rPr>
              <w:t>惠（州）肇（庆）高速惠城至增城段</w:t>
            </w:r>
            <w:r>
              <w:rPr>
                <w:rFonts w:hint="eastAsia" w:ascii="Times New Roman" w:hAnsi="Times New Roman" w:eastAsia="宋体" w:cs="宋体"/>
                <w:kern w:val="0"/>
                <w:szCs w:val="21"/>
              </w:rPr>
              <w:t>（县域副中心部分）</w:t>
            </w:r>
          </w:p>
        </w:tc>
        <w:tc>
          <w:tcPr>
            <w:tcW w:w="1905" w:type="pct"/>
            <w:shd w:val="clear" w:color="auto" w:fill="FFFFFF" w:themeFill="background1"/>
            <w:tcMar>
              <w:top w:w="20" w:type="dxa"/>
              <w:left w:w="20" w:type="dxa"/>
              <w:bottom w:w="72" w:type="dxa"/>
              <w:right w:w="20" w:type="dxa"/>
            </w:tcMar>
            <w:vAlign w:val="center"/>
          </w:tcPr>
          <w:p w14:paraId="36F048D9">
            <w:pPr>
              <w:rPr>
                <w:rFonts w:ascii="Times New Roman" w:hAnsi="Times New Roman" w:eastAsia="宋体" w:cs="宋体"/>
                <w:kern w:val="0"/>
                <w:szCs w:val="21"/>
              </w:rPr>
            </w:pPr>
            <w:r>
              <w:rPr>
                <w:rFonts w:hint="eastAsia" w:ascii="Times New Roman" w:hAnsi="Times New Roman" w:eastAsia="宋体" w:cs="宋体"/>
                <w:kern w:val="0"/>
                <w:szCs w:val="21"/>
              </w:rPr>
              <w:t>路线全长约23公里，</w:t>
            </w:r>
            <w:r>
              <w:rPr>
                <w:rFonts w:ascii="Times New Roman" w:hAnsi="Times New Roman" w:eastAsia="宋体" w:cs="宋体"/>
                <w:kern w:val="0"/>
                <w:szCs w:val="21"/>
              </w:rPr>
              <w:t>拟采用双向八车道高速公路技术标准，设计速度120公里/小时，路基宽度42米</w:t>
            </w:r>
            <w:r>
              <w:rPr>
                <w:rFonts w:hint="eastAsia" w:ascii="Times New Roman" w:hAnsi="Times New Roman" w:eastAsia="宋体" w:cs="宋体"/>
                <w:kern w:val="0"/>
                <w:szCs w:val="21"/>
              </w:rPr>
              <w:t>，县域副中心设有园洲北、石湾西2个互通出入口。</w:t>
            </w:r>
          </w:p>
        </w:tc>
        <w:tc>
          <w:tcPr>
            <w:tcW w:w="401" w:type="pct"/>
            <w:shd w:val="clear" w:color="auto" w:fill="FFFFFF" w:themeFill="background1"/>
            <w:tcMar>
              <w:top w:w="20" w:type="dxa"/>
              <w:left w:w="20" w:type="dxa"/>
              <w:bottom w:w="72" w:type="dxa"/>
              <w:right w:w="20" w:type="dxa"/>
            </w:tcMar>
            <w:vAlign w:val="center"/>
          </w:tcPr>
          <w:p w14:paraId="3B27707E">
            <w:pPr>
              <w:jc w:val="center"/>
              <w:rPr>
                <w:rFonts w:ascii="Times New Roman" w:hAnsi="Times New Roman" w:eastAsia="宋体" w:cs="宋体"/>
                <w:kern w:val="0"/>
                <w:szCs w:val="21"/>
              </w:rPr>
            </w:pPr>
            <w:r>
              <w:rPr>
                <w:rFonts w:hint="eastAsia" w:ascii="Times New Roman" w:hAnsi="Times New Roman" w:eastAsia="宋体" w:cs="宋体"/>
                <w:kern w:val="0"/>
                <w:szCs w:val="21"/>
              </w:rPr>
              <w:t>——</w:t>
            </w:r>
          </w:p>
        </w:tc>
        <w:tc>
          <w:tcPr>
            <w:tcW w:w="401" w:type="pct"/>
            <w:shd w:val="clear" w:color="auto" w:fill="FFFFFF" w:themeFill="background1"/>
            <w:tcMar>
              <w:top w:w="20" w:type="dxa"/>
              <w:left w:w="20" w:type="dxa"/>
              <w:bottom w:w="72" w:type="dxa"/>
              <w:right w:w="20" w:type="dxa"/>
            </w:tcMar>
            <w:vAlign w:val="center"/>
          </w:tcPr>
          <w:p w14:paraId="73136C6F">
            <w:pPr>
              <w:jc w:val="center"/>
              <w:rPr>
                <w:rFonts w:ascii="Times New Roman" w:hAnsi="Times New Roman" w:eastAsia="宋体" w:cs="宋体"/>
                <w:kern w:val="0"/>
                <w:szCs w:val="21"/>
              </w:rPr>
            </w:pPr>
            <w:r>
              <w:rPr>
                <w:rFonts w:hint="eastAsia" w:ascii="Times New Roman" w:hAnsi="Times New Roman" w:eastAsia="宋体" w:cs="宋体"/>
                <w:kern w:val="0"/>
                <w:szCs w:val="21"/>
              </w:rPr>
              <w:t>续建</w:t>
            </w:r>
          </w:p>
        </w:tc>
        <w:tc>
          <w:tcPr>
            <w:tcW w:w="401" w:type="pct"/>
            <w:shd w:val="clear" w:color="auto" w:fill="FFFFFF" w:themeFill="background1"/>
            <w:tcMar>
              <w:top w:w="20" w:type="dxa"/>
              <w:left w:w="20" w:type="dxa"/>
              <w:bottom w:w="72" w:type="dxa"/>
              <w:right w:w="20" w:type="dxa"/>
            </w:tcMar>
            <w:vAlign w:val="center"/>
          </w:tcPr>
          <w:p w14:paraId="4B33D649">
            <w:pPr>
              <w:jc w:val="center"/>
              <w:rPr>
                <w:rFonts w:ascii="Times New Roman" w:hAnsi="Times New Roman" w:eastAsia="宋体" w:cs="宋体"/>
                <w:kern w:val="0"/>
                <w:szCs w:val="21"/>
              </w:rPr>
            </w:pPr>
            <w:bookmarkStart w:id="216" w:name="OLE_LINK29"/>
            <w:r>
              <w:rPr>
                <w:rFonts w:hint="eastAsia" w:ascii="Times New Roman" w:hAnsi="Times New Roman" w:eastAsia="宋体" w:cs="宋体"/>
                <w:kern w:val="0"/>
                <w:szCs w:val="21"/>
              </w:rPr>
              <w:t>2025-2029</w:t>
            </w:r>
            <w:bookmarkEnd w:id="216"/>
          </w:p>
        </w:tc>
        <w:tc>
          <w:tcPr>
            <w:tcW w:w="440" w:type="pct"/>
            <w:shd w:val="clear" w:color="auto" w:fill="FFFFFF" w:themeFill="background1"/>
            <w:tcMar>
              <w:top w:w="20" w:type="dxa"/>
              <w:left w:w="20" w:type="dxa"/>
              <w:bottom w:w="72" w:type="dxa"/>
              <w:right w:w="20" w:type="dxa"/>
            </w:tcMar>
            <w:vAlign w:val="center"/>
          </w:tcPr>
          <w:p w14:paraId="1EB08105">
            <w:pPr>
              <w:jc w:val="center"/>
              <w:rPr>
                <w:rFonts w:ascii="Times New Roman" w:hAnsi="Times New Roman" w:eastAsia="宋体" w:cs="宋体"/>
                <w:kern w:val="0"/>
                <w:szCs w:val="21"/>
              </w:rPr>
            </w:pPr>
            <w:r>
              <w:rPr>
                <w:rFonts w:hint="eastAsia" w:ascii="Times New Roman" w:hAnsi="Times New Roman" w:eastAsia="宋体" w:cs="宋体"/>
                <w:kern w:val="0"/>
                <w:szCs w:val="21"/>
              </w:rPr>
              <w:t>县交通运输</w:t>
            </w:r>
          </w:p>
        </w:tc>
      </w:tr>
      <w:tr w14:paraId="088226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14CAFFD4">
            <w:pPr>
              <w:jc w:val="center"/>
              <w:rPr>
                <w:rFonts w:ascii="Times New Roman" w:hAnsi="Times New Roman" w:eastAsia="宋体" w:cs="宋体"/>
                <w:kern w:val="0"/>
                <w:szCs w:val="21"/>
              </w:rPr>
            </w:pPr>
            <w:r>
              <w:rPr>
                <w:rFonts w:hint="eastAsia" w:ascii="Times New Roman" w:hAnsi="Times New Roman" w:eastAsia="宋体" w:cs="宋体"/>
                <w:kern w:val="0"/>
                <w:szCs w:val="21"/>
              </w:rPr>
              <w:t>21</w:t>
            </w:r>
          </w:p>
        </w:tc>
        <w:tc>
          <w:tcPr>
            <w:tcW w:w="451" w:type="pct"/>
            <w:vMerge w:val="continue"/>
            <w:shd w:val="clear" w:color="auto" w:fill="FFFFFF" w:themeFill="background1"/>
            <w:tcMar>
              <w:top w:w="72" w:type="dxa"/>
              <w:left w:w="144" w:type="dxa"/>
              <w:bottom w:w="72" w:type="dxa"/>
              <w:right w:w="144" w:type="dxa"/>
            </w:tcMar>
            <w:vAlign w:val="center"/>
          </w:tcPr>
          <w:p w14:paraId="4AC5119A">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05411385">
            <w:pPr>
              <w:jc w:val="center"/>
              <w:rPr>
                <w:rFonts w:ascii="Times New Roman" w:hAnsi="Times New Roman" w:eastAsia="宋体" w:cs="宋体"/>
                <w:kern w:val="0"/>
                <w:szCs w:val="21"/>
              </w:rPr>
            </w:pPr>
            <w:bookmarkStart w:id="217" w:name="OLE_LINK28"/>
            <w:r>
              <w:rPr>
                <w:rFonts w:hint="eastAsia" w:ascii="Times New Roman" w:hAnsi="Times New Roman" w:eastAsia="宋体" w:cs="宋体"/>
                <w:kern w:val="0"/>
                <w:szCs w:val="21"/>
              </w:rPr>
              <w:t>从莞高速公路惠州段园洲南互通立交工程</w:t>
            </w:r>
            <w:bookmarkEnd w:id="217"/>
          </w:p>
        </w:tc>
        <w:tc>
          <w:tcPr>
            <w:tcW w:w="1905" w:type="pct"/>
            <w:shd w:val="clear" w:color="auto" w:fill="FFFFFF" w:themeFill="background1"/>
            <w:tcMar>
              <w:top w:w="20" w:type="dxa"/>
              <w:left w:w="20" w:type="dxa"/>
              <w:bottom w:w="72" w:type="dxa"/>
              <w:right w:w="20" w:type="dxa"/>
            </w:tcMar>
            <w:vAlign w:val="center"/>
          </w:tcPr>
          <w:p w14:paraId="2C968F3D">
            <w:pPr>
              <w:rPr>
                <w:rFonts w:ascii="Times New Roman" w:hAnsi="Times New Roman" w:eastAsia="宋体" w:cs="宋体"/>
                <w:kern w:val="0"/>
                <w:szCs w:val="21"/>
              </w:rPr>
            </w:pPr>
            <w:r>
              <w:rPr>
                <w:rFonts w:hint="eastAsia" w:ascii="Times New Roman" w:hAnsi="Times New Roman" w:eastAsia="宋体" w:cs="宋体"/>
                <w:kern w:val="0"/>
                <w:szCs w:val="21"/>
              </w:rPr>
              <w:t>设置1处收费站，匝道设计车速为40公里/小时，A匝道采用26.5米、19.5米的双向六车道和双向四车道断面，B、D、E匝道为单向单车道匝道，路基宽度为10.5米，C匝道为单向双车道匝道，路基宽度为10.5米。</w:t>
            </w:r>
          </w:p>
        </w:tc>
        <w:tc>
          <w:tcPr>
            <w:tcW w:w="401" w:type="pct"/>
            <w:shd w:val="clear" w:color="auto" w:fill="FFFFFF" w:themeFill="background1"/>
            <w:tcMar>
              <w:top w:w="20" w:type="dxa"/>
              <w:left w:w="20" w:type="dxa"/>
              <w:bottom w:w="72" w:type="dxa"/>
              <w:right w:w="20" w:type="dxa"/>
            </w:tcMar>
            <w:vAlign w:val="center"/>
          </w:tcPr>
          <w:p w14:paraId="2701DA4C">
            <w:pPr>
              <w:jc w:val="center"/>
              <w:rPr>
                <w:rFonts w:ascii="Times New Roman" w:hAnsi="Times New Roman" w:eastAsia="宋体" w:cs="宋体"/>
                <w:kern w:val="0"/>
                <w:szCs w:val="21"/>
              </w:rPr>
            </w:pPr>
            <w:r>
              <w:rPr>
                <w:rFonts w:hint="eastAsia" w:ascii="Times New Roman" w:hAnsi="Times New Roman" w:eastAsia="宋体" w:cs="宋体"/>
                <w:kern w:val="0"/>
                <w:szCs w:val="21"/>
              </w:rPr>
              <w:t>2.85</w:t>
            </w:r>
          </w:p>
        </w:tc>
        <w:tc>
          <w:tcPr>
            <w:tcW w:w="401" w:type="pct"/>
            <w:shd w:val="clear" w:color="auto" w:fill="FFFFFF" w:themeFill="background1"/>
            <w:tcMar>
              <w:top w:w="20" w:type="dxa"/>
              <w:left w:w="20" w:type="dxa"/>
              <w:bottom w:w="72" w:type="dxa"/>
              <w:right w:w="20" w:type="dxa"/>
            </w:tcMar>
            <w:vAlign w:val="center"/>
          </w:tcPr>
          <w:p w14:paraId="0D2065DC">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2EF07101">
            <w:pPr>
              <w:jc w:val="center"/>
              <w:rPr>
                <w:rFonts w:ascii="Times New Roman" w:hAnsi="Times New Roman" w:eastAsia="宋体" w:cs="宋体"/>
                <w:kern w:val="0"/>
                <w:szCs w:val="21"/>
              </w:rPr>
            </w:pPr>
            <w:r>
              <w:rPr>
                <w:rFonts w:hint="eastAsia" w:ascii="Times New Roman" w:hAnsi="Times New Roman" w:eastAsia="宋体" w:cs="宋体"/>
                <w:kern w:val="0"/>
                <w:szCs w:val="21"/>
              </w:rPr>
              <w:t>2025-2029</w:t>
            </w:r>
          </w:p>
        </w:tc>
        <w:tc>
          <w:tcPr>
            <w:tcW w:w="440" w:type="pct"/>
            <w:shd w:val="clear" w:color="auto" w:fill="FFFFFF" w:themeFill="background1"/>
            <w:tcMar>
              <w:top w:w="20" w:type="dxa"/>
              <w:left w:w="20" w:type="dxa"/>
              <w:bottom w:w="72" w:type="dxa"/>
              <w:right w:w="20" w:type="dxa"/>
            </w:tcMar>
            <w:vAlign w:val="center"/>
          </w:tcPr>
          <w:p w14:paraId="592C0329">
            <w:pPr>
              <w:jc w:val="center"/>
              <w:rPr>
                <w:rFonts w:ascii="Times New Roman" w:hAnsi="Times New Roman" w:eastAsia="宋体" w:cs="宋体"/>
                <w:kern w:val="0"/>
                <w:szCs w:val="21"/>
              </w:rPr>
            </w:pPr>
            <w:r>
              <w:rPr>
                <w:rFonts w:hint="eastAsia" w:ascii="Times New Roman" w:hAnsi="Times New Roman" w:eastAsia="宋体" w:cs="宋体"/>
                <w:kern w:val="0"/>
                <w:szCs w:val="21"/>
              </w:rPr>
              <w:t>县交通运输局</w:t>
            </w:r>
          </w:p>
        </w:tc>
      </w:tr>
      <w:tr w14:paraId="3E3C7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041AE15B">
            <w:pPr>
              <w:jc w:val="center"/>
              <w:rPr>
                <w:rFonts w:ascii="Times New Roman" w:hAnsi="Times New Roman" w:eastAsia="宋体" w:cs="宋体"/>
                <w:kern w:val="0"/>
                <w:szCs w:val="21"/>
              </w:rPr>
            </w:pPr>
            <w:r>
              <w:rPr>
                <w:rFonts w:hint="eastAsia" w:ascii="Times New Roman" w:hAnsi="Times New Roman" w:eastAsia="宋体" w:cs="宋体"/>
                <w:kern w:val="0"/>
                <w:szCs w:val="21"/>
              </w:rPr>
              <w:t>22</w:t>
            </w:r>
          </w:p>
        </w:tc>
        <w:tc>
          <w:tcPr>
            <w:tcW w:w="451" w:type="pct"/>
            <w:vMerge w:val="continue"/>
            <w:shd w:val="clear" w:color="auto" w:fill="FFFFFF" w:themeFill="background1"/>
            <w:tcMar>
              <w:top w:w="72" w:type="dxa"/>
              <w:left w:w="144" w:type="dxa"/>
              <w:bottom w:w="72" w:type="dxa"/>
              <w:right w:w="144" w:type="dxa"/>
            </w:tcMar>
            <w:vAlign w:val="center"/>
          </w:tcPr>
          <w:p w14:paraId="16442273">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4EEA46B4">
            <w:pPr>
              <w:jc w:val="center"/>
              <w:rPr>
                <w:rFonts w:ascii="Times New Roman" w:hAnsi="Times New Roman" w:eastAsia="宋体" w:cs="宋体"/>
                <w:kern w:val="0"/>
                <w:szCs w:val="21"/>
              </w:rPr>
            </w:pPr>
            <w:r>
              <w:rPr>
                <w:rFonts w:hint="eastAsia" w:ascii="Times New Roman" w:hAnsi="Times New Roman" w:eastAsia="宋体" w:cs="宋体"/>
                <w:kern w:val="0"/>
                <w:szCs w:val="21"/>
              </w:rPr>
              <w:t>博罗县石湾镇石龙铁路集装箱办理站配套建设工程</w:t>
            </w:r>
          </w:p>
        </w:tc>
        <w:tc>
          <w:tcPr>
            <w:tcW w:w="1905" w:type="pct"/>
            <w:shd w:val="clear" w:color="auto" w:fill="FFFFFF" w:themeFill="background1"/>
            <w:tcMar>
              <w:top w:w="20" w:type="dxa"/>
              <w:left w:w="20" w:type="dxa"/>
              <w:bottom w:w="72" w:type="dxa"/>
              <w:right w:w="20" w:type="dxa"/>
            </w:tcMar>
            <w:vAlign w:val="center"/>
          </w:tcPr>
          <w:p w14:paraId="0CA758B0">
            <w:pPr>
              <w:rPr>
                <w:rFonts w:ascii="Times New Roman" w:hAnsi="Times New Roman" w:eastAsia="宋体" w:cs="宋体"/>
                <w:kern w:val="0"/>
                <w:szCs w:val="21"/>
              </w:rPr>
            </w:pPr>
            <w:r>
              <w:rPr>
                <w:rFonts w:hint="eastAsia" w:ascii="Times New Roman" w:hAnsi="Times New Roman" w:eastAsia="宋体" w:cs="宋体"/>
                <w:kern w:val="0"/>
                <w:szCs w:val="21"/>
              </w:rPr>
              <w:t>全长约5.622公里，起点至湾湖西路约700米路段道路路基宽度为40米，其余路段道路路基宽度为50米；双向六车道进行设计，道路等级为一级公路兼城市主干路 ，设计车速60公里/小时，采用沥青混凝土路面。</w:t>
            </w:r>
          </w:p>
        </w:tc>
        <w:tc>
          <w:tcPr>
            <w:tcW w:w="401" w:type="pct"/>
            <w:shd w:val="clear" w:color="auto" w:fill="FFFFFF" w:themeFill="background1"/>
            <w:tcMar>
              <w:top w:w="20" w:type="dxa"/>
              <w:left w:w="20" w:type="dxa"/>
              <w:bottom w:w="72" w:type="dxa"/>
              <w:right w:w="20" w:type="dxa"/>
            </w:tcMar>
            <w:vAlign w:val="center"/>
          </w:tcPr>
          <w:p w14:paraId="0B01FDA1">
            <w:pPr>
              <w:jc w:val="center"/>
              <w:rPr>
                <w:rFonts w:ascii="Times New Roman" w:hAnsi="Times New Roman" w:eastAsia="宋体" w:cs="宋体"/>
                <w:kern w:val="0"/>
                <w:szCs w:val="21"/>
              </w:rPr>
            </w:pPr>
            <w:r>
              <w:rPr>
                <w:rFonts w:hint="eastAsia" w:ascii="Times New Roman" w:hAnsi="Times New Roman" w:eastAsia="宋体" w:cs="宋体"/>
                <w:kern w:val="0"/>
                <w:szCs w:val="21"/>
              </w:rPr>
              <w:t>7.02</w:t>
            </w:r>
          </w:p>
        </w:tc>
        <w:tc>
          <w:tcPr>
            <w:tcW w:w="401" w:type="pct"/>
            <w:shd w:val="clear" w:color="auto" w:fill="FFFFFF" w:themeFill="background1"/>
            <w:tcMar>
              <w:top w:w="20" w:type="dxa"/>
              <w:left w:w="20" w:type="dxa"/>
              <w:bottom w:w="72" w:type="dxa"/>
              <w:right w:w="20" w:type="dxa"/>
            </w:tcMar>
            <w:vAlign w:val="center"/>
          </w:tcPr>
          <w:p w14:paraId="666BCAF9">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5056A938">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27A69F5D">
            <w:pPr>
              <w:jc w:val="center"/>
              <w:rPr>
                <w:rFonts w:ascii="Times New Roman" w:hAnsi="Times New Roman" w:eastAsia="宋体" w:cs="宋体"/>
                <w:kern w:val="0"/>
                <w:szCs w:val="21"/>
              </w:rPr>
            </w:pPr>
            <w:r>
              <w:rPr>
                <w:rFonts w:hint="eastAsia" w:ascii="Times New Roman" w:hAnsi="Times New Roman" w:eastAsia="宋体" w:cs="宋体"/>
                <w:kern w:val="0"/>
                <w:szCs w:val="21"/>
              </w:rPr>
              <w:t>石湾镇政府</w:t>
            </w:r>
          </w:p>
        </w:tc>
      </w:tr>
      <w:tr w14:paraId="7A8F1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312E475B">
            <w:pPr>
              <w:jc w:val="center"/>
              <w:rPr>
                <w:rFonts w:ascii="Times New Roman" w:hAnsi="Times New Roman" w:eastAsia="宋体" w:cs="宋体"/>
                <w:kern w:val="0"/>
                <w:szCs w:val="21"/>
              </w:rPr>
            </w:pPr>
            <w:r>
              <w:rPr>
                <w:rFonts w:hint="eastAsia" w:ascii="Times New Roman" w:hAnsi="Times New Roman" w:eastAsia="宋体" w:cs="宋体"/>
                <w:kern w:val="0"/>
                <w:szCs w:val="21"/>
              </w:rPr>
              <w:t>23</w:t>
            </w:r>
          </w:p>
        </w:tc>
        <w:tc>
          <w:tcPr>
            <w:tcW w:w="451" w:type="pct"/>
            <w:vMerge w:val="continue"/>
            <w:shd w:val="clear" w:color="auto" w:fill="FFFFFF" w:themeFill="background1"/>
            <w:tcMar>
              <w:top w:w="72" w:type="dxa"/>
              <w:left w:w="144" w:type="dxa"/>
              <w:bottom w:w="72" w:type="dxa"/>
              <w:right w:w="144" w:type="dxa"/>
            </w:tcMar>
            <w:vAlign w:val="center"/>
          </w:tcPr>
          <w:p w14:paraId="5774292D">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1E5C8941">
            <w:pPr>
              <w:jc w:val="center"/>
              <w:rPr>
                <w:rFonts w:ascii="Times New Roman" w:hAnsi="Times New Roman" w:eastAsia="宋体" w:cs="宋体"/>
                <w:kern w:val="0"/>
                <w:szCs w:val="21"/>
              </w:rPr>
            </w:pPr>
            <w:r>
              <w:rPr>
                <w:rFonts w:hint="eastAsia" w:ascii="Times New Roman" w:hAnsi="Times New Roman" w:eastAsia="宋体" w:cs="宋体"/>
                <w:kern w:val="0"/>
                <w:szCs w:val="21"/>
              </w:rPr>
              <w:t>惠肇高速共线段新建工程</w:t>
            </w:r>
          </w:p>
        </w:tc>
        <w:tc>
          <w:tcPr>
            <w:tcW w:w="1905" w:type="pct"/>
            <w:shd w:val="clear" w:color="auto" w:fill="FFFFFF" w:themeFill="background1"/>
            <w:tcMar>
              <w:top w:w="20" w:type="dxa"/>
              <w:left w:w="20" w:type="dxa"/>
              <w:bottom w:w="72" w:type="dxa"/>
              <w:right w:w="20" w:type="dxa"/>
            </w:tcMar>
            <w:vAlign w:val="center"/>
          </w:tcPr>
          <w:p w14:paraId="5F0A3749">
            <w:pPr>
              <w:rPr>
                <w:rFonts w:ascii="Times New Roman" w:hAnsi="Times New Roman" w:eastAsia="宋体" w:cs="宋体"/>
                <w:kern w:val="0"/>
                <w:szCs w:val="21"/>
              </w:rPr>
            </w:pPr>
            <w:r>
              <w:rPr>
                <w:rFonts w:hint="eastAsia" w:ascii="Times New Roman" w:hAnsi="Times New Roman" w:eastAsia="宋体" w:cs="宋体"/>
                <w:kern w:val="0"/>
                <w:szCs w:val="21"/>
              </w:rPr>
              <w:t>主要建设振兴大道（惠肇高速共线段）新建工程、园洲镇环城北路（惠肇高速共线段）建设工程和石湾镇环城路（惠肇高速共线段）新建工程</w:t>
            </w:r>
          </w:p>
        </w:tc>
        <w:tc>
          <w:tcPr>
            <w:tcW w:w="401" w:type="pct"/>
            <w:shd w:val="clear" w:color="auto" w:fill="FFFFFF" w:themeFill="background1"/>
            <w:tcMar>
              <w:top w:w="20" w:type="dxa"/>
              <w:left w:w="20" w:type="dxa"/>
              <w:bottom w:w="72" w:type="dxa"/>
              <w:right w:w="20" w:type="dxa"/>
            </w:tcMar>
            <w:vAlign w:val="center"/>
          </w:tcPr>
          <w:p w14:paraId="25F7DFF6">
            <w:pPr>
              <w:jc w:val="center"/>
              <w:rPr>
                <w:rFonts w:ascii="Times New Roman" w:hAnsi="Times New Roman" w:eastAsia="宋体" w:cs="宋体"/>
                <w:kern w:val="0"/>
                <w:szCs w:val="21"/>
              </w:rPr>
            </w:pPr>
            <w:r>
              <w:rPr>
                <w:rFonts w:hint="eastAsia" w:ascii="Times New Roman" w:hAnsi="Times New Roman" w:eastAsia="宋体" w:cs="宋体"/>
                <w:kern w:val="0"/>
                <w:szCs w:val="21"/>
              </w:rPr>
              <w:t>9.65</w:t>
            </w:r>
          </w:p>
        </w:tc>
        <w:tc>
          <w:tcPr>
            <w:tcW w:w="401" w:type="pct"/>
            <w:shd w:val="clear" w:color="auto" w:fill="FFFFFF" w:themeFill="background1"/>
            <w:tcMar>
              <w:top w:w="20" w:type="dxa"/>
              <w:left w:w="20" w:type="dxa"/>
              <w:bottom w:w="72" w:type="dxa"/>
              <w:right w:w="20" w:type="dxa"/>
            </w:tcMar>
            <w:vAlign w:val="center"/>
          </w:tcPr>
          <w:p w14:paraId="31579E2F">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095C454C">
            <w:pPr>
              <w:jc w:val="center"/>
              <w:rPr>
                <w:rFonts w:ascii="Times New Roman" w:hAnsi="Times New Roman" w:eastAsia="宋体" w:cs="宋体"/>
                <w:kern w:val="0"/>
                <w:szCs w:val="21"/>
              </w:rPr>
            </w:pPr>
            <w:r>
              <w:rPr>
                <w:rFonts w:hint="eastAsia" w:ascii="Times New Roman" w:hAnsi="Times New Roman" w:eastAsia="宋体" w:cs="宋体"/>
                <w:kern w:val="0"/>
                <w:szCs w:val="21"/>
              </w:rPr>
              <w:t>2025-2029</w:t>
            </w:r>
          </w:p>
        </w:tc>
        <w:tc>
          <w:tcPr>
            <w:tcW w:w="440" w:type="pct"/>
            <w:shd w:val="clear" w:color="auto" w:fill="FFFFFF" w:themeFill="background1"/>
            <w:tcMar>
              <w:top w:w="20" w:type="dxa"/>
              <w:left w:w="20" w:type="dxa"/>
              <w:bottom w:w="72" w:type="dxa"/>
              <w:right w:w="20" w:type="dxa"/>
            </w:tcMar>
            <w:vAlign w:val="center"/>
          </w:tcPr>
          <w:p w14:paraId="33DB2E61">
            <w:pPr>
              <w:jc w:val="center"/>
              <w:rPr>
                <w:rFonts w:ascii="Times New Roman" w:hAnsi="Times New Roman" w:eastAsia="宋体" w:cs="宋体"/>
                <w:kern w:val="0"/>
                <w:szCs w:val="21"/>
              </w:rPr>
            </w:pPr>
            <w:r>
              <w:rPr>
                <w:rFonts w:hint="eastAsia" w:ascii="Times New Roman" w:hAnsi="Times New Roman" w:eastAsia="宋体" w:cs="宋体"/>
                <w:kern w:val="0"/>
                <w:szCs w:val="21"/>
              </w:rPr>
              <w:t>县交通运输局</w:t>
            </w:r>
          </w:p>
        </w:tc>
      </w:tr>
      <w:tr w14:paraId="5E3036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5F0402F6">
            <w:pPr>
              <w:jc w:val="center"/>
              <w:rPr>
                <w:rFonts w:ascii="Times New Roman" w:hAnsi="Times New Roman" w:eastAsia="宋体" w:cs="宋体"/>
                <w:kern w:val="0"/>
                <w:szCs w:val="21"/>
              </w:rPr>
            </w:pPr>
            <w:r>
              <w:rPr>
                <w:rFonts w:hint="eastAsia" w:ascii="Times New Roman" w:hAnsi="Times New Roman" w:eastAsia="宋体" w:cs="宋体"/>
                <w:kern w:val="0"/>
                <w:szCs w:val="21"/>
              </w:rPr>
              <w:t>24</w:t>
            </w:r>
          </w:p>
        </w:tc>
        <w:tc>
          <w:tcPr>
            <w:tcW w:w="451" w:type="pct"/>
            <w:vMerge w:val="continue"/>
            <w:shd w:val="clear" w:color="auto" w:fill="FFFFFF" w:themeFill="background1"/>
            <w:tcMar>
              <w:top w:w="72" w:type="dxa"/>
              <w:left w:w="144" w:type="dxa"/>
              <w:bottom w:w="72" w:type="dxa"/>
              <w:right w:w="144" w:type="dxa"/>
            </w:tcMar>
            <w:vAlign w:val="center"/>
          </w:tcPr>
          <w:p w14:paraId="37F28523">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6DEA6D86">
            <w:pPr>
              <w:jc w:val="center"/>
              <w:rPr>
                <w:rFonts w:ascii="Times New Roman" w:hAnsi="Times New Roman" w:eastAsia="宋体" w:cs="宋体"/>
                <w:kern w:val="0"/>
                <w:szCs w:val="21"/>
              </w:rPr>
            </w:pPr>
            <w:r>
              <w:rPr>
                <w:rFonts w:hint="eastAsia" w:ascii="Times New Roman" w:hAnsi="Times New Roman" w:eastAsia="宋体" w:cs="宋体"/>
                <w:kern w:val="0"/>
                <w:szCs w:val="21"/>
              </w:rPr>
              <w:t>东江航道罗阳街道至石湾镇</w:t>
            </w:r>
          </w:p>
        </w:tc>
        <w:tc>
          <w:tcPr>
            <w:tcW w:w="1905" w:type="pct"/>
            <w:shd w:val="clear" w:color="auto" w:fill="FFFFFF" w:themeFill="background1"/>
            <w:tcMar>
              <w:top w:w="20" w:type="dxa"/>
              <w:left w:w="20" w:type="dxa"/>
              <w:bottom w:w="72" w:type="dxa"/>
              <w:right w:w="20" w:type="dxa"/>
            </w:tcMar>
            <w:vAlign w:val="center"/>
          </w:tcPr>
          <w:p w14:paraId="55789767">
            <w:pPr>
              <w:rPr>
                <w:rFonts w:ascii="Times New Roman" w:hAnsi="Times New Roman" w:eastAsia="宋体" w:cs="宋体"/>
                <w:kern w:val="0"/>
                <w:szCs w:val="21"/>
              </w:rPr>
            </w:pPr>
            <w:r>
              <w:rPr>
                <w:rFonts w:hint="eastAsia" w:ascii="Times New Roman" w:hAnsi="Times New Roman" w:eastAsia="宋体" w:cs="宋体"/>
                <w:kern w:val="0"/>
                <w:szCs w:val="21"/>
              </w:rPr>
              <w:t>现状现通航</w:t>
            </w:r>
            <w:r>
              <w:rPr>
                <w:rFonts w:ascii="Times New Roman" w:hAnsi="Times New Roman" w:eastAsia="宋体" w:cs="宋体"/>
                <w:kern w:val="0"/>
                <w:szCs w:val="21"/>
              </w:rPr>
              <w:t>500</w:t>
            </w:r>
            <w:r>
              <w:rPr>
                <w:rFonts w:hint="eastAsia" w:ascii="Times New Roman" w:hAnsi="Times New Roman" w:eastAsia="宋体" w:cs="宋体"/>
                <w:kern w:val="0"/>
                <w:szCs w:val="21"/>
              </w:rPr>
              <w:t>吨级船舶的Ⅳ级航道提升为通航</w:t>
            </w:r>
            <w:r>
              <w:rPr>
                <w:rFonts w:ascii="Times New Roman" w:hAnsi="Times New Roman" w:eastAsia="宋体" w:cs="宋体"/>
                <w:kern w:val="0"/>
                <w:szCs w:val="21"/>
              </w:rPr>
              <w:t>1000</w:t>
            </w:r>
            <w:r>
              <w:rPr>
                <w:rFonts w:hint="eastAsia" w:ascii="Times New Roman" w:hAnsi="Times New Roman" w:eastAsia="宋体" w:cs="宋体"/>
                <w:kern w:val="0"/>
                <w:szCs w:val="21"/>
              </w:rPr>
              <w:t>吨级船舶的Ⅲ级航道。</w:t>
            </w:r>
          </w:p>
        </w:tc>
        <w:tc>
          <w:tcPr>
            <w:tcW w:w="401" w:type="pct"/>
            <w:shd w:val="clear" w:color="auto" w:fill="FFFFFF" w:themeFill="background1"/>
            <w:tcMar>
              <w:top w:w="20" w:type="dxa"/>
              <w:left w:w="20" w:type="dxa"/>
              <w:bottom w:w="72" w:type="dxa"/>
              <w:right w:w="20" w:type="dxa"/>
            </w:tcMar>
            <w:vAlign w:val="center"/>
          </w:tcPr>
          <w:p w14:paraId="0E552FA6">
            <w:pPr>
              <w:jc w:val="center"/>
              <w:rPr>
                <w:rFonts w:ascii="Times New Roman" w:hAnsi="Times New Roman" w:eastAsia="宋体" w:cs="宋体"/>
                <w:kern w:val="0"/>
                <w:szCs w:val="21"/>
              </w:rPr>
            </w:pPr>
            <w:r>
              <w:rPr>
                <w:rFonts w:hint="eastAsia" w:ascii="Times New Roman" w:hAnsi="Times New Roman" w:eastAsia="宋体" w:cs="宋体"/>
                <w:kern w:val="0"/>
                <w:szCs w:val="21"/>
              </w:rPr>
              <w:t>——</w:t>
            </w:r>
          </w:p>
        </w:tc>
        <w:tc>
          <w:tcPr>
            <w:tcW w:w="401" w:type="pct"/>
            <w:shd w:val="clear" w:color="auto" w:fill="FFFFFF" w:themeFill="background1"/>
            <w:tcMar>
              <w:top w:w="20" w:type="dxa"/>
              <w:left w:w="20" w:type="dxa"/>
              <w:bottom w:w="72" w:type="dxa"/>
              <w:right w:w="20" w:type="dxa"/>
            </w:tcMar>
            <w:vAlign w:val="center"/>
          </w:tcPr>
          <w:p w14:paraId="7511B5FD">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437F9E13">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11E01FCA">
            <w:pPr>
              <w:jc w:val="center"/>
              <w:rPr>
                <w:rFonts w:ascii="Times New Roman" w:hAnsi="Times New Roman" w:eastAsia="宋体" w:cs="宋体"/>
                <w:kern w:val="0"/>
                <w:szCs w:val="21"/>
              </w:rPr>
            </w:pPr>
            <w:r>
              <w:rPr>
                <w:rFonts w:hint="eastAsia" w:ascii="Times New Roman" w:hAnsi="Times New Roman" w:eastAsia="宋体" w:cs="宋体"/>
                <w:kern w:val="0"/>
                <w:szCs w:val="21"/>
              </w:rPr>
              <w:t>县交通运输</w:t>
            </w:r>
          </w:p>
        </w:tc>
      </w:tr>
      <w:tr w14:paraId="46DDF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2" w:hRule="atLeast"/>
          <w:jc w:val="center"/>
        </w:trPr>
        <w:tc>
          <w:tcPr>
            <w:tcW w:w="199" w:type="pct"/>
            <w:shd w:val="clear" w:color="auto" w:fill="FFFFFF" w:themeFill="background1"/>
            <w:tcMar>
              <w:top w:w="72" w:type="dxa"/>
              <w:left w:w="144" w:type="dxa"/>
              <w:bottom w:w="72" w:type="dxa"/>
              <w:right w:w="144" w:type="dxa"/>
            </w:tcMar>
            <w:vAlign w:val="center"/>
          </w:tcPr>
          <w:p w14:paraId="7AA921C6">
            <w:pPr>
              <w:jc w:val="center"/>
              <w:rPr>
                <w:rFonts w:ascii="Times New Roman" w:hAnsi="Times New Roman" w:eastAsia="宋体" w:cs="宋体"/>
                <w:kern w:val="0"/>
                <w:szCs w:val="21"/>
              </w:rPr>
            </w:pPr>
            <w:r>
              <w:rPr>
                <w:rFonts w:hint="eastAsia" w:ascii="Times New Roman" w:hAnsi="Times New Roman" w:eastAsia="宋体" w:cs="宋体"/>
                <w:kern w:val="0"/>
                <w:szCs w:val="21"/>
              </w:rPr>
              <w:t>25</w:t>
            </w:r>
          </w:p>
        </w:tc>
        <w:tc>
          <w:tcPr>
            <w:tcW w:w="451" w:type="pct"/>
            <w:vMerge w:val="continue"/>
            <w:shd w:val="clear" w:color="auto" w:fill="FFFFFF" w:themeFill="background1"/>
            <w:tcMar>
              <w:top w:w="72" w:type="dxa"/>
              <w:left w:w="144" w:type="dxa"/>
              <w:bottom w:w="72" w:type="dxa"/>
              <w:right w:w="144" w:type="dxa"/>
            </w:tcMar>
            <w:vAlign w:val="center"/>
          </w:tcPr>
          <w:p w14:paraId="45819A5F">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180C08A7">
            <w:pPr>
              <w:jc w:val="center"/>
              <w:rPr>
                <w:rFonts w:ascii="Times New Roman" w:hAnsi="Times New Roman" w:eastAsia="宋体" w:cs="宋体"/>
                <w:kern w:val="0"/>
                <w:szCs w:val="21"/>
              </w:rPr>
            </w:pPr>
            <w:r>
              <w:rPr>
                <w:rFonts w:hint="eastAsia" w:ascii="Times New Roman" w:hAnsi="Times New Roman" w:eastAsia="宋体" w:cs="宋体"/>
                <w:kern w:val="0"/>
                <w:szCs w:val="21"/>
              </w:rPr>
              <w:t>惠州博罗东江临港综合产业园项目</w:t>
            </w:r>
          </w:p>
        </w:tc>
        <w:tc>
          <w:tcPr>
            <w:tcW w:w="1905" w:type="pct"/>
            <w:shd w:val="clear" w:color="auto" w:fill="FFFFFF" w:themeFill="background1"/>
            <w:tcMar>
              <w:top w:w="20" w:type="dxa"/>
              <w:left w:w="20" w:type="dxa"/>
              <w:bottom w:w="72" w:type="dxa"/>
              <w:right w:w="20" w:type="dxa"/>
            </w:tcMar>
            <w:vAlign w:val="center"/>
          </w:tcPr>
          <w:p w14:paraId="20B4B5DA">
            <w:pPr>
              <w:rPr>
                <w:rFonts w:ascii="Times New Roman" w:hAnsi="Times New Roman" w:eastAsia="宋体" w:cs="宋体"/>
                <w:kern w:val="0"/>
                <w:szCs w:val="21"/>
              </w:rPr>
            </w:pPr>
            <w:r>
              <w:rPr>
                <w:rFonts w:hint="eastAsia" w:ascii="Times New Roman" w:hAnsi="Times New Roman" w:eastAsia="宋体" w:cs="宋体"/>
                <w:kern w:val="0"/>
                <w:szCs w:val="21"/>
              </w:rPr>
              <w:t>由园区开发与码头建设两大部分组成 ，码头岸线长950米，计划设置10个2000吨级泊位，并对陆域腹地区域进行建材和物流产业园综合开发。其中，一期建设码头8个2000吨级泊位，及建筑地材集散中心、集装箱物流园、综合物流园。</w:t>
            </w:r>
          </w:p>
        </w:tc>
        <w:tc>
          <w:tcPr>
            <w:tcW w:w="401" w:type="pct"/>
            <w:shd w:val="clear" w:color="auto" w:fill="FFFFFF" w:themeFill="background1"/>
            <w:tcMar>
              <w:top w:w="20" w:type="dxa"/>
              <w:left w:w="20" w:type="dxa"/>
              <w:bottom w:w="72" w:type="dxa"/>
              <w:right w:w="20" w:type="dxa"/>
            </w:tcMar>
            <w:vAlign w:val="center"/>
          </w:tcPr>
          <w:p w14:paraId="4FB1351A">
            <w:pPr>
              <w:jc w:val="center"/>
              <w:rPr>
                <w:rFonts w:ascii="Times New Roman" w:hAnsi="Times New Roman" w:eastAsia="宋体" w:cs="宋体"/>
                <w:kern w:val="0"/>
                <w:szCs w:val="21"/>
              </w:rPr>
            </w:pPr>
            <w:r>
              <w:rPr>
                <w:rFonts w:hint="eastAsia" w:ascii="Times New Roman" w:hAnsi="Times New Roman" w:eastAsia="宋体" w:cs="宋体"/>
                <w:kern w:val="0"/>
                <w:szCs w:val="21"/>
              </w:rPr>
              <w:t>29.0</w:t>
            </w:r>
          </w:p>
        </w:tc>
        <w:tc>
          <w:tcPr>
            <w:tcW w:w="401" w:type="pct"/>
            <w:shd w:val="clear" w:color="auto" w:fill="FFFFFF" w:themeFill="background1"/>
            <w:tcMar>
              <w:top w:w="20" w:type="dxa"/>
              <w:left w:w="20" w:type="dxa"/>
              <w:bottom w:w="72" w:type="dxa"/>
              <w:right w:w="20" w:type="dxa"/>
            </w:tcMar>
            <w:vAlign w:val="center"/>
          </w:tcPr>
          <w:p w14:paraId="5C4EF62B">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5C46B3A6">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1F66D3F4">
            <w:pPr>
              <w:jc w:val="center"/>
              <w:rPr>
                <w:rFonts w:ascii="Times New Roman" w:hAnsi="Times New Roman" w:eastAsia="宋体" w:cs="宋体"/>
                <w:kern w:val="0"/>
                <w:szCs w:val="21"/>
              </w:rPr>
            </w:pPr>
            <w:r>
              <w:rPr>
                <w:rFonts w:hint="eastAsia" w:ascii="Times New Roman" w:hAnsi="Times New Roman" w:eastAsia="宋体" w:cs="宋体"/>
                <w:kern w:val="0"/>
                <w:szCs w:val="21"/>
              </w:rPr>
              <w:t>惠州交投物流有限公司</w:t>
            </w:r>
          </w:p>
        </w:tc>
      </w:tr>
      <w:tr w14:paraId="576EE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4CBF567B">
            <w:pPr>
              <w:jc w:val="center"/>
              <w:rPr>
                <w:rFonts w:ascii="Times New Roman" w:hAnsi="Times New Roman" w:eastAsia="宋体" w:cs="宋体"/>
                <w:kern w:val="0"/>
                <w:szCs w:val="21"/>
              </w:rPr>
            </w:pPr>
            <w:r>
              <w:rPr>
                <w:rFonts w:hint="eastAsia" w:ascii="Times New Roman" w:hAnsi="Times New Roman" w:eastAsia="宋体" w:cs="宋体"/>
                <w:kern w:val="0"/>
                <w:szCs w:val="21"/>
              </w:rPr>
              <w:t>26</w:t>
            </w:r>
          </w:p>
        </w:tc>
        <w:tc>
          <w:tcPr>
            <w:tcW w:w="451" w:type="pct"/>
            <w:vMerge w:val="continue"/>
            <w:shd w:val="clear" w:color="auto" w:fill="FFFFFF" w:themeFill="background1"/>
            <w:tcMar>
              <w:top w:w="72" w:type="dxa"/>
              <w:left w:w="144" w:type="dxa"/>
              <w:bottom w:w="72" w:type="dxa"/>
              <w:right w:w="144" w:type="dxa"/>
            </w:tcMar>
            <w:vAlign w:val="center"/>
          </w:tcPr>
          <w:p w14:paraId="63658C37">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49C10A86">
            <w:pPr>
              <w:jc w:val="center"/>
              <w:rPr>
                <w:rFonts w:ascii="Times New Roman" w:hAnsi="Times New Roman" w:eastAsia="宋体" w:cs="宋体"/>
                <w:kern w:val="0"/>
                <w:szCs w:val="21"/>
              </w:rPr>
            </w:pPr>
            <w:r>
              <w:rPr>
                <w:rFonts w:hint="eastAsia" w:ascii="Times New Roman" w:hAnsi="Times New Roman" w:eastAsia="宋体" w:cs="宋体"/>
                <w:kern w:val="0"/>
                <w:szCs w:val="21"/>
              </w:rPr>
              <w:t>惠州港东江内河港区园洲码头及综合物流项目（暂定名）</w:t>
            </w:r>
          </w:p>
        </w:tc>
        <w:tc>
          <w:tcPr>
            <w:tcW w:w="1905" w:type="pct"/>
            <w:shd w:val="clear" w:color="auto" w:fill="FFFFFF" w:themeFill="background1"/>
            <w:tcMar>
              <w:top w:w="20" w:type="dxa"/>
              <w:left w:w="20" w:type="dxa"/>
              <w:bottom w:w="72" w:type="dxa"/>
              <w:right w:w="20" w:type="dxa"/>
            </w:tcMar>
            <w:vAlign w:val="center"/>
          </w:tcPr>
          <w:p w14:paraId="0DBD89C7">
            <w:pPr>
              <w:rPr>
                <w:rFonts w:ascii="Times New Roman" w:hAnsi="Times New Roman" w:eastAsia="宋体" w:cs="宋体"/>
                <w:kern w:val="0"/>
                <w:szCs w:val="21"/>
              </w:rPr>
            </w:pPr>
            <w:r>
              <w:rPr>
                <w:rFonts w:hint="eastAsia" w:ascii="Times New Roman" w:hAnsi="Times New Roman" w:eastAsia="宋体" w:cs="宋体"/>
                <w:kern w:val="0"/>
                <w:szCs w:val="21"/>
              </w:rPr>
              <w:t>拟建设5个1000吨级多用途泊位（水工结构按2000吨级预留）及港口配套综合物流项目，设计年吞吐量为300万吨。</w:t>
            </w:r>
          </w:p>
        </w:tc>
        <w:tc>
          <w:tcPr>
            <w:tcW w:w="401" w:type="pct"/>
            <w:shd w:val="clear" w:color="auto" w:fill="FFFFFF" w:themeFill="background1"/>
            <w:tcMar>
              <w:top w:w="20" w:type="dxa"/>
              <w:left w:w="20" w:type="dxa"/>
              <w:bottom w:w="72" w:type="dxa"/>
              <w:right w:w="20" w:type="dxa"/>
            </w:tcMar>
            <w:vAlign w:val="center"/>
          </w:tcPr>
          <w:p w14:paraId="3B5B5BA1">
            <w:pPr>
              <w:jc w:val="center"/>
              <w:rPr>
                <w:rFonts w:ascii="Times New Roman" w:hAnsi="Times New Roman" w:eastAsia="宋体" w:cs="宋体"/>
                <w:kern w:val="0"/>
                <w:szCs w:val="21"/>
              </w:rPr>
            </w:pPr>
            <w:r>
              <w:rPr>
                <w:rFonts w:hint="eastAsia" w:ascii="Times New Roman" w:hAnsi="Times New Roman" w:eastAsia="宋体" w:cs="宋体"/>
                <w:kern w:val="0"/>
                <w:szCs w:val="21"/>
              </w:rPr>
              <w:t>6.0</w:t>
            </w:r>
          </w:p>
        </w:tc>
        <w:tc>
          <w:tcPr>
            <w:tcW w:w="401" w:type="pct"/>
            <w:shd w:val="clear" w:color="auto" w:fill="FFFFFF" w:themeFill="background1"/>
            <w:tcMar>
              <w:top w:w="20" w:type="dxa"/>
              <w:left w:w="20" w:type="dxa"/>
              <w:bottom w:w="72" w:type="dxa"/>
              <w:right w:w="20" w:type="dxa"/>
            </w:tcMar>
            <w:vAlign w:val="center"/>
          </w:tcPr>
          <w:p w14:paraId="3AD6FC24">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6493C3F2">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13D11713">
            <w:pPr>
              <w:jc w:val="center"/>
              <w:rPr>
                <w:rFonts w:ascii="Times New Roman" w:hAnsi="Times New Roman" w:eastAsia="宋体" w:cs="宋体"/>
                <w:kern w:val="0"/>
                <w:szCs w:val="21"/>
              </w:rPr>
            </w:pPr>
            <w:r>
              <w:rPr>
                <w:rFonts w:hint="eastAsia" w:ascii="Times New Roman" w:hAnsi="Times New Roman" w:eastAsia="宋体" w:cs="宋体"/>
                <w:kern w:val="0"/>
                <w:szCs w:val="21"/>
              </w:rPr>
              <w:t>惠州港东江内河开发建设有限公司</w:t>
            </w:r>
          </w:p>
        </w:tc>
      </w:tr>
      <w:tr w14:paraId="41201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548FA755">
            <w:pPr>
              <w:jc w:val="center"/>
              <w:rPr>
                <w:rFonts w:ascii="Times New Roman" w:hAnsi="Times New Roman" w:eastAsia="宋体" w:cs="宋体"/>
                <w:kern w:val="0"/>
                <w:szCs w:val="21"/>
              </w:rPr>
            </w:pPr>
            <w:r>
              <w:rPr>
                <w:rFonts w:hint="eastAsia" w:ascii="Times New Roman" w:hAnsi="Times New Roman" w:eastAsia="宋体" w:cs="宋体"/>
                <w:kern w:val="0"/>
                <w:szCs w:val="21"/>
              </w:rPr>
              <w:t>27</w:t>
            </w:r>
          </w:p>
        </w:tc>
        <w:tc>
          <w:tcPr>
            <w:tcW w:w="451" w:type="pct"/>
            <w:vMerge w:val="continue"/>
            <w:shd w:val="clear" w:color="auto" w:fill="FFFFFF" w:themeFill="background1"/>
            <w:tcMar>
              <w:top w:w="72" w:type="dxa"/>
              <w:left w:w="144" w:type="dxa"/>
              <w:bottom w:w="72" w:type="dxa"/>
              <w:right w:w="144" w:type="dxa"/>
            </w:tcMar>
            <w:vAlign w:val="center"/>
          </w:tcPr>
          <w:p w14:paraId="2613483D">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4CC71644">
            <w:pPr>
              <w:jc w:val="center"/>
              <w:rPr>
                <w:rFonts w:ascii="Times New Roman" w:hAnsi="Times New Roman" w:eastAsia="宋体" w:cs="宋体"/>
                <w:kern w:val="0"/>
                <w:szCs w:val="21"/>
              </w:rPr>
            </w:pPr>
            <w:r>
              <w:rPr>
                <w:rFonts w:hint="eastAsia" w:ascii="Times New Roman" w:hAnsi="Times New Roman" w:eastAsia="宋体" w:cs="宋体"/>
                <w:kern w:val="0"/>
                <w:szCs w:val="21"/>
              </w:rPr>
              <w:t>博罗县东坡大道（长宁至园洲段）新建工程</w:t>
            </w:r>
          </w:p>
        </w:tc>
        <w:tc>
          <w:tcPr>
            <w:tcW w:w="1905" w:type="pct"/>
            <w:shd w:val="clear" w:color="auto" w:fill="FFFFFF" w:themeFill="background1"/>
            <w:tcMar>
              <w:top w:w="20" w:type="dxa"/>
              <w:left w:w="20" w:type="dxa"/>
              <w:bottom w:w="72" w:type="dxa"/>
              <w:right w:w="20" w:type="dxa"/>
            </w:tcMar>
            <w:vAlign w:val="center"/>
          </w:tcPr>
          <w:p w14:paraId="0CADFAD5">
            <w:pPr>
              <w:rPr>
                <w:rFonts w:ascii="Times New Roman" w:hAnsi="Times New Roman" w:eastAsia="宋体" w:cs="宋体"/>
                <w:kern w:val="0"/>
                <w:szCs w:val="21"/>
              </w:rPr>
            </w:pPr>
            <w:r>
              <w:rPr>
                <w:rFonts w:hint="eastAsia" w:ascii="Times New Roman" w:hAnsi="Times New Roman" w:eastAsia="宋体" w:cs="宋体"/>
                <w:kern w:val="0"/>
                <w:szCs w:val="21"/>
              </w:rPr>
              <w:t>全长5.767公里，支线全长0.77公里，其中东坡大道为二级公路结合城市道路功能，标准路基宽度25.5米，双向4车道，水泥混凝土路面，设计速度60公里/小时；支线为三级公路结合城市道路功能，标准路基宽度14米，双向2车道，水泥混凝土路面，设计速度30公里/小时。</w:t>
            </w:r>
          </w:p>
        </w:tc>
        <w:tc>
          <w:tcPr>
            <w:tcW w:w="401" w:type="pct"/>
            <w:shd w:val="clear" w:color="auto" w:fill="FFFFFF" w:themeFill="background1"/>
            <w:tcMar>
              <w:top w:w="20" w:type="dxa"/>
              <w:left w:w="20" w:type="dxa"/>
              <w:bottom w:w="72" w:type="dxa"/>
              <w:right w:w="20" w:type="dxa"/>
            </w:tcMar>
            <w:vAlign w:val="center"/>
          </w:tcPr>
          <w:p w14:paraId="097C85D7">
            <w:pPr>
              <w:jc w:val="center"/>
              <w:rPr>
                <w:rFonts w:ascii="Times New Roman" w:hAnsi="Times New Roman" w:eastAsia="宋体" w:cs="宋体"/>
                <w:kern w:val="0"/>
                <w:szCs w:val="21"/>
              </w:rPr>
            </w:pPr>
            <w:r>
              <w:rPr>
                <w:rFonts w:hint="eastAsia" w:ascii="Times New Roman" w:hAnsi="Times New Roman" w:eastAsia="宋体" w:cs="宋体"/>
                <w:kern w:val="0"/>
                <w:szCs w:val="21"/>
              </w:rPr>
              <w:t>4.15</w:t>
            </w:r>
          </w:p>
        </w:tc>
        <w:tc>
          <w:tcPr>
            <w:tcW w:w="401" w:type="pct"/>
            <w:shd w:val="clear" w:color="auto" w:fill="FFFFFF" w:themeFill="background1"/>
            <w:tcMar>
              <w:top w:w="20" w:type="dxa"/>
              <w:left w:w="20" w:type="dxa"/>
              <w:bottom w:w="72" w:type="dxa"/>
              <w:right w:w="20" w:type="dxa"/>
            </w:tcMar>
            <w:vAlign w:val="center"/>
          </w:tcPr>
          <w:p w14:paraId="09272F06">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3F43A936">
            <w:pPr>
              <w:jc w:val="center"/>
              <w:rPr>
                <w:rFonts w:ascii="Times New Roman" w:hAnsi="Times New Roman" w:eastAsia="宋体" w:cs="宋体"/>
                <w:kern w:val="0"/>
                <w:szCs w:val="21"/>
              </w:rPr>
            </w:pPr>
            <w:r>
              <w:rPr>
                <w:rFonts w:hint="eastAsia" w:ascii="Times New Roman" w:hAnsi="Times New Roman" w:eastAsia="宋体" w:cs="宋体"/>
                <w:kern w:val="0"/>
                <w:szCs w:val="21"/>
              </w:rPr>
              <w:t>2025-2027</w:t>
            </w:r>
          </w:p>
        </w:tc>
        <w:tc>
          <w:tcPr>
            <w:tcW w:w="440" w:type="pct"/>
            <w:shd w:val="clear" w:color="auto" w:fill="FFFFFF" w:themeFill="background1"/>
            <w:tcMar>
              <w:top w:w="20" w:type="dxa"/>
              <w:left w:w="20" w:type="dxa"/>
              <w:bottom w:w="72" w:type="dxa"/>
              <w:right w:w="20" w:type="dxa"/>
            </w:tcMar>
            <w:vAlign w:val="center"/>
          </w:tcPr>
          <w:p w14:paraId="21BF40A7">
            <w:pPr>
              <w:jc w:val="center"/>
              <w:rPr>
                <w:rFonts w:ascii="Times New Roman" w:hAnsi="Times New Roman" w:eastAsia="宋体" w:cs="宋体"/>
                <w:kern w:val="0"/>
                <w:szCs w:val="21"/>
              </w:rPr>
            </w:pPr>
            <w:r>
              <w:rPr>
                <w:rFonts w:hint="eastAsia" w:ascii="Times New Roman" w:hAnsi="Times New Roman" w:eastAsia="宋体" w:cs="宋体"/>
                <w:kern w:val="0"/>
                <w:szCs w:val="21"/>
              </w:rPr>
              <w:t>园洲镇政府</w:t>
            </w:r>
          </w:p>
        </w:tc>
      </w:tr>
      <w:tr w14:paraId="49A38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0824718F">
            <w:pPr>
              <w:jc w:val="center"/>
              <w:rPr>
                <w:rFonts w:ascii="Times New Roman" w:hAnsi="Times New Roman" w:eastAsia="宋体" w:cs="宋体"/>
                <w:kern w:val="0"/>
                <w:szCs w:val="21"/>
              </w:rPr>
            </w:pPr>
            <w:r>
              <w:rPr>
                <w:rFonts w:hint="eastAsia" w:ascii="Times New Roman" w:hAnsi="Times New Roman" w:eastAsia="宋体" w:cs="宋体"/>
                <w:kern w:val="0"/>
                <w:szCs w:val="21"/>
              </w:rPr>
              <w:t>28</w:t>
            </w:r>
          </w:p>
        </w:tc>
        <w:tc>
          <w:tcPr>
            <w:tcW w:w="451" w:type="pct"/>
            <w:vMerge w:val="continue"/>
            <w:shd w:val="clear" w:color="auto" w:fill="FFFFFF" w:themeFill="background1"/>
            <w:tcMar>
              <w:top w:w="72" w:type="dxa"/>
              <w:left w:w="144" w:type="dxa"/>
              <w:bottom w:w="72" w:type="dxa"/>
              <w:right w:w="144" w:type="dxa"/>
            </w:tcMar>
            <w:vAlign w:val="center"/>
          </w:tcPr>
          <w:p w14:paraId="792528E1">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219E26D7">
            <w:pPr>
              <w:jc w:val="center"/>
              <w:rPr>
                <w:rFonts w:ascii="Times New Roman" w:hAnsi="Times New Roman" w:eastAsia="宋体" w:cs="宋体"/>
                <w:kern w:val="0"/>
                <w:szCs w:val="21"/>
              </w:rPr>
            </w:pPr>
            <w:r>
              <w:rPr>
                <w:rFonts w:hint="eastAsia" w:ascii="Times New Roman" w:hAnsi="Times New Roman" w:eastAsia="宋体" w:cs="宋体"/>
                <w:kern w:val="0"/>
                <w:szCs w:val="21"/>
              </w:rPr>
              <w:t>东江大道新建工程（博园路至粤湘高速段）</w:t>
            </w:r>
          </w:p>
        </w:tc>
        <w:tc>
          <w:tcPr>
            <w:tcW w:w="1905" w:type="pct"/>
            <w:shd w:val="clear" w:color="auto" w:fill="FFFFFF" w:themeFill="background1"/>
            <w:tcMar>
              <w:top w:w="20" w:type="dxa"/>
              <w:left w:w="20" w:type="dxa"/>
              <w:bottom w:w="72" w:type="dxa"/>
              <w:right w:w="20" w:type="dxa"/>
            </w:tcMar>
            <w:vAlign w:val="center"/>
          </w:tcPr>
          <w:p w14:paraId="4B44DD8C">
            <w:pPr>
              <w:rPr>
                <w:rFonts w:ascii="Times New Roman" w:hAnsi="Times New Roman" w:eastAsia="宋体" w:cs="宋体"/>
                <w:kern w:val="0"/>
                <w:szCs w:val="21"/>
              </w:rPr>
            </w:pPr>
            <w:r>
              <w:rPr>
                <w:rFonts w:hint="eastAsia" w:ascii="Times New Roman" w:hAnsi="Times New Roman" w:eastAsia="宋体" w:cs="宋体"/>
                <w:kern w:val="0"/>
                <w:szCs w:val="21"/>
              </w:rPr>
              <w:t>路线全长约20.16公里，采用双向六车道，局部四车道一级公路结合城市主干路标准建设，设计时速</w:t>
            </w:r>
            <w:r>
              <w:rPr>
                <w:rFonts w:ascii="Times New Roman" w:hAnsi="Times New Roman" w:eastAsia="宋体" w:cs="宋体"/>
                <w:kern w:val="0"/>
                <w:szCs w:val="21"/>
              </w:rPr>
              <w:t>60km/h</w:t>
            </w:r>
            <w:r>
              <w:rPr>
                <w:rFonts w:hint="eastAsia" w:ascii="Times New Roman" w:hAnsi="Times New Roman" w:eastAsia="宋体" w:cs="宋体"/>
                <w:kern w:val="0"/>
                <w:szCs w:val="21"/>
              </w:rPr>
              <w:t>，采用沥青混凝土路面。</w:t>
            </w:r>
          </w:p>
        </w:tc>
        <w:tc>
          <w:tcPr>
            <w:tcW w:w="401" w:type="pct"/>
            <w:shd w:val="clear" w:color="auto" w:fill="FFFFFF" w:themeFill="background1"/>
            <w:tcMar>
              <w:top w:w="20" w:type="dxa"/>
              <w:left w:w="20" w:type="dxa"/>
              <w:bottom w:w="72" w:type="dxa"/>
              <w:right w:w="20" w:type="dxa"/>
            </w:tcMar>
            <w:vAlign w:val="center"/>
          </w:tcPr>
          <w:p w14:paraId="2BF41CBA">
            <w:pPr>
              <w:jc w:val="center"/>
              <w:rPr>
                <w:rFonts w:ascii="Times New Roman" w:hAnsi="Times New Roman" w:eastAsia="宋体" w:cs="宋体"/>
                <w:kern w:val="0"/>
                <w:szCs w:val="21"/>
              </w:rPr>
            </w:pPr>
            <w:r>
              <w:rPr>
                <w:rFonts w:hint="eastAsia" w:ascii="Times New Roman" w:hAnsi="Times New Roman" w:eastAsia="宋体" w:cs="宋体"/>
                <w:kern w:val="0"/>
                <w:szCs w:val="21"/>
              </w:rPr>
              <w:t>202000</w:t>
            </w:r>
          </w:p>
        </w:tc>
        <w:tc>
          <w:tcPr>
            <w:tcW w:w="401" w:type="pct"/>
            <w:shd w:val="clear" w:color="auto" w:fill="FFFFFF" w:themeFill="background1"/>
            <w:tcMar>
              <w:top w:w="20" w:type="dxa"/>
              <w:left w:w="20" w:type="dxa"/>
              <w:bottom w:w="72" w:type="dxa"/>
              <w:right w:w="20" w:type="dxa"/>
            </w:tcMar>
            <w:vAlign w:val="center"/>
          </w:tcPr>
          <w:p w14:paraId="4EFECF61">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2066A4D7">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1CCE9576">
            <w:pPr>
              <w:jc w:val="center"/>
              <w:rPr>
                <w:rFonts w:ascii="Times New Roman" w:hAnsi="Times New Roman" w:eastAsia="宋体" w:cs="宋体"/>
                <w:kern w:val="0"/>
                <w:szCs w:val="21"/>
              </w:rPr>
            </w:pPr>
            <w:r>
              <w:rPr>
                <w:rFonts w:hint="eastAsia" w:ascii="Times New Roman" w:hAnsi="Times New Roman" w:eastAsia="宋体" w:cs="宋体"/>
                <w:kern w:val="0"/>
                <w:szCs w:val="21"/>
              </w:rPr>
              <w:t>石湾镇政府</w:t>
            </w:r>
          </w:p>
          <w:p w14:paraId="3C48A30A">
            <w:pPr>
              <w:jc w:val="center"/>
              <w:rPr>
                <w:rFonts w:ascii="Times New Roman" w:hAnsi="Times New Roman" w:eastAsia="宋体" w:cs="宋体"/>
                <w:kern w:val="0"/>
                <w:szCs w:val="21"/>
              </w:rPr>
            </w:pPr>
            <w:r>
              <w:rPr>
                <w:rFonts w:hint="eastAsia" w:ascii="Times New Roman" w:hAnsi="Times New Roman" w:eastAsia="宋体" w:cs="宋体"/>
                <w:kern w:val="0"/>
                <w:szCs w:val="21"/>
              </w:rPr>
              <w:t>园洲镇政府</w:t>
            </w:r>
          </w:p>
        </w:tc>
      </w:tr>
      <w:tr w14:paraId="5AF47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20BC9CB8">
            <w:pPr>
              <w:jc w:val="center"/>
              <w:rPr>
                <w:rFonts w:ascii="Times New Roman" w:hAnsi="Times New Roman" w:eastAsia="宋体" w:cs="宋体"/>
                <w:kern w:val="0"/>
                <w:szCs w:val="21"/>
              </w:rPr>
            </w:pPr>
            <w:r>
              <w:rPr>
                <w:rFonts w:hint="eastAsia" w:ascii="Times New Roman" w:hAnsi="Times New Roman" w:eastAsia="宋体" w:cs="宋体"/>
                <w:kern w:val="0"/>
                <w:szCs w:val="21"/>
              </w:rPr>
              <w:t>29</w:t>
            </w:r>
          </w:p>
        </w:tc>
        <w:tc>
          <w:tcPr>
            <w:tcW w:w="451" w:type="pct"/>
            <w:vMerge w:val="continue"/>
            <w:shd w:val="clear" w:color="auto" w:fill="FFFFFF" w:themeFill="background1"/>
            <w:tcMar>
              <w:top w:w="72" w:type="dxa"/>
              <w:left w:w="144" w:type="dxa"/>
              <w:bottom w:w="72" w:type="dxa"/>
              <w:right w:w="144" w:type="dxa"/>
            </w:tcMar>
            <w:vAlign w:val="center"/>
          </w:tcPr>
          <w:p w14:paraId="7ED51216">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4F23CEA0">
            <w:pPr>
              <w:jc w:val="center"/>
              <w:rPr>
                <w:rFonts w:ascii="Times New Roman" w:hAnsi="Times New Roman" w:eastAsia="宋体" w:cs="宋体"/>
                <w:kern w:val="0"/>
                <w:szCs w:val="21"/>
              </w:rPr>
            </w:pPr>
            <w:r>
              <w:rPr>
                <w:rFonts w:hint="eastAsia" w:ascii="Times New Roman" w:hAnsi="Times New Roman" w:eastAsia="宋体" w:cs="宋体"/>
                <w:kern w:val="0"/>
                <w:szCs w:val="21"/>
              </w:rPr>
              <w:t>石园快速新建工程（石湾环城路—时尚大道段）</w:t>
            </w:r>
          </w:p>
        </w:tc>
        <w:tc>
          <w:tcPr>
            <w:tcW w:w="1905" w:type="pct"/>
            <w:shd w:val="clear" w:color="auto" w:fill="FFFFFF" w:themeFill="background1"/>
            <w:tcMar>
              <w:top w:w="20" w:type="dxa"/>
              <w:left w:w="20" w:type="dxa"/>
              <w:bottom w:w="72" w:type="dxa"/>
              <w:right w:w="20" w:type="dxa"/>
            </w:tcMar>
            <w:vAlign w:val="center"/>
          </w:tcPr>
          <w:p w14:paraId="2BBABB0D">
            <w:pPr>
              <w:rPr>
                <w:rFonts w:ascii="Times New Roman" w:hAnsi="Times New Roman" w:eastAsia="宋体" w:cs="宋体"/>
                <w:kern w:val="0"/>
                <w:szCs w:val="21"/>
              </w:rPr>
            </w:pPr>
            <w:r>
              <w:rPr>
                <w:rFonts w:hint="eastAsia" w:ascii="Times New Roman" w:hAnsi="Times New Roman" w:eastAsia="宋体" w:cs="宋体"/>
                <w:kern w:val="0"/>
                <w:szCs w:val="21"/>
              </w:rPr>
              <w:t>路线全长约</w:t>
            </w:r>
            <w:r>
              <w:rPr>
                <w:rFonts w:ascii="Times New Roman" w:hAnsi="Times New Roman" w:eastAsia="宋体" w:cs="宋体"/>
                <w:kern w:val="0"/>
                <w:szCs w:val="21"/>
              </w:rPr>
              <w:t>18.02</w:t>
            </w:r>
            <w:r>
              <w:rPr>
                <w:rFonts w:hint="eastAsia" w:ascii="Times New Roman" w:hAnsi="Times New Roman" w:eastAsia="宋体" w:cs="宋体"/>
                <w:kern w:val="0"/>
                <w:szCs w:val="21"/>
              </w:rPr>
              <w:t>公里</w:t>
            </w:r>
            <w:bookmarkStart w:id="218" w:name="OLE_LINK33"/>
            <w:r>
              <w:rPr>
                <w:rFonts w:hint="eastAsia" w:ascii="Times New Roman" w:hAnsi="Times New Roman" w:eastAsia="宋体" w:cs="宋体"/>
                <w:kern w:val="0"/>
                <w:szCs w:val="21"/>
              </w:rPr>
              <w:t>，采用双向六车道，局部八车道一级公路结合城市主干路标准建设，设计时速</w:t>
            </w:r>
            <w:r>
              <w:rPr>
                <w:rFonts w:ascii="Times New Roman" w:hAnsi="Times New Roman" w:eastAsia="宋体" w:cs="宋体"/>
                <w:kern w:val="0"/>
                <w:szCs w:val="21"/>
              </w:rPr>
              <w:t>60km/h</w:t>
            </w:r>
            <w:r>
              <w:rPr>
                <w:rFonts w:hint="eastAsia" w:ascii="Times New Roman" w:hAnsi="Times New Roman" w:eastAsia="宋体" w:cs="宋体"/>
                <w:kern w:val="0"/>
                <w:szCs w:val="21"/>
              </w:rPr>
              <w:t>，采用沥青混凝土路面。</w:t>
            </w:r>
            <w:bookmarkEnd w:id="218"/>
          </w:p>
        </w:tc>
        <w:tc>
          <w:tcPr>
            <w:tcW w:w="401" w:type="pct"/>
            <w:shd w:val="clear" w:color="auto" w:fill="FFFFFF" w:themeFill="background1"/>
            <w:tcMar>
              <w:top w:w="20" w:type="dxa"/>
              <w:left w:w="20" w:type="dxa"/>
              <w:bottom w:w="72" w:type="dxa"/>
              <w:right w:w="20" w:type="dxa"/>
            </w:tcMar>
            <w:vAlign w:val="center"/>
          </w:tcPr>
          <w:p w14:paraId="35A69CEB">
            <w:pPr>
              <w:jc w:val="center"/>
              <w:rPr>
                <w:rFonts w:ascii="Times New Roman" w:hAnsi="Times New Roman" w:eastAsia="宋体" w:cs="宋体"/>
                <w:kern w:val="0"/>
                <w:szCs w:val="21"/>
              </w:rPr>
            </w:pPr>
            <w:r>
              <w:rPr>
                <w:rFonts w:hint="eastAsia" w:ascii="Times New Roman" w:hAnsi="Times New Roman" w:eastAsia="宋体" w:cs="宋体"/>
                <w:kern w:val="0"/>
                <w:szCs w:val="21"/>
              </w:rPr>
              <w:t>2.1751</w:t>
            </w:r>
          </w:p>
        </w:tc>
        <w:tc>
          <w:tcPr>
            <w:tcW w:w="401" w:type="pct"/>
            <w:shd w:val="clear" w:color="auto" w:fill="FFFFFF" w:themeFill="background1"/>
            <w:tcMar>
              <w:top w:w="20" w:type="dxa"/>
              <w:left w:w="20" w:type="dxa"/>
              <w:bottom w:w="72" w:type="dxa"/>
              <w:right w:w="20" w:type="dxa"/>
            </w:tcMar>
            <w:vAlign w:val="center"/>
          </w:tcPr>
          <w:p w14:paraId="53DEA9E1">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2027F3A8">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37BB427B">
            <w:pPr>
              <w:jc w:val="center"/>
              <w:rPr>
                <w:rFonts w:ascii="Times New Roman" w:hAnsi="Times New Roman" w:eastAsia="宋体" w:cs="宋体"/>
                <w:kern w:val="0"/>
                <w:szCs w:val="21"/>
              </w:rPr>
            </w:pPr>
            <w:r>
              <w:rPr>
                <w:rFonts w:hint="eastAsia" w:ascii="Times New Roman" w:hAnsi="Times New Roman" w:eastAsia="宋体" w:cs="宋体"/>
                <w:kern w:val="0"/>
                <w:szCs w:val="21"/>
              </w:rPr>
              <w:t>石湾镇政府</w:t>
            </w:r>
          </w:p>
          <w:p w14:paraId="25F24958">
            <w:pPr>
              <w:jc w:val="center"/>
              <w:rPr>
                <w:rFonts w:ascii="Times New Roman" w:hAnsi="Times New Roman" w:eastAsia="宋体" w:cs="宋体"/>
                <w:kern w:val="0"/>
                <w:szCs w:val="21"/>
              </w:rPr>
            </w:pPr>
            <w:r>
              <w:rPr>
                <w:rFonts w:hint="eastAsia" w:ascii="Times New Roman" w:hAnsi="Times New Roman" w:eastAsia="宋体" w:cs="宋体"/>
                <w:kern w:val="0"/>
                <w:szCs w:val="21"/>
              </w:rPr>
              <w:t>园洲镇政府</w:t>
            </w:r>
          </w:p>
        </w:tc>
      </w:tr>
      <w:tr w14:paraId="160B2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6F295A22">
            <w:pPr>
              <w:jc w:val="center"/>
              <w:rPr>
                <w:rFonts w:ascii="Times New Roman" w:hAnsi="Times New Roman" w:eastAsia="宋体" w:cs="宋体"/>
                <w:kern w:val="0"/>
                <w:szCs w:val="21"/>
              </w:rPr>
            </w:pPr>
            <w:r>
              <w:rPr>
                <w:rFonts w:hint="eastAsia" w:ascii="Times New Roman" w:hAnsi="Times New Roman" w:eastAsia="宋体" w:cs="宋体"/>
                <w:kern w:val="0"/>
                <w:szCs w:val="21"/>
              </w:rPr>
              <w:t>30</w:t>
            </w:r>
          </w:p>
        </w:tc>
        <w:tc>
          <w:tcPr>
            <w:tcW w:w="451" w:type="pct"/>
            <w:vMerge w:val="continue"/>
            <w:shd w:val="clear" w:color="auto" w:fill="FFFFFF" w:themeFill="background1"/>
            <w:tcMar>
              <w:top w:w="72" w:type="dxa"/>
              <w:left w:w="144" w:type="dxa"/>
              <w:bottom w:w="72" w:type="dxa"/>
              <w:right w:w="144" w:type="dxa"/>
            </w:tcMar>
            <w:vAlign w:val="center"/>
          </w:tcPr>
          <w:p w14:paraId="2073BAAC">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12CD16C1">
            <w:pPr>
              <w:jc w:val="center"/>
              <w:rPr>
                <w:rFonts w:ascii="Times New Roman" w:hAnsi="Times New Roman" w:eastAsia="宋体" w:cs="宋体"/>
                <w:kern w:val="0"/>
                <w:szCs w:val="21"/>
              </w:rPr>
            </w:pPr>
            <w:r>
              <w:rPr>
                <w:rFonts w:hint="eastAsia" w:ascii="Times New Roman" w:hAnsi="Times New Roman" w:eastAsia="宋体" w:cs="宋体"/>
                <w:kern w:val="0"/>
                <w:szCs w:val="21"/>
              </w:rPr>
              <w:t>和安大道升级改造工程一期（K2+440—K4+926.776路段）</w:t>
            </w:r>
          </w:p>
        </w:tc>
        <w:tc>
          <w:tcPr>
            <w:tcW w:w="1905" w:type="pct"/>
            <w:shd w:val="clear" w:color="auto" w:fill="FFFFFF" w:themeFill="background1"/>
            <w:tcMar>
              <w:top w:w="20" w:type="dxa"/>
              <w:left w:w="20" w:type="dxa"/>
              <w:bottom w:w="72" w:type="dxa"/>
              <w:right w:w="20" w:type="dxa"/>
            </w:tcMar>
            <w:vAlign w:val="center"/>
          </w:tcPr>
          <w:p w14:paraId="60EE9B6A">
            <w:pPr>
              <w:rPr>
                <w:rFonts w:ascii="Times New Roman" w:hAnsi="Times New Roman" w:eastAsia="宋体" w:cs="宋体"/>
                <w:kern w:val="0"/>
                <w:szCs w:val="21"/>
              </w:rPr>
            </w:pPr>
            <w:r>
              <w:rPr>
                <w:rFonts w:hint="eastAsia" w:ascii="Times New Roman" w:hAnsi="Times New Roman" w:eastAsia="宋体" w:cs="宋体"/>
                <w:kern w:val="0"/>
                <w:szCs w:val="21"/>
              </w:rPr>
              <w:t>路线全长约2.49公里，采用双向六车道一级公路结合城市主干路标准建设，设计时速</w:t>
            </w:r>
            <w:r>
              <w:rPr>
                <w:rFonts w:ascii="Times New Roman" w:hAnsi="Times New Roman" w:eastAsia="宋体" w:cs="宋体"/>
                <w:kern w:val="0"/>
                <w:szCs w:val="21"/>
              </w:rPr>
              <w:t>60km/h</w:t>
            </w:r>
            <w:r>
              <w:rPr>
                <w:rFonts w:hint="eastAsia" w:ascii="Times New Roman" w:hAnsi="Times New Roman" w:eastAsia="宋体" w:cs="宋体"/>
                <w:kern w:val="0"/>
                <w:szCs w:val="21"/>
              </w:rPr>
              <w:t>，采用沥青混凝土路面。</w:t>
            </w:r>
          </w:p>
        </w:tc>
        <w:tc>
          <w:tcPr>
            <w:tcW w:w="401" w:type="pct"/>
            <w:shd w:val="clear" w:color="auto" w:fill="FFFFFF" w:themeFill="background1"/>
            <w:tcMar>
              <w:top w:w="20" w:type="dxa"/>
              <w:left w:w="20" w:type="dxa"/>
              <w:bottom w:w="72" w:type="dxa"/>
              <w:right w:w="20" w:type="dxa"/>
            </w:tcMar>
            <w:vAlign w:val="center"/>
          </w:tcPr>
          <w:p w14:paraId="3CCD1F47">
            <w:pPr>
              <w:jc w:val="center"/>
              <w:rPr>
                <w:rFonts w:ascii="Times New Roman" w:hAnsi="Times New Roman" w:eastAsia="宋体" w:cs="宋体"/>
                <w:kern w:val="0"/>
                <w:szCs w:val="21"/>
              </w:rPr>
            </w:pPr>
            <w:r>
              <w:rPr>
                <w:rFonts w:hint="eastAsia" w:ascii="Times New Roman" w:hAnsi="Times New Roman" w:eastAsia="宋体" w:cs="宋体"/>
                <w:kern w:val="0"/>
                <w:szCs w:val="21"/>
              </w:rPr>
              <w:t>3.561</w:t>
            </w:r>
          </w:p>
        </w:tc>
        <w:tc>
          <w:tcPr>
            <w:tcW w:w="401" w:type="pct"/>
            <w:shd w:val="clear" w:color="auto" w:fill="FFFFFF" w:themeFill="background1"/>
            <w:tcMar>
              <w:top w:w="20" w:type="dxa"/>
              <w:left w:w="20" w:type="dxa"/>
              <w:bottom w:w="72" w:type="dxa"/>
              <w:right w:w="20" w:type="dxa"/>
            </w:tcMar>
            <w:vAlign w:val="center"/>
          </w:tcPr>
          <w:p w14:paraId="2435C49B">
            <w:pPr>
              <w:jc w:val="center"/>
              <w:rPr>
                <w:rFonts w:ascii="Times New Roman" w:hAnsi="Times New Roman" w:eastAsia="宋体" w:cs="宋体"/>
                <w:kern w:val="0"/>
                <w:szCs w:val="21"/>
              </w:rPr>
            </w:pPr>
            <w:r>
              <w:rPr>
                <w:rFonts w:hint="eastAsia" w:ascii="Times New Roman" w:hAnsi="Times New Roman" w:eastAsia="宋体" w:cs="宋体"/>
                <w:kern w:val="0"/>
                <w:szCs w:val="21"/>
              </w:rPr>
              <w:t>改造</w:t>
            </w:r>
          </w:p>
        </w:tc>
        <w:tc>
          <w:tcPr>
            <w:tcW w:w="401" w:type="pct"/>
            <w:shd w:val="clear" w:color="auto" w:fill="FFFFFF" w:themeFill="background1"/>
            <w:tcMar>
              <w:top w:w="20" w:type="dxa"/>
              <w:left w:w="20" w:type="dxa"/>
              <w:bottom w:w="72" w:type="dxa"/>
              <w:right w:w="20" w:type="dxa"/>
            </w:tcMar>
            <w:vAlign w:val="center"/>
          </w:tcPr>
          <w:p w14:paraId="3DC431AB">
            <w:pPr>
              <w:jc w:val="center"/>
              <w:rPr>
                <w:rFonts w:ascii="Times New Roman" w:hAnsi="Times New Roman" w:eastAsia="宋体" w:cs="宋体"/>
                <w:kern w:val="0"/>
                <w:szCs w:val="21"/>
              </w:rPr>
            </w:pPr>
            <w:r>
              <w:rPr>
                <w:rFonts w:hint="eastAsia" w:ascii="Times New Roman" w:hAnsi="Times New Roman" w:eastAsia="宋体" w:cs="宋体"/>
                <w:kern w:val="0"/>
                <w:szCs w:val="21"/>
              </w:rPr>
              <w:t>2025-2026</w:t>
            </w:r>
          </w:p>
        </w:tc>
        <w:tc>
          <w:tcPr>
            <w:tcW w:w="440" w:type="pct"/>
            <w:shd w:val="clear" w:color="auto" w:fill="FFFFFF" w:themeFill="background1"/>
            <w:tcMar>
              <w:top w:w="20" w:type="dxa"/>
              <w:left w:w="20" w:type="dxa"/>
              <w:bottom w:w="72" w:type="dxa"/>
              <w:right w:w="20" w:type="dxa"/>
            </w:tcMar>
            <w:vAlign w:val="center"/>
          </w:tcPr>
          <w:p w14:paraId="2AB25247">
            <w:pPr>
              <w:jc w:val="center"/>
              <w:rPr>
                <w:rFonts w:ascii="Times New Roman" w:hAnsi="Times New Roman" w:eastAsia="宋体" w:cs="宋体"/>
                <w:kern w:val="0"/>
                <w:szCs w:val="21"/>
              </w:rPr>
            </w:pPr>
            <w:r>
              <w:rPr>
                <w:rFonts w:hint="eastAsia" w:ascii="Times New Roman" w:hAnsi="Times New Roman" w:eastAsia="宋体" w:cs="宋体"/>
                <w:kern w:val="0"/>
                <w:szCs w:val="21"/>
              </w:rPr>
              <w:t>园洲镇政府</w:t>
            </w:r>
          </w:p>
        </w:tc>
      </w:tr>
      <w:tr w14:paraId="63D0A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45445783">
            <w:pPr>
              <w:jc w:val="center"/>
              <w:rPr>
                <w:rFonts w:ascii="Times New Roman" w:hAnsi="Times New Roman" w:eastAsia="宋体" w:cs="宋体"/>
                <w:kern w:val="0"/>
                <w:szCs w:val="21"/>
              </w:rPr>
            </w:pPr>
            <w:r>
              <w:rPr>
                <w:rFonts w:hint="eastAsia" w:ascii="Times New Roman" w:hAnsi="Times New Roman" w:eastAsia="宋体" w:cs="宋体"/>
                <w:kern w:val="0"/>
                <w:szCs w:val="21"/>
              </w:rPr>
              <w:t>31</w:t>
            </w:r>
          </w:p>
        </w:tc>
        <w:tc>
          <w:tcPr>
            <w:tcW w:w="451" w:type="pct"/>
            <w:vMerge w:val="continue"/>
            <w:shd w:val="clear" w:color="auto" w:fill="FFFFFF" w:themeFill="background1"/>
            <w:tcMar>
              <w:top w:w="72" w:type="dxa"/>
              <w:left w:w="144" w:type="dxa"/>
              <w:bottom w:w="72" w:type="dxa"/>
              <w:right w:w="144" w:type="dxa"/>
            </w:tcMar>
            <w:vAlign w:val="center"/>
          </w:tcPr>
          <w:p w14:paraId="69DE1D05">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090C4041">
            <w:pPr>
              <w:jc w:val="center"/>
              <w:rPr>
                <w:rFonts w:ascii="Times New Roman" w:hAnsi="Times New Roman" w:eastAsia="宋体" w:cs="宋体"/>
                <w:kern w:val="0"/>
                <w:szCs w:val="21"/>
              </w:rPr>
            </w:pPr>
            <w:r>
              <w:rPr>
                <w:rFonts w:hint="eastAsia" w:ascii="Times New Roman" w:hAnsi="Times New Roman" w:eastAsia="宋体" w:cs="宋体"/>
                <w:kern w:val="0"/>
                <w:szCs w:val="21"/>
              </w:rPr>
              <w:t>起步区新建11条次干路道路交通项目</w:t>
            </w:r>
          </w:p>
        </w:tc>
        <w:tc>
          <w:tcPr>
            <w:tcW w:w="1905" w:type="pct"/>
            <w:shd w:val="clear" w:color="auto" w:fill="FFFFFF" w:themeFill="background1"/>
            <w:tcMar>
              <w:top w:w="20" w:type="dxa"/>
              <w:left w:w="20" w:type="dxa"/>
              <w:bottom w:w="72" w:type="dxa"/>
              <w:right w:w="20" w:type="dxa"/>
            </w:tcMar>
            <w:vAlign w:val="center"/>
          </w:tcPr>
          <w:p w14:paraId="3609C59F">
            <w:pPr>
              <w:rPr>
                <w:rFonts w:ascii="Times New Roman" w:hAnsi="Times New Roman" w:eastAsia="宋体" w:cs="宋体"/>
                <w:kern w:val="0"/>
                <w:szCs w:val="21"/>
              </w:rPr>
            </w:pPr>
            <w:r>
              <w:rPr>
                <w:rFonts w:hint="eastAsia" w:ascii="Times New Roman" w:hAnsi="Times New Roman" w:eastAsia="宋体" w:cs="宋体"/>
                <w:kern w:val="0"/>
                <w:szCs w:val="21"/>
              </w:rPr>
              <w:t>路线全长约35公里，红线宽度为24—30米，双向4-6车道，设计速度30-40公里/小时。</w:t>
            </w:r>
          </w:p>
        </w:tc>
        <w:tc>
          <w:tcPr>
            <w:tcW w:w="401" w:type="pct"/>
            <w:shd w:val="clear" w:color="auto" w:fill="FFFFFF" w:themeFill="background1"/>
            <w:tcMar>
              <w:top w:w="20" w:type="dxa"/>
              <w:left w:w="20" w:type="dxa"/>
              <w:bottom w:w="72" w:type="dxa"/>
              <w:right w:w="20" w:type="dxa"/>
            </w:tcMar>
            <w:vAlign w:val="center"/>
          </w:tcPr>
          <w:p w14:paraId="2FEF2D98">
            <w:pPr>
              <w:jc w:val="center"/>
              <w:rPr>
                <w:rFonts w:ascii="Times New Roman" w:hAnsi="Times New Roman" w:eastAsia="宋体" w:cs="宋体"/>
                <w:kern w:val="0"/>
                <w:szCs w:val="21"/>
              </w:rPr>
            </w:pPr>
            <w:r>
              <w:rPr>
                <w:rFonts w:hint="eastAsia" w:ascii="Times New Roman" w:hAnsi="Times New Roman" w:eastAsia="宋体" w:cs="宋体"/>
                <w:kern w:val="0"/>
                <w:szCs w:val="21"/>
              </w:rPr>
              <w:t>51480</w:t>
            </w:r>
          </w:p>
        </w:tc>
        <w:tc>
          <w:tcPr>
            <w:tcW w:w="401" w:type="pct"/>
            <w:shd w:val="clear" w:color="auto" w:fill="FFFFFF" w:themeFill="background1"/>
            <w:tcMar>
              <w:top w:w="20" w:type="dxa"/>
              <w:left w:w="20" w:type="dxa"/>
              <w:bottom w:w="72" w:type="dxa"/>
              <w:right w:w="20" w:type="dxa"/>
            </w:tcMar>
            <w:vAlign w:val="center"/>
          </w:tcPr>
          <w:p w14:paraId="05B4E8FA">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085A809C">
            <w:pPr>
              <w:jc w:val="center"/>
              <w:rPr>
                <w:rFonts w:ascii="Times New Roman" w:hAnsi="Times New Roman" w:eastAsia="宋体" w:cs="宋体"/>
                <w:kern w:val="0"/>
                <w:szCs w:val="21"/>
              </w:rPr>
            </w:pPr>
            <w:r>
              <w:rPr>
                <w:rFonts w:hint="eastAsia" w:ascii="Times New Roman" w:hAnsi="Times New Roman" w:eastAsia="宋体" w:cs="宋体"/>
                <w:kern w:val="0"/>
                <w:szCs w:val="21"/>
              </w:rPr>
              <w:t>2025-2026</w:t>
            </w:r>
          </w:p>
        </w:tc>
        <w:tc>
          <w:tcPr>
            <w:tcW w:w="440" w:type="pct"/>
            <w:shd w:val="clear" w:color="auto" w:fill="FFFFFF" w:themeFill="background1"/>
            <w:tcMar>
              <w:top w:w="20" w:type="dxa"/>
              <w:left w:w="20" w:type="dxa"/>
              <w:bottom w:w="72" w:type="dxa"/>
              <w:right w:w="20" w:type="dxa"/>
            </w:tcMar>
            <w:vAlign w:val="center"/>
          </w:tcPr>
          <w:p w14:paraId="1304A695">
            <w:pPr>
              <w:jc w:val="center"/>
              <w:rPr>
                <w:rFonts w:ascii="Times New Roman" w:hAnsi="Times New Roman" w:eastAsia="宋体" w:cs="宋体"/>
                <w:kern w:val="0"/>
                <w:szCs w:val="21"/>
              </w:rPr>
            </w:pPr>
            <w:r>
              <w:rPr>
                <w:rFonts w:hint="eastAsia" w:ascii="Times New Roman" w:hAnsi="Times New Roman" w:eastAsia="宋体" w:cs="宋体"/>
                <w:kern w:val="0"/>
                <w:szCs w:val="21"/>
              </w:rPr>
              <w:t>石湾镇政府</w:t>
            </w:r>
          </w:p>
          <w:p w14:paraId="347767AA">
            <w:pPr>
              <w:jc w:val="center"/>
              <w:rPr>
                <w:rFonts w:ascii="Times New Roman" w:hAnsi="Times New Roman" w:eastAsia="宋体" w:cs="宋体"/>
                <w:kern w:val="0"/>
                <w:szCs w:val="21"/>
              </w:rPr>
            </w:pPr>
            <w:r>
              <w:rPr>
                <w:rFonts w:hint="eastAsia" w:ascii="Times New Roman" w:hAnsi="Times New Roman" w:eastAsia="宋体" w:cs="宋体"/>
                <w:kern w:val="0"/>
                <w:szCs w:val="21"/>
              </w:rPr>
              <w:t>园洲镇政府</w:t>
            </w:r>
          </w:p>
        </w:tc>
      </w:tr>
      <w:tr w14:paraId="2F16D1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57A8E239">
            <w:pPr>
              <w:jc w:val="center"/>
              <w:rPr>
                <w:rFonts w:ascii="Times New Roman" w:hAnsi="Times New Roman" w:eastAsia="宋体" w:cs="宋体"/>
                <w:kern w:val="0"/>
                <w:szCs w:val="21"/>
              </w:rPr>
            </w:pPr>
            <w:r>
              <w:rPr>
                <w:rFonts w:hint="eastAsia" w:ascii="Times New Roman" w:hAnsi="Times New Roman" w:eastAsia="宋体" w:cs="宋体"/>
                <w:kern w:val="0"/>
                <w:szCs w:val="21"/>
              </w:rPr>
              <w:t>32</w:t>
            </w:r>
          </w:p>
        </w:tc>
        <w:tc>
          <w:tcPr>
            <w:tcW w:w="451" w:type="pct"/>
            <w:vMerge w:val="continue"/>
            <w:shd w:val="clear" w:color="auto" w:fill="FFFFFF" w:themeFill="background1"/>
            <w:tcMar>
              <w:top w:w="72" w:type="dxa"/>
              <w:left w:w="144" w:type="dxa"/>
              <w:bottom w:w="72" w:type="dxa"/>
              <w:right w:w="144" w:type="dxa"/>
            </w:tcMar>
            <w:vAlign w:val="center"/>
          </w:tcPr>
          <w:p w14:paraId="04FB8080">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3F7D4F2B">
            <w:pPr>
              <w:jc w:val="center"/>
              <w:rPr>
                <w:rFonts w:ascii="Times New Roman" w:hAnsi="Times New Roman" w:eastAsia="宋体" w:cs="宋体"/>
                <w:kern w:val="0"/>
                <w:szCs w:val="21"/>
              </w:rPr>
            </w:pPr>
            <w:r>
              <w:rPr>
                <w:rFonts w:hint="eastAsia" w:ascii="Times New Roman" w:hAnsi="Times New Roman" w:eastAsia="宋体" w:cs="宋体"/>
                <w:kern w:val="0"/>
                <w:szCs w:val="21"/>
              </w:rPr>
              <w:t>起步区新建12条支路道路交通项目</w:t>
            </w:r>
          </w:p>
        </w:tc>
        <w:tc>
          <w:tcPr>
            <w:tcW w:w="1905" w:type="pct"/>
            <w:shd w:val="clear" w:color="auto" w:fill="FFFFFF" w:themeFill="background1"/>
            <w:tcMar>
              <w:top w:w="20" w:type="dxa"/>
              <w:left w:w="20" w:type="dxa"/>
              <w:bottom w:w="72" w:type="dxa"/>
              <w:right w:w="20" w:type="dxa"/>
            </w:tcMar>
            <w:vAlign w:val="center"/>
          </w:tcPr>
          <w:p w14:paraId="455305F4">
            <w:pPr>
              <w:rPr>
                <w:rFonts w:ascii="Times New Roman" w:hAnsi="Times New Roman" w:eastAsia="宋体" w:cs="宋体"/>
                <w:kern w:val="0"/>
                <w:szCs w:val="21"/>
              </w:rPr>
            </w:pPr>
            <w:r>
              <w:rPr>
                <w:rFonts w:hint="eastAsia" w:ascii="Times New Roman" w:hAnsi="Times New Roman" w:eastAsia="宋体" w:cs="宋体"/>
                <w:kern w:val="0"/>
                <w:szCs w:val="21"/>
              </w:rPr>
              <w:t>路线全长约7.1公里，红线宽度为12—24米，双向2-4车道，设计速度10-20公里/小时。</w:t>
            </w:r>
          </w:p>
        </w:tc>
        <w:tc>
          <w:tcPr>
            <w:tcW w:w="401" w:type="pct"/>
            <w:shd w:val="clear" w:color="auto" w:fill="FFFFFF" w:themeFill="background1"/>
            <w:tcMar>
              <w:top w:w="20" w:type="dxa"/>
              <w:left w:w="20" w:type="dxa"/>
              <w:bottom w:w="72" w:type="dxa"/>
              <w:right w:w="20" w:type="dxa"/>
            </w:tcMar>
            <w:vAlign w:val="center"/>
          </w:tcPr>
          <w:p w14:paraId="1D18399C">
            <w:pPr>
              <w:jc w:val="center"/>
              <w:rPr>
                <w:rFonts w:ascii="Times New Roman" w:hAnsi="Times New Roman" w:eastAsia="宋体" w:cs="宋体"/>
                <w:kern w:val="0"/>
                <w:szCs w:val="21"/>
              </w:rPr>
            </w:pPr>
            <w:r>
              <w:rPr>
                <w:rFonts w:hint="eastAsia" w:ascii="Times New Roman" w:hAnsi="Times New Roman" w:eastAsia="宋体" w:cs="宋体"/>
                <w:kern w:val="0"/>
                <w:szCs w:val="21"/>
              </w:rPr>
              <w:t>15808</w:t>
            </w:r>
          </w:p>
        </w:tc>
        <w:tc>
          <w:tcPr>
            <w:tcW w:w="401" w:type="pct"/>
            <w:shd w:val="clear" w:color="auto" w:fill="FFFFFF" w:themeFill="background1"/>
            <w:tcMar>
              <w:top w:w="20" w:type="dxa"/>
              <w:left w:w="20" w:type="dxa"/>
              <w:bottom w:w="72" w:type="dxa"/>
              <w:right w:w="20" w:type="dxa"/>
            </w:tcMar>
            <w:vAlign w:val="center"/>
          </w:tcPr>
          <w:p w14:paraId="4566D297">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14A9B82F">
            <w:pPr>
              <w:jc w:val="center"/>
              <w:rPr>
                <w:rFonts w:ascii="Times New Roman" w:hAnsi="Times New Roman" w:eastAsia="宋体" w:cs="宋体"/>
                <w:kern w:val="0"/>
                <w:szCs w:val="21"/>
              </w:rPr>
            </w:pPr>
            <w:r>
              <w:rPr>
                <w:rFonts w:hint="eastAsia" w:ascii="Times New Roman" w:hAnsi="Times New Roman" w:eastAsia="宋体" w:cs="宋体"/>
                <w:kern w:val="0"/>
                <w:szCs w:val="21"/>
              </w:rPr>
              <w:t>2025-2026</w:t>
            </w:r>
          </w:p>
        </w:tc>
        <w:tc>
          <w:tcPr>
            <w:tcW w:w="440" w:type="pct"/>
            <w:shd w:val="clear" w:color="auto" w:fill="FFFFFF" w:themeFill="background1"/>
            <w:tcMar>
              <w:top w:w="20" w:type="dxa"/>
              <w:left w:w="20" w:type="dxa"/>
              <w:bottom w:w="72" w:type="dxa"/>
              <w:right w:w="20" w:type="dxa"/>
            </w:tcMar>
            <w:vAlign w:val="center"/>
          </w:tcPr>
          <w:p w14:paraId="4E0BA7EF">
            <w:pPr>
              <w:jc w:val="center"/>
              <w:rPr>
                <w:rFonts w:ascii="Times New Roman" w:hAnsi="Times New Roman" w:eastAsia="宋体" w:cs="宋体"/>
                <w:kern w:val="0"/>
                <w:szCs w:val="21"/>
              </w:rPr>
            </w:pPr>
            <w:r>
              <w:rPr>
                <w:rFonts w:hint="eastAsia" w:ascii="Times New Roman" w:hAnsi="Times New Roman" w:eastAsia="宋体" w:cs="宋体"/>
                <w:kern w:val="0"/>
                <w:szCs w:val="21"/>
              </w:rPr>
              <w:t>石湾镇政府</w:t>
            </w:r>
          </w:p>
          <w:p w14:paraId="303652E4">
            <w:pPr>
              <w:jc w:val="center"/>
              <w:rPr>
                <w:rFonts w:ascii="Times New Roman" w:hAnsi="Times New Roman" w:eastAsia="宋体" w:cs="宋体"/>
                <w:kern w:val="0"/>
                <w:szCs w:val="21"/>
              </w:rPr>
            </w:pPr>
            <w:r>
              <w:rPr>
                <w:rFonts w:hint="eastAsia" w:ascii="Times New Roman" w:hAnsi="Times New Roman" w:eastAsia="宋体" w:cs="宋体"/>
                <w:kern w:val="0"/>
                <w:szCs w:val="21"/>
              </w:rPr>
              <w:t>园洲镇政府</w:t>
            </w:r>
          </w:p>
        </w:tc>
      </w:tr>
      <w:tr w14:paraId="6EC0E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324" w:hRule="atLeast"/>
          <w:jc w:val="center"/>
        </w:trPr>
        <w:tc>
          <w:tcPr>
            <w:tcW w:w="199" w:type="pct"/>
            <w:shd w:val="clear" w:color="auto" w:fill="FFFFFF" w:themeFill="background1"/>
            <w:tcMar>
              <w:top w:w="72" w:type="dxa"/>
              <w:left w:w="144" w:type="dxa"/>
              <w:bottom w:w="72" w:type="dxa"/>
              <w:right w:w="144" w:type="dxa"/>
            </w:tcMar>
            <w:vAlign w:val="center"/>
          </w:tcPr>
          <w:p w14:paraId="19650366">
            <w:pPr>
              <w:jc w:val="center"/>
              <w:rPr>
                <w:rFonts w:ascii="Times New Roman" w:hAnsi="Times New Roman" w:eastAsia="宋体" w:cs="宋体"/>
                <w:kern w:val="0"/>
                <w:szCs w:val="21"/>
              </w:rPr>
            </w:pPr>
            <w:r>
              <w:rPr>
                <w:rFonts w:hint="eastAsia" w:ascii="Times New Roman" w:hAnsi="Times New Roman" w:eastAsia="宋体" w:cs="宋体"/>
                <w:kern w:val="0"/>
                <w:szCs w:val="21"/>
              </w:rPr>
              <w:t>33</w:t>
            </w:r>
          </w:p>
        </w:tc>
        <w:tc>
          <w:tcPr>
            <w:tcW w:w="451" w:type="pct"/>
            <w:vMerge w:val="continue"/>
            <w:shd w:val="clear" w:color="auto" w:fill="FFFFFF" w:themeFill="background1"/>
            <w:tcMar>
              <w:top w:w="72" w:type="dxa"/>
              <w:left w:w="144" w:type="dxa"/>
              <w:bottom w:w="72" w:type="dxa"/>
              <w:right w:w="144" w:type="dxa"/>
            </w:tcMar>
            <w:vAlign w:val="center"/>
          </w:tcPr>
          <w:p w14:paraId="5340206B">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5E2883D5">
            <w:pPr>
              <w:jc w:val="center"/>
              <w:rPr>
                <w:rFonts w:ascii="Times New Roman" w:hAnsi="Times New Roman" w:eastAsia="宋体" w:cs="宋体"/>
                <w:kern w:val="0"/>
                <w:szCs w:val="21"/>
              </w:rPr>
            </w:pPr>
            <w:r>
              <w:rPr>
                <w:rFonts w:hint="eastAsia" w:ascii="Times New Roman" w:hAnsi="Times New Roman" w:eastAsia="宋体" w:cs="宋体"/>
                <w:kern w:val="0"/>
                <w:szCs w:val="21"/>
              </w:rPr>
              <w:t>石湾大桥改建工程</w:t>
            </w:r>
          </w:p>
        </w:tc>
        <w:tc>
          <w:tcPr>
            <w:tcW w:w="1905" w:type="pct"/>
            <w:shd w:val="clear" w:color="auto" w:fill="FFFFFF" w:themeFill="background1"/>
            <w:tcMar>
              <w:top w:w="20" w:type="dxa"/>
              <w:left w:w="20" w:type="dxa"/>
              <w:bottom w:w="72" w:type="dxa"/>
              <w:right w:w="20" w:type="dxa"/>
            </w:tcMar>
            <w:vAlign w:val="center"/>
          </w:tcPr>
          <w:p w14:paraId="53566FD9">
            <w:pPr>
              <w:rPr>
                <w:rFonts w:ascii="Times New Roman" w:hAnsi="Times New Roman" w:eastAsia="宋体" w:cs="宋体"/>
                <w:kern w:val="0"/>
                <w:szCs w:val="21"/>
              </w:rPr>
            </w:pPr>
            <w:r>
              <w:rPr>
                <w:rFonts w:hint="eastAsia" w:ascii="Times New Roman" w:hAnsi="Times New Roman" w:eastAsia="宋体" w:cs="宋体"/>
                <w:kern w:val="0"/>
                <w:szCs w:val="21"/>
              </w:rPr>
              <w:t>桥梁全长约</w:t>
            </w:r>
            <w:r>
              <w:rPr>
                <w:rFonts w:ascii="Times New Roman" w:hAnsi="Times New Roman" w:eastAsia="宋体" w:cs="宋体"/>
                <w:kern w:val="0"/>
                <w:szCs w:val="21"/>
              </w:rPr>
              <w:t>710</w:t>
            </w:r>
            <w:r>
              <w:rPr>
                <w:rFonts w:hint="eastAsia" w:ascii="Times New Roman" w:hAnsi="Times New Roman" w:eastAsia="宋体" w:cs="宋体"/>
                <w:kern w:val="0"/>
                <w:szCs w:val="21"/>
              </w:rPr>
              <w:t>米，改建后桥梁宽度</w:t>
            </w:r>
            <w:r>
              <w:rPr>
                <w:rFonts w:ascii="Times New Roman" w:hAnsi="Times New Roman" w:eastAsia="宋体" w:cs="宋体"/>
                <w:kern w:val="0"/>
                <w:szCs w:val="21"/>
              </w:rPr>
              <w:t>33</w:t>
            </w:r>
            <w:r>
              <w:rPr>
                <w:rFonts w:hint="eastAsia" w:ascii="Times New Roman" w:hAnsi="Times New Roman" w:eastAsia="宋体" w:cs="宋体"/>
                <w:kern w:val="0"/>
                <w:szCs w:val="21"/>
              </w:rPr>
              <w:t xml:space="preserve">米。双向六车道，该桥位于石湾镇 </w:t>
            </w:r>
            <w:r>
              <w:rPr>
                <w:rFonts w:ascii="Times New Roman" w:hAnsi="Times New Roman" w:eastAsia="宋体" w:cs="宋体"/>
                <w:kern w:val="0"/>
                <w:szCs w:val="21"/>
              </w:rPr>
              <w:t xml:space="preserve">X193 </w:t>
            </w:r>
            <w:r>
              <w:rPr>
                <w:rFonts w:hint="eastAsia" w:ascii="Times New Roman" w:hAnsi="Times New Roman" w:eastAsia="宋体" w:cs="宋体"/>
                <w:kern w:val="0"/>
                <w:szCs w:val="21"/>
              </w:rPr>
              <w:t>线上，横跨东江北干流，北接石湾南路，南接东莞石龙头路。</w:t>
            </w:r>
          </w:p>
        </w:tc>
        <w:tc>
          <w:tcPr>
            <w:tcW w:w="401" w:type="pct"/>
            <w:shd w:val="clear" w:color="auto" w:fill="FFFFFF" w:themeFill="background1"/>
            <w:tcMar>
              <w:top w:w="20" w:type="dxa"/>
              <w:left w:w="20" w:type="dxa"/>
              <w:bottom w:w="72" w:type="dxa"/>
              <w:right w:w="20" w:type="dxa"/>
            </w:tcMar>
            <w:vAlign w:val="center"/>
          </w:tcPr>
          <w:p w14:paraId="360DC022">
            <w:pPr>
              <w:jc w:val="center"/>
              <w:rPr>
                <w:rFonts w:ascii="Times New Roman" w:hAnsi="Times New Roman" w:eastAsia="宋体" w:cs="宋体"/>
                <w:kern w:val="0"/>
                <w:szCs w:val="21"/>
              </w:rPr>
            </w:pPr>
            <w:r>
              <w:rPr>
                <w:rFonts w:hint="eastAsia" w:ascii="Times New Roman" w:hAnsi="Times New Roman" w:eastAsia="宋体" w:cs="宋体"/>
                <w:kern w:val="0"/>
                <w:szCs w:val="21"/>
              </w:rPr>
              <w:t>4.56</w:t>
            </w:r>
          </w:p>
        </w:tc>
        <w:tc>
          <w:tcPr>
            <w:tcW w:w="401" w:type="pct"/>
            <w:shd w:val="clear" w:color="auto" w:fill="FFFFFF" w:themeFill="background1"/>
            <w:tcMar>
              <w:top w:w="20" w:type="dxa"/>
              <w:left w:w="20" w:type="dxa"/>
              <w:bottom w:w="72" w:type="dxa"/>
              <w:right w:w="20" w:type="dxa"/>
            </w:tcMar>
            <w:vAlign w:val="center"/>
          </w:tcPr>
          <w:p w14:paraId="4890AC32">
            <w:pPr>
              <w:jc w:val="center"/>
              <w:rPr>
                <w:rFonts w:ascii="Times New Roman" w:hAnsi="Times New Roman" w:eastAsia="宋体" w:cs="宋体"/>
                <w:kern w:val="0"/>
                <w:szCs w:val="21"/>
              </w:rPr>
            </w:pPr>
            <w:r>
              <w:rPr>
                <w:rFonts w:hint="eastAsia" w:ascii="Times New Roman" w:hAnsi="Times New Roman" w:eastAsia="宋体" w:cs="宋体"/>
                <w:kern w:val="0"/>
                <w:szCs w:val="21"/>
              </w:rPr>
              <w:t>改建</w:t>
            </w:r>
          </w:p>
        </w:tc>
        <w:tc>
          <w:tcPr>
            <w:tcW w:w="401" w:type="pct"/>
            <w:shd w:val="clear" w:color="auto" w:fill="FFFFFF" w:themeFill="background1"/>
            <w:tcMar>
              <w:top w:w="20" w:type="dxa"/>
              <w:left w:w="20" w:type="dxa"/>
              <w:bottom w:w="72" w:type="dxa"/>
              <w:right w:w="20" w:type="dxa"/>
            </w:tcMar>
            <w:vAlign w:val="center"/>
          </w:tcPr>
          <w:p w14:paraId="712ADDD1">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148C8B19">
            <w:pPr>
              <w:jc w:val="center"/>
              <w:rPr>
                <w:rFonts w:ascii="Times New Roman" w:hAnsi="Times New Roman" w:eastAsia="宋体" w:cs="宋体"/>
                <w:kern w:val="0"/>
                <w:szCs w:val="21"/>
              </w:rPr>
            </w:pPr>
            <w:r>
              <w:rPr>
                <w:rFonts w:hint="eastAsia" w:ascii="Times New Roman" w:hAnsi="Times New Roman" w:eastAsia="宋体" w:cs="宋体"/>
                <w:kern w:val="0"/>
                <w:szCs w:val="21"/>
              </w:rPr>
              <w:t>县交通运输局</w:t>
            </w:r>
          </w:p>
        </w:tc>
      </w:tr>
      <w:tr w14:paraId="5EB96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7A87120D">
            <w:pPr>
              <w:jc w:val="center"/>
              <w:rPr>
                <w:rFonts w:ascii="Times New Roman" w:hAnsi="Times New Roman" w:eastAsia="宋体" w:cs="宋体"/>
                <w:kern w:val="0"/>
                <w:szCs w:val="21"/>
              </w:rPr>
            </w:pPr>
            <w:r>
              <w:rPr>
                <w:rFonts w:hint="eastAsia" w:ascii="Times New Roman" w:hAnsi="Times New Roman" w:eastAsia="宋体" w:cs="宋体"/>
                <w:kern w:val="0"/>
                <w:szCs w:val="21"/>
              </w:rPr>
              <w:t>34</w:t>
            </w:r>
          </w:p>
        </w:tc>
        <w:tc>
          <w:tcPr>
            <w:tcW w:w="451" w:type="pct"/>
            <w:vMerge w:val="continue"/>
            <w:shd w:val="clear" w:color="auto" w:fill="FFFFFF" w:themeFill="background1"/>
            <w:tcMar>
              <w:top w:w="72" w:type="dxa"/>
              <w:left w:w="144" w:type="dxa"/>
              <w:bottom w:w="72" w:type="dxa"/>
              <w:right w:w="144" w:type="dxa"/>
            </w:tcMar>
            <w:vAlign w:val="center"/>
          </w:tcPr>
          <w:p w14:paraId="2ACC69BF">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7F0182F3">
            <w:pPr>
              <w:jc w:val="center"/>
              <w:rPr>
                <w:rFonts w:ascii="Times New Roman" w:hAnsi="Times New Roman" w:eastAsia="宋体" w:cs="宋体"/>
                <w:kern w:val="0"/>
                <w:szCs w:val="21"/>
              </w:rPr>
            </w:pPr>
            <w:r>
              <w:rPr>
                <w:rFonts w:hint="eastAsia" w:ascii="Times New Roman" w:hAnsi="Times New Roman" w:eastAsia="宋体" w:cs="宋体"/>
                <w:kern w:val="0"/>
                <w:szCs w:val="21"/>
              </w:rPr>
              <w:t>石洲大桥重建工程</w:t>
            </w:r>
          </w:p>
        </w:tc>
        <w:tc>
          <w:tcPr>
            <w:tcW w:w="1905" w:type="pct"/>
            <w:shd w:val="clear" w:color="auto" w:fill="FFFFFF" w:themeFill="background1"/>
            <w:tcMar>
              <w:top w:w="20" w:type="dxa"/>
              <w:left w:w="20" w:type="dxa"/>
              <w:bottom w:w="72" w:type="dxa"/>
              <w:right w:w="20" w:type="dxa"/>
            </w:tcMar>
            <w:vAlign w:val="center"/>
          </w:tcPr>
          <w:p w14:paraId="780997D0">
            <w:pPr>
              <w:rPr>
                <w:rFonts w:ascii="Times New Roman" w:hAnsi="Times New Roman" w:eastAsia="宋体" w:cs="宋体"/>
                <w:kern w:val="0"/>
                <w:szCs w:val="21"/>
              </w:rPr>
            </w:pPr>
            <w:r>
              <w:rPr>
                <w:rFonts w:hint="eastAsia" w:ascii="Times New Roman" w:hAnsi="Times New Roman" w:eastAsia="宋体" w:cs="宋体"/>
                <w:kern w:val="0"/>
                <w:szCs w:val="21"/>
              </w:rPr>
              <w:t>全长约1.50公里，北接园洲镇桥北路，跨东江后接东莞市石排镇。根据建设条件，拟拆除旧桥，并原位向西侧重建两幅主桥段，其中桥梁段长约1.06公里，一级公路标准兼城市主干路功能，主线设计车速60公里/小时，辅道设计速度30公里/小时，采用沥青路面。</w:t>
            </w:r>
          </w:p>
        </w:tc>
        <w:tc>
          <w:tcPr>
            <w:tcW w:w="401" w:type="pct"/>
            <w:shd w:val="clear" w:color="auto" w:fill="FFFFFF" w:themeFill="background1"/>
            <w:tcMar>
              <w:top w:w="20" w:type="dxa"/>
              <w:left w:w="20" w:type="dxa"/>
              <w:bottom w:w="72" w:type="dxa"/>
              <w:right w:w="20" w:type="dxa"/>
            </w:tcMar>
            <w:vAlign w:val="center"/>
          </w:tcPr>
          <w:p w14:paraId="23120A5D">
            <w:pPr>
              <w:jc w:val="center"/>
              <w:rPr>
                <w:rFonts w:ascii="Times New Roman" w:hAnsi="Times New Roman" w:eastAsia="宋体" w:cs="宋体"/>
                <w:kern w:val="0"/>
                <w:szCs w:val="21"/>
              </w:rPr>
            </w:pPr>
            <w:r>
              <w:rPr>
                <w:rFonts w:ascii="Times New Roman" w:hAnsi="Times New Roman" w:eastAsia="宋体" w:cs="宋体"/>
                <w:kern w:val="0"/>
                <w:szCs w:val="21"/>
              </w:rPr>
              <w:t>5</w:t>
            </w:r>
            <w:r>
              <w:rPr>
                <w:rFonts w:hint="eastAsia" w:ascii="Times New Roman" w:hAnsi="Times New Roman" w:eastAsia="宋体" w:cs="宋体"/>
                <w:kern w:val="0"/>
                <w:szCs w:val="21"/>
              </w:rPr>
              <w:t>.</w:t>
            </w:r>
            <w:r>
              <w:rPr>
                <w:rFonts w:ascii="Times New Roman" w:hAnsi="Times New Roman" w:eastAsia="宋体" w:cs="宋体"/>
                <w:kern w:val="0"/>
                <w:szCs w:val="21"/>
              </w:rPr>
              <w:t>79</w:t>
            </w:r>
          </w:p>
        </w:tc>
        <w:tc>
          <w:tcPr>
            <w:tcW w:w="401" w:type="pct"/>
            <w:shd w:val="clear" w:color="auto" w:fill="FFFFFF" w:themeFill="background1"/>
            <w:tcMar>
              <w:top w:w="20" w:type="dxa"/>
              <w:left w:w="20" w:type="dxa"/>
              <w:bottom w:w="72" w:type="dxa"/>
              <w:right w:w="20" w:type="dxa"/>
            </w:tcMar>
            <w:vAlign w:val="center"/>
          </w:tcPr>
          <w:p w14:paraId="062458BF">
            <w:pPr>
              <w:jc w:val="center"/>
              <w:rPr>
                <w:rFonts w:ascii="Times New Roman" w:hAnsi="Times New Roman" w:eastAsia="宋体" w:cs="宋体"/>
                <w:kern w:val="0"/>
                <w:szCs w:val="21"/>
              </w:rPr>
            </w:pPr>
            <w:r>
              <w:rPr>
                <w:rFonts w:hint="eastAsia" w:ascii="Times New Roman" w:hAnsi="Times New Roman" w:eastAsia="宋体" w:cs="宋体"/>
                <w:kern w:val="0"/>
                <w:szCs w:val="21"/>
              </w:rPr>
              <w:t>重建</w:t>
            </w:r>
          </w:p>
        </w:tc>
        <w:tc>
          <w:tcPr>
            <w:tcW w:w="401" w:type="pct"/>
            <w:shd w:val="clear" w:color="auto" w:fill="FFFFFF" w:themeFill="background1"/>
            <w:tcMar>
              <w:top w:w="20" w:type="dxa"/>
              <w:left w:w="20" w:type="dxa"/>
              <w:bottom w:w="72" w:type="dxa"/>
              <w:right w:w="20" w:type="dxa"/>
            </w:tcMar>
            <w:vAlign w:val="center"/>
          </w:tcPr>
          <w:p w14:paraId="3B6D4B63">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6AF1F10D">
            <w:pPr>
              <w:jc w:val="center"/>
              <w:rPr>
                <w:rFonts w:ascii="Times New Roman" w:hAnsi="Times New Roman" w:eastAsia="宋体" w:cs="宋体"/>
                <w:kern w:val="0"/>
                <w:szCs w:val="21"/>
              </w:rPr>
            </w:pPr>
            <w:r>
              <w:rPr>
                <w:rFonts w:hint="eastAsia" w:ascii="Times New Roman" w:hAnsi="Times New Roman" w:eastAsia="宋体" w:cs="宋体"/>
                <w:kern w:val="0"/>
                <w:szCs w:val="21"/>
              </w:rPr>
              <w:t>县交通运输局</w:t>
            </w:r>
          </w:p>
        </w:tc>
      </w:tr>
      <w:tr w14:paraId="03E31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09098B57">
            <w:pPr>
              <w:jc w:val="center"/>
              <w:rPr>
                <w:rFonts w:ascii="Times New Roman" w:hAnsi="Times New Roman" w:eastAsia="宋体" w:cs="宋体"/>
                <w:kern w:val="0"/>
                <w:szCs w:val="21"/>
              </w:rPr>
            </w:pPr>
            <w:r>
              <w:rPr>
                <w:rFonts w:hint="eastAsia" w:ascii="Times New Roman" w:hAnsi="Times New Roman" w:eastAsia="宋体" w:cs="宋体"/>
                <w:kern w:val="0"/>
                <w:szCs w:val="21"/>
              </w:rPr>
              <w:t>35</w:t>
            </w:r>
          </w:p>
        </w:tc>
        <w:tc>
          <w:tcPr>
            <w:tcW w:w="451" w:type="pct"/>
            <w:vMerge w:val="continue"/>
            <w:shd w:val="clear" w:color="auto" w:fill="FFFFFF" w:themeFill="background1"/>
            <w:tcMar>
              <w:top w:w="72" w:type="dxa"/>
              <w:left w:w="144" w:type="dxa"/>
              <w:bottom w:w="72" w:type="dxa"/>
              <w:right w:w="144" w:type="dxa"/>
            </w:tcMar>
            <w:vAlign w:val="center"/>
          </w:tcPr>
          <w:p w14:paraId="4E333BB5">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1E8663F3">
            <w:pPr>
              <w:jc w:val="center"/>
              <w:rPr>
                <w:rFonts w:ascii="Times New Roman" w:hAnsi="Times New Roman" w:eastAsia="宋体" w:cs="宋体"/>
                <w:kern w:val="0"/>
                <w:szCs w:val="21"/>
              </w:rPr>
            </w:pPr>
            <w:r>
              <w:rPr>
                <w:rFonts w:hint="eastAsia" w:ascii="Times New Roman" w:hAnsi="Times New Roman" w:eastAsia="宋体" w:cs="宋体"/>
                <w:kern w:val="0"/>
                <w:szCs w:val="21"/>
              </w:rPr>
              <w:t>罗浮山大桥改建项目</w:t>
            </w:r>
          </w:p>
        </w:tc>
        <w:tc>
          <w:tcPr>
            <w:tcW w:w="1905" w:type="pct"/>
            <w:shd w:val="clear" w:color="auto" w:fill="FFFFFF" w:themeFill="background1"/>
            <w:tcMar>
              <w:top w:w="20" w:type="dxa"/>
              <w:left w:w="20" w:type="dxa"/>
              <w:bottom w:w="72" w:type="dxa"/>
              <w:right w:w="20" w:type="dxa"/>
            </w:tcMar>
            <w:vAlign w:val="center"/>
          </w:tcPr>
          <w:p w14:paraId="24B528E9">
            <w:pPr>
              <w:rPr>
                <w:rFonts w:ascii="Times New Roman" w:hAnsi="Times New Roman" w:eastAsia="宋体" w:cs="宋体"/>
                <w:kern w:val="0"/>
                <w:szCs w:val="21"/>
              </w:rPr>
            </w:pPr>
            <w:r>
              <w:rPr>
                <w:rFonts w:hint="eastAsia" w:ascii="Times New Roman" w:hAnsi="Times New Roman" w:eastAsia="宋体" w:cs="宋体"/>
                <w:kern w:val="0"/>
                <w:szCs w:val="21"/>
              </w:rPr>
              <w:t>桥梁全长1500米，采用双向六车道，设计速</w:t>
            </w:r>
            <w:bookmarkStart w:id="219" w:name="OLE_LINK20"/>
            <w:r>
              <w:rPr>
                <w:rFonts w:hint="eastAsia" w:ascii="Times New Roman" w:hAnsi="Times New Roman" w:eastAsia="宋体" w:cs="宋体"/>
                <w:kern w:val="0"/>
                <w:szCs w:val="21"/>
              </w:rPr>
              <w:t>度</w:t>
            </w:r>
            <w:bookmarkEnd w:id="219"/>
            <w:r>
              <w:rPr>
                <w:rFonts w:hint="eastAsia" w:ascii="Times New Roman" w:hAnsi="Times New Roman" w:eastAsia="宋体" w:cs="宋体"/>
                <w:kern w:val="0"/>
                <w:szCs w:val="21"/>
              </w:rPr>
              <w:t>60km/h标准。北接县道X193线，南至东莞石排大道。</w:t>
            </w:r>
          </w:p>
        </w:tc>
        <w:tc>
          <w:tcPr>
            <w:tcW w:w="401" w:type="pct"/>
            <w:shd w:val="clear" w:color="auto" w:fill="FFFFFF" w:themeFill="background1"/>
            <w:tcMar>
              <w:top w:w="20" w:type="dxa"/>
              <w:left w:w="20" w:type="dxa"/>
              <w:bottom w:w="72" w:type="dxa"/>
              <w:right w:w="20" w:type="dxa"/>
            </w:tcMar>
            <w:vAlign w:val="center"/>
          </w:tcPr>
          <w:p w14:paraId="54EF3EFF">
            <w:pPr>
              <w:jc w:val="center"/>
              <w:rPr>
                <w:rFonts w:ascii="Times New Roman" w:hAnsi="Times New Roman" w:eastAsia="宋体" w:cs="宋体"/>
                <w:kern w:val="0"/>
                <w:szCs w:val="21"/>
              </w:rPr>
            </w:pPr>
            <w:r>
              <w:rPr>
                <w:rFonts w:hint="eastAsia" w:ascii="Times New Roman" w:hAnsi="Times New Roman" w:eastAsia="宋体" w:cs="宋体"/>
                <w:kern w:val="0"/>
                <w:szCs w:val="21"/>
              </w:rPr>
              <w:t>8.1</w:t>
            </w:r>
          </w:p>
        </w:tc>
        <w:tc>
          <w:tcPr>
            <w:tcW w:w="401" w:type="pct"/>
            <w:shd w:val="clear" w:color="auto" w:fill="FFFFFF" w:themeFill="background1"/>
            <w:tcMar>
              <w:top w:w="20" w:type="dxa"/>
              <w:left w:w="20" w:type="dxa"/>
              <w:bottom w:w="72" w:type="dxa"/>
              <w:right w:w="20" w:type="dxa"/>
            </w:tcMar>
            <w:vAlign w:val="center"/>
          </w:tcPr>
          <w:p w14:paraId="795099FF">
            <w:pPr>
              <w:jc w:val="center"/>
              <w:rPr>
                <w:rFonts w:ascii="Times New Roman" w:hAnsi="Times New Roman" w:eastAsia="宋体" w:cs="宋体"/>
                <w:kern w:val="0"/>
                <w:szCs w:val="21"/>
              </w:rPr>
            </w:pPr>
            <w:r>
              <w:rPr>
                <w:rFonts w:hint="eastAsia" w:ascii="Times New Roman" w:hAnsi="Times New Roman" w:eastAsia="宋体" w:cs="宋体"/>
                <w:kern w:val="0"/>
                <w:szCs w:val="21"/>
              </w:rPr>
              <w:t>改建</w:t>
            </w:r>
          </w:p>
        </w:tc>
        <w:tc>
          <w:tcPr>
            <w:tcW w:w="401" w:type="pct"/>
            <w:shd w:val="clear" w:color="auto" w:fill="FFFFFF" w:themeFill="background1"/>
            <w:tcMar>
              <w:top w:w="20" w:type="dxa"/>
              <w:left w:w="20" w:type="dxa"/>
              <w:bottom w:w="72" w:type="dxa"/>
              <w:right w:w="20" w:type="dxa"/>
            </w:tcMar>
            <w:vAlign w:val="center"/>
          </w:tcPr>
          <w:p w14:paraId="2430B1EA">
            <w:pPr>
              <w:jc w:val="center"/>
              <w:rPr>
                <w:rFonts w:ascii="Times New Roman" w:hAnsi="Times New Roman" w:eastAsia="宋体" w:cs="宋体"/>
                <w:kern w:val="0"/>
                <w:szCs w:val="21"/>
              </w:rPr>
            </w:pPr>
            <w:r>
              <w:rPr>
                <w:rFonts w:hint="eastAsia" w:ascii="Times New Roman" w:hAnsi="Times New Roman" w:eastAsia="宋体" w:cs="宋体"/>
                <w:kern w:val="0"/>
                <w:szCs w:val="21"/>
              </w:rPr>
              <w:t>2025-2035</w:t>
            </w:r>
          </w:p>
        </w:tc>
        <w:tc>
          <w:tcPr>
            <w:tcW w:w="440" w:type="pct"/>
            <w:shd w:val="clear" w:color="auto" w:fill="FFFFFF" w:themeFill="background1"/>
            <w:tcMar>
              <w:top w:w="20" w:type="dxa"/>
              <w:left w:w="20" w:type="dxa"/>
              <w:bottom w:w="72" w:type="dxa"/>
              <w:right w:w="20" w:type="dxa"/>
            </w:tcMar>
            <w:vAlign w:val="center"/>
          </w:tcPr>
          <w:p w14:paraId="7B263598">
            <w:pPr>
              <w:jc w:val="center"/>
              <w:rPr>
                <w:rFonts w:ascii="Times New Roman" w:hAnsi="Times New Roman" w:eastAsia="宋体" w:cs="宋体"/>
                <w:kern w:val="0"/>
                <w:szCs w:val="21"/>
              </w:rPr>
            </w:pPr>
            <w:r>
              <w:rPr>
                <w:rFonts w:hint="eastAsia" w:ascii="Times New Roman" w:hAnsi="Times New Roman" w:eastAsia="宋体" w:cs="宋体"/>
                <w:kern w:val="0"/>
                <w:szCs w:val="21"/>
              </w:rPr>
              <w:t>县交通运输局</w:t>
            </w:r>
          </w:p>
        </w:tc>
      </w:tr>
      <w:tr w14:paraId="1497B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39B83289">
            <w:pPr>
              <w:jc w:val="center"/>
              <w:rPr>
                <w:rFonts w:ascii="Times New Roman" w:hAnsi="Times New Roman" w:eastAsia="宋体" w:cs="宋体"/>
                <w:kern w:val="0"/>
                <w:szCs w:val="21"/>
              </w:rPr>
            </w:pPr>
            <w:r>
              <w:rPr>
                <w:rFonts w:hint="eastAsia" w:ascii="Times New Roman" w:hAnsi="Times New Roman" w:eastAsia="宋体" w:cs="宋体"/>
                <w:kern w:val="0"/>
                <w:szCs w:val="21"/>
              </w:rPr>
              <w:t>36</w:t>
            </w:r>
          </w:p>
        </w:tc>
        <w:tc>
          <w:tcPr>
            <w:tcW w:w="451" w:type="pct"/>
            <w:vMerge w:val="continue"/>
            <w:shd w:val="clear" w:color="auto" w:fill="FFFFFF" w:themeFill="background1"/>
            <w:tcMar>
              <w:top w:w="72" w:type="dxa"/>
              <w:left w:w="144" w:type="dxa"/>
              <w:bottom w:w="72" w:type="dxa"/>
              <w:right w:w="144" w:type="dxa"/>
            </w:tcMar>
            <w:vAlign w:val="center"/>
          </w:tcPr>
          <w:p w14:paraId="6A7774C1">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03C6F8CB">
            <w:pPr>
              <w:jc w:val="center"/>
              <w:rPr>
                <w:rFonts w:ascii="Times New Roman" w:hAnsi="Times New Roman" w:eastAsia="宋体" w:cs="宋体"/>
                <w:kern w:val="0"/>
                <w:szCs w:val="21"/>
              </w:rPr>
            </w:pPr>
            <w:r>
              <w:rPr>
                <w:rFonts w:hint="eastAsia" w:ascii="Times New Roman" w:hAnsi="Times New Roman" w:eastAsia="宋体" w:cs="宋体"/>
                <w:kern w:val="0"/>
                <w:szCs w:val="21"/>
              </w:rPr>
              <w:t>园洲东江大桥新建工程</w:t>
            </w:r>
          </w:p>
        </w:tc>
        <w:tc>
          <w:tcPr>
            <w:tcW w:w="1905" w:type="pct"/>
            <w:shd w:val="clear" w:color="auto" w:fill="FFFFFF" w:themeFill="background1"/>
            <w:tcMar>
              <w:top w:w="20" w:type="dxa"/>
              <w:left w:w="20" w:type="dxa"/>
              <w:bottom w:w="72" w:type="dxa"/>
              <w:right w:w="20" w:type="dxa"/>
            </w:tcMar>
            <w:vAlign w:val="center"/>
          </w:tcPr>
          <w:p w14:paraId="03432DB6">
            <w:pPr>
              <w:rPr>
                <w:rFonts w:ascii="Times New Roman" w:hAnsi="Times New Roman" w:eastAsia="宋体" w:cs="宋体"/>
                <w:kern w:val="0"/>
                <w:szCs w:val="21"/>
              </w:rPr>
            </w:pPr>
            <w:r>
              <w:rPr>
                <w:rFonts w:hint="eastAsia" w:ascii="Times New Roman" w:hAnsi="Times New Roman" w:eastAsia="宋体" w:cs="宋体"/>
                <w:kern w:val="0"/>
                <w:szCs w:val="21"/>
              </w:rPr>
              <w:t>桥梁全长1300米。新建桥梁采用双向八车道，设计速度60km/h标准，路线自北向南跨过东江，北接园洲大道，南接东莞石排大道。</w:t>
            </w:r>
          </w:p>
        </w:tc>
        <w:tc>
          <w:tcPr>
            <w:tcW w:w="401" w:type="pct"/>
            <w:shd w:val="clear" w:color="auto" w:fill="FFFFFF" w:themeFill="background1"/>
            <w:tcMar>
              <w:top w:w="20" w:type="dxa"/>
              <w:left w:w="20" w:type="dxa"/>
              <w:bottom w:w="72" w:type="dxa"/>
              <w:right w:w="20" w:type="dxa"/>
            </w:tcMar>
            <w:vAlign w:val="center"/>
          </w:tcPr>
          <w:p w14:paraId="433D47CE">
            <w:pPr>
              <w:jc w:val="center"/>
              <w:rPr>
                <w:rFonts w:ascii="Times New Roman" w:hAnsi="Times New Roman" w:eastAsia="宋体" w:cs="宋体"/>
                <w:kern w:val="0"/>
                <w:szCs w:val="21"/>
              </w:rPr>
            </w:pPr>
            <w:r>
              <w:rPr>
                <w:rFonts w:hint="eastAsia" w:ascii="Times New Roman" w:hAnsi="Times New Roman" w:eastAsia="宋体" w:cs="宋体"/>
                <w:kern w:val="0"/>
                <w:szCs w:val="21"/>
              </w:rPr>
              <w:t>9.8</w:t>
            </w:r>
          </w:p>
        </w:tc>
        <w:tc>
          <w:tcPr>
            <w:tcW w:w="401" w:type="pct"/>
            <w:shd w:val="clear" w:color="auto" w:fill="FFFFFF" w:themeFill="background1"/>
            <w:tcMar>
              <w:top w:w="20" w:type="dxa"/>
              <w:left w:w="20" w:type="dxa"/>
              <w:bottom w:w="72" w:type="dxa"/>
              <w:right w:w="20" w:type="dxa"/>
            </w:tcMar>
            <w:vAlign w:val="center"/>
          </w:tcPr>
          <w:p w14:paraId="20F87585">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76C124F6">
            <w:pPr>
              <w:jc w:val="center"/>
              <w:rPr>
                <w:rFonts w:ascii="Times New Roman" w:hAnsi="Times New Roman" w:eastAsia="宋体" w:cs="宋体"/>
                <w:kern w:val="0"/>
                <w:szCs w:val="21"/>
              </w:rPr>
            </w:pPr>
            <w:r>
              <w:rPr>
                <w:rFonts w:hint="eastAsia" w:ascii="Times New Roman" w:hAnsi="Times New Roman" w:eastAsia="宋体" w:cs="宋体"/>
                <w:kern w:val="0"/>
                <w:szCs w:val="21"/>
              </w:rPr>
              <w:t>2025-2035</w:t>
            </w:r>
          </w:p>
        </w:tc>
        <w:tc>
          <w:tcPr>
            <w:tcW w:w="440" w:type="pct"/>
            <w:shd w:val="clear" w:color="auto" w:fill="FFFFFF" w:themeFill="background1"/>
            <w:tcMar>
              <w:top w:w="20" w:type="dxa"/>
              <w:left w:w="20" w:type="dxa"/>
              <w:bottom w:w="72" w:type="dxa"/>
              <w:right w:w="20" w:type="dxa"/>
            </w:tcMar>
            <w:vAlign w:val="center"/>
          </w:tcPr>
          <w:p w14:paraId="6AB3F3AA">
            <w:pPr>
              <w:jc w:val="center"/>
              <w:rPr>
                <w:rFonts w:ascii="Times New Roman" w:hAnsi="Times New Roman" w:eastAsia="宋体" w:cs="宋体"/>
                <w:kern w:val="0"/>
                <w:szCs w:val="21"/>
              </w:rPr>
            </w:pPr>
            <w:r>
              <w:rPr>
                <w:rFonts w:hint="eastAsia" w:ascii="Times New Roman" w:hAnsi="Times New Roman" w:eastAsia="宋体" w:cs="宋体"/>
                <w:kern w:val="0"/>
                <w:szCs w:val="21"/>
              </w:rPr>
              <w:t>县交通运输局</w:t>
            </w:r>
          </w:p>
        </w:tc>
      </w:tr>
      <w:tr w14:paraId="5DB7E9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1C1A7752">
            <w:pPr>
              <w:jc w:val="center"/>
              <w:rPr>
                <w:rFonts w:ascii="Times New Roman" w:hAnsi="Times New Roman" w:eastAsia="宋体" w:cs="宋体"/>
                <w:kern w:val="0"/>
                <w:szCs w:val="21"/>
              </w:rPr>
            </w:pPr>
            <w:r>
              <w:rPr>
                <w:rFonts w:hint="eastAsia" w:ascii="Times New Roman" w:hAnsi="Times New Roman" w:eastAsia="宋体" w:cs="宋体"/>
                <w:kern w:val="0"/>
                <w:szCs w:val="21"/>
              </w:rPr>
              <w:t>37</w:t>
            </w:r>
          </w:p>
        </w:tc>
        <w:tc>
          <w:tcPr>
            <w:tcW w:w="451" w:type="pct"/>
            <w:vMerge w:val="continue"/>
            <w:shd w:val="clear" w:color="auto" w:fill="FFFFFF" w:themeFill="background1"/>
            <w:tcMar>
              <w:top w:w="72" w:type="dxa"/>
              <w:left w:w="144" w:type="dxa"/>
              <w:bottom w:w="72" w:type="dxa"/>
              <w:right w:w="144" w:type="dxa"/>
            </w:tcMar>
            <w:vAlign w:val="center"/>
          </w:tcPr>
          <w:p w14:paraId="3E603305">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0B92236E">
            <w:pPr>
              <w:jc w:val="center"/>
              <w:rPr>
                <w:rFonts w:ascii="Times New Roman" w:hAnsi="Times New Roman" w:eastAsia="宋体" w:cs="宋体"/>
                <w:kern w:val="0"/>
                <w:szCs w:val="21"/>
              </w:rPr>
            </w:pPr>
            <w:r>
              <w:rPr>
                <w:rFonts w:hint="eastAsia" w:ascii="Times New Roman" w:hAnsi="Times New Roman" w:eastAsia="宋体" w:cs="宋体"/>
                <w:kern w:val="0"/>
                <w:szCs w:val="21"/>
              </w:rPr>
              <w:t>沙河东桥道路桥梁工程建设项目</w:t>
            </w:r>
          </w:p>
        </w:tc>
        <w:tc>
          <w:tcPr>
            <w:tcW w:w="1905" w:type="pct"/>
            <w:shd w:val="clear" w:color="auto" w:fill="FFFFFF" w:themeFill="background1"/>
            <w:tcMar>
              <w:top w:w="20" w:type="dxa"/>
              <w:left w:w="20" w:type="dxa"/>
              <w:bottom w:w="72" w:type="dxa"/>
              <w:right w:w="20" w:type="dxa"/>
            </w:tcMar>
            <w:vAlign w:val="center"/>
          </w:tcPr>
          <w:p w14:paraId="0065F9EC">
            <w:pPr>
              <w:rPr>
                <w:rFonts w:ascii="Times New Roman" w:hAnsi="Times New Roman" w:eastAsia="宋体" w:cs="宋体"/>
                <w:kern w:val="0"/>
                <w:szCs w:val="21"/>
              </w:rPr>
            </w:pPr>
            <w:r>
              <w:rPr>
                <w:rFonts w:hint="eastAsia" w:ascii="Times New Roman" w:hAnsi="Times New Roman" w:eastAsia="宋体" w:cs="宋体"/>
                <w:kern w:val="0"/>
                <w:szCs w:val="21"/>
              </w:rPr>
              <w:t>桥梁全长500米。新建桥梁采用双向四车道，设计速度60km/h标准。</w:t>
            </w:r>
          </w:p>
        </w:tc>
        <w:tc>
          <w:tcPr>
            <w:tcW w:w="401" w:type="pct"/>
            <w:shd w:val="clear" w:color="auto" w:fill="FFFFFF" w:themeFill="background1"/>
            <w:tcMar>
              <w:top w:w="20" w:type="dxa"/>
              <w:left w:w="20" w:type="dxa"/>
              <w:bottom w:w="72" w:type="dxa"/>
              <w:right w:w="20" w:type="dxa"/>
            </w:tcMar>
            <w:vAlign w:val="center"/>
          </w:tcPr>
          <w:p w14:paraId="633186BC">
            <w:pPr>
              <w:jc w:val="center"/>
              <w:rPr>
                <w:rFonts w:ascii="Times New Roman" w:hAnsi="Times New Roman" w:eastAsia="宋体" w:cs="宋体"/>
                <w:kern w:val="0"/>
                <w:szCs w:val="21"/>
              </w:rPr>
            </w:pPr>
            <w:r>
              <w:rPr>
                <w:rFonts w:hint="eastAsia" w:ascii="Times New Roman" w:hAnsi="Times New Roman" w:eastAsia="宋体" w:cs="宋体"/>
                <w:kern w:val="0"/>
                <w:szCs w:val="21"/>
              </w:rPr>
              <w:t>1.34</w:t>
            </w:r>
          </w:p>
        </w:tc>
        <w:tc>
          <w:tcPr>
            <w:tcW w:w="401" w:type="pct"/>
            <w:shd w:val="clear" w:color="auto" w:fill="FFFFFF" w:themeFill="background1"/>
            <w:tcMar>
              <w:top w:w="20" w:type="dxa"/>
              <w:left w:w="20" w:type="dxa"/>
              <w:bottom w:w="72" w:type="dxa"/>
              <w:right w:w="20" w:type="dxa"/>
            </w:tcMar>
            <w:vAlign w:val="center"/>
          </w:tcPr>
          <w:p w14:paraId="7E0AB662">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7C03BEE4">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36BF233F">
            <w:pPr>
              <w:jc w:val="center"/>
              <w:rPr>
                <w:rFonts w:ascii="Times New Roman" w:hAnsi="Times New Roman" w:eastAsia="宋体" w:cs="宋体"/>
                <w:kern w:val="0"/>
                <w:szCs w:val="21"/>
              </w:rPr>
            </w:pPr>
            <w:r>
              <w:rPr>
                <w:rFonts w:hint="eastAsia" w:ascii="Times New Roman" w:hAnsi="Times New Roman" w:eastAsia="宋体" w:cs="宋体"/>
                <w:kern w:val="0"/>
                <w:szCs w:val="21"/>
              </w:rPr>
              <w:t>县交通运输局</w:t>
            </w:r>
          </w:p>
        </w:tc>
      </w:tr>
      <w:tr w14:paraId="6FEE66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7383B824">
            <w:pPr>
              <w:jc w:val="center"/>
              <w:rPr>
                <w:rFonts w:ascii="Times New Roman" w:hAnsi="Times New Roman" w:eastAsia="宋体" w:cs="宋体"/>
                <w:kern w:val="0"/>
                <w:szCs w:val="21"/>
              </w:rPr>
            </w:pPr>
            <w:r>
              <w:rPr>
                <w:rFonts w:hint="eastAsia" w:ascii="Times New Roman" w:hAnsi="Times New Roman" w:eastAsia="宋体" w:cs="宋体"/>
                <w:kern w:val="0"/>
                <w:szCs w:val="21"/>
              </w:rPr>
              <w:t>38</w:t>
            </w:r>
          </w:p>
        </w:tc>
        <w:tc>
          <w:tcPr>
            <w:tcW w:w="451" w:type="pct"/>
            <w:vMerge w:val="continue"/>
            <w:shd w:val="clear" w:color="auto" w:fill="FFFFFF" w:themeFill="background1"/>
            <w:tcMar>
              <w:top w:w="72" w:type="dxa"/>
              <w:left w:w="144" w:type="dxa"/>
              <w:bottom w:w="72" w:type="dxa"/>
              <w:right w:w="144" w:type="dxa"/>
            </w:tcMar>
            <w:vAlign w:val="center"/>
          </w:tcPr>
          <w:p w14:paraId="1F3C3557">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63D7129C">
            <w:pPr>
              <w:jc w:val="center"/>
              <w:rPr>
                <w:rFonts w:ascii="Times New Roman" w:hAnsi="Times New Roman" w:eastAsia="宋体" w:cs="宋体"/>
                <w:kern w:val="0"/>
                <w:szCs w:val="21"/>
              </w:rPr>
            </w:pPr>
            <w:r>
              <w:rPr>
                <w:rFonts w:hint="eastAsia" w:ascii="Times New Roman" w:hAnsi="Times New Roman" w:eastAsia="宋体" w:cs="宋体"/>
                <w:kern w:val="0"/>
                <w:szCs w:val="21"/>
              </w:rPr>
              <w:t>博罗县域副中心智慧共享停车云平台</w:t>
            </w:r>
          </w:p>
        </w:tc>
        <w:tc>
          <w:tcPr>
            <w:tcW w:w="1905" w:type="pct"/>
            <w:shd w:val="clear" w:color="auto" w:fill="FFFFFF" w:themeFill="background1"/>
            <w:tcMar>
              <w:top w:w="20" w:type="dxa"/>
              <w:left w:w="20" w:type="dxa"/>
              <w:bottom w:w="72" w:type="dxa"/>
              <w:right w:w="20" w:type="dxa"/>
            </w:tcMar>
            <w:vAlign w:val="center"/>
          </w:tcPr>
          <w:p w14:paraId="4CF1D9DD">
            <w:pPr>
              <w:rPr>
                <w:rFonts w:ascii="Times New Roman" w:hAnsi="Times New Roman" w:eastAsia="宋体" w:cs="宋体"/>
                <w:kern w:val="0"/>
                <w:szCs w:val="21"/>
              </w:rPr>
            </w:pPr>
            <w:r>
              <w:rPr>
                <w:rFonts w:hint="eastAsia" w:ascii="Times New Roman" w:hAnsi="Times New Roman" w:eastAsia="宋体" w:cs="宋体"/>
                <w:kern w:val="0"/>
                <w:szCs w:val="21"/>
              </w:rPr>
              <w:t>提供查询车位、预约车位、停车引导、车位共享、反向寻车、智能充电以及移动自助支付等更便捷。</w:t>
            </w:r>
          </w:p>
        </w:tc>
        <w:tc>
          <w:tcPr>
            <w:tcW w:w="401" w:type="pct"/>
            <w:shd w:val="clear" w:color="auto" w:fill="FFFFFF" w:themeFill="background1"/>
            <w:tcMar>
              <w:top w:w="20" w:type="dxa"/>
              <w:left w:w="20" w:type="dxa"/>
              <w:bottom w:w="72" w:type="dxa"/>
              <w:right w:w="20" w:type="dxa"/>
            </w:tcMar>
            <w:vAlign w:val="center"/>
          </w:tcPr>
          <w:p w14:paraId="753FE267">
            <w:pPr>
              <w:jc w:val="center"/>
              <w:rPr>
                <w:rFonts w:ascii="Times New Roman" w:hAnsi="Times New Roman" w:eastAsia="宋体" w:cs="宋体"/>
                <w:kern w:val="0"/>
                <w:szCs w:val="21"/>
              </w:rPr>
            </w:pPr>
            <w:r>
              <w:rPr>
                <w:rFonts w:hint="eastAsia" w:ascii="Times New Roman" w:hAnsi="Times New Roman" w:eastAsia="宋体" w:cs="宋体"/>
                <w:kern w:val="0"/>
                <w:szCs w:val="21"/>
              </w:rPr>
              <w:t>——</w:t>
            </w:r>
          </w:p>
        </w:tc>
        <w:tc>
          <w:tcPr>
            <w:tcW w:w="401" w:type="pct"/>
            <w:shd w:val="clear" w:color="auto" w:fill="FFFFFF" w:themeFill="background1"/>
            <w:tcMar>
              <w:top w:w="20" w:type="dxa"/>
              <w:left w:w="20" w:type="dxa"/>
              <w:bottom w:w="72" w:type="dxa"/>
              <w:right w:w="20" w:type="dxa"/>
            </w:tcMar>
            <w:vAlign w:val="center"/>
          </w:tcPr>
          <w:p w14:paraId="2EDD7192">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005AB41A">
            <w:pPr>
              <w:jc w:val="center"/>
              <w:rPr>
                <w:rFonts w:ascii="Times New Roman" w:hAnsi="Times New Roman" w:eastAsia="宋体" w:cs="宋体"/>
                <w:kern w:val="0"/>
                <w:szCs w:val="21"/>
              </w:rPr>
            </w:pPr>
            <w:r>
              <w:rPr>
                <w:rFonts w:hint="eastAsia" w:ascii="Times New Roman" w:hAnsi="Times New Roman" w:eastAsia="宋体" w:cs="宋体"/>
                <w:kern w:val="0"/>
                <w:szCs w:val="21"/>
              </w:rPr>
              <w:t>2025-2027</w:t>
            </w:r>
          </w:p>
        </w:tc>
        <w:tc>
          <w:tcPr>
            <w:tcW w:w="440" w:type="pct"/>
            <w:shd w:val="clear" w:color="auto" w:fill="FFFFFF" w:themeFill="background1"/>
            <w:tcMar>
              <w:top w:w="20" w:type="dxa"/>
              <w:left w:w="20" w:type="dxa"/>
              <w:bottom w:w="72" w:type="dxa"/>
              <w:right w:w="20" w:type="dxa"/>
            </w:tcMar>
            <w:vAlign w:val="center"/>
          </w:tcPr>
          <w:p w14:paraId="32BBF68E">
            <w:pPr>
              <w:jc w:val="center"/>
              <w:rPr>
                <w:rFonts w:ascii="Times New Roman" w:hAnsi="Times New Roman" w:eastAsia="宋体" w:cs="宋体"/>
                <w:kern w:val="0"/>
                <w:szCs w:val="21"/>
              </w:rPr>
            </w:pPr>
            <w:r>
              <w:rPr>
                <w:rFonts w:hint="eastAsia" w:ascii="Times New Roman" w:hAnsi="Times New Roman" w:eastAsia="宋体" w:cs="宋体"/>
                <w:kern w:val="0"/>
                <w:szCs w:val="21"/>
              </w:rPr>
              <w:t>博罗智能装备产业园开发有限公司</w:t>
            </w:r>
          </w:p>
        </w:tc>
      </w:tr>
      <w:tr w14:paraId="7F499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27DB43DA">
            <w:pPr>
              <w:jc w:val="center"/>
              <w:rPr>
                <w:rFonts w:ascii="Times New Roman" w:hAnsi="Times New Roman" w:eastAsia="宋体" w:cs="宋体"/>
                <w:kern w:val="0"/>
                <w:szCs w:val="21"/>
              </w:rPr>
            </w:pPr>
            <w:r>
              <w:rPr>
                <w:rFonts w:hint="eastAsia" w:ascii="Times New Roman" w:hAnsi="Times New Roman" w:eastAsia="宋体" w:cs="宋体"/>
                <w:kern w:val="0"/>
                <w:szCs w:val="21"/>
              </w:rPr>
              <w:t>39</w:t>
            </w:r>
          </w:p>
        </w:tc>
        <w:tc>
          <w:tcPr>
            <w:tcW w:w="451" w:type="pct"/>
            <w:vMerge w:val="restart"/>
            <w:shd w:val="clear" w:color="auto" w:fill="FFFFFF" w:themeFill="background1"/>
            <w:tcMar>
              <w:top w:w="72" w:type="dxa"/>
              <w:left w:w="144" w:type="dxa"/>
              <w:bottom w:w="72" w:type="dxa"/>
              <w:right w:w="144" w:type="dxa"/>
            </w:tcMar>
            <w:vAlign w:val="center"/>
          </w:tcPr>
          <w:p w14:paraId="6378A803">
            <w:pPr>
              <w:jc w:val="center"/>
              <w:rPr>
                <w:rFonts w:ascii="Times New Roman" w:hAnsi="Times New Roman" w:eastAsia="宋体" w:cs="宋体"/>
                <w:kern w:val="0"/>
                <w:szCs w:val="21"/>
              </w:rPr>
            </w:pPr>
            <w:r>
              <w:rPr>
                <w:rFonts w:hint="eastAsia" w:ascii="Times New Roman" w:hAnsi="Times New Roman" w:eastAsia="宋体" w:cs="宋体"/>
                <w:kern w:val="0"/>
                <w:szCs w:val="21"/>
              </w:rPr>
              <w:t>民生与公共设施</w:t>
            </w:r>
          </w:p>
        </w:tc>
        <w:tc>
          <w:tcPr>
            <w:tcW w:w="802" w:type="pct"/>
            <w:shd w:val="clear" w:color="auto" w:fill="FFFFFF" w:themeFill="background1"/>
            <w:tcMar>
              <w:top w:w="20" w:type="dxa"/>
              <w:left w:w="20" w:type="dxa"/>
              <w:bottom w:w="72" w:type="dxa"/>
              <w:right w:w="20" w:type="dxa"/>
            </w:tcMar>
            <w:vAlign w:val="center"/>
          </w:tcPr>
          <w:p w14:paraId="26D25B60">
            <w:pPr>
              <w:jc w:val="center"/>
              <w:rPr>
                <w:rFonts w:ascii="Times New Roman" w:hAnsi="Times New Roman" w:eastAsia="宋体" w:cs="宋体"/>
                <w:kern w:val="0"/>
                <w:szCs w:val="21"/>
              </w:rPr>
            </w:pPr>
            <w:r>
              <w:rPr>
                <w:rFonts w:hint="eastAsia" w:ascii="Times New Roman" w:hAnsi="Times New Roman" w:eastAsia="宋体" w:cs="宋体"/>
                <w:kern w:val="0"/>
                <w:szCs w:val="21"/>
              </w:rPr>
              <w:t>广东省惠州市博罗县千亿级产业园汽车智能装备产业园基础设施配套项目</w:t>
            </w:r>
          </w:p>
        </w:tc>
        <w:tc>
          <w:tcPr>
            <w:tcW w:w="1905" w:type="pct"/>
            <w:shd w:val="clear" w:color="auto" w:fill="FFFFFF" w:themeFill="background1"/>
            <w:tcMar>
              <w:top w:w="20" w:type="dxa"/>
              <w:left w:w="20" w:type="dxa"/>
              <w:bottom w:w="72" w:type="dxa"/>
              <w:right w:w="20" w:type="dxa"/>
            </w:tcMar>
            <w:vAlign w:val="center"/>
          </w:tcPr>
          <w:p w14:paraId="6F083502">
            <w:pPr>
              <w:rPr>
                <w:rFonts w:ascii="Times New Roman" w:hAnsi="Times New Roman" w:eastAsia="宋体" w:cs="宋体"/>
                <w:kern w:val="0"/>
                <w:szCs w:val="21"/>
              </w:rPr>
            </w:pPr>
            <w:r>
              <w:rPr>
                <w:rFonts w:hint="eastAsia" w:ascii="Times New Roman" w:hAnsi="Times New Roman" w:eastAsia="宋体" w:cs="宋体"/>
                <w:kern w:val="0"/>
                <w:szCs w:val="21"/>
              </w:rPr>
              <w:t>主要建设广东省惠州市博罗县千亿级产业园汽车智能装备产业园基础设施配套项目、广东省惠州市博罗智能装备产业园二期基础设施建设项目、广东省惠州市博罗智能装备产业园起步区基础设施建设项目等。</w:t>
            </w:r>
          </w:p>
        </w:tc>
        <w:tc>
          <w:tcPr>
            <w:tcW w:w="401" w:type="pct"/>
            <w:shd w:val="clear" w:color="auto" w:fill="FFFFFF" w:themeFill="background1"/>
            <w:tcMar>
              <w:top w:w="20" w:type="dxa"/>
              <w:left w:w="20" w:type="dxa"/>
              <w:bottom w:w="72" w:type="dxa"/>
              <w:right w:w="20" w:type="dxa"/>
            </w:tcMar>
            <w:vAlign w:val="center"/>
          </w:tcPr>
          <w:p w14:paraId="28E68457">
            <w:pPr>
              <w:jc w:val="center"/>
              <w:rPr>
                <w:rFonts w:ascii="Times New Roman" w:hAnsi="Times New Roman" w:eastAsia="宋体" w:cs="宋体"/>
                <w:kern w:val="0"/>
                <w:szCs w:val="21"/>
              </w:rPr>
            </w:pPr>
            <w:r>
              <w:rPr>
                <w:rFonts w:hint="eastAsia" w:ascii="Times New Roman" w:hAnsi="Times New Roman" w:eastAsia="宋体" w:cs="宋体"/>
                <w:kern w:val="0"/>
                <w:szCs w:val="21"/>
              </w:rPr>
              <w:t>140.85</w:t>
            </w:r>
          </w:p>
        </w:tc>
        <w:tc>
          <w:tcPr>
            <w:tcW w:w="401" w:type="pct"/>
            <w:shd w:val="clear" w:color="auto" w:fill="FFFFFF" w:themeFill="background1"/>
            <w:tcMar>
              <w:top w:w="20" w:type="dxa"/>
              <w:left w:w="20" w:type="dxa"/>
              <w:bottom w:w="72" w:type="dxa"/>
              <w:right w:w="20" w:type="dxa"/>
            </w:tcMar>
            <w:vAlign w:val="center"/>
          </w:tcPr>
          <w:p w14:paraId="2E6FC5C3">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1102A09C">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2CD84130">
            <w:pPr>
              <w:jc w:val="center"/>
              <w:rPr>
                <w:rFonts w:ascii="Times New Roman" w:hAnsi="Times New Roman" w:eastAsia="宋体" w:cs="宋体"/>
                <w:kern w:val="0"/>
                <w:szCs w:val="21"/>
              </w:rPr>
            </w:pPr>
            <w:r>
              <w:rPr>
                <w:rFonts w:hint="eastAsia" w:ascii="Times New Roman" w:hAnsi="Times New Roman" w:eastAsia="宋体" w:cs="宋体"/>
                <w:kern w:val="0"/>
                <w:szCs w:val="21"/>
              </w:rPr>
              <w:t>博罗智能装备产业园开发有限公司</w:t>
            </w:r>
          </w:p>
        </w:tc>
      </w:tr>
      <w:tr w14:paraId="66BFD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1112" w:hRule="atLeast"/>
          <w:jc w:val="center"/>
        </w:trPr>
        <w:tc>
          <w:tcPr>
            <w:tcW w:w="199" w:type="pct"/>
            <w:shd w:val="clear" w:color="auto" w:fill="FFFFFF" w:themeFill="background1"/>
            <w:tcMar>
              <w:top w:w="72" w:type="dxa"/>
              <w:left w:w="144" w:type="dxa"/>
              <w:bottom w:w="72" w:type="dxa"/>
              <w:right w:w="144" w:type="dxa"/>
            </w:tcMar>
            <w:vAlign w:val="center"/>
          </w:tcPr>
          <w:p w14:paraId="444B85AF">
            <w:pPr>
              <w:jc w:val="center"/>
              <w:rPr>
                <w:rFonts w:ascii="Times New Roman" w:hAnsi="Times New Roman" w:eastAsia="宋体" w:cs="宋体"/>
                <w:kern w:val="0"/>
                <w:szCs w:val="21"/>
              </w:rPr>
            </w:pPr>
            <w:r>
              <w:rPr>
                <w:rFonts w:hint="eastAsia" w:ascii="Times New Roman" w:hAnsi="Times New Roman" w:eastAsia="宋体" w:cs="宋体"/>
                <w:kern w:val="0"/>
                <w:szCs w:val="21"/>
              </w:rPr>
              <w:t>40</w:t>
            </w:r>
          </w:p>
        </w:tc>
        <w:tc>
          <w:tcPr>
            <w:tcW w:w="451" w:type="pct"/>
            <w:vMerge w:val="continue"/>
            <w:shd w:val="clear" w:color="auto" w:fill="FFFFFF" w:themeFill="background1"/>
            <w:tcMar>
              <w:top w:w="72" w:type="dxa"/>
              <w:left w:w="144" w:type="dxa"/>
              <w:bottom w:w="72" w:type="dxa"/>
              <w:right w:w="144" w:type="dxa"/>
            </w:tcMar>
            <w:vAlign w:val="center"/>
          </w:tcPr>
          <w:p w14:paraId="205473B3">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62E76DCC">
            <w:pPr>
              <w:jc w:val="center"/>
              <w:rPr>
                <w:rFonts w:ascii="Times New Roman" w:hAnsi="Times New Roman" w:eastAsia="宋体" w:cs="宋体"/>
                <w:kern w:val="0"/>
                <w:szCs w:val="21"/>
              </w:rPr>
            </w:pPr>
            <w:r>
              <w:rPr>
                <w:rFonts w:hint="eastAsia" w:ascii="Times New Roman" w:hAnsi="Times New Roman" w:eastAsia="宋体" w:cs="宋体"/>
                <w:kern w:val="0"/>
                <w:szCs w:val="21"/>
              </w:rPr>
              <w:t>博罗县县域副中心起步区基础设施配套项目</w:t>
            </w:r>
          </w:p>
        </w:tc>
        <w:tc>
          <w:tcPr>
            <w:tcW w:w="1905" w:type="pct"/>
            <w:shd w:val="clear" w:color="auto" w:fill="FFFFFF" w:themeFill="background1"/>
            <w:tcMar>
              <w:top w:w="20" w:type="dxa"/>
              <w:left w:w="20" w:type="dxa"/>
              <w:bottom w:w="72" w:type="dxa"/>
              <w:right w:w="20" w:type="dxa"/>
            </w:tcMar>
            <w:vAlign w:val="center"/>
          </w:tcPr>
          <w:p w14:paraId="636C07CB">
            <w:pPr>
              <w:rPr>
                <w:rFonts w:ascii="Times New Roman" w:hAnsi="Times New Roman" w:eastAsia="宋体" w:cs="宋体"/>
                <w:kern w:val="0"/>
                <w:szCs w:val="21"/>
              </w:rPr>
            </w:pPr>
            <w:r>
              <w:rPr>
                <w:rFonts w:hint="eastAsia" w:ascii="Times New Roman" w:hAnsi="Times New Roman" w:eastAsia="宋体" w:cs="宋体"/>
                <w:kern w:val="0"/>
                <w:szCs w:val="21"/>
              </w:rPr>
              <w:t>主要建设起步区消防站、源头水乡水系联通工程、新村变电站、污水厂、综合服务中心、文体综合中心、县域副中心完全中学、九年一贯制和县域副中心三甲医院等。</w:t>
            </w:r>
          </w:p>
        </w:tc>
        <w:tc>
          <w:tcPr>
            <w:tcW w:w="401" w:type="pct"/>
            <w:shd w:val="clear" w:color="auto" w:fill="FFFFFF" w:themeFill="background1"/>
            <w:tcMar>
              <w:top w:w="20" w:type="dxa"/>
              <w:left w:w="20" w:type="dxa"/>
              <w:bottom w:w="72" w:type="dxa"/>
              <w:right w:w="20" w:type="dxa"/>
            </w:tcMar>
            <w:vAlign w:val="center"/>
          </w:tcPr>
          <w:p w14:paraId="4273EB09">
            <w:pPr>
              <w:jc w:val="center"/>
              <w:rPr>
                <w:rFonts w:ascii="Times New Roman" w:hAnsi="Times New Roman" w:eastAsia="宋体" w:cs="宋体"/>
                <w:kern w:val="0"/>
                <w:szCs w:val="21"/>
              </w:rPr>
            </w:pPr>
            <w:r>
              <w:rPr>
                <w:rFonts w:hint="eastAsia" w:ascii="Times New Roman" w:hAnsi="Times New Roman" w:eastAsia="宋体" w:cs="宋体"/>
                <w:kern w:val="0"/>
                <w:szCs w:val="21"/>
              </w:rPr>
              <w:t>52.06</w:t>
            </w:r>
          </w:p>
        </w:tc>
        <w:tc>
          <w:tcPr>
            <w:tcW w:w="401" w:type="pct"/>
            <w:shd w:val="clear" w:color="auto" w:fill="FFFFFF" w:themeFill="background1"/>
            <w:tcMar>
              <w:top w:w="20" w:type="dxa"/>
              <w:left w:w="20" w:type="dxa"/>
              <w:bottom w:w="72" w:type="dxa"/>
              <w:right w:w="20" w:type="dxa"/>
            </w:tcMar>
            <w:vAlign w:val="center"/>
          </w:tcPr>
          <w:p w14:paraId="740C8E82">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20C4140E">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1D421642">
            <w:pPr>
              <w:jc w:val="center"/>
              <w:rPr>
                <w:rFonts w:ascii="Times New Roman" w:hAnsi="Times New Roman" w:eastAsia="宋体" w:cs="宋体"/>
                <w:kern w:val="0"/>
                <w:szCs w:val="21"/>
              </w:rPr>
            </w:pPr>
            <w:r>
              <w:rPr>
                <w:rFonts w:hint="eastAsia" w:ascii="Times New Roman" w:hAnsi="Times New Roman" w:eastAsia="宋体" w:cs="宋体"/>
                <w:kern w:val="0"/>
                <w:szCs w:val="21"/>
              </w:rPr>
              <w:t>石湾镇政府</w:t>
            </w:r>
          </w:p>
          <w:p w14:paraId="0B5CAC29">
            <w:pPr>
              <w:jc w:val="center"/>
              <w:rPr>
                <w:rFonts w:ascii="Times New Roman" w:hAnsi="Times New Roman" w:eastAsia="宋体" w:cs="宋体"/>
                <w:kern w:val="0"/>
                <w:szCs w:val="21"/>
              </w:rPr>
            </w:pPr>
            <w:r>
              <w:rPr>
                <w:rFonts w:hint="eastAsia" w:ascii="Times New Roman" w:hAnsi="Times New Roman" w:eastAsia="宋体" w:cs="宋体"/>
                <w:kern w:val="0"/>
                <w:szCs w:val="21"/>
              </w:rPr>
              <w:t>园洲镇政府</w:t>
            </w:r>
          </w:p>
          <w:p w14:paraId="7D454DA0">
            <w:pPr>
              <w:jc w:val="center"/>
              <w:rPr>
                <w:rFonts w:ascii="Times New Roman" w:hAnsi="Times New Roman" w:eastAsia="宋体" w:cs="宋体"/>
                <w:kern w:val="0"/>
                <w:szCs w:val="21"/>
              </w:rPr>
            </w:pPr>
            <w:r>
              <w:rPr>
                <w:rFonts w:hint="eastAsia" w:ascii="Times New Roman" w:hAnsi="Times New Roman" w:eastAsia="宋体" w:cs="宋体"/>
                <w:kern w:val="0"/>
                <w:szCs w:val="21"/>
              </w:rPr>
              <w:t>博罗县产业转移工业园管委会</w:t>
            </w:r>
          </w:p>
        </w:tc>
      </w:tr>
      <w:tr w14:paraId="6FB15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69ADB44D">
            <w:pPr>
              <w:jc w:val="center"/>
              <w:rPr>
                <w:rFonts w:ascii="Times New Roman" w:hAnsi="Times New Roman" w:eastAsia="宋体" w:cs="宋体"/>
                <w:kern w:val="0"/>
                <w:szCs w:val="21"/>
              </w:rPr>
            </w:pPr>
            <w:r>
              <w:rPr>
                <w:rFonts w:hint="eastAsia" w:ascii="Times New Roman" w:hAnsi="Times New Roman" w:eastAsia="宋体" w:cs="宋体"/>
                <w:kern w:val="0"/>
                <w:szCs w:val="21"/>
              </w:rPr>
              <w:t>41</w:t>
            </w:r>
          </w:p>
        </w:tc>
        <w:tc>
          <w:tcPr>
            <w:tcW w:w="451" w:type="pct"/>
            <w:vMerge w:val="continue"/>
            <w:shd w:val="clear" w:color="auto" w:fill="FFFFFF" w:themeFill="background1"/>
            <w:tcMar>
              <w:top w:w="72" w:type="dxa"/>
              <w:left w:w="144" w:type="dxa"/>
              <w:bottom w:w="72" w:type="dxa"/>
              <w:right w:w="144" w:type="dxa"/>
            </w:tcMar>
            <w:vAlign w:val="center"/>
          </w:tcPr>
          <w:p w14:paraId="47EAE735">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19B4B20D">
            <w:pPr>
              <w:jc w:val="center"/>
              <w:rPr>
                <w:rFonts w:ascii="Times New Roman" w:hAnsi="Times New Roman" w:eastAsia="宋体" w:cs="宋体"/>
                <w:kern w:val="0"/>
                <w:szCs w:val="21"/>
              </w:rPr>
            </w:pPr>
            <w:r>
              <w:rPr>
                <w:rFonts w:hint="eastAsia" w:ascii="Times New Roman" w:hAnsi="Times New Roman" w:eastAsia="宋体" w:cs="宋体"/>
                <w:kern w:val="0"/>
                <w:szCs w:val="21"/>
              </w:rPr>
              <w:t>广东省惠州市博罗县县域副中心基础设施提升工程（一期）</w:t>
            </w:r>
          </w:p>
        </w:tc>
        <w:tc>
          <w:tcPr>
            <w:tcW w:w="1905" w:type="pct"/>
            <w:shd w:val="clear" w:color="auto" w:fill="FFFFFF" w:themeFill="background1"/>
            <w:tcMar>
              <w:top w:w="20" w:type="dxa"/>
              <w:left w:w="20" w:type="dxa"/>
              <w:bottom w:w="72" w:type="dxa"/>
              <w:right w:w="20" w:type="dxa"/>
            </w:tcMar>
            <w:vAlign w:val="center"/>
          </w:tcPr>
          <w:p w14:paraId="441F4F60">
            <w:pPr>
              <w:rPr>
                <w:rFonts w:ascii="Times New Roman" w:hAnsi="Times New Roman" w:eastAsia="宋体" w:cs="宋体"/>
                <w:kern w:val="0"/>
                <w:szCs w:val="21"/>
              </w:rPr>
            </w:pPr>
            <w:r>
              <w:rPr>
                <w:rFonts w:hint="eastAsia" w:ascii="Times New Roman" w:hAnsi="Times New Roman" w:eastAsia="宋体" w:cs="宋体"/>
                <w:kern w:val="0"/>
                <w:szCs w:val="21"/>
              </w:rPr>
              <w:t>主要包括博罗县石湾镇“一带一路”经济连接线及电力迁改工程、石湾镇滘源路升级改造工程、博罗县第八人民医院建设工程、博罗县园洲镇污水配套管网入户工程（二期）、博罗县园洲镇园洲大道改建工程、博罗县园洲镇上园路改建工程、博罗县园洲镇兴园路、秀丽路升级改造工程、博罗智能装备产业园园洲东片区基础设施（二期）市政道路建设工程。</w:t>
            </w:r>
          </w:p>
        </w:tc>
        <w:tc>
          <w:tcPr>
            <w:tcW w:w="401" w:type="pct"/>
            <w:shd w:val="clear" w:color="auto" w:fill="FFFFFF" w:themeFill="background1"/>
            <w:tcMar>
              <w:top w:w="20" w:type="dxa"/>
              <w:left w:w="20" w:type="dxa"/>
              <w:bottom w:w="72" w:type="dxa"/>
              <w:right w:w="20" w:type="dxa"/>
            </w:tcMar>
            <w:vAlign w:val="center"/>
          </w:tcPr>
          <w:p w14:paraId="0034E7A0">
            <w:pPr>
              <w:jc w:val="center"/>
              <w:rPr>
                <w:rFonts w:ascii="Times New Roman" w:hAnsi="Times New Roman" w:eastAsia="宋体" w:cs="宋体"/>
                <w:kern w:val="0"/>
                <w:szCs w:val="21"/>
              </w:rPr>
            </w:pPr>
            <w:r>
              <w:rPr>
                <w:rFonts w:hint="eastAsia" w:ascii="Times New Roman" w:hAnsi="Times New Roman" w:eastAsia="宋体" w:cs="宋体"/>
                <w:kern w:val="0"/>
                <w:szCs w:val="21"/>
              </w:rPr>
              <w:t>33.95</w:t>
            </w:r>
          </w:p>
        </w:tc>
        <w:tc>
          <w:tcPr>
            <w:tcW w:w="401" w:type="pct"/>
            <w:shd w:val="clear" w:color="auto" w:fill="FFFFFF" w:themeFill="background1"/>
            <w:tcMar>
              <w:top w:w="20" w:type="dxa"/>
              <w:left w:w="20" w:type="dxa"/>
              <w:bottom w:w="72" w:type="dxa"/>
              <w:right w:w="20" w:type="dxa"/>
            </w:tcMar>
            <w:vAlign w:val="center"/>
          </w:tcPr>
          <w:p w14:paraId="08A69F20">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7B33325D">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76201AA6">
            <w:pPr>
              <w:jc w:val="center"/>
              <w:rPr>
                <w:rFonts w:ascii="Times New Roman" w:hAnsi="Times New Roman" w:eastAsia="宋体" w:cs="宋体"/>
                <w:kern w:val="0"/>
                <w:szCs w:val="21"/>
              </w:rPr>
            </w:pPr>
            <w:r>
              <w:rPr>
                <w:rFonts w:hint="eastAsia" w:ascii="Times New Roman" w:hAnsi="Times New Roman" w:eastAsia="宋体" w:cs="宋体"/>
                <w:kern w:val="0"/>
                <w:szCs w:val="21"/>
              </w:rPr>
              <w:t>园洲镇政府</w:t>
            </w:r>
          </w:p>
          <w:p w14:paraId="48AB538E">
            <w:pPr>
              <w:pStyle w:val="2"/>
              <w:jc w:val="center"/>
              <w:rPr>
                <w:rFonts w:hint="eastAsia" w:eastAsia="宋体" w:cs="宋体"/>
                <w:kern w:val="0"/>
                <w:szCs w:val="21"/>
              </w:rPr>
            </w:pPr>
            <w:r>
              <w:rPr>
                <w:rFonts w:hint="eastAsia" w:eastAsia="宋体" w:cs="宋体"/>
                <w:kern w:val="0"/>
                <w:sz w:val="21"/>
                <w:szCs w:val="21"/>
              </w:rPr>
              <w:t>石湾镇政府</w:t>
            </w:r>
          </w:p>
        </w:tc>
      </w:tr>
      <w:tr w14:paraId="093E6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011CF94A">
            <w:pPr>
              <w:jc w:val="center"/>
              <w:rPr>
                <w:rFonts w:ascii="Times New Roman" w:hAnsi="Times New Roman" w:eastAsia="宋体" w:cs="宋体"/>
                <w:kern w:val="0"/>
                <w:szCs w:val="21"/>
              </w:rPr>
            </w:pPr>
            <w:r>
              <w:rPr>
                <w:rFonts w:hint="eastAsia" w:ascii="Times New Roman" w:hAnsi="Times New Roman" w:eastAsia="宋体" w:cs="宋体"/>
                <w:kern w:val="0"/>
                <w:szCs w:val="21"/>
              </w:rPr>
              <w:t>42</w:t>
            </w:r>
          </w:p>
        </w:tc>
        <w:tc>
          <w:tcPr>
            <w:tcW w:w="451" w:type="pct"/>
            <w:vMerge w:val="continue"/>
            <w:shd w:val="clear" w:color="auto" w:fill="FFFFFF" w:themeFill="background1"/>
            <w:tcMar>
              <w:top w:w="72" w:type="dxa"/>
              <w:left w:w="144" w:type="dxa"/>
              <w:bottom w:w="72" w:type="dxa"/>
              <w:right w:w="144" w:type="dxa"/>
            </w:tcMar>
            <w:vAlign w:val="center"/>
          </w:tcPr>
          <w:p w14:paraId="4F9434DE">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03BD1034">
            <w:pPr>
              <w:jc w:val="center"/>
              <w:rPr>
                <w:rFonts w:ascii="Times New Roman" w:hAnsi="Times New Roman" w:eastAsia="宋体" w:cs="宋体"/>
                <w:kern w:val="0"/>
                <w:szCs w:val="21"/>
              </w:rPr>
            </w:pPr>
            <w:r>
              <w:rPr>
                <w:rFonts w:hint="eastAsia" w:ascii="Times New Roman" w:hAnsi="Times New Roman" w:eastAsia="宋体" w:cs="宋体"/>
                <w:kern w:val="0"/>
                <w:szCs w:val="21"/>
              </w:rPr>
              <w:t>博罗县县域副中心基础设施配套二期项目</w:t>
            </w:r>
          </w:p>
        </w:tc>
        <w:tc>
          <w:tcPr>
            <w:tcW w:w="1905" w:type="pct"/>
            <w:shd w:val="clear" w:color="auto" w:fill="FFFFFF" w:themeFill="background1"/>
            <w:tcMar>
              <w:top w:w="20" w:type="dxa"/>
              <w:left w:w="20" w:type="dxa"/>
              <w:bottom w:w="72" w:type="dxa"/>
              <w:right w:w="20" w:type="dxa"/>
            </w:tcMar>
            <w:vAlign w:val="center"/>
          </w:tcPr>
          <w:p w14:paraId="07235AE2">
            <w:pPr>
              <w:rPr>
                <w:rFonts w:ascii="Times New Roman" w:hAnsi="Times New Roman" w:eastAsia="宋体" w:cs="宋体"/>
                <w:kern w:val="0"/>
                <w:szCs w:val="21"/>
              </w:rPr>
            </w:pPr>
            <w:r>
              <w:rPr>
                <w:rFonts w:hint="eastAsia" w:ascii="Times New Roman" w:hAnsi="Times New Roman" w:eastAsia="宋体" w:cs="宋体"/>
                <w:kern w:val="0"/>
                <w:szCs w:val="21"/>
              </w:rPr>
              <w:t>主要建设水电北路延线（沙河大桥-振兴大道）新建工程、园洲镇时尚大道新建工程、福石公路（明月路-沙河堤）扩建工程、福石公路（沙河堤-兴发路）扩建工程、黄巢墩大道新建工程（石湾环城路-时尚大道段）。</w:t>
            </w:r>
          </w:p>
        </w:tc>
        <w:tc>
          <w:tcPr>
            <w:tcW w:w="401" w:type="pct"/>
            <w:shd w:val="clear" w:color="auto" w:fill="FFFFFF" w:themeFill="background1"/>
            <w:tcMar>
              <w:top w:w="20" w:type="dxa"/>
              <w:left w:w="20" w:type="dxa"/>
              <w:bottom w:w="72" w:type="dxa"/>
              <w:right w:w="20" w:type="dxa"/>
            </w:tcMar>
            <w:vAlign w:val="center"/>
          </w:tcPr>
          <w:p w14:paraId="72624838">
            <w:pPr>
              <w:jc w:val="center"/>
              <w:rPr>
                <w:rFonts w:ascii="Times New Roman" w:hAnsi="Times New Roman" w:eastAsia="宋体" w:cs="宋体"/>
                <w:kern w:val="0"/>
                <w:szCs w:val="21"/>
              </w:rPr>
            </w:pPr>
            <w:r>
              <w:rPr>
                <w:rFonts w:hint="eastAsia" w:ascii="Times New Roman" w:hAnsi="Times New Roman" w:eastAsia="宋体" w:cs="宋体"/>
                <w:kern w:val="0"/>
                <w:szCs w:val="21"/>
              </w:rPr>
              <w:t>13.26</w:t>
            </w:r>
          </w:p>
        </w:tc>
        <w:tc>
          <w:tcPr>
            <w:tcW w:w="401" w:type="pct"/>
            <w:shd w:val="clear" w:color="auto" w:fill="FFFFFF" w:themeFill="background1"/>
            <w:tcMar>
              <w:top w:w="20" w:type="dxa"/>
              <w:left w:w="20" w:type="dxa"/>
              <w:bottom w:w="72" w:type="dxa"/>
              <w:right w:w="20" w:type="dxa"/>
            </w:tcMar>
            <w:vAlign w:val="center"/>
          </w:tcPr>
          <w:p w14:paraId="3F798E6B">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3559854D">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465B9A10">
            <w:pPr>
              <w:jc w:val="center"/>
              <w:rPr>
                <w:rFonts w:ascii="Times New Roman" w:hAnsi="Times New Roman" w:eastAsia="宋体" w:cs="宋体"/>
                <w:kern w:val="0"/>
                <w:szCs w:val="21"/>
              </w:rPr>
            </w:pPr>
            <w:bookmarkStart w:id="220" w:name="OLE_LINK31"/>
            <w:r>
              <w:rPr>
                <w:rFonts w:hint="eastAsia" w:ascii="Times New Roman" w:hAnsi="Times New Roman" w:eastAsia="宋体" w:cs="宋体"/>
                <w:kern w:val="0"/>
                <w:szCs w:val="21"/>
              </w:rPr>
              <w:t>石湾镇政府</w:t>
            </w:r>
          </w:p>
          <w:p w14:paraId="43322F67">
            <w:pPr>
              <w:jc w:val="center"/>
              <w:rPr>
                <w:rFonts w:ascii="Times New Roman" w:hAnsi="Times New Roman" w:eastAsia="宋体" w:cs="宋体"/>
                <w:kern w:val="0"/>
                <w:szCs w:val="21"/>
              </w:rPr>
            </w:pPr>
            <w:r>
              <w:rPr>
                <w:rFonts w:hint="eastAsia" w:ascii="Times New Roman" w:hAnsi="Times New Roman" w:eastAsia="宋体" w:cs="宋体"/>
                <w:kern w:val="0"/>
                <w:szCs w:val="21"/>
              </w:rPr>
              <w:t>园洲镇政府</w:t>
            </w:r>
          </w:p>
          <w:p w14:paraId="77516937">
            <w:pPr>
              <w:jc w:val="center"/>
              <w:rPr>
                <w:rFonts w:ascii="Times New Roman" w:hAnsi="Times New Roman" w:eastAsia="宋体" w:cs="宋体"/>
                <w:kern w:val="0"/>
                <w:szCs w:val="21"/>
              </w:rPr>
            </w:pPr>
            <w:r>
              <w:rPr>
                <w:rFonts w:hint="eastAsia" w:ascii="Times New Roman" w:hAnsi="Times New Roman" w:eastAsia="宋体" w:cs="宋体"/>
                <w:kern w:val="0"/>
                <w:szCs w:val="21"/>
              </w:rPr>
              <w:t>博罗县产业转移工业园管委会</w:t>
            </w:r>
            <w:bookmarkEnd w:id="220"/>
          </w:p>
        </w:tc>
      </w:tr>
      <w:tr w14:paraId="65024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3AA645DB">
            <w:pPr>
              <w:jc w:val="center"/>
              <w:rPr>
                <w:rFonts w:ascii="Times New Roman" w:hAnsi="Times New Roman" w:eastAsia="宋体" w:cs="宋体"/>
                <w:kern w:val="0"/>
                <w:szCs w:val="21"/>
              </w:rPr>
            </w:pPr>
            <w:r>
              <w:rPr>
                <w:rFonts w:hint="eastAsia" w:ascii="Times New Roman" w:hAnsi="Times New Roman" w:eastAsia="宋体" w:cs="宋体"/>
                <w:kern w:val="0"/>
                <w:szCs w:val="21"/>
              </w:rPr>
              <w:t>43</w:t>
            </w:r>
          </w:p>
        </w:tc>
        <w:tc>
          <w:tcPr>
            <w:tcW w:w="451" w:type="pct"/>
            <w:vMerge w:val="continue"/>
            <w:shd w:val="clear" w:color="auto" w:fill="FFFFFF" w:themeFill="background1"/>
            <w:tcMar>
              <w:top w:w="72" w:type="dxa"/>
              <w:left w:w="144" w:type="dxa"/>
              <w:bottom w:w="72" w:type="dxa"/>
              <w:right w:w="144" w:type="dxa"/>
            </w:tcMar>
            <w:vAlign w:val="center"/>
          </w:tcPr>
          <w:p w14:paraId="17D2ABD7">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08172350">
            <w:pPr>
              <w:jc w:val="center"/>
              <w:rPr>
                <w:rFonts w:ascii="Times New Roman" w:hAnsi="Times New Roman" w:eastAsia="宋体" w:cs="宋体"/>
                <w:kern w:val="0"/>
                <w:szCs w:val="21"/>
              </w:rPr>
            </w:pPr>
            <w:r>
              <w:rPr>
                <w:rFonts w:hint="eastAsia" w:ascii="Times New Roman" w:hAnsi="Times New Roman" w:eastAsia="宋体" w:cs="宋体"/>
                <w:kern w:val="0"/>
                <w:szCs w:val="21"/>
              </w:rPr>
              <w:t>博罗县县域副中心起步区商业及生活配套设施项目</w:t>
            </w:r>
          </w:p>
        </w:tc>
        <w:tc>
          <w:tcPr>
            <w:tcW w:w="1905" w:type="pct"/>
            <w:shd w:val="clear" w:color="auto" w:fill="FFFFFF" w:themeFill="background1"/>
            <w:tcMar>
              <w:top w:w="20" w:type="dxa"/>
              <w:left w:w="20" w:type="dxa"/>
              <w:bottom w:w="72" w:type="dxa"/>
              <w:right w:w="20" w:type="dxa"/>
            </w:tcMar>
            <w:vAlign w:val="center"/>
          </w:tcPr>
          <w:p w14:paraId="7AB25D1F">
            <w:pPr>
              <w:rPr>
                <w:rFonts w:ascii="Times New Roman" w:hAnsi="Times New Roman" w:eastAsia="宋体" w:cs="宋体"/>
                <w:kern w:val="0"/>
                <w:szCs w:val="21"/>
              </w:rPr>
            </w:pPr>
            <w:r>
              <w:rPr>
                <w:rFonts w:hint="eastAsia" w:ascii="Times New Roman" w:hAnsi="Times New Roman" w:eastAsia="宋体" w:cs="宋体"/>
                <w:kern w:val="0"/>
                <w:szCs w:val="21"/>
              </w:rPr>
              <w:t>主要建设沙河中央水岸EOD工程项目、明月湾湿地公园、稻田乡村酒店、全龄友好未来社区、滨水特色商业、两山商务金融中心、活力低碳办公街区、商业住宅社区、农业迪士尼等</w:t>
            </w:r>
          </w:p>
        </w:tc>
        <w:tc>
          <w:tcPr>
            <w:tcW w:w="401" w:type="pct"/>
            <w:shd w:val="clear" w:color="auto" w:fill="FFFFFF" w:themeFill="background1"/>
            <w:tcMar>
              <w:top w:w="20" w:type="dxa"/>
              <w:left w:w="20" w:type="dxa"/>
              <w:bottom w:w="72" w:type="dxa"/>
              <w:right w:w="20" w:type="dxa"/>
            </w:tcMar>
            <w:vAlign w:val="center"/>
          </w:tcPr>
          <w:p w14:paraId="27AB5CC8">
            <w:pPr>
              <w:jc w:val="center"/>
              <w:rPr>
                <w:rFonts w:ascii="Times New Roman" w:hAnsi="Times New Roman" w:eastAsia="宋体" w:cs="宋体"/>
                <w:kern w:val="0"/>
                <w:szCs w:val="21"/>
              </w:rPr>
            </w:pPr>
            <w:r>
              <w:rPr>
                <w:rFonts w:hint="eastAsia" w:ascii="Times New Roman" w:hAnsi="Times New Roman" w:eastAsia="宋体" w:cs="宋体"/>
                <w:kern w:val="0"/>
                <w:szCs w:val="21"/>
              </w:rPr>
              <w:t>127.23</w:t>
            </w:r>
          </w:p>
        </w:tc>
        <w:tc>
          <w:tcPr>
            <w:tcW w:w="401" w:type="pct"/>
            <w:shd w:val="clear" w:color="auto" w:fill="FFFFFF" w:themeFill="background1"/>
            <w:tcMar>
              <w:top w:w="20" w:type="dxa"/>
              <w:left w:w="20" w:type="dxa"/>
              <w:bottom w:w="72" w:type="dxa"/>
              <w:right w:w="20" w:type="dxa"/>
            </w:tcMar>
            <w:vAlign w:val="center"/>
          </w:tcPr>
          <w:p w14:paraId="74133B7F">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20DE64FC">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0ED4D61E">
            <w:pPr>
              <w:jc w:val="center"/>
              <w:rPr>
                <w:rFonts w:ascii="Times New Roman" w:hAnsi="Times New Roman" w:eastAsia="宋体" w:cs="宋体"/>
                <w:kern w:val="0"/>
                <w:szCs w:val="21"/>
              </w:rPr>
            </w:pPr>
            <w:bookmarkStart w:id="221" w:name="OLE_LINK32"/>
            <w:r>
              <w:rPr>
                <w:rFonts w:hint="eastAsia" w:ascii="Times New Roman" w:hAnsi="Times New Roman" w:eastAsia="宋体" w:cs="宋体"/>
                <w:kern w:val="0"/>
                <w:szCs w:val="21"/>
              </w:rPr>
              <w:t>石湾镇政府</w:t>
            </w:r>
          </w:p>
          <w:p w14:paraId="1626E3B7">
            <w:pPr>
              <w:jc w:val="center"/>
              <w:rPr>
                <w:rFonts w:ascii="Times New Roman" w:hAnsi="Times New Roman" w:eastAsia="宋体" w:cs="宋体"/>
                <w:kern w:val="0"/>
                <w:szCs w:val="21"/>
              </w:rPr>
            </w:pPr>
            <w:r>
              <w:rPr>
                <w:rFonts w:hint="eastAsia" w:ascii="Times New Roman" w:hAnsi="Times New Roman" w:eastAsia="宋体" w:cs="宋体"/>
                <w:kern w:val="0"/>
                <w:szCs w:val="21"/>
              </w:rPr>
              <w:t>园洲镇政府</w:t>
            </w:r>
          </w:p>
          <w:p w14:paraId="6CFA9A67">
            <w:pPr>
              <w:jc w:val="center"/>
              <w:rPr>
                <w:rFonts w:ascii="Times New Roman" w:hAnsi="Times New Roman" w:eastAsia="宋体" w:cs="宋体"/>
                <w:kern w:val="0"/>
                <w:szCs w:val="21"/>
              </w:rPr>
            </w:pPr>
            <w:r>
              <w:rPr>
                <w:rFonts w:hint="eastAsia" w:ascii="Times New Roman" w:hAnsi="Times New Roman" w:eastAsia="宋体" w:cs="宋体"/>
                <w:kern w:val="0"/>
                <w:szCs w:val="21"/>
              </w:rPr>
              <w:t>博罗县产业转移工业园管委会</w:t>
            </w:r>
            <w:bookmarkEnd w:id="221"/>
          </w:p>
        </w:tc>
      </w:tr>
      <w:tr w14:paraId="1A919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90" w:hRule="atLeast"/>
          <w:jc w:val="center"/>
        </w:trPr>
        <w:tc>
          <w:tcPr>
            <w:tcW w:w="199" w:type="pct"/>
            <w:shd w:val="clear" w:color="auto" w:fill="FFFFFF" w:themeFill="background1"/>
            <w:tcMar>
              <w:top w:w="72" w:type="dxa"/>
              <w:left w:w="144" w:type="dxa"/>
              <w:bottom w:w="72" w:type="dxa"/>
              <w:right w:w="144" w:type="dxa"/>
            </w:tcMar>
            <w:vAlign w:val="center"/>
          </w:tcPr>
          <w:p w14:paraId="2279FB36">
            <w:pPr>
              <w:jc w:val="center"/>
              <w:rPr>
                <w:rFonts w:ascii="Times New Roman" w:hAnsi="Times New Roman" w:eastAsia="宋体" w:cs="宋体"/>
                <w:kern w:val="0"/>
                <w:szCs w:val="21"/>
              </w:rPr>
            </w:pPr>
            <w:r>
              <w:rPr>
                <w:rFonts w:hint="eastAsia" w:ascii="Times New Roman" w:hAnsi="Times New Roman" w:eastAsia="宋体" w:cs="宋体"/>
                <w:kern w:val="0"/>
                <w:szCs w:val="21"/>
              </w:rPr>
              <w:t>44</w:t>
            </w:r>
          </w:p>
        </w:tc>
        <w:tc>
          <w:tcPr>
            <w:tcW w:w="451" w:type="pct"/>
            <w:vMerge w:val="continue"/>
            <w:shd w:val="clear" w:color="auto" w:fill="FFFFFF" w:themeFill="background1"/>
            <w:tcMar>
              <w:top w:w="72" w:type="dxa"/>
              <w:left w:w="144" w:type="dxa"/>
              <w:bottom w:w="72" w:type="dxa"/>
              <w:right w:w="144" w:type="dxa"/>
            </w:tcMar>
            <w:vAlign w:val="center"/>
          </w:tcPr>
          <w:p w14:paraId="3CA6FFB7">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6DACD2B0">
            <w:pPr>
              <w:jc w:val="center"/>
              <w:rPr>
                <w:rFonts w:ascii="Times New Roman" w:hAnsi="Times New Roman" w:eastAsia="宋体" w:cs="宋体"/>
                <w:kern w:val="0"/>
                <w:szCs w:val="21"/>
              </w:rPr>
            </w:pPr>
            <w:r>
              <w:rPr>
                <w:rFonts w:hint="eastAsia" w:ascii="Times New Roman" w:hAnsi="Times New Roman" w:eastAsia="宋体" w:cs="宋体"/>
                <w:kern w:val="0"/>
                <w:szCs w:val="21"/>
              </w:rPr>
              <w:t>博罗县产业园基础设施及配套提升工程（二期）</w:t>
            </w:r>
          </w:p>
        </w:tc>
        <w:tc>
          <w:tcPr>
            <w:tcW w:w="1905" w:type="pct"/>
            <w:shd w:val="clear" w:color="auto" w:fill="FFFFFF" w:themeFill="background1"/>
            <w:tcMar>
              <w:top w:w="20" w:type="dxa"/>
              <w:left w:w="20" w:type="dxa"/>
              <w:bottom w:w="72" w:type="dxa"/>
              <w:right w:w="20" w:type="dxa"/>
            </w:tcMar>
            <w:vAlign w:val="center"/>
          </w:tcPr>
          <w:p w14:paraId="1A1BA785">
            <w:pPr>
              <w:rPr>
                <w:rFonts w:ascii="Times New Roman" w:hAnsi="Times New Roman" w:eastAsia="宋体" w:cs="宋体"/>
                <w:kern w:val="0"/>
                <w:szCs w:val="21"/>
              </w:rPr>
            </w:pPr>
            <w:r>
              <w:rPr>
                <w:rFonts w:hint="eastAsia" w:ascii="Times New Roman" w:hAnsi="Times New Roman" w:eastAsia="宋体" w:cs="宋体"/>
                <w:kern w:val="0"/>
                <w:szCs w:val="21"/>
              </w:rPr>
              <w:t>主要包括博罗智能装备产业园石湾片区三期基础设施项目、博罗智能装备产业园石湾片区四期基础设施项目、博罗智能装备产业园园洲东片区基础设施（三期）建设项目、广东省惠州市博罗县“一带一路”铁路物流园区基础设施配套工程等8个项目。</w:t>
            </w:r>
          </w:p>
        </w:tc>
        <w:tc>
          <w:tcPr>
            <w:tcW w:w="401" w:type="pct"/>
            <w:shd w:val="clear" w:color="auto" w:fill="FFFFFF" w:themeFill="background1"/>
            <w:tcMar>
              <w:top w:w="20" w:type="dxa"/>
              <w:left w:w="20" w:type="dxa"/>
              <w:bottom w:w="72" w:type="dxa"/>
              <w:right w:w="20" w:type="dxa"/>
            </w:tcMar>
            <w:vAlign w:val="center"/>
          </w:tcPr>
          <w:p w14:paraId="31F65D47">
            <w:pPr>
              <w:jc w:val="center"/>
              <w:rPr>
                <w:rFonts w:ascii="Times New Roman" w:hAnsi="Times New Roman" w:eastAsia="宋体" w:cs="宋体"/>
                <w:kern w:val="0"/>
                <w:szCs w:val="21"/>
              </w:rPr>
            </w:pPr>
            <w:r>
              <w:rPr>
                <w:rFonts w:hint="eastAsia" w:ascii="Times New Roman" w:hAnsi="Times New Roman" w:eastAsia="宋体" w:cs="宋体"/>
                <w:kern w:val="0"/>
                <w:szCs w:val="21"/>
              </w:rPr>
              <w:t>19.8</w:t>
            </w:r>
          </w:p>
        </w:tc>
        <w:tc>
          <w:tcPr>
            <w:tcW w:w="401" w:type="pct"/>
            <w:shd w:val="clear" w:color="auto" w:fill="FFFFFF" w:themeFill="background1"/>
            <w:tcMar>
              <w:top w:w="20" w:type="dxa"/>
              <w:left w:w="20" w:type="dxa"/>
              <w:bottom w:w="72" w:type="dxa"/>
              <w:right w:w="20" w:type="dxa"/>
            </w:tcMar>
            <w:vAlign w:val="center"/>
          </w:tcPr>
          <w:p w14:paraId="53653CF7">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6DE0B734">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60E1402C">
            <w:pPr>
              <w:jc w:val="center"/>
              <w:rPr>
                <w:rFonts w:ascii="Times New Roman" w:hAnsi="Times New Roman" w:eastAsia="宋体" w:cs="宋体"/>
                <w:kern w:val="0"/>
                <w:szCs w:val="21"/>
              </w:rPr>
            </w:pPr>
            <w:r>
              <w:rPr>
                <w:rFonts w:hint="eastAsia" w:ascii="Times New Roman" w:hAnsi="Times New Roman" w:eastAsia="宋体" w:cs="宋体"/>
                <w:kern w:val="0"/>
                <w:szCs w:val="21"/>
              </w:rPr>
              <w:t>石湾镇政府</w:t>
            </w:r>
          </w:p>
          <w:p w14:paraId="3C67C29C">
            <w:pPr>
              <w:jc w:val="center"/>
              <w:rPr>
                <w:rFonts w:ascii="Times New Roman" w:hAnsi="Times New Roman" w:eastAsia="宋体" w:cs="宋体"/>
                <w:kern w:val="0"/>
                <w:szCs w:val="21"/>
              </w:rPr>
            </w:pPr>
            <w:r>
              <w:rPr>
                <w:rFonts w:hint="eastAsia" w:ascii="Times New Roman" w:hAnsi="Times New Roman" w:eastAsia="宋体" w:cs="宋体"/>
                <w:kern w:val="0"/>
                <w:szCs w:val="21"/>
              </w:rPr>
              <w:t>园洲镇政府</w:t>
            </w:r>
          </w:p>
          <w:p w14:paraId="73A1A05A">
            <w:pPr>
              <w:jc w:val="center"/>
              <w:rPr>
                <w:rFonts w:ascii="Times New Roman" w:hAnsi="Times New Roman" w:eastAsia="宋体" w:cs="宋体"/>
                <w:kern w:val="0"/>
                <w:szCs w:val="21"/>
              </w:rPr>
            </w:pPr>
            <w:r>
              <w:rPr>
                <w:rFonts w:hint="eastAsia" w:ascii="Times New Roman" w:hAnsi="Times New Roman" w:eastAsia="宋体" w:cs="宋体"/>
                <w:kern w:val="0"/>
                <w:szCs w:val="21"/>
              </w:rPr>
              <w:t>博罗县产业转移工业园管委会</w:t>
            </w:r>
          </w:p>
        </w:tc>
      </w:tr>
      <w:tr w14:paraId="027F0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9" w:hRule="atLeast"/>
          <w:jc w:val="center"/>
        </w:trPr>
        <w:tc>
          <w:tcPr>
            <w:tcW w:w="199" w:type="pct"/>
            <w:shd w:val="clear" w:color="auto" w:fill="FFFFFF" w:themeFill="background1"/>
            <w:tcMar>
              <w:top w:w="72" w:type="dxa"/>
              <w:left w:w="144" w:type="dxa"/>
              <w:bottom w:w="72" w:type="dxa"/>
              <w:right w:w="144" w:type="dxa"/>
            </w:tcMar>
            <w:vAlign w:val="center"/>
          </w:tcPr>
          <w:p w14:paraId="5ECFBA37">
            <w:pPr>
              <w:jc w:val="center"/>
              <w:rPr>
                <w:rFonts w:ascii="Times New Roman" w:hAnsi="Times New Roman" w:eastAsia="宋体" w:cs="宋体"/>
                <w:kern w:val="0"/>
                <w:szCs w:val="21"/>
              </w:rPr>
            </w:pPr>
            <w:r>
              <w:rPr>
                <w:rFonts w:hint="eastAsia" w:ascii="Times New Roman" w:hAnsi="Times New Roman" w:eastAsia="宋体" w:cs="宋体"/>
                <w:kern w:val="0"/>
                <w:szCs w:val="21"/>
              </w:rPr>
              <w:t>45</w:t>
            </w:r>
          </w:p>
        </w:tc>
        <w:tc>
          <w:tcPr>
            <w:tcW w:w="451" w:type="pct"/>
            <w:vMerge w:val="restart"/>
            <w:shd w:val="clear" w:color="auto" w:fill="FFFFFF" w:themeFill="background1"/>
            <w:tcMar>
              <w:top w:w="72" w:type="dxa"/>
              <w:left w:w="144" w:type="dxa"/>
              <w:bottom w:w="72" w:type="dxa"/>
              <w:right w:w="144" w:type="dxa"/>
            </w:tcMar>
            <w:vAlign w:val="center"/>
          </w:tcPr>
          <w:p w14:paraId="6227B37C">
            <w:pPr>
              <w:jc w:val="center"/>
              <w:rPr>
                <w:rFonts w:ascii="Times New Roman" w:hAnsi="Times New Roman" w:eastAsia="宋体" w:cs="宋体"/>
                <w:kern w:val="0"/>
                <w:szCs w:val="21"/>
              </w:rPr>
            </w:pPr>
            <w:bookmarkStart w:id="222" w:name="OLE_LINK30"/>
            <w:r>
              <w:rPr>
                <w:rFonts w:hint="eastAsia" w:ascii="Times New Roman" w:hAnsi="Times New Roman" w:eastAsia="宋体" w:cs="宋体"/>
                <w:kern w:val="0"/>
                <w:szCs w:val="21"/>
              </w:rPr>
              <w:t>能源与生态环境</w:t>
            </w:r>
            <w:bookmarkEnd w:id="222"/>
          </w:p>
        </w:tc>
        <w:tc>
          <w:tcPr>
            <w:tcW w:w="802" w:type="pct"/>
            <w:shd w:val="clear" w:color="auto" w:fill="FFFFFF" w:themeFill="background1"/>
            <w:tcMar>
              <w:top w:w="20" w:type="dxa"/>
              <w:left w:w="20" w:type="dxa"/>
              <w:bottom w:w="72" w:type="dxa"/>
              <w:right w:w="20" w:type="dxa"/>
            </w:tcMar>
            <w:vAlign w:val="center"/>
          </w:tcPr>
          <w:p w14:paraId="281D7E48">
            <w:pPr>
              <w:jc w:val="center"/>
              <w:rPr>
                <w:rFonts w:ascii="Times New Roman" w:hAnsi="Times New Roman" w:eastAsia="宋体" w:cs="宋体"/>
                <w:kern w:val="0"/>
                <w:szCs w:val="21"/>
              </w:rPr>
            </w:pPr>
            <w:r>
              <w:rPr>
                <w:rFonts w:hint="eastAsia" w:ascii="Times New Roman" w:hAnsi="Times New Roman" w:eastAsia="宋体" w:cs="宋体"/>
                <w:kern w:val="0"/>
                <w:szCs w:val="21"/>
              </w:rPr>
              <w:t>欣旺达公司“源网荷储”一体化项目</w:t>
            </w:r>
          </w:p>
        </w:tc>
        <w:tc>
          <w:tcPr>
            <w:tcW w:w="1905" w:type="pct"/>
            <w:shd w:val="clear" w:color="auto" w:fill="FFFFFF" w:themeFill="background1"/>
            <w:tcMar>
              <w:top w:w="20" w:type="dxa"/>
              <w:left w:w="20" w:type="dxa"/>
              <w:bottom w:w="72" w:type="dxa"/>
              <w:right w:w="20" w:type="dxa"/>
            </w:tcMar>
            <w:vAlign w:val="center"/>
          </w:tcPr>
          <w:p w14:paraId="0E8248A8">
            <w:pPr>
              <w:rPr>
                <w:rFonts w:ascii="Times New Roman" w:hAnsi="Times New Roman" w:eastAsia="宋体" w:cs="宋体"/>
                <w:kern w:val="0"/>
                <w:szCs w:val="21"/>
              </w:rPr>
            </w:pPr>
            <w:r>
              <w:rPr>
                <w:rFonts w:hint="eastAsia" w:ascii="Times New Roman" w:hAnsi="Times New Roman" w:eastAsia="宋体" w:cs="宋体"/>
                <w:kern w:val="0"/>
                <w:szCs w:val="21"/>
              </w:rPr>
              <w:t>建设200MW渔光互补发电站、150MW分布式光伏、1座110kV用户变电站、50MW/100MWh储能电站。</w:t>
            </w:r>
          </w:p>
        </w:tc>
        <w:tc>
          <w:tcPr>
            <w:tcW w:w="401" w:type="pct"/>
            <w:shd w:val="clear" w:color="auto" w:fill="FFFFFF" w:themeFill="background1"/>
            <w:tcMar>
              <w:top w:w="20" w:type="dxa"/>
              <w:left w:w="20" w:type="dxa"/>
              <w:bottom w:w="72" w:type="dxa"/>
              <w:right w:w="20" w:type="dxa"/>
            </w:tcMar>
            <w:vAlign w:val="center"/>
          </w:tcPr>
          <w:p w14:paraId="372A06DC">
            <w:pPr>
              <w:jc w:val="center"/>
              <w:rPr>
                <w:rFonts w:ascii="Times New Roman" w:hAnsi="Times New Roman" w:eastAsia="宋体" w:cs="宋体"/>
                <w:kern w:val="0"/>
                <w:szCs w:val="21"/>
              </w:rPr>
            </w:pPr>
            <w:r>
              <w:rPr>
                <w:rFonts w:hint="eastAsia" w:ascii="Times New Roman" w:hAnsi="Times New Roman" w:eastAsia="宋体" w:cs="宋体"/>
                <w:kern w:val="0"/>
                <w:szCs w:val="21"/>
              </w:rPr>
              <w:t>18.42</w:t>
            </w:r>
          </w:p>
        </w:tc>
        <w:tc>
          <w:tcPr>
            <w:tcW w:w="401" w:type="pct"/>
            <w:shd w:val="clear" w:color="auto" w:fill="FFFFFF" w:themeFill="background1"/>
            <w:tcMar>
              <w:top w:w="20" w:type="dxa"/>
              <w:left w:w="20" w:type="dxa"/>
              <w:bottom w:w="72" w:type="dxa"/>
              <w:right w:w="20" w:type="dxa"/>
            </w:tcMar>
            <w:vAlign w:val="center"/>
          </w:tcPr>
          <w:p w14:paraId="6255F7BE">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170E1B5A">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133C11AE">
            <w:pPr>
              <w:jc w:val="center"/>
              <w:rPr>
                <w:rFonts w:ascii="Times New Roman" w:hAnsi="Times New Roman" w:eastAsia="宋体" w:cs="宋体"/>
                <w:kern w:val="0"/>
                <w:szCs w:val="21"/>
              </w:rPr>
            </w:pPr>
            <w:r>
              <w:rPr>
                <w:rFonts w:hint="eastAsia" w:ascii="Times New Roman" w:hAnsi="Times New Roman" w:eastAsia="宋体" w:cs="宋体"/>
                <w:kern w:val="0"/>
                <w:szCs w:val="21"/>
              </w:rPr>
              <w:t>惠州市欣旺达智慧能源有限公司</w:t>
            </w:r>
          </w:p>
        </w:tc>
      </w:tr>
      <w:tr w14:paraId="7292B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1124" w:hRule="atLeast"/>
          <w:jc w:val="center"/>
        </w:trPr>
        <w:tc>
          <w:tcPr>
            <w:tcW w:w="199" w:type="pct"/>
            <w:shd w:val="clear" w:color="auto" w:fill="FFFFFF" w:themeFill="background1"/>
            <w:tcMar>
              <w:top w:w="72" w:type="dxa"/>
              <w:left w:w="144" w:type="dxa"/>
              <w:bottom w:w="72" w:type="dxa"/>
              <w:right w:w="144" w:type="dxa"/>
            </w:tcMar>
            <w:vAlign w:val="center"/>
          </w:tcPr>
          <w:p w14:paraId="5F178D6A">
            <w:pPr>
              <w:jc w:val="center"/>
              <w:rPr>
                <w:rFonts w:ascii="Times New Roman" w:hAnsi="Times New Roman" w:eastAsia="宋体" w:cs="宋体"/>
                <w:kern w:val="0"/>
                <w:szCs w:val="21"/>
              </w:rPr>
            </w:pPr>
            <w:r>
              <w:rPr>
                <w:rFonts w:hint="eastAsia" w:ascii="Times New Roman" w:hAnsi="Times New Roman" w:eastAsia="宋体" w:cs="宋体"/>
                <w:kern w:val="0"/>
                <w:szCs w:val="21"/>
              </w:rPr>
              <w:t>46</w:t>
            </w:r>
          </w:p>
        </w:tc>
        <w:tc>
          <w:tcPr>
            <w:tcW w:w="451" w:type="pct"/>
            <w:vMerge w:val="continue"/>
            <w:shd w:val="clear" w:color="auto" w:fill="FFFFFF" w:themeFill="background1"/>
            <w:tcMar>
              <w:top w:w="72" w:type="dxa"/>
              <w:left w:w="144" w:type="dxa"/>
              <w:bottom w:w="72" w:type="dxa"/>
              <w:right w:w="144" w:type="dxa"/>
            </w:tcMar>
            <w:vAlign w:val="center"/>
          </w:tcPr>
          <w:p w14:paraId="2598F98C">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78AA38C3">
            <w:pPr>
              <w:jc w:val="center"/>
              <w:rPr>
                <w:rFonts w:ascii="Times New Roman" w:hAnsi="Times New Roman" w:eastAsia="宋体" w:cs="宋体"/>
                <w:kern w:val="0"/>
                <w:szCs w:val="21"/>
              </w:rPr>
            </w:pPr>
            <w:r>
              <w:rPr>
                <w:rFonts w:hint="eastAsia" w:ascii="Times New Roman" w:hAnsi="Times New Roman" w:eastAsia="宋体" w:cs="宋体"/>
                <w:kern w:val="0"/>
                <w:szCs w:val="21"/>
              </w:rPr>
              <w:t>博罗新型储能应用场景项目</w:t>
            </w:r>
          </w:p>
        </w:tc>
        <w:tc>
          <w:tcPr>
            <w:tcW w:w="1905" w:type="pct"/>
            <w:shd w:val="clear" w:color="auto" w:fill="FFFFFF" w:themeFill="background1"/>
            <w:tcMar>
              <w:top w:w="20" w:type="dxa"/>
              <w:left w:w="20" w:type="dxa"/>
              <w:bottom w:w="72" w:type="dxa"/>
              <w:right w:w="20" w:type="dxa"/>
            </w:tcMar>
            <w:vAlign w:val="center"/>
          </w:tcPr>
          <w:p w14:paraId="355086EE">
            <w:pPr>
              <w:rPr>
                <w:rFonts w:ascii="Times New Roman" w:hAnsi="Times New Roman" w:eastAsia="宋体" w:cs="宋体"/>
                <w:kern w:val="0"/>
                <w:szCs w:val="21"/>
              </w:rPr>
            </w:pPr>
            <w:r>
              <w:rPr>
                <w:rFonts w:hint="eastAsia" w:ascii="Times New Roman" w:hAnsi="Times New Roman" w:eastAsia="宋体" w:cs="宋体"/>
                <w:kern w:val="0"/>
                <w:szCs w:val="21"/>
              </w:rPr>
              <w:t>主要包含博罗欣城新能源200MW/400MWh独立储能电站新建项目、惠州日盛新能源有限公司惠州市博罗县200MW/400MWh独立共享储能电站项目和紫辰星中科罗阳 200MW/400MWh电网侧储能项目。</w:t>
            </w:r>
          </w:p>
        </w:tc>
        <w:tc>
          <w:tcPr>
            <w:tcW w:w="401" w:type="pct"/>
            <w:shd w:val="clear" w:color="auto" w:fill="FFFFFF" w:themeFill="background1"/>
            <w:tcMar>
              <w:top w:w="20" w:type="dxa"/>
              <w:left w:w="20" w:type="dxa"/>
              <w:bottom w:w="72" w:type="dxa"/>
              <w:right w:w="20" w:type="dxa"/>
            </w:tcMar>
            <w:vAlign w:val="center"/>
          </w:tcPr>
          <w:p w14:paraId="6D551620">
            <w:pPr>
              <w:jc w:val="center"/>
              <w:rPr>
                <w:rFonts w:ascii="Times New Roman" w:hAnsi="Times New Roman" w:eastAsia="宋体" w:cs="宋体"/>
                <w:kern w:val="0"/>
                <w:szCs w:val="21"/>
              </w:rPr>
            </w:pPr>
            <w:r>
              <w:rPr>
                <w:rFonts w:hint="eastAsia" w:ascii="Times New Roman" w:hAnsi="Times New Roman" w:eastAsia="宋体" w:cs="宋体"/>
                <w:kern w:val="0"/>
                <w:szCs w:val="21"/>
              </w:rPr>
              <w:t>18.945</w:t>
            </w:r>
          </w:p>
        </w:tc>
        <w:tc>
          <w:tcPr>
            <w:tcW w:w="401" w:type="pct"/>
            <w:shd w:val="clear" w:color="auto" w:fill="FFFFFF" w:themeFill="background1"/>
            <w:tcMar>
              <w:top w:w="20" w:type="dxa"/>
              <w:left w:w="20" w:type="dxa"/>
              <w:bottom w:w="72" w:type="dxa"/>
              <w:right w:w="20" w:type="dxa"/>
            </w:tcMar>
            <w:vAlign w:val="center"/>
          </w:tcPr>
          <w:p w14:paraId="743EB645">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24E35D98">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418A52AE">
            <w:pPr>
              <w:jc w:val="center"/>
              <w:rPr>
                <w:rFonts w:ascii="Times New Roman" w:hAnsi="Times New Roman" w:eastAsia="宋体" w:cs="宋体"/>
                <w:kern w:val="0"/>
                <w:szCs w:val="21"/>
              </w:rPr>
            </w:pPr>
            <w:r>
              <w:rPr>
                <w:rFonts w:hint="eastAsia" w:ascii="Times New Roman" w:hAnsi="Times New Roman" w:eastAsia="宋体" w:cs="宋体"/>
                <w:kern w:val="0"/>
                <w:szCs w:val="21"/>
              </w:rPr>
              <w:t>惠州欣城新能源有限公司惠州日盛新能源有限公司惠州市紫辰星中科新能源科技有限公司</w:t>
            </w:r>
          </w:p>
        </w:tc>
      </w:tr>
      <w:tr w14:paraId="375C2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9" w:hRule="atLeast"/>
          <w:jc w:val="center"/>
        </w:trPr>
        <w:tc>
          <w:tcPr>
            <w:tcW w:w="199" w:type="pct"/>
            <w:shd w:val="clear" w:color="auto" w:fill="FFFFFF" w:themeFill="background1"/>
            <w:tcMar>
              <w:top w:w="72" w:type="dxa"/>
              <w:left w:w="144" w:type="dxa"/>
              <w:bottom w:w="72" w:type="dxa"/>
              <w:right w:w="144" w:type="dxa"/>
            </w:tcMar>
            <w:vAlign w:val="center"/>
          </w:tcPr>
          <w:p w14:paraId="022ED7C5">
            <w:pPr>
              <w:jc w:val="center"/>
              <w:rPr>
                <w:rFonts w:ascii="Times New Roman" w:hAnsi="Times New Roman" w:eastAsia="宋体" w:cs="宋体"/>
                <w:kern w:val="0"/>
                <w:szCs w:val="21"/>
              </w:rPr>
            </w:pPr>
            <w:r>
              <w:rPr>
                <w:rFonts w:hint="eastAsia" w:ascii="Times New Roman" w:hAnsi="Times New Roman" w:eastAsia="宋体" w:cs="宋体"/>
                <w:kern w:val="0"/>
                <w:szCs w:val="21"/>
              </w:rPr>
              <w:t>47</w:t>
            </w:r>
          </w:p>
        </w:tc>
        <w:tc>
          <w:tcPr>
            <w:tcW w:w="451" w:type="pct"/>
            <w:vMerge w:val="continue"/>
            <w:shd w:val="clear" w:color="auto" w:fill="FFFFFF" w:themeFill="background1"/>
            <w:tcMar>
              <w:top w:w="72" w:type="dxa"/>
              <w:left w:w="144" w:type="dxa"/>
              <w:bottom w:w="72" w:type="dxa"/>
              <w:right w:w="144" w:type="dxa"/>
            </w:tcMar>
            <w:vAlign w:val="center"/>
          </w:tcPr>
          <w:p w14:paraId="5A1846B4">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705D52B0">
            <w:pPr>
              <w:jc w:val="center"/>
              <w:rPr>
                <w:rFonts w:ascii="Times New Roman" w:hAnsi="Times New Roman" w:eastAsia="宋体" w:cs="宋体"/>
                <w:kern w:val="0"/>
                <w:szCs w:val="21"/>
              </w:rPr>
            </w:pPr>
            <w:r>
              <w:rPr>
                <w:rFonts w:hint="eastAsia" w:ascii="Times New Roman" w:hAnsi="Times New Roman" w:eastAsia="宋体" w:cs="宋体"/>
                <w:kern w:val="0"/>
                <w:szCs w:val="21"/>
              </w:rPr>
              <w:t>博罗智能装备产业园场地受纳土方项目</w:t>
            </w:r>
          </w:p>
        </w:tc>
        <w:tc>
          <w:tcPr>
            <w:tcW w:w="1905" w:type="pct"/>
            <w:shd w:val="clear" w:color="auto" w:fill="FFFFFF" w:themeFill="background1"/>
            <w:tcMar>
              <w:top w:w="20" w:type="dxa"/>
              <w:left w:w="20" w:type="dxa"/>
              <w:bottom w:w="72" w:type="dxa"/>
              <w:right w:w="20" w:type="dxa"/>
            </w:tcMar>
            <w:vAlign w:val="center"/>
          </w:tcPr>
          <w:p w14:paraId="473A1EFA">
            <w:pPr>
              <w:rPr>
                <w:rFonts w:ascii="Times New Roman" w:hAnsi="Times New Roman" w:eastAsia="宋体" w:cs="宋体"/>
                <w:kern w:val="0"/>
                <w:szCs w:val="21"/>
              </w:rPr>
            </w:pPr>
            <w:r>
              <w:rPr>
                <w:rFonts w:hint="eastAsia" w:ascii="Times New Roman" w:hAnsi="Times New Roman" w:eastAsia="宋体" w:cs="宋体"/>
                <w:kern w:val="0"/>
                <w:szCs w:val="21"/>
              </w:rPr>
              <w:t>主要对10个产业地块进行填土施工。</w:t>
            </w:r>
          </w:p>
        </w:tc>
        <w:tc>
          <w:tcPr>
            <w:tcW w:w="401" w:type="pct"/>
            <w:shd w:val="clear" w:color="auto" w:fill="FFFFFF" w:themeFill="background1"/>
            <w:tcMar>
              <w:top w:w="20" w:type="dxa"/>
              <w:left w:w="20" w:type="dxa"/>
              <w:bottom w:w="72" w:type="dxa"/>
              <w:right w:w="20" w:type="dxa"/>
            </w:tcMar>
            <w:vAlign w:val="center"/>
          </w:tcPr>
          <w:p w14:paraId="1BC32C2C">
            <w:pPr>
              <w:jc w:val="center"/>
              <w:rPr>
                <w:rFonts w:ascii="Times New Roman" w:hAnsi="Times New Roman" w:eastAsia="宋体" w:cs="宋体"/>
                <w:kern w:val="0"/>
                <w:szCs w:val="21"/>
              </w:rPr>
            </w:pPr>
            <w:r>
              <w:rPr>
                <w:rFonts w:hint="eastAsia" w:ascii="Times New Roman" w:hAnsi="Times New Roman" w:eastAsia="宋体" w:cs="宋体"/>
                <w:kern w:val="0"/>
                <w:szCs w:val="21"/>
              </w:rPr>
              <w:t>0.66</w:t>
            </w:r>
          </w:p>
        </w:tc>
        <w:tc>
          <w:tcPr>
            <w:tcW w:w="401" w:type="pct"/>
            <w:shd w:val="clear" w:color="auto" w:fill="FFFFFF" w:themeFill="background1"/>
            <w:tcMar>
              <w:top w:w="20" w:type="dxa"/>
              <w:left w:w="20" w:type="dxa"/>
              <w:bottom w:w="72" w:type="dxa"/>
              <w:right w:w="20" w:type="dxa"/>
            </w:tcMar>
            <w:vAlign w:val="center"/>
          </w:tcPr>
          <w:p w14:paraId="2982552C">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080A53E0">
            <w:pPr>
              <w:jc w:val="center"/>
              <w:rPr>
                <w:rFonts w:ascii="Times New Roman" w:hAnsi="Times New Roman" w:eastAsia="宋体" w:cs="宋体"/>
                <w:kern w:val="0"/>
                <w:szCs w:val="21"/>
              </w:rPr>
            </w:pPr>
            <w:r>
              <w:rPr>
                <w:rFonts w:hint="eastAsia" w:ascii="Times New Roman" w:hAnsi="Times New Roman" w:eastAsia="宋体" w:cs="宋体"/>
                <w:kern w:val="0"/>
                <w:szCs w:val="21"/>
              </w:rPr>
              <w:t>2025-2026</w:t>
            </w:r>
          </w:p>
        </w:tc>
        <w:tc>
          <w:tcPr>
            <w:tcW w:w="440" w:type="pct"/>
            <w:shd w:val="clear" w:color="auto" w:fill="FFFFFF" w:themeFill="background1"/>
            <w:tcMar>
              <w:top w:w="20" w:type="dxa"/>
              <w:left w:w="20" w:type="dxa"/>
              <w:bottom w:w="72" w:type="dxa"/>
              <w:right w:w="20" w:type="dxa"/>
            </w:tcMar>
            <w:vAlign w:val="center"/>
          </w:tcPr>
          <w:p w14:paraId="0F407884">
            <w:pPr>
              <w:jc w:val="center"/>
              <w:rPr>
                <w:rFonts w:ascii="Times New Roman" w:hAnsi="Times New Roman" w:eastAsia="宋体" w:cs="宋体"/>
                <w:kern w:val="0"/>
                <w:szCs w:val="21"/>
              </w:rPr>
            </w:pPr>
            <w:r>
              <w:rPr>
                <w:rFonts w:hint="eastAsia" w:ascii="Times New Roman" w:hAnsi="Times New Roman" w:eastAsia="宋体" w:cs="宋体"/>
                <w:kern w:val="0"/>
                <w:szCs w:val="21"/>
              </w:rPr>
              <w:t>博罗县产业投资集团有限公司</w:t>
            </w:r>
          </w:p>
        </w:tc>
      </w:tr>
      <w:tr w14:paraId="55A8E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9" w:hRule="atLeast"/>
          <w:jc w:val="center"/>
        </w:trPr>
        <w:tc>
          <w:tcPr>
            <w:tcW w:w="199" w:type="pct"/>
            <w:shd w:val="clear" w:color="auto" w:fill="FFFFFF" w:themeFill="background1"/>
            <w:tcMar>
              <w:top w:w="72" w:type="dxa"/>
              <w:left w:w="144" w:type="dxa"/>
              <w:bottom w:w="72" w:type="dxa"/>
              <w:right w:w="144" w:type="dxa"/>
            </w:tcMar>
            <w:vAlign w:val="center"/>
          </w:tcPr>
          <w:p w14:paraId="652B148F">
            <w:pPr>
              <w:jc w:val="center"/>
              <w:rPr>
                <w:rFonts w:ascii="Times New Roman" w:hAnsi="Times New Roman" w:eastAsia="宋体" w:cs="宋体"/>
                <w:kern w:val="0"/>
                <w:szCs w:val="21"/>
              </w:rPr>
            </w:pPr>
            <w:r>
              <w:rPr>
                <w:rFonts w:hint="eastAsia" w:ascii="Times New Roman" w:hAnsi="Times New Roman" w:eastAsia="宋体" w:cs="宋体"/>
                <w:kern w:val="0"/>
                <w:szCs w:val="21"/>
              </w:rPr>
              <w:t>48</w:t>
            </w:r>
          </w:p>
        </w:tc>
        <w:tc>
          <w:tcPr>
            <w:tcW w:w="451" w:type="pct"/>
            <w:vMerge w:val="continue"/>
            <w:shd w:val="clear" w:color="auto" w:fill="FFFFFF" w:themeFill="background1"/>
            <w:tcMar>
              <w:top w:w="72" w:type="dxa"/>
              <w:left w:w="144" w:type="dxa"/>
              <w:bottom w:w="72" w:type="dxa"/>
              <w:right w:w="144" w:type="dxa"/>
            </w:tcMar>
            <w:vAlign w:val="center"/>
          </w:tcPr>
          <w:p w14:paraId="40C09920">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37BF3F09">
            <w:pPr>
              <w:jc w:val="center"/>
              <w:rPr>
                <w:rFonts w:ascii="Times New Roman" w:hAnsi="Times New Roman" w:eastAsia="宋体" w:cs="宋体"/>
                <w:kern w:val="0"/>
                <w:szCs w:val="21"/>
              </w:rPr>
            </w:pPr>
            <w:r>
              <w:rPr>
                <w:rFonts w:hint="eastAsia" w:ascii="Times New Roman" w:hAnsi="Times New Roman" w:eastAsia="宋体" w:cs="宋体"/>
                <w:kern w:val="0"/>
                <w:szCs w:val="21"/>
              </w:rPr>
              <w:t>生态景观工程</w:t>
            </w:r>
          </w:p>
        </w:tc>
        <w:tc>
          <w:tcPr>
            <w:tcW w:w="1905" w:type="pct"/>
            <w:shd w:val="clear" w:color="auto" w:fill="FFFFFF" w:themeFill="background1"/>
            <w:tcMar>
              <w:top w:w="20" w:type="dxa"/>
              <w:left w:w="20" w:type="dxa"/>
              <w:bottom w:w="72" w:type="dxa"/>
              <w:right w:w="20" w:type="dxa"/>
            </w:tcMar>
            <w:vAlign w:val="center"/>
          </w:tcPr>
          <w:p w14:paraId="3EE21104">
            <w:pPr>
              <w:rPr>
                <w:rFonts w:ascii="Times New Roman" w:hAnsi="Times New Roman" w:eastAsia="宋体" w:cs="宋体"/>
                <w:kern w:val="0"/>
                <w:szCs w:val="21"/>
              </w:rPr>
            </w:pPr>
            <w:r>
              <w:rPr>
                <w:rFonts w:hint="eastAsia" w:ascii="Times New Roman" w:hAnsi="Times New Roman" w:eastAsia="宋体" w:cs="宋体"/>
                <w:kern w:val="0"/>
                <w:szCs w:val="21"/>
              </w:rPr>
              <w:t>中央公园项目，铁场河与中心排渠生态改造项目，沙河、里波水生态水系整治工程，东江、沙河滨江绿廊进城延伸及道路景观工程。打造慢跑、健步走、骑行、水上运动等养心护肺康体的“体育＋休闲”综合项目。</w:t>
            </w:r>
          </w:p>
        </w:tc>
        <w:tc>
          <w:tcPr>
            <w:tcW w:w="401" w:type="pct"/>
            <w:shd w:val="clear" w:color="auto" w:fill="FFFFFF" w:themeFill="background1"/>
            <w:tcMar>
              <w:top w:w="20" w:type="dxa"/>
              <w:left w:w="20" w:type="dxa"/>
              <w:bottom w:w="72" w:type="dxa"/>
              <w:right w:w="20" w:type="dxa"/>
            </w:tcMar>
            <w:vAlign w:val="center"/>
          </w:tcPr>
          <w:p w14:paraId="01B38AA4">
            <w:pPr>
              <w:jc w:val="center"/>
              <w:rPr>
                <w:rFonts w:ascii="Times New Roman" w:hAnsi="Times New Roman" w:eastAsia="宋体" w:cs="宋体"/>
                <w:kern w:val="0"/>
                <w:szCs w:val="21"/>
              </w:rPr>
            </w:pPr>
            <w:r>
              <w:rPr>
                <w:rFonts w:hint="eastAsia" w:ascii="Times New Roman" w:hAnsi="Times New Roman" w:eastAsia="宋体" w:cs="宋体"/>
                <w:kern w:val="0"/>
                <w:szCs w:val="21"/>
              </w:rPr>
              <w:t>——</w:t>
            </w:r>
          </w:p>
        </w:tc>
        <w:tc>
          <w:tcPr>
            <w:tcW w:w="401" w:type="pct"/>
            <w:shd w:val="clear" w:color="auto" w:fill="FFFFFF" w:themeFill="background1"/>
            <w:tcMar>
              <w:top w:w="20" w:type="dxa"/>
              <w:left w:w="20" w:type="dxa"/>
              <w:bottom w:w="72" w:type="dxa"/>
              <w:right w:w="20" w:type="dxa"/>
            </w:tcMar>
            <w:vAlign w:val="center"/>
          </w:tcPr>
          <w:p w14:paraId="5FDA744B">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5AAC3C5C">
            <w:pPr>
              <w:jc w:val="center"/>
              <w:rPr>
                <w:rFonts w:ascii="Times New Roman" w:hAnsi="Times New Roman" w:eastAsia="宋体" w:cs="宋体"/>
                <w:kern w:val="0"/>
                <w:szCs w:val="21"/>
              </w:rPr>
            </w:pPr>
            <w:r>
              <w:rPr>
                <w:rFonts w:hint="eastAsia" w:ascii="Times New Roman" w:hAnsi="Times New Roman" w:eastAsia="宋体" w:cs="宋体"/>
                <w:kern w:val="0"/>
                <w:szCs w:val="21"/>
              </w:rPr>
              <w:t>2025-2035</w:t>
            </w:r>
          </w:p>
        </w:tc>
        <w:tc>
          <w:tcPr>
            <w:tcW w:w="440" w:type="pct"/>
            <w:shd w:val="clear" w:color="auto" w:fill="FFFFFF" w:themeFill="background1"/>
            <w:tcMar>
              <w:top w:w="20" w:type="dxa"/>
              <w:left w:w="20" w:type="dxa"/>
              <w:bottom w:w="72" w:type="dxa"/>
              <w:right w:w="20" w:type="dxa"/>
            </w:tcMar>
            <w:vAlign w:val="center"/>
          </w:tcPr>
          <w:p w14:paraId="1C948179">
            <w:pPr>
              <w:jc w:val="center"/>
              <w:rPr>
                <w:rFonts w:ascii="Times New Roman" w:hAnsi="Times New Roman" w:eastAsia="宋体" w:cs="宋体"/>
                <w:kern w:val="0"/>
                <w:szCs w:val="21"/>
              </w:rPr>
            </w:pPr>
            <w:r>
              <w:rPr>
                <w:rFonts w:hint="eastAsia" w:ascii="Times New Roman" w:hAnsi="Times New Roman" w:eastAsia="宋体" w:cs="宋体"/>
                <w:kern w:val="0"/>
                <w:szCs w:val="21"/>
              </w:rPr>
              <w:t>石湾镇政府</w:t>
            </w:r>
          </w:p>
          <w:p w14:paraId="0837AF97">
            <w:pPr>
              <w:jc w:val="center"/>
              <w:rPr>
                <w:rFonts w:ascii="Times New Roman" w:hAnsi="Times New Roman" w:eastAsia="宋体" w:cs="宋体"/>
                <w:kern w:val="0"/>
                <w:szCs w:val="21"/>
              </w:rPr>
            </w:pPr>
            <w:r>
              <w:rPr>
                <w:rFonts w:hint="eastAsia" w:ascii="Times New Roman" w:hAnsi="Times New Roman" w:eastAsia="宋体" w:cs="宋体"/>
                <w:kern w:val="0"/>
                <w:szCs w:val="21"/>
              </w:rPr>
              <w:t>园洲镇政府</w:t>
            </w:r>
          </w:p>
          <w:p w14:paraId="5B57E2E9">
            <w:pPr>
              <w:jc w:val="center"/>
              <w:rPr>
                <w:rFonts w:ascii="Times New Roman" w:hAnsi="Times New Roman" w:eastAsia="宋体" w:cs="宋体"/>
                <w:kern w:val="0"/>
                <w:szCs w:val="21"/>
              </w:rPr>
            </w:pPr>
            <w:r>
              <w:rPr>
                <w:rFonts w:hint="eastAsia" w:ascii="Times New Roman" w:hAnsi="Times New Roman" w:eastAsia="宋体" w:cs="宋体"/>
                <w:kern w:val="0"/>
                <w:szCs w:val="21"/>
              </w:rPr>
              <w:t>博罗县产业转移工业园管委会</w:t>
            </w:r>
          </w:p>
        </w:tc>
      </w:tr>
      <w:tr w14:paraId="04DED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9" w:hRule="atLeast"/>
          <w:jc w:val="center"/>
        </w:trPr>
        <w:tc>
          <w:tcPr>
            <w:tcW w:w="199" w:type="pct"/>
            <w:shd w:val="clear" w:color="auto" w:fill="FFFFFF" w:themeFill="background1"/>
            <w:tcMar>
              <w:top w:w="72" w:type="dxa"/>
              <w:left w:w="144" w:type="dxa"/>
              <w:bottom w:w="72" w:type="dxa"/>
              <w:right w:w="144" w:type="dxa"/>
            </w:tcMar>
            <w:vAlign w:val="center"/>
          </w:tcPr>
          <w:p w14:paraId="4AD38810">
            <w:pPr>
              <w:jc w:val="center"/>
              <w:rPr>
                <w:rFonts w:ascii="Times New Roman" w:hAnsi="Times New Roman" w:eastAsia="宋体" w:cs="宋体"/>
                <w:kern w:val="0"/>
                <w:szCs w:val="21"/>
              </w:rPr>
            </w:pPr>
            <w:r>
              <w:rPr>
                <w:rFonts w:hint="eastAsia" w:ascii="Times New Roman" w:hAnsi="Times New Roman" w:eastAsia="宋体" w:cs="宋体"/>
                <w:kern w:val="0"/>
                <w:szCs w:val="21"/>
              </w:rPr>
              <w:t>49</w:t>
            </w:r>
          </w:p>
        </w:tc>
        <w:tc>
          <w:tcPr>
            <w:tcW w:w="451" w:type="pct"/>
            <w:vMerge w:val="continue"/>
            <w:shd w:val="clear" w:color="auto" w:fill="FFFFFF" w:themeFill="background1"/>
            <w:tcMar>
              <w:top w:w="72" w:type="dxa"/>
              <w:left w:w="144" w:type="dxa"/>
              <w:bottom w:w="72" w:type="dxa"/>
              <w:right w:w="144" w:type="dxa"/>
            </w:tcMar>
            <w:vAlign w:val="center"/>
          </w:tcPr>
          <w:p w14:paraId="3017AC4C">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1739BB53">
            <w:pPr>
              <w:jc w:val="center"/>
              <w:rPr>
                <w:rFonts w:ascii="Times New Roman" w:hAnsi="Times New Roman" w:eastAsia="宋体" w:cs="宋体"/>
                <w:kern w:val="0"/>
                <w:szCs w:val="21"/>
              </w:rPr>
            </w:pPr>
            <w:r>
              <w:rPr>
                <w:rFonts w:hint="eastAsia" w:ascii="Times New Roman" w:hAnsi="Times New Roman" w:eastAsia="宋体" w:cs="宋体"/>
                <w:kern w:val="0"/>
                <w:szCs w:val="21"/>
              </w:rPr>
              <w:t>循环利用工程</w:t>
            </w:r>
          </w:p>
        </w:tc>
        <w:tc>
          <w:tcPr>
            <w:tcW w:w="1905" w:type="pct"/>
            <w:shd w:val="clear" w:color="auto" w:fill="FFFFFF" w:themeFill="background1"/>
            <w:tcMar>
              <w:top w:w="20" w:type="dxa"/>
              <w:left w:w="20" w:type="dxa"/>
              <w:bottom w:w="72" w:type="dxa"/>
              <w:right w:w="20" w:type="dxa"/>
            </w:tcMar>
            <w:vAlign w:val="center"/>
          </w:tcPr>
          <w:p w14:paraId="1CD41F38">
            <w:pPr>
              <w:rPr>
                <w:rFonts w:ascii="Times New Roman" w:hAnsi="Times New Roman" w:eastAsia="宋体" w:cs="宋体"/>
                <w:kern w:val="0"/>
                <w:szCs w:val="21"/>
              </w:rPr>
            </w:pPr>
            <w:r>
              <w:rPr>
                <w:rFonts w:hint="eastAsia" w:ascii="Times New Roman" w:hAnsi="Times New Roman" w:eastAsia="宋体" w:cs="宋体"/>
                <w:kern w:val="0"/>
                <w:szCs w:val="21"/>
              </w:rPr>
              <w:t>大型垃圾转运站工程，建筑垃圾转运场工程，危化品处置中心，继续推动运输、供水、供电等基础设施绿色化、循环化改造，建设循环经济技术研发及孵化中心等公共服务设施。</w:t>
            </w:r>
          </w:p>
        </w:tc>
        <w:tc>
          <w:tcPr>
            <w:tcW w:w="401" w:type="pct"/>
            <w:shd w:val="clear" w:color="auto" w:fill="FFFFFF" w:themeFill="background1"/>
            <w:tcMar>
              <w:top w:w="20" w:type="dxa"/>
              <w:left w:w="20" w:type="dxa"/>
              <w:bottom w:w="72" w:type="dxa"/>
              <w:right w:w="20" w:type="dxa"/>
            </w:tcMar>
            <w:vAlign w:val="center"/>
          </w:tcPr>
          <w:p w14:paraId="10BE6670">
            <w:pPr>
              <w:jc w:val="center"/>
              <w:rPr>
                <w:rFonts w:ascii="Times New Roman" w:hAnsi="Times New Roman" w:eastAsia="宋体" w:cs="宋体"/>
                <w:kern w:val="0"/>
                <w:szCs w:val="21"/>
              </w:rPr>
            </w:pPr>
            <w:r>
              <w:rPr>
                <w:rFonts w:hint="eastAsia" w:ascii="Times New Roman" w:hAnsi="Times New Roman" w:eastAsia="宋体" w:cs="宋体"/>
                <w:kern w:val="0"/>
                <w:szCs w:val="21"/>
              </w:rPr>
              <w:t>——</w:t>
            </w:r>
          </w:p>
        </w:tc>
        <w:tc>
          <w:tcPr>
            <w:tcW w:w="401" w:type="pct"/>
            <w:shd w:val="clear" w:color="auto" w:fill="FFFFFF" w:themeFill="background1"/>
            <w:tcMar>
              <w:top w:w="20" w:type="dxa"/>
              <w:left w:w="20" w:type="dxa"/>
              <w:bottom w:w="72" w:type="dxa"/>
              <w:right w:w="20" w:type="dxa"/>
            </w:tcMar>
            <w:vAlign w:val="center"/>
          </w:tcPr>
          <w:p w14:paraId="736C87EA">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25A702D0">
            <w:pPr>
              <w:jc w:val="center"/>
              <w:rPr>
                <w:rFonts w:ascii="Times New Roman" w:hAnsi="Times New Roman" w:eastAsia="宋体" w:cs="宋体"/>
                <w:kern w:val="0"/>
                <w:szCs w:val="21"/>
              </w:rPr>
            </w:pPr>
            <w:r>
              <w:rPr>
                <w:rFonts w:hint="eastAsia" w:ascii="Times New Roman" w:hAnsi="Times New Roman" w:eastAsia="宋体" w:cs="宋体"/>
                <w:kern w:val="0"/>
                <w:szCs w:val="21"/>
              </w:rPr>
              <w:t>2025-2035</w:t>
            </w:r>
          </w:p>
        </w:tc>
        <w:tc>
          <w:tcPr>
            <w:tcW w:w="440" w:type="pct"/>
            <w:shd w:val="clear" w:color="auto" w:fill="FFFFFF" w:themeFill="background1"/>
            <w:tcMar>
              <w:top w:w="20" w:type="dxa"/>
              <w:left w:w="20" w:type="dxa"/>
              <w:bottom w:w="72" w:type="dxa"/>
              <w:right w:w="20" w:type="dxa"/>
            </w:tcMar>
            <w:vAlign w:val="center"/>
          </w:tcPr>
          <w:p w14:paraId="1323A122">
            <w:pPr>
              <w:jc w:val="center"/>
              <w:rPr>
                <w:rFonts w:ascii="Times New Roman" w:hAnsi="Times New Roman" w:eastAsia="宋体" w:cs="宋体"/>
                <w:kern w:val="0"/>
                <w:szCs w:val="21"/>
              </w:rPr>
            </w:pPr>
            <w:r>
              <w:rPr>
                <w:rFonts w:hint="eastAsia" w:ascii="Times New Roman" w:hAnsi="Times New Roman" w:eastAsia="宋体" w:cs="宋体"/>
                <w:kern w:val="0"/>
                <w:szCs w:val="21"/>
              </w:rPr>
              <w:t>石湾镇政府</w:t>
            </w:r>
          </w:p>
          <w:p w14:paraId="58E95856">
            <w:pPr>
              <w:jc w:val="center"/>
              <w:rPr>
                <w:rFonts w:ascii="Times New Roman" w:hAnsi="Times New Roman" w:eastAsia="宋体" w:cs="宋体"/>
                <w:kern w:val="0"/>
                <w:szCs w:val="21"/>
              </w:rPr>
            </w:pPr>
            <w:r>
              <w:rPr>
                <w:rFonts w:hint="eastAsia" w:ascii="Times New Roman" w:hAnsi="Times New Roman" w:eastAsia="宋体" w:cs="宋体"/>
                <w:kern w:val="0"/>
                <w:szCs w:val="21"/>
              </w:rPr>
              <w:t>园洲镇政府</w:t>
            </w:r>
          </w:p>
          <w:p w14:paraId="0AEEC3EC">
            <w:pPr>
              <w:jc w:val="center"/>
              <w:rPr>
                <w:rFonts w:ascii="Times New Roman" w:hAnsi="Times New Roman" w:eastAsia="宋体" w:cs="宋体"/>
                <w:kern w:val="0"/>
                <w:szCs w:val="21"/>
              </w:rPr>
            </w:pPr>
            <w:r>
              <w:rPr>
                <w:rFonts w:hint="eastAsia" w:ascii="Times New Roman" w:hAnsi="Times New Roman" w:eastAsia="宋体" w:cs="宋体"/>
                <w:kern w:val="0"/>
                <w:szCs w:val="21"/>
              </w:rPr>
              <w:t>博罗县产业转移工业园管委会</w:t>
            </w:r>
          </w:p>
        </w:tc>
      </w:tr>
      <w:tr w14:paraId="3DC6D6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0" w:type="dxa"/>
            <w:bottom w:w="0" w:type="dxa"/>
            <w:right w:w="0" w:type="dxa"/>
          </w:tblCellMar>
        </w:tblPrEx>
        <w:trPr>
          <w:trHeight w:val="159" w:hRule="atLeast"/>
          <w:jc w:val="center"/>
        </w:trPr>
        <w:tc>
          <w:tcPr>
            <w:tcW w:w="199" w:type="pct"/>
            <w:shd w:val="clear" w:color="auto" w:fill="FFFFFF" w:themeFill="background1"/>
            <w:tcMar>
              <w:top w:w="72" w:type="dxa"/>
              <w:left w:w="144" w:type="dxa"/>
              <w:bottom w:w="72" w:type="dxa"/>
              <w:right w:w="144" w:type="dxa"/>
            </w:tcMar>
            <w:vAlign w:val="center"/>
          </w:tcPr>
          <w:p w14:paraId="751221B6">
            <w:pPr>
              <w:jc w:val="center"/>
              <w:rPr>
                <w:rFonts w:hint="eastAsia" w:ascii="Times New Roman" w:hAnsi="Times New Roman" w:eastAsia="宋体" w:cs="宋体"/>
                <w:kern w:val="0"/>
                <w:szCs w:val="21"/>
              </w:rPr>
            </w:pPr>
            <w:r>
              <w:rPr>
                <w:rFonts w:hint="eastAsia" w:ascii="Times New Roman" w:hAnsi="Times New Roman" w:eastAsia="宋体" w:cs="宋体"/>
                <w:kern w:val="0"/>
                <w:szCs w:val="21"/>
              </w:rPr>
              <w:t>50</w:t>
            </w:r>
          </w:p>
        </w:tc>
        <w:tc>
          <w:tcPr>
            <w:tcW w:w="451" w:type="pct"/>
            <w:shd w:val="clear" w:color="auto" w:fill="FFFFFF" w:themeFill="background1"/>
            <w:tcMar>
              <w:top w:w="72" w:type="dxa"/>
              <w:left w:w="144" w:type="dxa"/>
              <w:bottom w:w="72" w:type="dxa"/>
              <w:right w:w="144" w:type="dxa"/>
            </w:tcMar>
            <w:vAlign w:val="center"/>
          </w:tcPr>
          <w:p w14:paraId="53A43528">
            <w:pPr>
              <w:jc w:val="center"/>
              <w:rPr>
                <w:rFonts w:ascii="Times New Roman" w:hAnsi="Times New Roman" w:eastAsia="宋体" w:cs="宋体"/>
                <w:kern w:val="0"/>
                <w:szCs w:val="21"/>
              </w:rPr>
            </w:pPr>
          </w:p>
        </w:tc>
        <w:tc>
          <w:tcPr>
            <w:tcW w:w="802" w:type="pct"/>
            <w:shd w:val="clear" w:color="auto" w:fill="FFFFFF" w:themeFill="background1"/>
            <w:tcMar>
              <w:top w:w="20" w:type="dxa"/>
              <w:left w:w="20" w:type="dxa"/>
              <w:bottom w:w="72" w:type="dxa"/>
              <w:right w:w="20" w:type="dxa"/>
            </w:tcMar>
            <w:vAlign w:val="center"/>
          </w:tcPr>
          <w:p w14:paraId="5D982B0D">
            <w:pPr>
              <w:jc w:val="center"/>
              <w:rPr>
                <w:rFonts w:ascii="Times New Roman" w:hAnsi="Times New Roman" w:eastAsia="宋体" w:cs="宋体"/>
                <w:kern w:val="0"/>
                <w:szCs w:val="21"/>
              </w:rPr>
            </w:pPr>
            <w:r>
              <w:rPr>
                <w:rFonts w:hint="eastAsia" w:ascii="Times New Roman" w:hAnsi="Times New Roman" w:eastAsia="宋体" w:cs="宋体"/>
                <w:kern w:val="0"/>
                <w:szCs w:val="21"/>
              </w:rPr>
              <w:t>土地综合整治和生态修复重大工程</w:t>
            </w:r>
          </w:p>
        </w:tc>
        <w:tc>
          <w:tcPr>
            <w:tcW w:w="1905" w:type="pct"/>
            <w:shd w:val="clear" w:color="auto" w:fill="FFFFFF" w:themeFill="background1"/>
            <w:tcMar>
              <w:top w:w="20" w:type="dxa"/>
              <w:left w:w="20" w:type="dxa"/>
              <w:bottom w:w="72" w:type="dxa"/>
              <w:right w:w="20" w:type="dxa"/>
            </w:tcMar>
            <w:vAlign w:val="center"/>
          </w:tcPr>
          <w:p w14:paraId="31B884AA">
            <w:pPr>
              <w:rPr>
                <w:rFonts w:ascii="Times New Roman" w:hAnsi="Times New Roman" w:eastAsia="宋体" w:cs="宋体"/>
                <w:kern w:val="0"/>
                <w:szCs w:val="21"/>
              </w:rPr>
            </w:pPr>
            <w:r>
              <w:rPr>
                <w:rFonts w:hint="eastAsia" w:ascii="Times New Roman" w:hAnsi="Times New Roman" w:eastAsia="宋体" w:cs="宋体"/>
                <w:kern w:val="0"/>
                <w:szCs w:val="21"/>
              </w:rPr>
              <w:t>园洲镇深沥村（柳树、思达）工业区升级改造、绿化造林、园洲堤加固、石湾镇中心排渠水环境生态修复、滘吓村村镇工业集聚区升级改造、沙河碧道建设等项目。</w:t>
            </w:r>
          </w:p>
        </w:tc>
        <w:tc>
          <w:tcPr>
            <w:tcW w:w="401" w:type="pct"/>
            <w:shd w:val="clear" w:color="auto" w:fill="FFFFFF" w:themeFill="background1"/>
            <w:tcMar>
              <w:top w:w="20" w:type="dxa"/>
              <w:left w:w="20" w:type="dxa"/>
              <w:bottom w:w="72" w:type="dxa"/>
              <w:right w:w="20" w:type="dxa"/>
            </w:tcMar>
            <w:vAlign w:val="center"/>
          </w:tcPr>
          <w:p w14:paraId="0EC639AA">
            <w:pPr>
              <w:jc w:val="center"/>
              <w:rPr>
                <w:rFonts w:ascii="Times New Roman" w:hAnsi="Times New Roman" w:eastAsia="宋体" w:cs="宋体"/>
                <w:kern w:val="0"/>
                <w:szCs w:val="21"/>
              </w:rPr>
            </w:pPr>
            <w:r>
              <w:rPr>
                <w:rFonts w:hint="eastAsia" w:ascii="Times New Roman" w:hAnsi="Times New Roman" w:eastAsia="宋体" w:cs="宋体"/>
                <w:kern w:val="0"/>
                <w:szCs w:val="21"/>
              </w:rPr>
              <w:t>——</w:t>
            </w:r>
          </w:p>
        </w:tc>
        <w:tc>
          <w:tcPr>
            <w:tcW w:w="401" w:type="pct"/>
            <w:shd w:val="clear" w:color="auto" w:fill="FFFFFF" w:themeFill="background1"/>
            <w:tcMar>
              <w:top w:w="20" w:type="dxa"/>
              <w:left w:w="20" w:type="dxa"/>
              <w:bottom w:w="72" w:type="dxa"/>
              <w:right w:w="20" w:type="dxa"/>
            </w:tcMar>
            <w:vAlign w:val="center"/>
          </w:tcPr>
          <w:p w14:paraId="659EE24E">
            <w:pPr>
              <w:jc w:val="center"/>
              <w:rPr>
                <w:rFonts w:ascii="Times New Roman" w:hAnsi="Times New Roman" w:eastAsia="宋体" w:cs="宋体"/>
                <w:kern w:val="0"/>
                <w:szCs w:val="21"/>
              </w:rPr>
            </w:pPr>
            <w:r>
              <w:rPr>
                <w:rFonts w:hint="eastAsia" w:ascii="Times New Roman" w:hAnsi="Times New Roman" w:eastAsia="宋体" w:cs="宋体"/>
                <w:kern w:val="0"/>
                <w:szCs w:val="21"/>
              </w:rPr>
              <w:t>新建</w:t>
            </w:r>
          </w:p>
        </w:tc>
        <w:tc>
          <w:tcPr>
            <w:tcW w:w="401" w:type="pct"/>
            <w:shd w:val="clear" w:color="auto" w:fill="FFFFFF" w:themeFill="background1"/>
            <w:tcMar>
              <w:top w:w="20" w:type="dxa"/>
              <w:left w:w="20" w:type="dxa"/>
              <w:bottom w:w="72" w:type="dxa"/>
              <w:right w:w="20" w:type="dxa"/>
            </w:tcMar>
            <w:vAlign w:val="center"/>
          </w:tcPr>
          <w:p w14:paraId="1B5CC958">
            <w:pPr>
              <w:jc w:val="center"/>
              <w:rPr>
                <w:rFonts w:ascii="Times New Roman" w:hAnsi="Times New Roman" w:eastAsia="宋体" w:cs="宋体"/>
                <w:kern w:val="0"/>
                <w:szCs w:val="21"/>
              </w:rPr>
            </w:pPr>
            <w:r>
              <w:rPr>
                <w:rFonts w:hint="eastAsia" w:ascii="Times New Roman" w:hAnsi="Times New Roman" w:eastAsia="宋体" w:cs="宋体"/>
                <w:kern w:val="0"/>
                <w:szCs w:val="21"/>
              </w:rPr>
              <w:t>2025-2030</w:t>
            </w:r>
          </w:p>
        </w:tc>
        <w:tc>
          <w:tcPr>
            <w:tcW w:w="440" w:type="pct"/>
            <w:shd w:val="clear" w:color="auto" w:fill="FFFFFF" w:themeFill="background1"/>
            <w:tcMar>
              <w:top w:w="20" w:type="dxa"/>
              <w:left w:w="20" w:type="dxa"/>
              <w:bottom w:w="72" w:type="dxa"/>
              <w:right w:w="20" w:type="dxa"/>
            </w:tcMar>
            <w:vAlign w:val="center"/>
          </w:tcPr>
          <w:p w14:paraId="1D56725B">
            <w:pPr>
              <w:jc w:val="center"/>
              <w:rPr>
                <w:rFonts w:ascii="Times New Roman" w:hAnsi="Times New Roman" w:eastAsia="宋体" w:cs="宋体"/>
                <w:kern w:val="0"/>
                <w:szCs w:val="21"/>
              </w:rPr>
            </w:pPr>
            <w:r>
              <w:rPr>
                <w:rFonts w:hint="eastAsia" w:ascii="Times New Roman" w:hAnsi="Times New Roman" w:eastAsia="宋体" w:cs="宋体"/>
                <w:kern w:val="0"/>
                <w:szCs w:val="21"/>
              </w:rPr>
              <w:t>石湾镇政府</w:t>
            </w:r>
          </w:p>
          <w:p w14:paraId="51A4E3E0">
            <w:pPr>
              <w:jc w:val="center"/>
              <w:rPr>
                <w:rFonts w:ascii="Times New Roman" w:hAnsi="Times New Roman" w:eastAsia="宋体" w:cs="宋体"/>
                <w:kern w:val="0"/>
                <w:szCs w:val="21"/>
              </w:rPr>
            </w:pPr>
            <w:r>
              <w:rPr>
                <w:rFonts w:hint="eastAsia" w:ascii="Times New Roman" w:hAnsi="Times New Roman" w:eastAsia="宋体" w:cs="宋体"/>
                <w:kern w:val="0"/>
                <w:szCs w:val="21"/>
              </w:rPr>
              <w:t>园洲镇政府</w:t>
            </w:r>
          </w:p>
        </w:tc>
      </w:tr>
    </w:tbl>
    <w:p w14:paraId="1031FD0E">
      <w:pPr>
        <w:rPr>
          <w:rFonts w:ascii="Times New Roman" w:hAnsi="Times New Roman" w:eastAsia="楷体_GB2312" w:cs="楷体_GB2312"/>
          <w:bCs/>
          <w:sz w:val="32"/>
          <w:szCs w:val="32"/>
          <w14:ligatures w14:val="none"/>
        </w:rPr>
        <w:sectPr>
          <w:pgSz w:w="16838" w:h="11906" w:orient="landscape"/>
          <w:pgMar w:top="1800" w:right="1440" w:bottom="1800" w:left="1440" w:header="851" w:footer="992" w:gutter="0"/>
          <w:cols w:space="425" w:num="1"/>
          <w:docGrid w:type="lines" w:linePitch="312" w:charSpace="0"/>
        </w:sectPr>
      </w:pPr>
    </w:p>
    <w:p w14:paraId="68C5B975">
      <w:pPr>
        <w:pStyle w:val="4"/>
        <w:keepNext w:val="0"/>
        <w:keepLines w:val="0"/>
        <w:numPr>
          <w:ilvl w:val="255"/>
          <w:numId w:val="0"/>
        </w:numPr>
        <w:spacing w:before="0" w:after="0" w:line="360" w:lineRule="auto"/>
        <w:jc w:val="center"/>
        <w:rPr>
          <w:rFonts w:ascii="Times New Roman" w:hAnsi="Times New Roman" w:eastAsia="黑体" w:cstheme="minorBidi"/>
          <w:b w:val="0"/>
          <w:bCs w:val="0"/>
          <w:kern w:val="44"/>
          <w:sz w:val="40"/>
          <w:szCs w:val="40"/>
        </w:rPr>
      </w:pPr>
      <w:bookmarkStart w:id="223" w:name="_Toc198247284"/>
      <w:r>
        <w:rPr>
          <w:rFonts w:hint="eastAsia" w:ascii="Times New Roman" w:hAnsi="Times New Roman" w:eastAsia="黑体"/>
          <w:b w:val="0"/>
          <w:bCs w:val="0"/>
        </w:rPr>
        <w:t>附表二 与毗邻区（市、县、镇）区域协同合作任务清单</w:t>
      </w:r>
      <w:bookmarkEnd w:id="223"/>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9072"/>
        <w:gridCol w:w="2693"/>
        <w:gridCol w:w="1479"/>
      </w:tblGrid>
      <w:tr w14:paraId="3A6062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tcPr>
          <w:p w14:paraId="0468A043">
            <w:pPr>
              <w:jc w:val="center"/>
              <w:rPr>
                <w:rFonts w:ascii="Times New Roman" w:hAnsi="Times New Roman" w:eastAsia="宋体" w:cs="宋体"/>
                <w:b/>
                <w:bCs/>
                <w:kern w:val="0"/>
                <w:szCs w:val="21"/>
                <w14:ligatures w14:val="none"/>
              </w:rPr>
            </w:pPr>
            <w:r>
              <w:rPr>
                <w:rFonts w:hint="eastAsia" w:ascii="Times New Roman" w:hAnsi="Times New Roman" w:eastAsia="宋体" w:cs="宋体"/>
                <w:b/>
                <w:bCs/>
                <w:kern w:val="0"/>
                <w:szCs w:val="21"/>
                <w14:ligatures w14:val="none"/>
              </w:rPr>
              <w:t>序号</w:t>
            </w:r>
          </w:p>
        </w:tc>
        <w:tc>
          <w:tcPr>
            <w:tcW w:w="9072" w:type="dxa"/>
          </w:tcPr>
          <w:p w14:paraId="3CD8ED40">
            <w:pPr>
              <w:jc w:val="center"/>
              <w:rPr>
                <w:rFonts w:ascii="Times New Roman" w:hAnsi="Times New Roman" w:eastAsia="宋体" w:cs="宋体"/>
                <w:b/>
                <w:bCs/>
                <w:kern w:val="0"/>
                <w:szCs w:val="21"/>
                <w14:ligatures w14:val="none"/>
              </w:rPr>
            </w:pPr>
            <w:r>
              <w:rPr>
                <w:rFonts w:hint="eastAsia" w:ascii="Times New Roman" w:hAnsi="Times New Roman" w:eastAsia="宋体" w:cs="宋体"/>
                <w:b/>
                <w:bCs/>
                <w:kern w:val="0"/>
                <w:szCs w:val="21"/>
                <w14:ligatures w14:val="none"/>
              </w:rPr>
              <w:t>任务清单</w:t>
            </w:r>
          </w:p>
        </w:tc>
        <w:tc>
          <w:tcPr>
            <w:tcW w:w="2693" w:type="dxa"/>
          </w:tcPr>
          <w:p w14:paraId="691291F4">
            <w:pPr>
              <w:jc w:val="center"/>
              <w:rPr>
                <w:rFonts w:ascii="Times New Roman" w:hAnsi="Times New Roman" w:eastAsia="宋体" w:cs="宋体"/>
                <w:b/>
                <w:bCs/>
                <w:kern w:val="0"/>
                <w:szCs w:val="21"/>
                <w14:ligatures w14:val="none"/>
              </w:rPr>
            </w:pPr>
            <w:r>
              <w:rPr>
                <w:rFonts w:hint="eastAsia" w:ascii="Times New Roman" w:hAnsi="Times New Roman" w:eastAsia="宋体" w:cs="宋体"/>
                <w:b/>
                <w:bCs/>
                <w:kern w:val="0"/>
                <w:szCs w:val="21"/>
                <w14:ligatures w14:val="none"/>
              </w:rPr>
              <w:t>协作区域</w:t>
            </w:r>
          </w:p>
        </w:tc>
        <w:tc>
          <w:tcPr>
            <w:tcW w:w="1479" w:type="dxa"/>
          </w:tcPr>
          <w:p w14:paraId="08763874">
            <w:pPr>
              <w:jc w:val="center"/>
              <w:rPr>
                <w:rFonts w:ascii="Times New Roman" w:hAnsi="Times New Roman" w:eastAsia="宋体" w:cs="宋体"/>
                <w:b/>
                <w:bCs/>
                <w:kern w:val="0"/>
                <w:szCs w:val="21"/>
                <w14:ligatures w14:val="none"/>
              </w:rPr>
            </w:pPr>
            <w:r>
              <w:rPr>
                <w:rFonts w:hint="eastAsia" w:ascii="Times New Roman" w:hAnsi="Times New Roman" w:eastAsia="宋体" w:cs="宋体"/>
                <w:b/>
                <w:bCs/>
                <w:kern w:val="0"/>
                <w:szCs w:val="21"/>
                <w14:ligatures w14:val="none"/>
              </w:rPr>
              <w:t>牵头单位</w:t>
            </w:r>
          </w:p>
        </w:tc>
      </w:tr>
      <w:tr w14:paraId="0C5EA2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8" w:type="dxa"/>
            <w:gridSpan w:val="4"/>
          </w:tcPr>
          <w:p w14:paraId="1EADCB58">
            <w:pPr>
              <w:rPr>
                <w:rFonts w:ascii="仿宋_GB2312" w:hAnsi="Times New Roman" w:eastAsia="仿宋_GB2312" w:cs="楷体_GB2312"/>
                <w:b/>
                <w:sz w:val="32"/>
                <w:szCs w:val="32"/>
                <w14:ligatures w14:val="none"/>
              </w:rPr>
            </w:pPr>
            <w:r>
              <w:rPr>
                <w:rFonts w:hint="eastAsia" w:ascii="仿宋_GB2312" w:hAnsi="Times New Roman" w:eastAsia="仿宋_GB2312" w:cs="楷体_GB2312"/>
                <w:b/>
                <w:sz w:val="24"/>
                <w:szCs w:val="24"/>
                <w14:ligatures w14:val="none"/>
              </w:rPr>
              <w:t>一、强化基础设施互联互通</w:t>
            </w:r>
          </w:p>
        </w:tc>
      </w:tr>
      <w:tr w14:paraId="528D47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2582217A">
            <w:pPr>
              <w:jc w:val="center"/>
              <w:rPr>
                <w:rFonts w:ascii="Times New Roman" w:hAnsi="Times New Roman" w:eastAsia="宋体" w:cs="宋体"/>
                <w:kern w:val="0"/>
                <w:szCs w:val="21"/>
                <w14:ligatures w14:val="none"/>
              </w:rPr>
            </w:pPr>
            <w:r>
              <w:rPr>
                <w:rFonts w:ascii="Times New Roman" w:hAnsi="Times New Roman" w:eastAsia="宋体" w:cs="宋体"/>
                <w:kern w:val="0"/>
                <w:szCs w:val="21"/>
                <w14:ligatures w14:val="none"/>
              </w:rPr>
              <w:t>1</w:t>
            </w:r>
          </w:p>
        </w:tc>
        <w:tc>
          <w:tcPr>
            <w:tcW w:w="9072" w:type="dxa"/>
          </w:tcPr>
          <w:p w14:paraId="0C4B04B7">
            <w:pPr>
              <w:rPr>
                <w:rFonts w:ascii="Times New Roman" w:hAnsi="Times New Roman" w:eastAsia="宋体" w:cs="宋体"/>
                <w:kern w:val="0"/>
                <w:szCs w:val="21"/>
                <w14:ligatures w14:val="none"/>
              </w:rPr>
            </w:pPr>
            <w:r>
              <w:rPr>
                <w:rFonts w:hint="eastAsia" w:ascii="Times New Roman" w:hAnsi="Times New Roman" w:eastAsia="宋体" w:cs="宋体"/>
                <w:kern w:val="0"/>
                <w:szCs w:val="21"/>
                <w14:ligatures w14:val="none"/>
              </w:rPr>
              <w:t>石园快速</w:t>
            </w:r>
            <w:r>
              <w:rPr>
                <w:rFonts w:hint="eastAsia" w:ascii="Times New Roman" w:hAnsi="Times New Roman" w:eastAsia="宋体" w:cs="宋体"/>
                <w:kern w:val="0"/>
                <w:szCs w:val="21"/>
              </w:rPr>
              <w:t>—省道S379线。</w:t>
            </w:r>
          </w:p>
        </w:tc>
        <w:tc>
          <w:tcPr>
            <w:tcW w:w="2693" w:type="dxa"/>
            <w:vAlign w:val="center"/>
          </w:tcPr>
          <w:p w14:paraId="35008738">
            <w:pPr>
              <w:jc w:val="center"/>
              <w:rPr>
                <w:rFonts w:ascii="Times New Roman" w:hAnsi="Times New Roman" w:eastAsia="宋体" w:cs="宋体"/>
                <w:kern w:val="0"/>
                <w:szCs w:val="21"/>
                <w14:ligatures w14:val="none"/>
              </w:rPr>
            </w:pPr>
            <w:r>
              <w:rPr>
                <w:rFonts w:hint="eastAsia" w:ascii="Times New Roman" w:hAnsi="Times New Roman" w:eastAsia="宋体" w:cs="宋体"/>
                <w:kern w:val="0"/>
                <w:szCs w:val="21"/>
              </w:rPr>
              <w:t>增城区</w:t>
            </w:r>
          </w:p>
        </w:tc>
        <w:tc>
          <w:tcPr>
            <w:tcW w:w="1479" w:type="dxa"/>
            <w:vAlign w:val="center"/>
          </w:tcPr>
          <w:p w14:paraId="705045A9">
            <w:pPr>
              <w:jc w:val="center"/>
              <w:rPr>
                <w:rFonts w:ascii="Times New Roman" w:hAnsi="Times New Roman" w:eastAsia="宋体" w:cs="宋体"/>
                <w:kern w:val="0"/>
                <w:szCs w:val="21"/>
                <w14:ligatures w14:val="none"/>
              </w:rPr>
            </w:pPr>
            <w:r>
              <w:rPr>
                <w:rFonts w:hint="eastAsia" w:ascii="Times New Roman" w:hAnsi="Times New Roman" w:eastAsia="宋体" w:cs="宋体"/>
                <w:kern w:val="0"/>
                <w:szCs w:val="21"/>
              </w:rPr>
              <w:t>交通运输部门</w:t>
            </w:r>
          </w:p>
        </w:tc>
      </w:tr>
      <w:tr w14:paraId="465CED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10944FE">
            <w:pPr>
              <w:jc w:val="center"/>
              <w:rPr>
                <w:rFonts w:ascii="Times New Roman" w:hAnsi="Times New Roman" w:eastAsia="宋体" w:cs="宋体"/>
                <w:kern w:val="0"/>
                <w:szCs w:val="21"/>
                <w14:ligatures w14:val="none"/>
              </w:rPr>
            </w:pPr>
            <w:r>
              <w:rPr>
                <w:rFonts w:ascii="Times New Roman" w:hAnsi="Times New Roman" w:eastAsia="宋体" w:cs="宋体"/>
                <w:kern w:val="0"/>
                <w:szCs w:val="21"/>
                <w14:ligatures w14:val="none"/>
              </w:rPr>
              <w:t>2</w:t>
            </w:r>
          </w:p>
        </w:tc>
        <w:tc>
          <w:tcPr>
            <w:tcW w:w="9072" w:type="dxa"/>
          </w:tcPr>
          <w:p w14:paraId="2BA887DC">
            <w:pPr>
              <w:rPr>
                <w:rFonts w:ascii="Times New Roman" w:hAnsi="Times New Roman" w:eastAsia="宋体" w:cs="宋体"/>
                <w:kern w:val="0"/>
                <w:szCs w:val="21"/>
                <w14:ligatures w14:val="none"/>
              </w:rPr>
            </w:pPr>
            <w:r>
              <w:rPr>
                <w:rFonts w:hint="eastAsia" w:ascii="Times New Roman" w:hAnsi="Times New Roman" w:eastAsia="宋体" w:cs="宋体"/>
                <w:kern w:val="0"/>
                <w:szCs w:val="21"/>
              </w:rPr>
              <w:t>石湾环城路—东西大道。</w:t>
            </w:r>
          </w:p>
        </w:tc>
        <w:tc>
          <w:tcPr>
            <w:tcW w:w="2693" w:type="dxa"/>
            <w:vAlign w:val="center"/>
          </w:tcPr>
          <w:p w14:paraId="7B70D69D">
            <w:pPr>
              <w:jc w:val="center"/>
              <w:rPr>
                <w:rFonts w:ascii="Times New Roman" w:hAnsi="Times New Roman" w:eastAsia="宋体" w:cs="宋体"/>
                <w:kern w:val="0"/>
                <w:szCs w:val="21"/>
                <w14:ligatures w14:val="none"/>
              </w:rPr>
            </w:pPr>
            <w:r>
              <w:rPr>
                <w:rFonts w:hint="eastAsia" w:ascii="Times New Roman" w:hAnsi="Times New Roman" w:eastAsia="宋体" w:cs="宋体"/>
                <w:kern w:val="0"/>
                <w:szCs w:val="21"/>
              </w:rPr>
              <w:t>增城区</w:t>
            </w:r>
          </w:p>
        </w:tc>
        <w:tc>
          <w:tcPr>
            <w:tcW w:w="1479" w:type="dxa"/>
            <w:vAlign w:val="center"/>
          </w:tcPr>
          <w:p w14:paraId="32E6411E">
            <w:pPr>
              <w:jc w:val="center"/>
              <w:rPr>
                <w:rFonts w:ascii="Times New Roman" w:hAnsi="Times New Roman" w:eastAsia="宋体" w:cs="宋体"/>
                <w:kern w:val="0"/>
                <w:szCs w:val="21"/>
                <w14:ligatures w14:val="none"/>
              </w:rPr>
            </w:pPr>
            <w:r>
              <w:rPr>
                <w:rFonts w:hint="eastAsia" w:ascii="Times New Roman" w:hAnsi="Times New Roman" w:eastAsia="宋体" w:cs="宋体"/>
                <w:kern w:val="0"/>
                <w:szCs w:val="21"/>
              </w:rPr>
              <w:t>交通运输部门</w:t>
            </w:r>
          </w:p>
        </w:tc>
      </w:tr>
      <w:tr w14:paraId="4E165C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762132C7">
            <w:pPr>
              <w:jc w:val="center"/>
              <w:rPr>
                <w:rFonts w:ascii="Times New Roman" w:hAnsi="Times New Roman" w:eastAsia="宋体" w:cs="宋体"/>
                <w:kern w:val="0"/>
                <w:szCs w:val="21"/>
                <w14:ligatures w14:val="none"/>
              </w:rPr>
            </w:pPr>
            <w:r>
              <w:rPr>
                <w:rFonts w:ascii="Times New Roman" w:hAnsi="Times New Roman" w:eastAsia="宋体" w:cs="宋体"/>
                <w:kern w:val="0"/>
                <w:szCs w:val="21"/>
                <w14:ligatures w14:val="none"/>
              </w:rPr>
              <w:t>3</w:t>
            </w:r>
          </w:p>
        </w:tc>
        <w:tc>
          <w:tcPr>
            <w:tcW w:w="9072" w:type="dxa"/>
          </w:tcPr>
          <w:p w14:paraId="72A602A3">
            <w:pPr>
              <w:rPr>
                <w:rFonts w:ascii="Times New Roman" w:hAnsi="Times New Roman" w:eastAsia="宋体" w:cs="宋体"/>
                <w:kern w:val="0"/>
                <w:szCs w:val="21"/>
                <w14:ligatures w14:val="none"/>
              </w:rPr>
            </w:pPr>
            <w:r>
              <w:rPr>
                <w:rFonts w:hint="eastAsia" w:ascii="Times New Roman" w:hAnsi="Times New Roman" w:eastAsia="宋体" w:cs="宋体"/>
                <w:kern w:val="0"/>
                <w:szCs w:val="21"/>
              </w:rPr>
              <w:t>兴湖西路—光明西路。</w:t>
            </w:r>
          </w:p>
        </w:tc>
        <w:tc>
          <w:tcPr>
            <w:tcW w:w="2693" w:type="dxa"/>
            <w:vAlign w:val="center"/>
          </w:tcPr>
          <w:p w14:paraId="65C01B47">
            <w:pPr>
              <w:jc w:val="center"/>
              <w:rPr>
                <w:rFonts w:ascii="Times New Roman" w:hAnsi="Times New Roman" w:eastAsia="宋体" w:cs="宋体"/>
                <w:kern w:val="0"/>
                <w:szCs w:val="21"/>
                <w14:ligatures w14:val="none"/>
              </w:rPr>
            </w:pPr>
            <w:r>
              <w:rPr>
                <w:rFonts w:hint="eastAsia" w:ascii="Times New Roman" w:hAnsi="Times New Roman" w:eastAsia="宋体" w:cs="宋体"/>
                <w:kern w:val="0"/>
                <w:szCs w:val="21"/>
              </w:rPr>
              <w:t>增城区</w:t>
            </w:r>
          </w:p>
        </w:tc>
        <w:tc>
          <w:tcPr>
            <w:tcW w:w="1479" w:type="dxa"/>
            <w:vAlign w:val="center"/>
          </w:tcPr>
          <w:p w14:paraId="15E35A92">
            <w:pPr>
              <w:jc w:val="center"/>
              <w:rPr>
                <w:rFonts w:ascii="Times New Roman" w:hAnsi="Times New Roman" w:eastAsia="宋体" w:cs="宋体"/>
                <w:kern w:val="0"/>
                <w:szCs w:val="21"/>
                <w14:ligatures w14:val="none"/>
              </w:rPr>
            </w:pPr>
            <w:r>
              <w:rPr>
                <w:rFonts w:hint="eastAsia" w:ascii="Times New Roman" w:hAnsi="Times New Roman" w:eastAsia="宋体" w:cs="宋体"/>
                <w:kern w:val="0"/>
                <w:szCs w:val="21"/>
              </w:rPr>
              <w:t>交通运输部门</w:t>
            </w:r>
          </w:p>
        </w:tc>
      </w:tr>
      <w:tr w14:paraId="5289A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4AE641BB">
            <w:pPr>
              <w:jc w:val="center"/>
              <w:rPr>
                <w:rFonts w:ascii="Times New Roman" w:hAnsi="Times New Roman" w:eastAsia="宋体" w:cs="宋体"/>
                <w:kern w:val="0"/>
                <w:szCs w:val="21"/>
                <w14:ligatures w14:val="none"/>
              </w:rPr>
            </w:pPr>
            <w:r>
              <w:rPr>
                <w:rFonts w:ascii="Times New Roman" w:hAnsi="Times New Roman" w:eastAsia="宋体" w:cs="宋体"/>
                <w:kern w:val="0"/>
                <w:szCs w:val="21"/>
                <w14:ligatures w14:val="none"/>
              </w:rPr>
              <w:t>4</w:t>
            </w:r>
          </w:p>
        </w:tc>
        <w:tc>
          <w:tcPr>
            <w:tcW w:w="9072" w:type="dxa"/>
          </w:tcPr>
          <w:p w14:paraId="7E74907A">
            <w:pPr>
              <w:rPr>
                <w:rFonts w:ascii="Times New Roman" w:hAnsi="Times New Roman" w:eastAsia="宋体" w:cs="宋体"/>
                <w:kern w:val="0"/>
                <w:szCs w:val="21"/>
                <w14:ligatures w14:val="none"/>
              </w:rPr>
            </w:pPr>
            <w:r>
              <w:rPr>
                <w:rFonts w:hint="eastAsia" w:ascii="Times New Roman" w:hAnsi="Times New Roman" w:eastAsia="宋体" w:cs="宋体"/>
                <w:kern w:val="0"/>
                <w:szCs w:val="21"/>
              </w:rPr>
              <w:t>罗浮山大桥改建（接石排大道）。</w:t>
            </w:r>
          </w:p>
        </w:tc>
        <w:tc>
          <w:tcPr>
            <w:tcW w:w="2693" w:type="dxa"/>
            <w:vAlign w:val="center"/>
          </w:tcPr>
          <w:p w14:paraId="58D78796">
            <w:pPr>
              <w:jc w:val="center"/>
              <w:rPr>
                <w:rFonts w:ascii="Times New Roman" w:hAnsi="Times New Roman" w:eastAsia="宋体" w:cs="宋体"/>
                <w:kern w:val="0"/>
                <w:szCs w:val="21"/>
                <w14:ligatures w14:val="none"/>
              </w:rPr>
            </w:pPr>
            <w:r>
              <w:rPr>
                <w:rFonts w:hint="eastAsia" w:ascii="Times New Roman" w:hAnsi="Times New Roman" w:eastAsia="宋体" w:cs="宋体"/>
                <w:kern w:val="0"/>
                <w:szCs w:val="21"/>
              </w:rPr>
              <w:t>东莞市</w:t>
            </w:r>
          </w:p>
        </w:tc>
        <w:tc>
          <w:tcPr>
            <w:tcW w:w="1479" w:type="dxa"/>
            <w:vAlign w:val="center"/>
          </w:tcPr>
          <w:p w14:paraId="5F797BA7">
            <w:pPr>
              <w:jc w:val="center"/>
              <w:rPr>
                <w:rFonts w:ascii="Times New Roman" w:hAnsi="Times New Roman" w:eastAsia="宋体" w:cs="宋体"/>
                <w:kern w:val="0"/>
                <w:szCs w:val="21"/>
                <w14:ligatures w14:val="none"/>
              </w:rPr>
            </w:pPr>
            <w:r>
              <w:rPr>
                <w:rFonts w:hint="eastAsia" w:ascii="Times New Roman" w:hAnsi="Times New Roman" w:eastAsia="宋体" w:cs="宋体"/>
                <w:kern w:val="0"/>
                <w:szCs w:val="21"/>
              </w:rPr>
              <w:t>交通运输部门</w:t>
            </w:r>
          </w:p>
        </w:tc>
      </w:tr>
      <w:tr w14:paraId="1BF20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4E58249">
            <w:pPr>
              <w:jc w:val="center"/>
              <w:rPr>
                <w:rFonts w:ascii="Times New Roman" w:hAnsi="Times New Roman" w:eastAsia="宋体" w:cs="宋体"/>
                <w:kern w:val="0"/>
                <w:szCs w:val="21"/>
              </w:rPr>
            </w:pPr>
            <w:r>
              <w:rPr>
                <w:rFonts w:hint="eastAsia" w:ascii="Times New Roman" w:hAnsi="Times New Roman" w:eastAsia="宋体" w:cs="宋体"/>
                <w:kern w:val="0"/>
                <w:szCs w:val="21"/>
              </w:rPr>
              <w:t>5</w:t>
            </w:r>
          </w:p>
        </w:tc>
        <w:tc>
          <w:tcPr>
            <w:tcW w:w="9072" w:type="dxa"/>
          </w:tcPr>
          <w:p w14:paraId="73C3ECE7">
            <w:pPr>
              <w:rPr>
                <w:rFonts w:ascii="Times New Roman" w:hAnsi="Times New Roman" w:eastAsia="宋体" w:cs="宋体"/>
                <w:kern w:val="0"/>
                <w:szCs w:val="21"/>
              </w:rPr>
            </w:pPr>
            <w:r>
              <w:rPr>
                <w:rFonts w:hint="eastAsia" w:ascii="Times New Roman" w:hAnsi="Times New Roman" w:eastAsia="宋体" w:cs="宋体"/>
                <w:kern w:val="0"/>
                <w:szCs w:val="21"/>
              </w:rPr>
              <w:t>园洲东江大桥新建（接石排大道）。</w:t>
            </w:r>
          </w:p>
        </w:tc>
        <w:tc>
          <w:tcPr>
            <w:tcW w:w="2693" w:type="dxa"/>
            <w:vAlign w:val="center"/>
          </w:tcPr>
          <w:p w14:paraId="3E645793">
            <w:pPr>
              <w:jc w:val="center"/>
              <w:rPr>
                <w:rFonts w:ascii="Times New Roman" w:hAnsi="Times New Roman" w:eastAsia="宋体" w:cs="宋体"/>
                <w:kern w:val="0"/>
                <w:szCs w:val="21"/>
              </w:rPr>
            </w:pPr>
            <w:r>
              <w:rPr>
                <w:rFonts w:hint="eastAsia" w:ascii="Times New Roman" w:hAnsi="Times New Roman" w:eastAsia="宋体" w:cs="宋体"/>
                <w:kern w:val="0"/>
                <w:szCs w:val="21"/>
              </w:rPr>
              <w:t>东莞市</w:t>
            </w:r>
          </w:p>
        </w:tc>
        <w:tc>
          <w:tcPr>
            <w:tcW w:w="1479" w:type="dxa"/>
            <w:vAlign w:val="center"/>
          </w:tcPr>
          <w:p w14:paraId="2A806D68">
            <w:pPr>
              <w:jc w:val="center"/>
              <w:rPr>
                <w:rFonts w:ascii="Times New Roman" w:hAnsi="Times New Roman" w:eastAsia="宋体" w:cs="宋体"/>
                <w:kern w:val="0"/>
                <w:szCs w:val="21"/>
              </w:rPr>
            </w:pPr>
            <w:r>
              <w:rPr>
                <w:rFonts w:hint="eastAsia" w:ascii="Times New Roman" w:hAnsi="Times New Roman" w:eastAsia="宋体" w:cs="宋体"/>
                <w:kern w:val="0"/>
                <w:szCs w:val="21"/>
              </w:rPr>
              <w:t>交通运输部门</w:t>
            </w:r>
          </w:p>
        </w:tc>
      </w:tr>
      <w:tr w14:paraId="797AE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2E3BF934">
            <w:pPr>
              <w:jc w:val="center"/>
              <w:rPr>
                <w:rFonts w:ascii="Times New Roman" w:hAnsi="Times New Roman" w:eastAsia="宋体" w:cs="宋体"/>
                <w:kern w:val="0"/>
                <w:szCs w:val="21"/>
              </w:rPr>
            </w:pPr>
            <w:r>
              <w:rPr>
                <w:rFonts w:hint="eastAsia" w:ascii="Times New Roman" w:hAnsi="Times New Roman" w:eastAsia="宋体" w:cs="宋体"/>
                <w:kern w:val="0"/>
                <w:szCs w:val="21"/>
              </w:rPr>
              <w:t>6</w:t>
            </w:r>
          </w:p>
        </w:tc>
        <w:tc>
          <w:tcPr>
            <w:tcW w:w="9072" w:type="dxa"/>
          </w:tcPr>
          <w:p w14:paraId="4DD410AA">
            <w:pPr>
              <w:rPr>
                <w:rFonts w:ascii="Times New Roman" w:hAnsi="Times New Roman" w:eastAsia="宋体" w:cs="宋体"/>
                <w:kern w:val="0"/>
                <w:szCs w:val="21"/>
              </w:rPr>
            </w:pPr>
            <w:r>
              <w:rPr>
                <w:rFonts w:hint="eastAsia" w:ascii="Times New Roman" w:hAnsi="Times New Roman" w:eastAsia="宋体" w:cs="宋体"/>
                <w:kern w:val="0"/>
                <w:szCs w:val="21"/>
              </w:rPr>
              <w:t>广深城际东莞站—广汕铁路罗浮山站的莞博城际铁路（共同推动列入粤港澳大湾区城际铁路建设规划或省综合交通“十五五”规划重大项目计划）。</w:t>
            </w:r>
          </w:p>
        </w:tc>
        <w:tc>
          <w:tcPr>
            <w:tcW w:w="2693" w:type="dxa"/>
            <w:vAlign w:val="center"/>
          </w:tcPr>
          <w:p w14:paraId="5B901C41">
            <w:pPr>
              <w:jc w:val="center"/>
              <w:rPr>
                <w:rFonts w:ascii="Times New Roman" w:hAnsi="Times New Roman" w:eastAsia="宋体" w:cs="宋体"/>
                <w:kern w:val="0"/>
                <w:szCs w:val="21"/>
              </w:rPr>
            </w:pPr>
            <w:r>
              <w:rPr>
                <w:rFonts w:hint="eastAsia" w:ascii="Times New Roman" w:hAnsi="Times New Roman" w:eastAsia="宋体" w:cs="宋体"/>
                <w:kern w:val="0"/>
                <w:szCs w:val="21"/>
              </w:rPr>
              <w:t>东莞市</w:t>
            </w:r>
          </w:p>
        </w:tc>
        <w:tc>
          <w:tcPr>
            <w:tcW w:w="1479" w:type="dxa"/>
            <w:vAlign w:val="center"/>
          </w:tcPr>
          <w:p w14:paraId="4298C2EE">
            <w:pPr>
              <w:jc w:val="center"/>
              <w:rPr>
                <w:rFonts w:ascii="Times New Roman" w:hAnsi="Times New Roman" w:eastAsia="宋体" w:cs="宋体"/>
                <w:kern w:val="0"/>
                <w:szCs w:val="21"/>
              </w:rPr>
            </w:pPr>
            <w:r>
              <w:rPr>
                <w:rFonts w:hint="eastAsia" w:ascii="Times New Roman" w:hAnsi="Times New Roman" w:eastAsia="宋体" w:cs="宋体"/>
                <w:kern w:val="0"/>
                <w:szCs w:val="21"/>
              </w:rPr>
              <w:t>交通运输部门</w:t>
            </w:r>
          </w:p>
        </w:tc>
      </w:tr>
      <w:tr w14:paraId="5E210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7BB1C1B7">
            <w:pPr>
              <w:jc w:val="center"/>
              <w:rPr>
                <w:rFonts w:ascii="Times New Roman" w:hAnsi="Times New Roman" w:eastAsia="宋体" w:cs="宋体"/>
                <w:kern w:val="0"/>
                <w:szCs w:val="21"/>
              </w:rPr>
            </w:pPr>
            <w:r>
              <w:rPr>
                <w:rFonts w:hint="eastAsia" w:ascii="Times New Roman" w:hAnsi="Times New Roman" w:eastAsia="宋体" w:cs="宋体"/>
                <w:kern w:val="0"/>
                <w:szCs w:val="21"/>
              </w:rPr>
              <w:t>7</w:t>
            </w:r>
          </w:p>
        </w:tc>
        <w:tc>
          <w:tcPr>
            <w:tcW w:w="9072" w:type="dxa"/>
          </w:tcPr>
          <w:p w14:paraId="6D617B98">
            <w:pPr>
              <w:rPr>
                <w:rFonts w:ascii="Times New Roman" w:hAnsi="Times New Roman" w:eastAsia="宋体" w:cs="宋体"/>
                <w:kern w:val="0"/>
                <w:szCs w:val="21"/>
              </w:rPr>
            </w:pPr>
            <w:r>
              <w:rPr>
                <w:rFonts w:hint="eastAsia" w:ascii="Times New Roman" w:hAnsi="Times New Roman" w:eastAsia="宋体" w:cs="宋体"/>
                <w:kern w:val="0"/>
                <w:szCs w:val="21"/>
              </w:rPr>
              <w:t>探索推出广深莞博四地“畅游一卡通”产品，鼓励和支持建立租车异地还车一体化等便捷体系。</w:t>
            </w:r>
          </w:p>
        </w:tc>
        <w:tc>
          <w:tcPr>
            <w:tcW w:w="2693" w:type="dxa"/>
            <w:vAlign w:val="center"/>
          </w:tcPr>
          <w:p w14:paraId="4FCF68A2">
            <w:pPr>
              <w:jc w:val="center"/>
              <w:rPr>
                <w:rFonts w:ascii="Times New Roman" w:hAnsi="Times New Roman" w:eastAsia="宋体" w:cs="宋体"/>
                <w:kern w:val="0"/>
                <w:szCs w:val="21"/>
              </w:rPr>
            </w:pPr>
            <w:r>
              <w:rPr>
                <w:rFonts w:hint="eastAsia" w:ascii="Times New Roman" w:hAnsi="Times New Roman" w:eastAsia="宋体" w:cs="宋体"/>
                <w:kern w:val="0"/>
                <w:szCs w:val="21"/>
              </w:rPr>
              <w:t>广州市、东莞市、深圳市</w:t>
            </w:r>
          </w:p>
        </w:tc>
        <w:tc>
          <w:tcPr>
            <w:tcW w:w="1479" w:type="dxa"/>
            <w:vAlign w:val="center"/>
          </w:tcPr>
          <w:p w14:paraId="62EDF6C6">
            <w:pPr>
              <w:jc w:val="center"/>
              <w:rPr>
                <w:rFonts w:ascii="Times New Roman" w:hAnsi="Times New Roman" w:eastAsia="宋体" w:cs="宋体"/>
                <w:kern w:val="0"/>
                <w:szCs w:val="21"/>
              </w:rPr>
            </w:pPr>
            <w:r>
              <w:rPr>
                <w:rFonts w:hint="eastAsia" w:ascii="Times New Roman" w:hAnsi="Times New Roman" w:eastAsia="宋体" w:cs="宋体"/>
                <w:kern w:val="0"/>
                <w:szCs w:val="21"/>
              </w:rPr>
              <w:t>文体旅广部门</w:t>
            </w:r>
          </w:p>
        </w:tc>
      </w:tr>
      <w:tr w14:paraId="248AF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8" w:type="dxa"/>
            <w:gridSpan w:val="4"/>
            <w:vAlign w:val="center"/>
          </w:tcPr>
          <w:p w14:paraId="342FB04B">
            <w:pPr>
              <w:jc w:val="left"/>
              <w:rPr>
                <w:rFonts w:ascii="Times New Roman" w:hAnsi="Times New Roman" w:eastAsia="宋体" w:cs="宋体"/>
                <w:kern w:val="0"/>
                <w:szCs w:val="21"/>
              </w:rPr>
            </w:pPr>
            <w:r>
              <w:rPr>
                <w:rFonts w:hint="eastAsia" w:ascii="仿宋_GB2312" w:hAnsi="Times New Roman" w:eastAsia="仿宋_GB2312" w:cs="楷体_GB2312"/>
                <w:b/>
                <w:sz w:val="24"/>
                <w:szCs w:val="24"/>
                <w14:ligatures w14:val="none"/>
              </w:rPr>
              <w:t>二、推动产业高质量协同发展</w:t>
            </w:r>
          </w:p>
        </w:tc>
      </w:tr>
      <w:tr w14:paraId="1E33A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01ECA794">
            <w:pPr>
              <w:jc w:val="center"/>
              <w:rPr>
                <w:rFonts w:ascii="Times New Roman" w:hAnsi="Times New Roman" w:eastAsia="宋体" w:cs="宋体"/>
                <w:kern w:val="0"/>
                <w:szCs w:val="21"/>
              </w:rPr>
            </w:pPr>
            <w:r>
              <w:rPr>
                <w:rFonts w:hint="eastAsia" w:ascii="Times New Roman" w:hAnsi="Times New Roman" w:eastAsia="宋体" w:cs="宋体"/>
                <w:kern w:val="0"/>
                <w:szCs w:val="21"/>
              </w:rPr>
              <w:t>1</w:t>
            </w:r>
          </w:p>
        </w:tc>
        <w:tc>
          <w:tcPr>
            <w:tcW w:w="9072" w:type="dxa"/>
          </w:tcPr>
          <w:p w14:paraId="6EE57F47">
            <w:pPr>
              <w:rPr>
                <w:rFonts w:ascii="Times New Roman" w:hAnsi="Times New Roman" w:eastAsia="宋体" w:cs="宋体"/>
                <w:kern w:val="0"/>
                <w:szCs w:val="21"/>
              </w:rPr>
            </w:pPr>
            <w:r>
              <w:rPr>
                <w:rFonts w:hint="eastAsia" w:ascii="Times New Roman" w:hAnsi="Times New Roman" w:eastAsia="宋体" w:cs="宋体"/>
                <w:kern w:val="0"/>
                <w:szCs w:val="21"/>
              </w:rPr>
              <w:t>共建广东铁路国际物流基地铁路集装箱办理站，完善石湾—石龙—石滩三镇水陆铁集疏运体系。</w:t>
            </w:r>
          </w:p>
        </w:tc>
        <w:tc>
          <w:tcPr>
            <w:tcW w:w="2693" w:type="dxa"/>
            <w:vAlign w:val="center"/>
          </w:tcPr>
          <w:p w14:paraId="7550AE91">
            <w:pPr>
              <w:jc w:val="center"/>
              <w:rPr>
                <w:rFonts w:ascii="Times New Roman" w:hAnsi="Times New Roman" w:eastAsia="宋体" w:cs="宋体"/>
                <w:kern w:val="0"/>
                <w:szCs w:val="21"/>
              </w:rPr>
            </w:pPr>
            <w:r>
              <w:rPr>
                <w:rFonts w:hint="eastAsia" w:ascii="Times New Roman" w:hAnsi="Times New Roman" w:eastAsia="宋体" w:cs="宋体"/>
                <w:kern w:val="0"/>
                <w:szCs w:val="21"/>
              </w:rPr>
              <w:t>广州市、东莞市</w:t>
            </w:r>
          </w:p>
        </w:tc>
        <w:tc>
          <w:tcPr>
            <w:tcW w:w="1479" w:type="dxa"/>
            <w:vAlign w:val="center"/>
          </w:tcPr>
          <w:p w14:paraId="3345F779">
            <w:pPr>
              <w:jc w:val="center"/>
              <w:rPr>
                <w:rFonts w:ascii="Times New Roman" w:hAnsi="Times New Roman" w:eastAsia="宋体" w:cs="宋体"/>
                <w:kern w:val="0"/>
                <w:szCs w:val="21"/>
              </w:rPr>
            </w:pPr>
            <w:r>
              <w:rPr>
                <w:rFonts w:hint="eastAsia" w:ascii="Times New Roman" w:hAnsi="Times New Roman" w:eastAsia="宋体" w:cs="宋体"/>
                <w:kern w:val="0"/>
                <w:szCs w:val="21"/>
              </w:rPr>
              <w:t>交通运输部门</w:t>
            </w:r>
          </w:p>
        </w:tc>
      </w:tr>
      <w:tr w14:paraId="09CBA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3FAB10C9">
            <w:pPr>
              <w:jc w:val="center"/>
              <w:rPr>
                <w:rFonts w:ascii="Times New Roman" w:hAnsi="Times New Roman" w:eastAsia="宋体" w:cs="宋体"/>
                <w:kern w:val="0"/>
                <w:szCs w:val="21"/>
              </w:rPr>
            </w:pPr>
            <w:r>
              <w:rPr>
                <w:rFonts w:hint="eastAsia" w:ascii="Times New Roman" w:hAnsi="Times New Roman" w:eastAsia="宋体" w:cs="宋体"/>
                <w:kern w:val="0"/>
                <w:szCs w:val="21"/>
              </w:rPr>
              <w:t>2</w:t>
            </w:r>
          </w:p>
        </w:tc>
        <w:tc>
          <w:tcPr>
            <w:tcW w:w="9072" w:type="dxa"/>
          </w:tcPr>
          <w:p w14:paraId="20AFB3BB">
            <w:pPr>
              <w:rPr>
                <w:rFonts w:ascii="Times New Roman" w:hAnsi="Times New Roman" w:eastAsia="宋体" w:cs="宋体"/>
                <w:kern w:val="0"/>
                <w:szCs w:val="21"/>
              </w:rPr>
            </w:pPr>
            <w:r>
              <w:rPr>
                <w:rFonts w:hint="eastAsia" w:ascii="Times New Roman" w:hAnsi="Times New Roman" w:eastAsia="宋体" w:cs="宋体"/>
                <w:kern w:val="0"/>
                <w:szCs w:val="21"/>
              </w:rPr>
              <w:t>推动中俄贸易产业园设区扩园，加快申建综合保税区，打造珠江东岸重要的保税物流功能区。</w:t>
            </w:r>
          </w:p>
        </w:tc>
        <w:tc>
          <w:tcPr>
            <w:tcW w:w="2693" w:type="dxa"/>
            <w:vAlign w:val="center"/>
          </w:tcPr>
          <w:p w14:paraId="0F8ED611">
            <w:pPr>
              <w:jc w:val="center"/>
              <w:rPr>
                <w:rFonts w:ascii="Times New Roman" w:hAnsi="Times New Roman" w:eastAsia="宋体" w:cs="宋体"/>
                <w:kern w:val="0"/>
                <w:szCs w:val="21"/>
              </w:rPr>
            </w:pPr>
            <w:r>
              <w:rPr>
                <w:rFonts w:hint="eastAsia" w:ascii="Times New Roman" w:hAnsi="Times New Roman" w:eastAsia="宋体" w:cs="宋体"/>
                <w:kern w:val="0"/>
                <w:szCs w:val="21"/>
              </w:rPr>
              <w:t>广州市、东莞市</w:t>
            </w:r>
          </w:p>
        </w:tc>
        <w:tc>
          <w:tcPr>
            <w:tcW w:w="1479" w:type="dxa"/>
            <w:vAlign w:val="center"/>
          </w:tcPr>
          <w:p w14:paraId="75B70870">
            <w:pPr>
              <w:jc w:val="center"/>
              <w:rPr>
                <w:rFonts w:ascii="Times New Roman" w:hAnsi="Times New Roman" w:eastAsia="宋体" w:cs="宋体"/>
                <w:kern w:val="0"/>
                <w:szCs w:val="21"/>
              </w:rPr>
            </w:pPr>
            <w:r>
              <w:rPr>
                <w:rFonts w:hint="eastAsia" w:ascii="Times New Roman" w:hAnsi="Times New Roman" w:eastAsia="宋体" w:cs="宋体"/>
                <w:kern w:val="0"/>
                <w:szCs w:val="21"/>
              </w:rPr>
              <w:t>商务部门</w:t>
            </w:r>
          </w:p>
        </w:tc>
      </w:tr>
      <w:tr w14:paraId="7D7A4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65FA9066">
            <w:pPr>
              <w:jc w:val="center"/>
              <w:rPr>
                <w:rFonts w:ascii="Times New Roman" w:hAnsi="Times New Roman" w:eastAsia="宋体" w:cs="宋体"/>
                <w:kern w:val="0"/>
                <w:szCs w:val="21"/>
              </w:rPr>
            </w:pPr>
            <w:r>
              <w:rPr>
                <w:rFonts w:hint="eastAsia" w:ascii="Times New Roman" w:hAnsi="Times New Roman" w:eastAsia="宋体" w:cs="宋体"/>
                <w:kern w:val="0"/>
                <w:szCs w:val="21"/>
              </w:rPr>
              <w:t>3</w:t>
            </w:r>
          </w:p>
        </w:tc>
        <w:tc>
          <w:tcPr>
            <w:tcW w:w="9072" w:type="dxa"/>
          </w:tcPr>
          <w:p w14:paraId="588284CD">
            <w:pPr>
              <w:rPr>
                <w:rFonts w:ascii="Times New Roman" w:hAnsi="Times New Roman" w:eastAsia="宋体" w:cs="宋体"/>
                <w:kern w:val="0"/>
                <w:szCs w:val="21"/>
              </w:rPr>
            </w:pPr>
            <w:r>
              <w:rPr>
                <w:rFonts w:hint="eastAsia" w:ascii="Times New Roman" w:hAnsi="Times New Roman" w:eastAsia="宋体" w:cs="宋体"/>
                <w:kern w:val="0"/>
                <w:szCs w:val="21"/>
              </w:rPr>
              <w:t>共建石湾—石龙—石滩三镇跨界地区无水港物流园（粤港澳大湾区东翼“一带一路”物流桥头堡、公铁水多式联运示范基地）。</w:t>
            </w:r>
          </w:p>
        </w:tc>
        <w:tc>
          <w:tcPr>
            <w:tcW w:w="2693" w:type="dxa"/>
            <w:vAlign w:val="center"/>
          </w:tcPr>
          <w:p w14:paraId="222D8DF5">
            <w:pPr>
              <w:jc w:val="center"/>
              <w:rPr>
                <w:rFonts w:ascii="Times New Roman" w:hAnsi="Times New Roman" w:eastAsia="宋体" w:cs="宋体"/>
                <w:kern w:val="0"/>
                <w:szCs w:val="21"/>
              </w:rPr>
            </w:pPr>
            <w:r>
              <w:rPr>
                <w:rFonts w:hint="eastAsia" w:ascii="Times New Roman" w:hAnsi="Times New Roman" w:eastAsia="宋体" w:cs="宋体"/>
                <w:kern w:val="0"/>
                <w:szCs w:val="21"/>
              </w:rPr>
              <w:t>广州市、东莞市、深圳市</w:t>
            </w:r>
          </w:p>
        </w:tc>
        <w:tc>
          <w:tcPr>
            <w:tcW w:w="1479" w:type="dxa"/>
            <w:vAlign w:val="center"/>
          </w:tcPr>
          <w:p w14:paraId="48ABAF8B">
            <w:pPr>
              <w:jc w:val="center"/>
              <w:rPr>
                <w:rFonts w:ascii="Times New Roman" w:hAnsi="Times New Roman" w:eastAsia="宋体" w:cs="宋体"/>
                <w:kern w:val="0"/>
                <w:szCs w:val="21"/>
              </w:rPr>
            </w:pPr>
            <w:r>
              <w:rPr>
                <w:rFonts w:hint="eastAsia" w:ascii="Times New Roman" w:hAnsi="Times New Roman" w:eastAsia="宋体" w:cs="宋体"/>
                <w:kern w:val="0"/>
                <w:szCs w:val="21"/>
              </w:rPr>
              <w:t>商务部门</w:t>
            </w:r>
          </w:p>
        </w:tc>
      </w:tr>
      <w:tr w14:paraId="1AFC2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56574FD8">
            <w:pPr>
              <w:jc w:val="center"/>
              <w:rPr>
                <w:rFonts w:ascii="Times New Roman" w:hAnsi="Times New Roman" w:eastAsia="宋体" w:cs="宋体"/>
                <w:kern w:val="0"/>
                <w:szCs w:val="21"/>
              </w:rPr>
            </w:pPr>
            <w:r>
              <w:rPr>
                <w:rFonts w:hint="eastAsia" w:ascii="Times New Roman" w:hAnsi="Times New Roman" w:eastAsia="宋体" w:cs="宋体"/>
                <w:kern w:val="0"/>
                <w:szCs w:val="21"/>
              </w:rPr>
              <w:t>4</w:t>
            </w:r>
          </w:p>
        </w:tc>
        <w:tc>
          <w:tcPr>
            <w:tcW w:w="9072" w:type="dxa"/>
          </w:tcPr>
          <w:p w14:paraId="6E9EF5CC">
            <w:pPr>
              <w:rPr>
                <w:rFonts w:ascii="Times New Roman" w:hAnsi="Times New Roman" w:eastAsia="宋体" w:cs="宋体"/>
                <w:kern w:val="0"/>
                <w:szCs w:val="21"/>
              </w:rPr>
            </w:pPr>
            <w:r>
              <w:rPr>
                <w:rFonts w:hint="eastAsia" w:ascii="Times New Roman" w:hAnsi="Times New Roman" w:eastAsia="宋体" w:cs="宋体"/>
                <w:kern w:val="0"/>
                <w:szCs w:val="21"/>
              </w:rPr>
              <w:t>加强智能制造产业协作，共建珠江-东江智创协同的万亿级智能智造产业带。</w:t>
            </w:r>
          </w:p>
        </w:tc>
        <w:tc>
          <w:tcPr>
            <w:tcW w:w="2693" w:type="dxa"/>
            <w:vAlign w:val="center"/>
          </w:tcPr>
          <w:p w14:paraId="63487543">
            <w:pPr>
              <w:jc w:val="center"/>
              <w:rPr>
                <w:rFonts w:ascii="Times New Roman" w:hAnsi="Times New Roman" w:eastAsia="宋体" w:cs="宋体"/>
                <w:kern w:val="0"/>
                <w:szCs w:val="21"/>
              </w:rPr>
            </w:pPr>
            <w:r>
              <w:rPr>
                <w:rFonts w:hint="eastAsia" w:ascii="Times New Roman" w:hAnsi="Times New Roman" w:eastAsia="宋体" w:cs="宋体"/>
                <w:kern w:val="0"/>
                <w:szCs w:val="21"/>
              </w:rPr>
              <w:t>广州市、东莞市、深圳市</w:t>
            </w:r>
          </w:p>
        </w:tc>
        <w:tc>
          <w:tcPr>
            <w:tcW w:w="1479" w:type="dxa"/>
            <w:vAlign w:val="center"/>
          </w:tcPr>
          <w:p w14:paraId="6DC789BE">
            <w:pPr>
              <w:jc w:val="center"/>
              <w:rPr>
                <w:rFonts w:ascii="Times New Roman" w:hAnsi="Times New Roman" w:eastAsia="宋体" w:cs="宋体"/>
                <w:kern w:val="0"/>
                <w:szCs w:val="21"/>
              </w:rPr>
            </w:pPr>
            <w:r>
              <w:rPr>
                <w:rFonts w:hint="eastAsia" w:ascii="Times New Roman" w:hAnsi="Times New Roman" w:eastAsia="宋体" w:cs="宋体"/>
                <w:kern w:val="0"/>
                <w:szCs w:val="21"/>
              </w:rPr>
              <w:t>工信部门</w:t>
            </w:r>
          </w:p>
        </w:tc>
      </w:tr>
      <w:tr w14:paraId="4C3743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56A1CEC9">
            <w:pPr>
              <w:jc w:val="center"/>
              <w:rPr>
                <w:rFonts w:ascii="Times New Roman" w:hAnsi="Times New Roman" w:eastAsia="宋体" w:cs="宋体"/>
                <w:kern w:val="0"/>
                <w:szCs w:val="21"/>
              </w:rPr>
            </w:pPr>
            <w:r>
              <w:rPr>
                <w:rFonts w:hint="eastAsia" w:ascii="Times New Roman" w:hAnsi="Times New Roman" w:eastAsia="宋体" w:cs="宋体"/>
                <w:kern w:val="0"/>
                <w:szCs w:val="21"/>
              </w:rPr>
              <w:t>5</w:t>
            </w:r>
          </w:p>
        </w:tc>
        <w:tc>
          <w:tcPr>
            <w:tcW w:w="9072" w:type="dxa"/>
          </w:tcPr>
          <w:p w14:paraId="1886C831">
            <w:pPr>
              <w:rPr>
                <w:rFonts w:ascii="Times New Roman" w:hAnsi="Times New Roman" w:eastAsia="宋体" w:cs="宋体"/>
                <w:kern w:val="0"/>
                <w:szCs w:val="21"/>
              </w:rPr>
            </w:pPr>
            <w:r>
              <w:rPr>
                <w:rFonts w:hint="eastAsia" w:ascii="Times New Roman" w:hAnsi="Times New Roman" w:eastAsia="宋体" w:cs="宋体"/>
                <w:kern w:val="0"/>
                <w:szCs w:val="21"/>
              </w:rPr>
              <w:t>强化绿色农业协作。开展供销系统合作，建设农业保供示范基地、农产品质量检验检测中心和农副产品批发市场，规划建设珠江东岸都市农业标准化示范区。</w:t>
            </w:r>
          </w:p>
        </w:tc>
        <w:tc>
          <w:tcPr>
            <w:tcW w:w="2693" w:type="dxa"/>
            <w:vAlign w:val="center"/>
          </w:tcPr>
          <w:p w14:paraId="05BACB1C">
            <w:pPr>
              <w:jc w:val="center"/>
              <w:rPr>
                <w:rFonts w:ascii="Times New Roman" w:hAnsi="Times New Roman" w:eastAsia="宋体" w:cs="宋体"/>
                <w:kern w:val="0"/>
                <w:szCs w:val="21"/>
              </w:rPr>
            </w:pPr>
            <w:r>
              <w:rPr>
                <w:rFonts w:hint="eastAsia" w:ascii="Times New Roman" w:hAnsi="Times New Roman" w:eastAsia="宋体" w:cs="宋体"/>
                <w:kern w:val="0"/>
                <w:szCs w:val="21"/>
              </w:rPr>
              <w:t>广州市、东莞市、深圳市</w:t>
            </w:r>
          </w:p>
        </w:tc>
        <w:tc>
          <w:tcPr>
            <w:tcW w:w="1479" w:type="dxa"/>
            <w:vAlign w:val="center"/>
          </w:tcPr>
          <w:p w14:paraId="6A0E9356">
            <w:pPr>
              <w:jc w:val="center"/>
              <w:rPr>
                <w:rFonts w:ascii="Times New Roman" w:hAnsi="Times New Roman" w:eastAsia="宋体" w:cs="宋体"/>
                <w:kern w:val="0"/>
                <w:szCs w:val="21"/>
              </w:rPr>
            </w:pPr>
            <w:r>
              <w:rPr>
                <w:rFonts w:hint="eastAsia" w:ascii="Times New Roman" w:hAnsi="Times New Roman" w:eastAsia="宋体" w:cs="宋体"/>
                <w:kern w:val="0"/>
                <w:szCs w:val="21"/>
              </w:rPr>
              <w:t>农业农村部门</w:t>
            </w:r>
          </w:p>
        </w:tc>
      </w:tr>
      <w:tr w14:paraId="1DD30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7F32D477">
            <w:pPr>
              <w:jc w:val="center"/>
              <w:rPr>
                <w:rFonts w:ascii="Times New Roman" w:hAnsi="Times New Roman" w:eastAsia="宋体" w:cs="宋体"/>
                <w:kern w:val="0"/>
                <w:szCs w:val="21"/>
              </w:rPr>
            </w:pPr>
            <w:r>
              <w:rPr>
                <w:rFonts w:hint="eastAsia" w:ascii="Times New Roman" w:hAnsi="Times New Roman" w:eastAsia="宋体" w:cs="宋体"/>
                <w:kern w:val="0"/>
                <w:szCs w:val="21"/>
              </w:rPr>
              <w:t>6</w:t>
            </w:r>
          </w:p>
        </w:tc>
        <w:tc>
          <w:tcPr>
            <w:tcW w:w="9072" w:type="dxa"/>
          </w:tcPr>
          <w:p w14:paraId="5C0DC400">
            <w:pPr>
              <w:rPr>
                <w:rFonts w:ascii="Times New Roman" w:hAnsi="Times New Roman" w:eastAsia="宋体" w:cs="宋体"/>
                <w:kern w:val="0"/>
                <w:szCs w:val="21"/>
              </w:rPr>
            </w:pPr>
            <w:r>
              <w:rPr>
                <w:rFonts w:hint="eastAsia" w:ascii="Times New Roman" w:hAnsi="Times New Roman" w:eastAsia="宋体" w:cs="宋体"/>
                <w:kern w:val="0"/>
                <w:szCs w:val="21"/>
              </w:rPr>
              <w:t>融通一体的营商环境，打造“互联网+政务服务”平台，深化政务服务一体化和广深莞博业务通办建设，为企业和群众真正实现四地跨区域办理事项“只跑一次”。</w:t>
            </w:r>
          </w:p>
        </w:tc>
        <w:tc>
          <w:tcPr>
            <w:tcW w:w="2693" w:type="dxa"/>
            <w:vAlign w:val="center"/>
          </w:tcPr>
          <w:p w14:paraId="17252E10">
            <w:pPr>
              <w:jc w:val="center"/>
              <w:rPr>
                <w:rFonts w:ascii="Times New Roman" w:hAnsi="Times New Roman" w:eastAsia="宋体" w:cs="宋体"/>
                <w:kern w:val="0"/>
                <w:szCs w:val="21"/>
              </w:rPr>
            </w:pPr>
            <w:r>
              <w:rPr>
                <w:rFonts w:hint="eastAsia" w:ascii="Times New Roman" w:hAnsi="Times New Roman" w:eastAsia="宋体" w:cs="宋体"/>
                <w:kern w:val="0"/>
                <w:szCs w:val="21"/>
              </w:rPr>
              <w:t>广州市、东莞市、深圳市</w:t>
            </w:r>
          </w:p>
        </w:tc>
        <w:tc>
          <w:tcPr>
            <w:tcW w:w="1479" w:type="dxa"/>
            <w:vAlign w:val="center"/>
          </w:tcPr>
          <w:p w14:paraId="0864CB2C">
            <w:pPr>
              <w:jc w:val="center"/>
              <w:rPr>
                <w:rFonts w:ascii="Times New Roman" w:hAnsi="Times New Roman" w:eastAsia="宋体" w:cs="宋体"/>
                <w:kern w:val="0"/>
                <w:szCs w:val="21"/>
              </w:rPr>
            </w:pPr>
            <w:r>
              <w:rPr>
                <w:rFonts w:hint="eastAsia" w:ascii="Times New Roman" w:hAnsi="Times New Roman" w:eastAsia="宋体" w:cs="宋体"/>
                <w:kern w:val="0"/>
                <w:szCs w:val="21"/>
              </w:rPr>
              <w:t>区县政府</w:t>
            </w:r>
          </w:p>
        </w:tc>
      </w:tr>
      <w:tr w14:paraId="5EAFD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8" w:type="dxa"/>
            <w:gridSpan w:val="4"/>
            <w:vAlign w:val="center"/>
          </w:tcPr>
          <w:p w14:paraId="431A2FFD">
            <w:pPr>
              <w:jc w:val="left"/>
              <w:rPr>
                <w:rFonts w:ascii="Times New Roman" w:hAnsi="Times New Roman" w:eastAsia="宋体" w:cs="宋体"/>
                <w:kern w:val="0"/>
                <w:szCs w:val="21"/>
              </w:rPr>
            </w:pPr>
            <w:r>
              <w:rPr>
                <w:rFonts w:hint="eastAsia" w:ascii="仿宋_GB2312" w:hAnsi="Times New Roman" w:eastAsia="仿宋_GB2312" w:cs="楷体_GB2312"/>
                <w:b/>
                <w:sz w:val="24"/>
                <w:szCs w:val="24"/>
                <w14:ligatures w14:val="none"/>
              </w:rPr>
              <w:t>三、推动生态环境协同保护</w:t>
            </w:r>
          </w:p>
        </w:tc>
      </w:tr>
      <w:tr w14:paraId="0F1C3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BBA0AD2">
            <w:pPr>
              <w:jc w:val="center"/>
              <w:rPr>
                <w:rFonts w:ascii="Times New Roman" w:hAnsi="Times New Roman" w:eastAsia="宋体" w:cs="宋体"/>
                <w:kern w:val="0"/>
                <w:szCs w:val="21"/>
              </w:rPr>
            </w:pPr>
            <w:r>
              <w:rPr>
                <w:rFonts w:hint="eastAsia" w:ascii="Times New Roman" w:hAnsi="Times New Roman" w:eastAsia="宋体" w:cs="宋体"/>
                <w:kern w:val="0"/>
                <w:szCs w:val="21"/>
              </w:rPr>
              <w:t>1</w:t>
            </w:r>
          </w:p>
        </w:tc>
        <w:tc>
          <w:tcPr>
            <w:tcW w:w="9072" w:type="dxa"/>
          </w:tcPr>
          <w:p w14:paraId="4B3DD4A8">
            <w:pPr>
              <w:rPr>
                <w:rFonts w:ascii="Times New Roman" w:hAnsi="Times New Roman" w:eastAsia="宋体" w:cs="宋体"/>
                <w:kern w:val="0"/>
                <w:szCs w:val="21"/>
              </w:rPr>
            </w:pPr>
            <w:r>
              <w:rPr>
                <w:rFonts w:hint="eastAsia" w:ascii="Times New Roman" w:hAnsi="Times New Roman" w:eastAsia="宋体" w:cs="宋体"/>
                <w:kern w:val="0"/>
                <w:szCs w:val="21"/>
              </w:rPr>
              <w:t>东江流域水生态治理保护。</w:t>
            </w:r>
          </w:p>
        </w:tc>
        <w:tc>
          <w:tcPr>
            <w:tcW w:w="2693" w:type="dxa"/>
          </w:tcPr>
          <w:p w14:paraId="1E141DFB">
            <w:pPr>
              <w:jc w:val="center"/>
              <w:rPr>
                <w:rFonts w:ascii="Times New Roman" w:hAnsi="Times New Roman" w:eastAsia="宋体" w:cs="宋体"/>
                <w:kern w:val="0"/>
                <w:szCs w:val="21"/>
              </w:rPr>
            </w:pPr>
            <w:r>
              <w:rPr>
                <w:rFonts w:hint="eastAsia" w:ascii="Times New Roman" w:hAnsi="Times New Roman" w:eastAsia="宋体" w:cs="宋体"/>
                <w:kern w:val="0"/>
                <w:szCs w:val="21"/>
              </w:rPr>
              <w:t>广州市、东莞市</w:t>
            </w:r>
          </w:p>
        </w:tc>
        <w:tc>
          <w:tcPr>
            <w:tcW w:w="1479" w:type="dxa"/>
            <w:vAlign w:val="center"/>
          </w:tcPr>
          <w:p w14:paraId="04CEDDB6">
            <w:pPr>
              <w:jc w:val="center"/>
              <w:rPr>
                <w:rFonts w:ascii="Times New Roman" w:hAnsi="Times New Roman" w:eastAsia="宋体" w:cs="宋体"/>
                <w:kern w:val="0"/>
                <w:szCs w:val="21"/>
              </w:rPr>
            </w:pPr>
            <w:r>
              <w:rPr>
                <w:rFonts w:hint="eastAsia" w:ascii="Times New Roman" w:hAnsi="Times New Roman" w:eastAsia="宋体" w:cs="宋体"/>
                <w:kern w:val="0"/>
                <w:szCs w:val="21"/>
              </w:rPr>
              <w:t>区县政府</w:t>
            </w:r>
          </w:p>
        </w:tc>
      </w:tr>
      <w:tr w14:paraId="6C0D2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47E08DA9">
            <w:pPr>
              <w:jc w:val="center"/>
              <w:rPr>
                <w:rFonts w:ascii="Times New Roman" w:hAnsi="Times New Roman" w:eastAsia="宋体" w:cs="宋体"/>
                <w:kern w:val="0"/>
                <w:szCs w:val="21"/>
              </w:rPr>
            </w:pPr>
            <w:r>
              <w:rPr>
                <w:rFonts w:hint="eastAsia" w:ascii="Times New Roman" w:hAnsi="Times New Roman" w:eastAsia="宋体" w:cs="宋体"/>
                <w:kern w:val="0"/>
                <w:szCs w:val="21"/>
              </w:rPr>
              <w:t>2</w:t>
            </w:r>
          </w:p>
        </w:tc>
        <w:tc>
          <w:tcPr>
            <w:tcW w:w="9072" w:type="dxa"/>
          </w:tcPr>
          <w:p w14:paraId="0CA76EDB">
            <w:pPr>
              <w:rPr>
                <w:rFonts w:ascii="Times New Roman" w:hAnsi="Times New Roman" w:eastAsia="宋体" w:cs="宋体"/>
                <w:kern w:val="0"/>
                <w:szCs w:val="21"/>
              </w:rPr>
            </w:pPr>
            <w:r>
              <w:rPr>
                <w:rFonts w:hint="eastAsia" w:ascii="Times New Roman" w:hAnsi="Times New Roman" w:eastAsia="宋体" w:cs="宋体"/>
                <w:kern w:val="0"/>
                <w:szCs w:val="21"/>
              </w:rPr>
              <w:t>东江航道扩能升级工程（博罗至东莞石龙段）。</w:t>
            </w:r>
          </w:p>
        </w:tc>
        <w:tc>
          <w:tcPr>
            <w:tcW w:w="2693" w:type="dxa"/>
          </w:tcPr>
          <w:p w14:paraId="0E546E99">
            <w:pPr>
              <w:jc w:val="center"/>
              <w:rPr>
                <w:rFonts w:ascii="Times New Roman" w:hAnsi="Times New Roman" w:eastAsia="宋体" w:cs="宋体"/>
                <w:kern w:val="0"/>
                <w:szCs w:val="21"/>
              </w:rPr>
            </w:pPr>
            <w:r>
              <w:rPr>
                <w:rFonts w:hint="eastAsia" w:ascii="Times New Roman" w:hAnsi="Times New Roman" w:eastAsia="宋体" w:cs="宋体"/>
                <w:kern w:val="0"/>
                <w:szCs w:val="21"/>
              </w:rPr>
              <w:t>广州市、东莞市</w:t>
            </w:r>
          </w:p>
        </w:tc>
        <w:tc>
          <w:tcPr>
            <w:tcW w:w="1479" w:type="dxa"/>
            <w:vAlign w:val="center"/>
          </w:tcPr>
          <w:p w14:paraId="5823AF69">
            <w:pPr>
              <w:jc w:val="center"/>
              <w:rPr>
                <w:rFonts w:ascii="Times New Roman" w:hAnsi="Times New Roman" w:eastAsia="宋体" w:cs="宋体"/>
                <w:kern w:val="0"/>
                <w:szCs w:val="21"/>
              </w:rPr>
            </w:pPr>
            <w:r>
              <w:rPr>
                <w:rFonts w:hint="eastAsia" w:ascii="Times New Roman" w:hAnsi="Times New Roman" w:eastAsia="宋体" w:cs="宋体"/>
                <w:kern w:val="0"/>
                <w:szCs w:val="21"/>
              </w:rPr>
              <w:t>区县政府</w:t>
            </w:r>
          </w:p>
        </w:tc>
      </w:tr>
      <w:tr w14:paraId="68C48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4EE1A91E">
            <w:pPr>
              <w:jc w:val="center"/>
              <w:rPr>
                <w:rFonts w:ascii="Times New Roman" w:hAnsi="Times New Roman" w:eastAsia="宋体" w:cs="宋体"/>
                <w:kern w:val="0"/>
                <w:szCs w:val="21"/>
              </w:rPr>
            </w:pPr>
            <w:r>
              <w:rPr>
                <w:rFonts w:hint="eastAsia" w:ascii="Times New Roman" w:hAnsi="Times New Roman" w:eastAsia="宋体" w:cs="宋体"/>
                <w:kern w:val="0"/>
                <w:szCs w:val="21"/>
              </w:rPr>
              <w:t>3</w:t>
            </w:r>
          </w:p>
        </w:tc>
        <w:tc>
          <w:tcPr>
            <w:tcW w:w="9072" w:type="dxa"/>
          </w:tcPr>
          <w:p w14:paraId="4221B8F1">
            <w:pPr>
              <w:rPr>
                <w:rFonts w:ascii="Times New Roman" w:hAnsi="Times New Roman" w:eastAsia="宋体" w:cs="宋体"/>
                <w:kern w:val="0"/>
                <w:szCs w:val="21"/>
              </w:rPr>
            </w:pPr>
            <w:bookmarkStart w:id="224" w:name="OLE_LINK38"/>
            <w:r>
              <w:rPr>
                <w:rFonts w:hint="eastAsia" w:ascii="Times New Roman" w:hAnsi="Times New Roman" w:eastAsia="宋体" w:cs="宋体"/>
                <w:kern w:val="0"/>
                <w:szCs w:val="21"/>
              </w:rPr>
              <w:t>东江万里碧道建设</w:t>
            </w:r>
            <w:bookmarkEnd w:id="224"/>
            <w:r>
              <w:rPr>
                <w:rFonts w:hint="eastAsia" w:ascii="Times New Roman" w:hAnsi="Times New Roman" w:eastAsia="宋体" w:cs="宋体"/>
                <w:kern w:val="0"/>
                <w:szCs w:val="21"/>
              </w:rPr>
              <w:t>（统筹推进治水、治城、治产相结合，建设魅力湾区、彰显岭南水乡特色的都市亲水空间和创新创业平台）。</w:t>
            </w:r>
          </w:p>
        </w:tc>
        <w:tc>
          <w:tcPr>
            <w:tcW w:w="2693" w:type="dxa"/>
          </w:tcPr>
          <w:p w14:paraId="22C0D59C">
            <w:pPr>
              <w:jc w:val="center"/>
              <w:rPr>
                <w:rFonts w:ascii="Times New Roman" w:hAnsi="Times New Roman" w:eastAsia="宋体" w:cs="宋体"/>
                <w:kern w:val="0"/>
                <w:szCs w:val="21"/>
              </w:rPr>
            </w:pPr>
            <w:r>
              <w:rPr>
                <w:rFonts w:hint="eastAsia" w:ascii="Times New Roman" w:hAnsi="Times New Roman" w:eastAsia="宋体" w:cs="宋体"/>
                <w:kern w:val="0"/>
                <w:szCs w:val="21"/>
              </w:rPr>
              <w:t>广州市、东莞市</w:t>
            </w:r>
          </w:p>
        </w:tc>
        <w:tc>
          <w:tcPr>
            <w:tcW w:w="1479" w:type="dxa"/>
          </w:tcPr>
          <w:p w14:paraId="5ACF9644">
            <w:pPr>
              <w:jc w:val="center"/>
              <w:rPr>
                <w:rFonts w:ascii="Times New Roman" w:hAnsi="Times New Roman" w:eastAsia="宋体" w:cs="宋体"/>
                <w:kern w:val="0"/>
                <w:szCs w:val="21"/>
              </w:rPr>
            </w:pPr>
            <w:r>
              <w:rPr>
                <w:rFonts w:hint="eastAsia" w:ascii="Times New Roman" w:hAnsi="Times New Roman" w:eastAsia="宋体" w:cs="宋体"/>
                <w:kern w:val="0"/>
                <w:szCs w:val="21"/>
              </w:rPr>
              <w:t>区县政府</w:t>
            </w:r>
          </w:p>
        </w:tc>
      </w:tr>
      <w:tr w14:paraId="3FD61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57216962">
            <w:pPr>
              <w:jc w:val="center"/>
              <w:rPr>
                <w:rFonts w:ascii="Times New Roman" w:hAnsi="Times New Roman" w:eastAsia="宋体" w:cs="宋体"/>
                <w:kern w:val="0"/>
                <w:szCs w:val="21"/>
              </w:rPr>
            </w:pPr>
            <w:r>
              <w:rPr>
                <w:rFonts w:hint="eastAsia" w:ascii="Times New Roman" w:hAnsi="Times New Roman" w:eastAsia="宋体" w:cs="宋体"/>
                <w:kern w:val="0"/>
                <w:szCs w:val="21"/>
              </w:rPr>
              <w:t>4</w:t>
            </w:r>
          </w:p>
        </w:tc>
        <w:tc>
          <w:tcPr>
            <w:tcW w:w="9072" w:type="dxa"/>
          </w:tcPr>
          <w:p w14:paraId="37D4AEF7">
            <w:pPr>
              <w:rPr>
                <w:rFonts w:ascii="Times New Roman" w:hAnsi="Times New Roman" w:eastAsia="宋体" w:cs="宋体"/>
                <w:kern w:val="0"/>
                <w:szCs w:val="21"/>
              </w:rPr>
            </w:pPr>
            <w:r>
              <w:rPr>
                <w:rFonts w:hint="eastAsia" w:ascii="Times New Roman" w:hAnsi="Times New Roman" w:eastAsia="宋体" w:cs="宋体"/>
                <w:kern w:val="0"/>
                <w:szCs w:val="21"/>
              </w:rPr>
              <w:t>应急管理跨区域合作。</w:t>
            </w:r>
          </w:p>
        </w:tc>
        <w:tc>
          <w:tcPr>
            <w:tcW w:w="2693" w:type="dxa"/>
          </w:tcPr>
          <w:p w14:paraId="754915D0">
            <w:pPr>
              <w:jc w:val="center"/>
              <w:rPr>
                <w:rFonts w:ascii="Times New Roman" w:hAnsi="Times New Roman" w:eastAsia="宋体" w:cs="宋体"/>
                <w:kern w:val="0"/>
                <w:szCs w:val="21"/>
              </w:rPr>
            </w:pPr>
            <w:r>
              <w:rPr>
                <w:rFonts w:hint="eastAsia" w:ascii="Times New Roman" w:hAnsi="Times New Roman" w:eastAsia="宋体" w:cs="宋体"/>
                <w:kern w:val="0"/>
                <w:szCs w:val="21"/>
              </w:rPr>
              <w:t>广州市、东莞市</w:t>
            </w:r>
          </w:p>
        </w:tc>
        <w:tc>
          <w:tcPr>
            <w:tcW w:w="1479" w:type="dxa"/>
          </w:tcPr>
          <w:p w14:paraId="0FD6D5D6">
            <w:pPr>
              <w:jc w:val="center"/>
              <w:rPr>
                <w:rFonts w:ascii="Times New Roman" w:hAnsi="Times New Roman" w:eastAsia="宋体" w:cs="宋体"/>
                <w:kern w:val="0"/>
                <w:szCs w:val="21"/>
              </w:rPr>
            </w:pPr>
            <w:r>
              <w:rPr>
                <w:rFonts w:hint="eastAsia" w:ascii="Times New Roman" w:hAnsi="Times New Roman" w:eastAsia="宋体" w:cs="宋体"/>
                <w:kern w:val="0"/>
                <w:szCs w:val="21"/>
              </w:rPr>
              <w:t>区县政府</w:t>
            </w:r>
          </w:p>
        </w:tc>
      </w:tr>
      <w:tr w14:paraId="79F64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8" w:type="dxa"/>
            <w:gridSpan w:val="4"/>
            <w:vAlign w:val="center"/>
          </w:tcPr>
          <w:p w14:paraId="142C138A">
            <w:pPr>
              <w:jc w:val="left"/>
              <w:rPr>
                <w:rFonts w:ascii="Times New Roman" w:hAnsi="Times New Roman" w:eastAsia="宋体" w:cs="宋体"/>
                <w:kern w:val="0"/>
                <w:szCs w:val="21"/>
              </w:rPr>
            </w:pPr>
            <w:r>
              <w:rPr>
                <w:rFonts w:hint="eastAsia" w:ascii="仿宋_GB2312" w:hAnsi="Times New Roman" w:eastAsia="仿宋_GB2312" w:cs="楷体_GB2312"/>
                <w:b/>
                <w:sz w:val="24"/>
                <w:szCs w:val="24"/>
                <w14:ligatures w14:val="none"/>
              </w:rPr>
              <w:t>四、推动公共服务共建共享</w:t>
            </w:r>
          </w:p>
        </w:tc>
      </w:tr>
      <w:tr w14:paraId="7F3CD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779A225C">
            <w:pPr>
              <w:jc w:val="center"/>
              <w:rPr>
                <w:rFonts w:ascii="Times New Roman" w:hAnsi="Times New Roman" w:eastAsia="宋体" w:cs="宋体"/>
                <w:kern w:val="0"/>
                <w:szCs w:val="21"/>
              </w:rPr>
            </w:pPr>
            <w:r>
              <w:rPr>
                <w:rFonts w:hint="eastAsia" w:ascii="Times New Roman" w:hAnsi="Times New Roman" w:eastAsia="宋体" w:cs="宋体"/>
                <w:kern w:val="0"/>
                <w:szCs w:val="21"/>
              </w:rPr>
              <w:t>1</w:t>
            </w:r>
          </w:p>
        </w:tc>
        <w:tc>
          <w:tcPr>
            <w:tcW w:w="9072" w:type="dxa"/>
          </w:tcPr>
          <w:p w14:paraId="6F251622">
            <w:pPr>
              <w:rPr>
                <w:rFonts w:ascii="Times New Roman" w:hAnsi="Times New Roman" w:eastAsia="宋体" w:cs="宋体"/>
                <w:kern w:val="0"/>
                <w:szCs w:val="21"/>
              </w:rPr>
            </w:pPr>
            <w:r>
              <w:rPr>
                <w:rFonts w:hint="eastAsia" w:ascii="Times New Roman" w:hAnsi="Times New Roman" w:eastAsia="宋体" w:cs="宋体"/>
                <w:kern w:val="0"/>
                <w:szCs w:val="21"/>
              </w:rPr>
              <w:t>优质教育资源共享。引导广深高等级科研院所在博罗县域副中心设立校区。支持广深莞三地优质中小学对博罗县域副中心中小学结对共建，或设立分校。</w:t>
            </w:r>
          </w:p>
        </w:tc>
        <w:tc>
          <w:tcPr>
            <w:tcW w:w="2693" w:type="dxa"/>
            <w:vAlign w:val="center"/>
          </w:tcPr>
          <w:p w14:paraId="7CCF1A26">
            <w:pPr>
              <w:jc w:val="center"/>
              <w:rPr>
                <w:rFonts w:ascii="Times New Roman" w:hAnsi="Times New Roman" w:eastAsia="宋体" w:cs="宋体"/>
                <w:kern w:val="0"/>
                <w:szCs w:val="21"/>
              </w:rPr>
            </w:pPr>
            <w:r>
              <w:rPr>
                <w:rFonts w:hint="eastAsia" w:ascii="Times New Roman" w:hAnsi="Times New Roman" w:eastAsia="宋体" w:cs="宋体"/>
                <w:kern w:val="0"/>
                <w:szCs w:val="21"/>
              </w:rPr>
              <w:t>广州市、东莞市、深圳市</w:t>
            </w:r>
          </w:p>
        </w:tc>
        <w:tc>
          <w:tcPr>
            <w:tcW w:w="1479" w:type="dxa"/>
            <w:vAlign w:val="center"/>
          </w:tcPr>
          <w:p w14:paraId="302B1120">
            <w:pPr>
              <w:jc w:val="center"/>
              <w:rPr>
                <w:rFonts w:ascii="Times New Roman" w:hAnsi="Times New Roman" w:eastAsia="宋体" w:cs="宋体"/>
                <w:kern w:val="0"/>
                <w:szCs w:val="21"/>
              </w:rPr>
            </w:pPr>
            <w:r>
              <w:rPr>
                <w:rFonts w:hint="eastAsia" w:ascii="Times New Roman" w:hAnsi="Times New Roman" w:eastAsia="宋体" w:cs="宋体"/>
                <w:kern w:val="0"/>
                <w:szCs w:val="21"/>
              </w:rPr>
              <w:t>教育部门</w:t>
            </w:r>
          </w:p>
        </w:tc>
      </w:tr>
      <w:tr w14:paraId="60ECA8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5B79EFDE">
            <w:pPr>
              <w:jc w:val="center"/>
              <w:rPr>
                <w:rFonts w:ascii="Times New Roman" w:hAnsi="Times New Roman" w:eastAsia="宋体" w:cs="宋体"/>
                <w:kern w:val="0"/>
                <w:szCs w:val="21"/>
              </w:rPr>
            </w:pPr>
            <w:r>
              <w:rPr>
                <w:rFonts w:hint="eastAsia" w:ascii="Times New Roman" w:hAnsi="Times New Roman" w:eastAsia="宋体" w:cs="宋体"/>
                <w:kern w:val="0"/>
                <w:szCs w:val="21"/>
              </w:rPr>
              <w:t>2</w:t>
            </w:r>
          </w:p>
        </w:tc>
        <w:tc>
          <w:tcPr>
            <w:tcW w:w="9072" w:type="dxa"/>
          </w:tcPr>
          <w:p w14:paraId="6FF3F694">
            <w:pPr>
              <w:rPr>
                <w:rFonts w:ascii="Times New Roman" w:hAnsi="Times New Roman" w:eastAsia="宋体" w:cs="宋体"/>
                <w:kern w:val="0"/>
                <w:szCs w:val="21"/>
              </w:rPr>
            </w:pPr>
            <w:r>
              <w:rPr>
                <w:rFonts w:hint="eastAsia" w:ascii="Times New Roman" w:hAnsi="Times New Roman" w:eastAsia="宋体" w:cs="宋体"/>
                <w:kern w:val="0"/>
                <w:szCs w:val="21"/>
              </w:rPr>
              <w:t>优质医疗资源共享。支持广州大型综合医院、示范性卫生学校等到博罗县域副中心建立分院或分支机构，探索省、市级三甲医院托管博罗县域副中心内的二级医院。</w:t>
            </w:r>
          </w:p>
        </w:tc>
        <w:tc>
          <w:tcPr>
            <w:tcW w:w="2693" w:type="dxa"/>
            <w:vAlign w:val="center"/>
          </w:tcPr>
          <w:p w14:paraId="7D479149">
            <w:pPr>
              <w:jc w:val="center"/>
              <w:rPr>
                <w:rFonts w:ascii="Times New Roman" w:hAnsi="Times New Roman" w:eastAsia="宋体" w:cs="宋体"/>
                <w:kern w:val="0"/>
                <w:szCs w:val="21"/>
              </w:rPr>
            </w:pPr>
            <w:r>
              <w:rPr>
                <w:rFonts w:hint="eastAsia" w:ascii="Times New Roman" w:hAnsi="Times New Roman" w:eastAsia="宋体" w:cs="宋体"/>
                <w:kern w:val="0"/>
                <w:szCs w:val="21"/>
              </w:rPr>
              <w:t>广州市、东莞市、深圳市</w:t>
            </w:r>
          </w:p>
        </w:tc>
        <w:tc>
          <w:tcPr>
            <w:tcW w:w="1479" w:type="dxa"/>
            <w:vAlign w:val="center"/>
          </w:tcPr>
          <w:p w14:paraId="3D9D91BC">
            <w:pPr>
              <w:jc w:val="center"/>
              <w:rPr>
                <w:rFonts w:ascii="Times New Roman" w:hAnsi="Times New Roman" w:eastAsia="宋体" w:cs="宋体"/>
                <w:kern w:val="0"/>
                <w:szCs w:val="21"/>
              </w:rPr>
            </w:pPr>
            <w:r>
              <w:rPr>
                <w:rFonts w:hint="eastAsia" w:ascii="Times New Roman" w:hAnsi="Times New Roman" w:eastAsia="宋体" w:cs="宋体"/>
                <w:kern w:val="0"/>
                <w:szCs w:val="21"/>
              </w:rPr>
              <w:t>卫健部门</w:t>
            </w:r>
          </w:p>
        </w:tc>
      </w:tr>
      <w:tr w14:paraId="672F5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720EA97D">
            <w:pPr>
              <w:jc w:val="center"/>
              <w:rPr>
                <w:rFonts w:ascii="Times New Roman" w:hAnsi="Times New Roman" w:eastAsia="宋体" w:cs="宋体"/>
                <w:kern w:val="0"/>
                <w:szCs w:val="21"/>
              </w:rPr>
            </w:pPr>
            <w:r>
              <w:rPr>
                <w:rFonts w:hint="eastAsia" w:ascii="Times New Roman" w:hAnsi="Times New Roman" w:eastAsia="宋体" w:cs="宋体"/>
                <w:kern w:val="0"/>
                <w:szCs w:val="21"/>
              </w:rPr>
              <w:t>3</w:t>
            </w:r>
          </w:p>
        </w:tc>
        <w:tc>
          <w:tcPr>
            <w:tcW w:w="9072" w:type="dxa"/>
          </w:tcPr>
          <w:p w14:paraId="378921AA">
            <w:pPr>
              <w:rPr>
                <w:rFonts w:ascii="Times New Roman" w:hAnsi="Times New Roman" w:eastAsia="宋体" w:cs="宋体"/>
                <w:kern w:val="0"/>
                <w:szCs w:val="21"/>
              </w:rPr>
            </w:pPr>
            <w:r>
              <w:rPr>
                <w:rFonts w:hint="eastAsia" w:ascii="Times New Roman" w:hAnsi="Times New Roman" w:eastAsia="宋体" w:cs="宋体"/>
                <w:kern w:val="0"/>
                <w:szCs w:val="21"/>
              </w:rPr>
              <w:t>深化公共服务改革。探索建设广深莞博四地统一的社会保险公共服务平台，有序施行基本医疗保险异地门诊即时结算合作，推行医保目录和报销政策统筹衔接，以及住房公积金转移接续和异地贷款等。</w:t>
            </w:r>
          </w:p>
        </w:tc>
        <w:tc>
          <w:tcPr>
            <w:tcW w:w="2693" w:type="dxa"/>
            <w:vAlign w:val="center"/>
          </w:tcPr>
          <w:p w14:paraId="22DD36F9">
            <w:pPr>
              <w:jc w:val="center"/>
              <w:rPr>
                <w:rFonts w:ascii="Times New Roman" w:hAnsi="Times New Roman" w:eastAsia="宋体" w:cs="宋体"/>
                <w:kern w:val="0"/>
                <w:szCs w:val="21"/>
              </w:rPr>
            </w:pPr>
            <w:r>
              <w:rPr>
                <w:rFonts w:hint="eastAsia" w:ascii="Times New Roman" w:hAnsi="Times New Roman" w:eastAsia="宋体" w:cs="宋体"/>
                <w:kern w:val="0"/>
                <w:szCs w:val="21"/>
              </w:rPr>
              <w:t>广州市、东莞市、深圳市</w:t>
            </w:r>
          </w:p>
        </w:tc>
        <w:tc>
          <w:tcPr>
            <w:tcW w:w="1479" w:type="dxa"/>
            <w:vAlign w:val="center"/>
          </w:tcPr>
          <w:p w14:paraId="1B92BB7C">
            <w:pPr>
              <w:jc w:val="center"/>
              <w:rPr>
                <w:rFonts w:ascii="Times New Roman" w:hAnsi="Times New Roman" w:eastAsia="宋体" w:cs="宋体"/>
                <w:kern w:val="0"/>
                <w:szCs w:val="21"/>
              </w:rPr>
            </w:pPr>
            <w:r>
              <w:rPr>
                <w:rFonts w:hint="eastAsia" w:ascii="Times New Roman" w:hAnsi="Times New Roman" w:eastAsia="宋体" w:cs="宋体"/>
                <w:kern w:val="0"/>
                <w:szCs w:val="21"/>
              </w:rPr>
              <w:t>人力资源和社会保障部门</w:t>
            </w:r>
          </w:p>
        </w:tc>
      </w:tr>
      <w:tr w14:paraId="0885F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D9F313F">
            <w:pPr>
              <w:jc w:val="center"/>
              <w:rPr>
                <w:rFonts w:ascii="Times New Roman" w:hAnsi="Times New Roman" w:eastAsia="宋体" w:cs="宋体"/>
                <w:kern w:val="0"/>
                <w:szCs w:val="21"/>
              </w:rPr>
            </w:pPr>
            <w:r>
              <w:rPr>
                <w:rFonts w:hint="eastAsia" w:ascii="Times New Roman" w:hAnsi="Times New Roman" w:eastAsia="宋体" w:cs="宋体"/>
                <w:kern w:val="0"/>
                <w:szCs w:val="21"/>
              </w:rPr>
              <w:t>4</w:t>
            </w:r>
          </w:p>
        </w:tc>
        <w:tc>
          <w:tcPr>
            <w:tcW w:w="9072" w:type="dxa"/>
          </w:tcPr>
          <w:p w14:paraId="7F30F268">
            <w:pPr>
              <w:rPr>
                <w:rFonts w:ascii="Times New Roman" w:hAnsi="Times New Roman" w:eastAsia="宋体" w:cs="宋体"/>
                <w:kern w:val="0"/>
                <w:szCs w:val="21"/>
              </w:rPr>
            </w:pPr>
            <w:r>
              <w:rPr>
                <w:rFonts w:hint="eastAsia" w:ascii="Times New Roman" w:hAnsi="Times New Roman" w:eastAsia="宋体" w:cs="宋体"/>
                <w:kern w:val="0"/>
                <w:szCs w:val="21"/>
              </w:rPr>
              <w:t>加强文体交流合作。合作开展东江流域历史文化游径研究。推动广深莞博四地公共图书馆文献资源共建共享。加强体育交流合作，联合举办或互相参加竞技性体育赛事和群众性体育活动</w:t>
            </w:r>
          </w:p>
        </w:tc>
        <w:tc>
          <w:tcPr>
            <w:tcW w:w="2693" w:type="dxa"/>
            <w:vAlign w:val="center"/>
          </w:tcPr>
          <w:p w14:paraId="13D08CA6">
            <w:pPr>
              <w:jc w:val="center"/>
              <w:rPr>
                <w:rFonts w:ascii="Times New Roman" w:hAnsi="Times New Roman" w:eastAsia="宋体" w:cs="宋体"/>
                <w:kern w:val="0"/>
                <w:szCs w:val="21"/>
              </w:rPr>
            </w:pPr>
            <w:r>
              <w:rPr>
                <w:rFonts w:hint="eastAsia" w:ascii="Times New Roman" w:hAnsi="Times New Roman" w:eastAsia="宋体" w:cs="宋体"/>
                <w:kern w:val="0"/>
                <w:szCs w:val="21"/>
              </w:rPr>
              <w:t>广州市、东莞市、深圳市</w:t>
            </w:r>
          </w:p>
        </w:tc>
        <w:tc>
          <w:tcPr>
            <w:tcW w:w="1479" w:type="dxa"/>
            <w:vAlign w:val="center"/>
          </w:tcPr>
          <w:p w14:paraId="42B0825D">
            <w:pPr>
              <w:jc w:val="center"/>
              <w:rPr>
                <w:rFonts w:ascii="Times New Roman" w:hAnsi="Times New Roman" w:eastAsia="宋体" w:cs="宋体"/>
                <w:kern w:val="0"/>
                <w:szCs w:val="21"/>
              </w:rPr>
            </w:pPr>
            <w:r>
              <w:rPr>
                <w:rFonts w:hint="eastAsia" w:ascii="Times New Roman" w:hAnsi="Times New Roman" w:eastAsia="宋体" w:cs="宋体"/>
                <w:kern w:val="0"/>
                <w:szCs w:val="21"/>
              </w:rPr>
              <w:t>文体旅广部门</w:t>
            </w:r>
          </w:p>
        </w:tc>
      </w:tr>
      <w:tr w14:paraId="38E29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17518DCB">
            <w:pPr>
              <w:jc w:val="center"/>
              <w:rPr>
                <w:rFonts w:ascii="Times New Roman" w:hAnsi="Times New Roman" w:eastAsia="宋体" w:cs="宋体"/>
                <w:kern w:val="0"/>
                <w:szCs w:val="21"/>
              </w:rPr>
            </w:pPr>
            <w:r>
              <w:rPr>
                <w:rFonts w:hint="eastAsia" w:ascii="Times New Roman" w:hAnsi="Times New Roman" w:eastAsia="宋体" w:cs="宋体"/>
                <w:kern w:val="0"/>
                <w:szCs w:val="21"/>
              </w:rPr>
              <w:t>5</w:t>
            </w:r>
          </w:p>
        </w:tc>
        <w:tc>
          <w:tcPr>
            <w:tcW w:w="9072" w:type="dxa"/>
          </w:tcPr>
          <w:p w14:paraId="2EB95CCB">
            <w:pPr>
              <w:rPr>
                <w:rFonts w:ascii="Times New Roman" w:hAnsi="Times New Roman" w:eastAsia="宋体" w:cs="宋体"/>
                <w:kern w:val="0"/>
                <w:szCs w:val="21"/>
              </w:rPr>
            </w:pPr>
            <w:r>
              <w:rPr>
                <w:rFonts w:hint="eastAsia" w:ascii="Times New Roman" w:hAnsi="Times New Roman" w:eastAsia="宋体" w:cs="宋体"/>
                <w:kern w:val="0"/>
                <w:szCs w:val="21"/>
              </w:rPr>
              <w:t>人力资源和社会保障服务协作</w:t>
            </w:r>
            <w:bookmarkStart w:id="225" w:name="OLE_LINK35"/>
            <w:r>
              <w:rPr>
                <w:rFonts w:hint="eastAsia" w:ascii="Times New Roman" w:hAnsi="Times New Roman" w:eastAsia="宋体" w:cs="宋体"/>
                <w:kern w:val="0"/>
                <w:szCs w:val="21"/>
              </w:rPr>
              <w:t>。建设人力资源服务产业园</w:t>
            </w:r>
            <w:bookmarkEnd w:id="225"/>
            <w:r>
              <w:rPr>
                <w:rFonts w:hint="eastAsia" w:ascii="Times New Roman" w:hAnsi="Times New Roman" w:eastAsia="宋体" w:cs="宋体"/>
                <w:kern w:val="0"/>
                <w:szCs w:val="21"/>
              </w:rPr>
              <w:t>，共享</w:t>
            </w:r>
            <w:bookmarkStart w:id="226" w:name="OLE_LINK37"/>
            <w:bookmarkStart w:id="227" w:name="OLE_LINK36"/>
            <w:r>
              <w:rPr>
                <w:rFonts w:hint="eastAsia" w:ascii="Times New Roman" w:hAnsi="Times New Roman" w:eastAsia="宋体" w:cs="宋体"/>
                <w:kern w:val="0"/>
                <w:szCs w:val="21"/>
              </w:rPr>
              <w:t>人力资源信息、</w:t>
            </w:r>
            <w:bookmarkEnd w:id="226"/>
            <w:r>
              <w:rPr>
                <w:rFonts w:hint="eastAsia" w:ascii="Times New Roman" w:hAnsi="Times New Roman" w:eastAsia="宋体" w:cs="宋体"/>
                <w:kern w:val="0"/>
                <w:szCs w:val="21"/>
              </w:rPr>
              <w:t>互认资格职称、互通社保医保、共育人才合作等</w:t>
            </w:r>
            <w:bookmarkEnd w:id="227"/>
            <w:r>
              <w:rPr>
                <w:rFonts w:hint="eastAsia" w:ascii="Times New Roman" w:hAnsi="Times New Roman" w:eastAsia="宋体" w:cs="宋体"/>
                <w:kern w:val="0"/>
                <w:szCs w:val="21"/>
              </w:rPr>
              <w:t>。</w:t>
            </w:r>
          </w:p>
        </w:tc>
        <w:tc>
          <w:tcPr>
            <w:tcW w:w="2693" w:type="dxa"/>
            <w:vAlign w:val="center"/>
          </w:tcPr>
          <w:p w14:paraId="1829AC7E">
            <w:pPr>
              <w:jc w:val="center"/>
              <w:rPr>
                <w:rFonts w:ascii="Times New Roman" w:hAnsi="Times New Roman" w:eastAsia="宋体" w:cs="宋体"/>
                <w:kern w:val="0"/>
                <w:szCs w:val="21"/>
              </w:rPr>
            </w:pPr>
            <w:r>
              <w:rPr>
                <w:rFonts w:hint="eastAsia" w:ascii="Times New Roman" w:hAnsi="Times New Roman" w:eastAsia="宋体" w:cs="宋体"/>
                <w:kern w:val="0"/>
                <w:szCs w:val="21"/>
              </w:rPr>
              <w:t>广州市、东莞市、深圳市</w:t>
            </w:r>
          </w:p>
        </w:tc>
        <w:tc>
          <w:tcPr>
            <w:tcW w:w="1479" w:type="dxa"/>
            <w:vAlign w:val="center"/>
          </w:tcPr>
          <w:p w14:paraId="11CB21F6">
            <w:pPr>
              <w:jc w:val="center"/>
              <w:rPr>
                <w:rFonts w:ascii="Times New Roman" w:hAnsi="Times New Roman" w:eastAsia="宋体" w:cs="宋体"/>
                <w:kern w:val="0"/>
                <w:szCs w:val="21"/>
              </w:rPr>
            </w:pPr>
            <w:r>
              <w:rPr>
                <w:rFonts w:hint="eastAsia" w:ascii="Times New Roman" w:hAnsi="Times New Roman" w:eastAsia="宋体" w:cs="宋体"/>
                <w:kern w:val="0"/>
                <w:szCs w:val="21"/>
              </w:rPr>
              <w:t>人力资源和社会保障部门</w:t>
            </w:r>
          </w:p>
        </w:tc>
      </w:tr>
      <w:tr w14:paraId="6BD86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948" w:type="dxa"/>
            <w:gridSpan w:val="4"/>
            <w:vAlign w:val="center"/>
          </w:tcPr>
          <w:p w14:paraId="681795BD">
            <w:pPr>
              <w:jc w:val="left"/>
              <w:rPr>
                <w:rFonts w:ascii="Times New Roman" w:hAnsi="Times New Roman" w:eastAsia="宋体" w:cs="宋体"/>
                <w:kern w:val="0"/>
                <w:szCs w:val="21"/>
              </w:rPr>
            </w:pPr>
            <w:r>
              <w:rPr>
                <w:rFonts w:hint="eastAsia" w:ascii="仿宋_GB2312" w:hAnsi="Times New Roman" w:eastAsia="仿宋_GB2312" w:cs="楷体_GB2312"/>
                <w:b/>
                <w:sz w:val="24"/>
                <w:szCs w:val="24"/>
                <w14:ligatures w14:val="none"/>
              </w:rPr>
              <w:t>五、促进友好乡镇、园区结对</w:t>
            </w:r>
          </w:p>
        </w:tc>
      </w:tr>
      <w:tr w14:paraId="74137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6929BF3B">
            <w:pPr>
              <w:jc w:val="center"/>
              <w:rPr>
                <w:rFonts w:ascii="Times New Roman" w:hAnsi="Times New Roman" w:eastAsia="宋体" w:cs="宋体"/>
                <w:kern w:val="0"/>
                <w:szCs w:val="21"/>
              </w:rPr>
            </w:pPr>
            <w:r>
              <w:rPr>
                <w:rFonts w:hint="eastAsia" w:ascii="Times New Roman" w:hAnsi="Times New Roman" w:eastAsia="宋体" w:cs="宋体"/>
                <w:kern w:val="0"/>
                <w:szCs w:val="21"/>
              </w:rPr>
              <w:t>1</w:t>
            </w:r>
          </w:p>
        </w:tc>
        <w:tc>
          <w:tcPr>
            <w:tcW w:w="9072" w:type="dxa"/>
          </w:tcPr>
          <w:p w14:paraId="019A358B">
            <w:pPr>
              <w:rPr>
                <w:rFonts w:ascii="Times New Roman" w:hAnsi="Times New Roman" w:eastAsia="宋体" w:cs="宋体"/>
                <w:kern w:val="0"/>
                <w:szCs w:val="21"/>
              </w:rPr>
            </w:pPr>
            <w:r>
              <w:rPr>
                <w:rFonts w:hint="eastAsia" w:ascii="Times New Roman" w:hAnsi="Times New Roman" w:eastAsia="宋体" w:cs="宋体"/>
                <w:kern w:val="0"/>
                <w:szCs w:val="21"/>
              </w:rPr>
              <w:t>友好乡镇合作。推动石湾与石滩、石龙建立友好城镇，园洲与石排、企石建立友好城镇，</w:t>
            </w:r>
            <w:bookmarkStart w:id="228" w:name="OLE_LINK39"/>
            <w:r>
              <w:rPr>
                <w:rFonts w:hint="eastAsia" w:ascii="Times New Roman" w:hAnsi="Times New Roman" w:eastAsia="宋体" w:cs="宋体"/>
                <w:kern w:val="0"/>
                <w:szCs w:val="21"/>
              </w:rPr>
              <w:t>深化毗邻镇街的经济贸易、人员和信息往来。</w:t>
            </w:r>
            <w:bookmarkEnd w:id="228"/>
          </w:p>
        </w:tc>
        <w:tc>
          <w:tcPr>
            <w:tcW w:w="2693" w:type="dxa"/>
            <w:vAlign w:val="center"/>
          </w:tcPr>
          <w:p w14:paraId="1404D9AF">
            <w:pPr>
              <w:jc w:val="center"/>
              <w:rPr>
                <w:rFonts w:ascii="Times New Roman" w:hAnsi="Times New Roman" w:eastAsia="宋体" w:cs="宋体"/>
                <w:kern w:val="0"/>
                <w:szCs w:val="21"/>
                <w14:ligatures w14:val="none"/>
              </w:rPr>
            </w:pPr>
            <w:r>
              <w:rPr>
                <w:rFonts w:hint="eastAsia" w:ascii="Times New Roman" w:hAnsi="Times New Roman" w:eastAsia="宋体" w:cs="宋体"/>
                <w:kern w:val="0"/>
                <w:szCs w:val="21"/>
              </w:rPr>
              <w:t>石滩、石龙、石排、企石等镇</w:t>
            </w:r>
          </w:p>
        </w:tc>
        <w:tc>
          <w:tcPr>
            <w:tcW w:w="1479" w:type="dxa"/>
            <w:vAlign w:val="center"/>
          </w:tcPr>
          <w:p w14:paraId="191FCD4B">
            <w:pPr>
              <w:jc w:val="center"/>
              <w:rPr>
                <w:rFonts w:ascii="Times New Roman" w:hAnsi="Times New Roman" w:eastAsia="宋体" w:cs="宋体"/>
                <w:kern w:val="0"/>
                <w:szCs w:val="21"/>
                <w14:ligatures w14:val="none"/>
              </w:rPr>
            </w:pPr>
            <w:r>
              <w:rPr>
                <w:rFonts w:hint="eastAsia" w:ascii="Times New Roman" w:hAnsi="Times New Roman" w:eastAsia="宋体" w:cs="宋体"/>
                <w:kern w:val="0"/>
                <w:szCs w:val="21"/>
                <w14:ligatures w14:val="none"/>
              </w:rPr>
              <w:t>各镇政府</w:t>
            </w:r>
          </w:p>
        </w:tc>
      </w:tr>
      <w:tr w14:paraId="66C4B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14:paraId="29B5C9D5">
            <w:pPr>
              <w:jc w:val="center"/>
              <w:rPr>
                <w:rFonts w:ascii="Times New Roman" w:hAnsi="Times New Roman" w:eastAsia="宋体" w:cs="宋体"/>
                <w:kern w:val="0"/>
                <w:szCs w:val="21"/>
              </w:rPr>
            </w:pPr>
            <w:r>
              <w:rPr>
                <w:rFonts w:hint="eastAsia" w:ascii="Times New Roman" w:hAnsi="Times New Roman" w:eastAsia="宋体" w:cs="宋体"/>
                <w:kern w:val="0"/>
                <w:szCs w:val="21"/>
              </w:rPr>
              <w:t>2</w:t>
            </w:r>
          </w:p>
        </w:tc>
        <w:tc>
          <w:tcPr>
            <w:tcW w:w="9072" w:type="dxa"/>
          </w:tcPr>
          <w:p w14:paraId="3E0CAA99">
            <w:pPr>
              <w:rPr>
                <w:rFonts w:ascii="Times New Roman" w:hAnsi="Times New Roman" w:eastAsia="宋体" w:cs="宋体"/>
                <w:kern w:val="0"/>
                <w:szCs w:val="21"/>
              </w:rPr>
            </w:pPr>
            <w:r>
              <w:rPr>
                <w:rFonts w:hint="eastAsia" w:ascii="Times New Roman" w:hAnsi="Times New Roman" w:eastAsia="宋体" w:cs="宋体"/>
                <w:kern w:val="0"/>
                <w:szCs w:val="21"/>
              </w:rPr>
              <w:t>友好园区合作。推动省级经开区</w:t>
            </w:r>
            <w:r>
              <w:rPr>
                <w:rFonts w:ascii="Times New Roman" w:hAnsi="Times New Roman" w:eastAsia="宋体" w:cs="宋体"/>
                <w:kern w:val="0"/>
                <w:szCs w:val="21"/>
              </w:rPr>
              <w:t>-</w:t>
            </w:r>
            <w:r>
              <w:rPr>
                <w:rFonts w:hint="eastAsia" w:ascii="Times New Roman" w:hAnsi="Times New Roman" w:eastAsia="宋体" w:cs="宋体"/>
                <w:kern w:val="0"/>
                <w:szCs w:val="21"/>
              </w:rPr>
              <w:t>惠州博罗产业园与国家级开发区</w:t>
            </w:r>
            <w:r>
              <w:rPr>
                <w:rFonts w:ascii="Times New Roman" w:hAnsi="Times New Roman" w:eastAsia="宋体" w:cs="宋体"/>
                <w:kern w:val="0"/>
                <w:szCs w:val="21"/>
              </w:rPr>
              <w:t>-</w:t>
            </w:r>
            <w:r>
              <w:rPr>
                <w:rFonts w:hint="eastAsia" w:ascii="Times New Roman" w:hAnsi="Times New Roman" w:eastAsia="宋体" w:cs="宋体"/>
                <w:kern w:val="0"/>
                <w:szCs w:val="21"/>
              </w:rPr>
              <w:t>增城经济技术开发区建立友好园区，博罗产业园园洲东片区与</w:t>
            </w:r>
            <w:bookmarkStart w:id="229" w:name="OLE_LINK40"/>
            <w:r>
              <w:rPr>
                <w:rFonts w:hint="eastAsia" w:ascii="Times New Roman" w:hAnsi="Times New Roman" w:eastAsia="宋体" w:cs="宋体"/>
                <w:kern w:val="0"/>
                <w:szCs w:val="21"/>
              </w:rPr>
              <w:t>东莞东部工业园</w:t>
            </w:r>
            <w:bookmarkEnd w:id="229"/>
            <w:r>
              <w:rPr>
                <w:rFonts w:hint="eastAsia" w:ascii="Times New Roman" w:hAnsi="Times New Roman" w:eastAsia="宋体" w:cs="宋体"/>
                <w:kern w:val="0"/>
                <w:szCs w:val="21"/>
              </w:rPr>
              <w:t>建立友好园区，深化产业链供应链创新链合作，推动园区互补联动发展。</w:t>
            </w:r>
          </w:p>
        </w:tc>
        <w:tc>
          <w:tcPr>
            <w:tcW w:w="2693" w:type="dxa"/>
            <w:vAlign w:val="center"/>
          </w:tcPr>
          <w:p w14:paraId="06F98E98">
            <w:pPr>
              <w:jc w:val="center"/>
              <w:rPr>
                <w:rFonts w:ascii="Times New Roman" w:hAnsi="Times New Roman" w:eastAsia="宋体" w:cs="宋体"/>
                <w:kern w:val="0"/>
                <w:szCs w:val="21"/>
                <w14:ligatures w14:val="none"/>
              </w:rPr>
            </w:pPr>
            <w:r>
              <w:rPr>
                <w:rFonts w:hint="eastAsia" w:ascii="Times New Roman" w:hAnsi="Times New Roman" w:eastAsia="宋体" w:cs="宋体"/>
                <w:kern w:val="0"/>
                <w:szCs w:val="21"/>
              </w:rPr>
              <w:t>增城经济技术开发区、东莞东部工业园</w:t>
            </w:r>
          </w:p>
        </w:tc>
        <w:tc>
          <w:tcPr>
            <w:tcW w:w="1479" w:type="dxa"/>
            <w:vAlign w:val="center"/>
          </w:tcPr>
          <w:p w14:paraId="2EE01CFC">
            <w:pPr>
              <w:jc w:val="center"/>
              <w:rPr>
                <w:rFonts w:ascii="Times New Roman" w:hAnsi="Times New Roman" w:eastAsia="宋体" w:cs="宋体"/>
                <w:kern w:val="0"/>
                <w:szCs w:val="21"/>
                <w14:ligatures w14:val="none"/>
              </w:rPr>
            </w:pPr>
            <w:r>
              <w:rPr>
                <w:rFonts w:hint="eastAsia" w:ascii="Times New Roman" w:hAnsi="Times New Roman" w:eastAsia="宋体" w:cs="宋体"/>
                <w:kern w:val="0"/>
                <w:szCs w:val="21"/>
                <w14:ligatures w14:val="none"/>
              </w:rPr>
              <w:t>园区管委会</w:t>
            </w:r>
          </w:p>
        </w:tc>
      </w:tr>
    </w:tbl>
    <w:p w14:paraId="23FEE8B4">
      <w:pPr>
        <w:pStyle w:val="2"/>
        <w:rPr>
          <w:rFonts w:eastAsia="楷体_GB2312"/>
        </w:rPr>
      </w:pPr>
    </w:p>
    <w:p w14:paraId="05320056">
      <w:pPr>
        <w:rPr>
          <w:rFonts w:ascii="Times New Roman" w:hAnsi="Times New Roman" w:eastAsia="楷体_GB2312" w:cs="楷体_GB2312"/>
          <w:bCs/>
          <w:sz w:val="32"/>
          <w:szCs w:val="32"/>
          <w14:ligatures w14:val="none"/>
        </w:rPr>
        <w:sectPr>
          <w:pgSz w:w="16838" w:h="11906" w:orient="landscape"/>
          <w:pgMar w:top="1800" w:right="1440" w:bottom="1800" w:left="1440" w:header="851" w:footer="992" w:gutter="0"/>
          <w:cols w:space="425" w:num="1"/>
          <w:docGrid w:type="lines" w:linePitch="312" w:charSpace="0"/>
        </w:sectPr>
      </w:pPr>
    </w:p>
    <w:p w14:paraId="6A438688">
      <w:pPr>
        <w:pStyle w:val="3"/>
        <w:keepNext w:val="0"/>
        <w:keepLines w:val="0"/>
        <w:spacing w:before="312" w:beforeLines="100" w:after="312" w:afterLines="100"/>
        <w:jc w:val="left"/>
        <w:rPr>
          <w:rFonts w:ascii="Times New Roman" w:hAnsi="Times New Roman" w:eastAsia="黑体"/>
          <w:b w:val="0"/>
          <w:bCs w:val="0"/>
          <w:sz w:val="40"/>
          <w:szCs w:val="40"/>
        </w:rPr>
      </w:pPr>
      <w:bookmarkStart w:id="230" w:name="_Toc198247285"/>
      <w:r>
        <w:rPr>
          <w:rFonts w:hint="eastAsia" w:ascii="Times New Roman" w:hAnsi="Times New Roman" w:eastAsia="黑体"/>
          <w:b w:val="0"/>
          <w:bCs w:val="0"/>
          <w:sz w:val="40"/>
          <w:szCs w:val="40"/>
        </w:rPr>
        <w:t>附图</w:t>
      </w:r>
      <w:bookmarkEnd w:id="230"/>
    </w:p>
    <w:p w14:paraId="3B8CFE73">
      <w:pPr>
        <w:pStyle w:val="4"/>
        <w:keepNext w:val="0"/>
        <w:keepLines w:val="0"/>
        <w:numPr>
          <w:ilvl w:val="255"/>
          <w:numId w:val="0"/>
        </w:numPr>
        <w:spacing w:before="0" w:after="0" w:line="360" w:lineRule="auto"/>
        <w:jc w:val="right"/>
        <w:rPr>
          <w:rFonts w:ascii="Times New Roman" w:hAnsi="Times New Roman" w:eastAsia="黑体" w:cstheme="minorBidi"/>
          <w:b w:val="0"/>
          <w:bCs w:val="0"/>
          <w:kern w:val="44"/>
          <w:sz w:val="40"/>
          <w:szCs w:val="40"/>
        </w:rPr>
      </w:pPr>
      <w:bookmarkStart w:id="231" w:name="_Toc198247286"/>
      <w:r>
        <w:rPr>
          <w:rFonts w:hint="eastAsia" w:ascii="Times New Roman" w:hAnsi="Times New Roman" w:eastAsia="黑体"/>
          <w:b w:val="0"/>
          <w:bCs w:val="0"/>
        </w:rPr>
        <w:t>规划图件</w:t>
      </w:r>
      <w:bookmarkEnd w:id="231"/>
    </w:p>
    <w:p w14:paraId="2B0A62F6">
      <w:pPr>
        <w:spacing w:before="312" w:beforeLines="100" w:line="360" w:lineRule="auto"/>
        <w:rPr>
          <w:rFonts w:hint="eastAsia" w:ascii="宋体" w:hAnsi="宋体" w:eastAsia="宋体" w:cs="宋体"/>
          <w:kern w:val="0"/>
          <w:sz w:val="28"/>
          <w:szCs w:val="28"/>
          <w14:ligatures w14:val="none"/>
        </w:rPr>
      </w:pPr>
      <w:r>
        <w:rPr>
          <w:rFonts w:hint="eastAsia" w:ascii="宋体" w:hAnsi="宋体" w:eastAsia="宋体" w:cs="宋体"/>
          <w:spacing w:val="-12"/>
          <w:sz w:val="28"/>
          <w:szCs w:val="28"/>
        </w:rPr>
        <w:t>1．区位关系示意图</w:t>
      </w:r>
    </w:p>
    <w:p w14:paraId="48834165">
      <w:pPr>
        <w:spacing w:line="360" w:lineRule="auto"/>
        <w:rPr>
          <w:rFonts w:hint="eastAsia" w:ascii="宋体" w:hAnsi="宋体" w:eastAsia="宋体" w:cs="宋体"/>
          <w:sz w:val="28"/>
          <w:szCs w:val="28"/>
        </w:rPr>
      </w:pPr>
      <w:r>
        <w:rPr>
          <w:rFonts w:hint="eastAsia" w:ascii="宋体" w:hAnsi="宋体" w:eastAsia="宋体" w:cs="宋体"/>
          <w:spacing w:val="-1"/>
          <w:sz w:val="28"/>
          <w:szCs w:val="28"/>
        </w:rPr>
        <w:t>2．规划范围示意图</w:t>
      </w:r>
    </w:p>
    <w:p w14:paraId="6E70AB36">
      <w:pPr>
        <w:spacing w:line="360" w:lineRule="auto"/>
        <w:rPr>
          <w:rFonts w:hint="eastAsia" w:ascii="宋体" w:hAnsi="宋体" w:eastAsia="宋体" w:cs="宋体"/>
          <w:sz w:val="28"/>
          <w:szCs w:val="28"/>
        </w:rPr>
      </w:pPr>
      <w:r>
        <w:rPr>
          <w:rFonts w:hint="eastAsia" w:ascii="宋体" w:hAnsi="宋体" w:eastAsia="宋体" w:cs="宋体"/>
          <w:spacing w:val="-4"/>
          <w:sz w:val="28"/>
          <w:szCs w:val="28"/>
        </w:rPr>
        <w:t>3．国土空间用地现状图</w:t>
      </w:r>
    </w:p>
    <w:p w14:paraId="7365298E">
      <w:pPr>
        <w:spacing w:line="360" w:lineRule="auto"/>
        <w:rPr>
          <w:rFonts w:hint="eastAsia" w:ascii="宋体" w:hAnsi="宋体" w:eastAsia="宋体" w:cs="宋体"/>
          <w:sz w:val="28"/>
          <w:szCs w:val="28"/>
        </w:rPr>
      </w:pPr>
      <w:r>
        <w:rPr>
          <w:rFonts w:hint="eastAsia" w:ascii="宋体" w:hAnsi="宋体" w:eastAsia="宋体" w:cs="宋体"/>
          <w:spacing w:val="-1"/>
          <w:sz w:val="28"/>
          <w:szCs w:val="28"/>
        </w:rPr>
        <w:t>4．历史文化遗存分布图</w:t>
      </w:r>
    </w:p>
    <w:p w14:paraId="0AF81F01">
      <w:pPr>
        <w:spacing w:line="360" w:lineRule="auto"/>
        <w:rPr>
          <w:rFonts w:hint="eastAsia" w:ascii="宋体" w:hAnsi="宋体" w:eastAsia="宋体" w:cs="宋体"/>
          <w:sz w:val="28"/>
          <w:szCs w:val="28"/>
        </w:rPr>
      </w:pPr>
      <w:r>
        <w:rPr>
          <w:rFonts w:hint="eastAsia" w:ascii="宋体" w:hAnsi="宋体" w:eastAsia="宋体" w:cs="宋体"/>
          <w:spacing w:val="-7"/>
          <w:sz w:val="28"/>
          <w:szCs w:val="28"/>
        </w:rPr>
        <w:t>5．产业发展及园区现状图</w:t>
      </w:r>
    </w:p>
    <w:p w14:paraId="6BCA2AEC">
      <w:pPr>
        <w:spacing w:line="360" w:lineRule="auto"/>
        <w:rPr>
          <w:rFonts w:hint="eastAsia" w:ascii="宋体" w:hAnsi="宋体" w:eastAsia="宋体" w:cs="宋体"/>
          <w:spacing w:val="-7"/>
          <w:sz w:val="28"/>
          <w:szCs w:val="28"/>
        </w:rPr>
      </w:pPr>
      <w:r>
        <w:rPr>
          <w:rFonts w:hint="eastAsia" w:ascii="宋体" w:hAnsi="宋体" w:eastAsia="宋体" w:cs="宋体"/>
          <w:spacing w:val="4"/>
          <w:sz w:val="28"/>
          <w:szCs w:val="28"/>
        </w:rPr>
        <w:t>6．</w:t>
      </w:r>
      <w:r>
        <w:rPr>
          <w:rFonts w:hint="eastAsia" w:ascii="宋体" w:hAnsi="宋体" w:eastAsia="宋体" w:cs="宋体"/>
          <w:spacing w:val="-7"/>
          <w:sz w:val="28"/>
          <w:szCs w:val="28"/>
        </w:rPr>
        <w:t>现状水系及公园绿地分布图</w:t>
      </w:r>
    </w:p>
    <w:p w14:paraId="45DD9D77">
      <w:pPr>
        <w:spacing w:line="360" w:lineRule="auto"/>
        <w:rPr>
          <w:rFonts w:hint="eastAsia" w:ascii="宋体" w:hAnsi="宋体" w:eastAsia="宋体" w:cs="宋体"/>
          <w:spacing w:val="-7"/>
          <w:sz w:val="28"/>
          <w:szCs w:val="28"/>
        </w:rPr>
      </w:pPr>
      <w:r>
        <w:rPr>
          <w:rFonts w:hint="eastAsia" w:ascii="宋体" w:hAnsi="宋体" w:eastAsia="宋体" w:cs="宋体"/>
          <w:spacing w:val="4"/>
          <w:sz w:val="28"/>
          <w:szCs w:val="28"/>
        </w:rPr>
        <w:t>7．</w:t>
      </w:r>
      <w:r>
        <w:rPr>
          <w:rFonts w:hint="eastAsia" w:ascii="宋体" w:hAnsi="宋体" w:eastAsia="宋体" w:cs="宋体"/>
          <w:spacing w:val="-7"/>
          <w:sz w:val="28"/>
          <w:szCs w:val="28"/>
        </w:rPr>
        <w:t>区域协同发展格局图</w:t>
      </w:r>
    </w:p>
    <w:p w14:paraId="61EEB046">
      <w:pPr>
        <w:spacing w:line="360" w:lineRule="auto"/>
        <w:rPr>
          <w:rFonts w:hint="eastAsia" w:ascii="宋体" w:hAnsi="宋体" w:eastAsia="宋体" w:cs="宋体"/>
          <w:spacing w:val="-7"/>
          <w:sz w:val="28"/>
          <w:szCs w:val="28"/>
        </w:rPr>
      </w:pPr>
      <w:r>
        <w:rPr>
          <w:rFonts w:hint="eastAsia" w:ascii="宋体" w:hAnsi="宋体" w:eastAsia="宋体" w:cs="宋体"/>
          <w:spacing w:val="4"/>
          <w:sz w:val="28"/>
          <w:szCs w:val="28"/>
        </w:rPr>
        <w:t>8．</w:t>
      </w:r>
      <w:r>
        <w:rPr>
          <w:rFonts w:hint="eastAsia" w:ascii="宋体" w:hAnsi="宋体" w:eastAsia="宋体" w:cs="宋体"/>
          <w:spacing w:val="-7"/>
          <w:sz w:val="28"/>
          <w:szCs w:val="28"/>
        </w:rPr>
        <w:t>总体空间结构规划图</w:t>
      </w:r>
    </w:p>
    <w:p w14:paraId="1CED69AA">
      <w:pPr>
        <w:spacing w:line="360" w:lineRule="auto"/>
        <w:rPr>
          <w:rFonts w:hint="eastAsia" w:ascii="宋体" w:hAnsi="宋体" w:eastAsia="宋体" w:cs="宋体"/>
          <w:sz w:val="28"/>
          <w:szCs w:val="28"/>
        </w:rPr>
      </w:pPr>
      <w:r>
        <w:rPr>
          <w:rFonts w:hint="eastAsia" w:ascii="宋体" w:hAnsi="宋体" w:eastAsia="宋体" w:cs="宋体"/>
          <w:spacing w:val="-4"/>
          <w:sz w:val="28"/>
          <w:szCs w:val="28"/>
        </w:rPr>
        <w:t>9．国土空间控制线规划图</w:t>
      </w:r>
    </w:p>
    <w:p w14:paraId="5AFB5860">
      <w:pPr>
        <w:spacing w:line="360" w:lineRule="auto"/>
        <w:rPr>
          <w:rFonts w:hint="eastAsia" w:ascii="宋体" w:hAnsi="宋体" w:eastAsia="宋体" w:cs="宋体"/>
          <w:sz w:val="28"/>
          <w:szCs w:val="28"/>
        </w:rPr>
      </w:pPr>
      <w:r>
        <w:rPr>
          <w:rFonts w:hint="eastAsia" w:ascii="宋体" w:hAnsi="宋体" w:eastAsia="宋体" w:cs="宋体"/>
          <w:spacing w:val="-1"/>
          <w:sz w:val="28"/>
          <w:szCs w:val="28"/>
        </w:rPr>
        <w:t>10．国土用途管制规划图</w:t>
      </w:r>
    </w:p>
    <w:p w14:paraId="777A4EDC">
      <w:pPr>
        <w:spacing w:line="360" w:lineRule="auto"/>
        <w:rPr>
          <w:rFonts w:hint="eastAsia" w:ascii="宋体" w:hAnsi="宋体" w:eastAsia="宋体" w:cs="宋体"/>
          <w:spacing w:val="-12"/>
          <w:sz w:val="28"/>
          <w:szCs w:val="28"/>
        </w:rPr>
      </w:pPr>
      <w:r>
        <w:rPr>
          <w:rFonts w:hint="eastAsia" w:ascii="宋体" w:hAnsi="宋体" w:eastAsia="宋体" w:cs="宋体"/>
          <w:spacing w:val="-12"/>
          <w:sz w:val="28"/>
          <w:szCs w:val="28"/>
        </w:rPr>
        <w:t>11．产业发展布局规划图</w:t>
      </w:r>
    </w:p>
    <w:p w14:paraId="2A305505">
      <w:pPr>
        <w:spacing w:line="360" w:lineRule="auto"/>
        <w:rPr>
          <w:rFonts w:hint="eastAsia" w:ascii="宋体" w:hAnsi="宋体" w:eastAsia="宋体" w:cs="宋体"/>
          <w:spacing w:val="-12"/>
          <w:sz w:val="28"/>
          <w:szCs w:val="28"/>
        </w:rPr>
      </w:pPr>
      <w:r>
        <w:rPr>
          <w:rFonts w:hint="eastAsia" w:ascii="宋体" w:hAnsi="宋体" w:eastAsia="宋体" w:cs="宋体"/>
          <w:spacing w:val="-12"/>
          <w:sz w:val="28"/>
          <w:szCs w:val="28"/>
        </w:rPr>
        <w:t>12</w:t>
      </w:r>
      <w:r>
        <w:rPr>
          <w:rFonts w:hint="eastAsia" w:ascii="宋体" w:hAnsi="宋体" w:eastAsia="宋体" w:cs="宋体"/>
          <w:spacing w:val="-4"/>
          <w:sz w:val="28"/>
          <w:szCs w:val="28"/>
        </w:rPr>
        <w:t>．</w:t>
      </w:r>
      <w:r>
        <w:rPr>
          <w:rFonts w:hint="eastAsia" w:ascii="宋体" w:hAnsi="宋体" w:eastAsia="宋体" w:cs="宋体"/>
          <w:spacing w:val="-12"/>
          <w:sz w:val="28"/>
          <w:szCs w:val="28"/>
        </w:rPr>
        <w:t>公共服务设施规划图</w:t>
      </w:r>
    </w:p>
    <w:p w14:paraId="1B3A677A">
      <w:pPr>
        <w:spacing w:line="360" w:lineRule="auto"/>
        <w:rPr>
          <w:rFonts w:ascii="Times New Roman" w:hAnsi="Times New Roman" w:eastAsia="宋体" w:cs="宋体"/>
          <w:spacing w:val="-12"/>
          <w:sz w:val="28"/>
          <w:szCs w:val="28"/>
        </w:rPr>
      </w:pPr>
      <w:r>
        <w:rPr>
          <w:rFonts w:hint="eastAsia" w:ascii="Times New Roman" w:hAnsi="Times New Roman" w:eastAsia="宋体" w:cs="宋体"/>
          <w:spacing w:val="-12"/>
          <w:sz w:val="28"/>
          <w:szCs w:val="28"/>
        </w:rPr>
        <w:t>13</w:t>
      </w:r>
      <w:r>
        <w:rPr>
          <w:rFonts w:hint="eastAsia" w:ascii="宋体" w:hAnsi="宋体" w:eastAsia="宋体" w:cs="宋体"/>
          <w:spacing w:val="-4"/>
          <w:sz w:val="28"/>
          <w:szCs w:val="28"/>
        </w:rPr>
        <w:t>．</w:t>
      </w:r>
      <w:r>
        <w:rPr>
          <w:rFonts w:hint="eastAsia" w:ascii="Times New Roman" w:hAnsi="Times New Roman" w:eastAsia="宋体" w:cs="宋体"/>
          <w:spacing w:val="-12"/>
          <w:sz w:val="28"/>
          <w:szCs w:val="28"/>
        </w:rPr>
        <w:t>历史文化保护规划图</w:t>
      </w:r>
    </w:p>
    <w:p w14:paraId="2AA071D0">
      <w:pPr>
        <w:spacing w:line="360" w:lineRule="auto"/>
        <w:rPr>
          <w:rFonts w:ascii="Times New Roman" w:hAnsi="Times New Roman" w:eastAsia="宋体" w:cs="宋体"/>
          <w:spacing w:val="-12"/>
          <w:sz w:val="28"/>
          <w:szCs w:val="28"/>
        </w:rPr>
      </w:pPr>
      <w:r>
        <w:rPr>
          <w:rFonts w:hint="eastAsia" w:ascii="Times New Roman" w:hAnsi="Times New Roman" w:eastAsia="宋体" w:cs="宋体"/>
          <w:spacing w:val="-12"/>
          <w:sz w:val="28"/>
          <w:szCs w:val="28"/>
        </w:rPr>
        <w:t>14</w:t>
      </w:r>
      <w:r>
        <w:rPr>
          <w:rFonts w:hint="eastAsia" w:ascii="宋体" w:hAnsi="宋体" w:eastAsia="宋体" w:cs="宋体"/>
          <w:spacing w:val="-4"/>
          <w:sz w:val="28"/>
          <w:szCs w:val="28"/>
        </w:rPr>
        <w:t>．</w:t>
      </w:r>
      <w:r>
        <w:rPr>
          <w:rFonts w:hint="eastAsia" w:ascii="Times New Roman" w:hAnsi="Times New Roman" w:eastAsia="宋体" w:cs="宋体"/>
          <w:spacing w:val="-12"/>
          <w:sz w:val="28"/>
          <w:szCs w:val="28"/>
        </w:rPr>
        <w:t>绿地系统和开敞空间规划图</w:t>
      </w:r>
    </w:p>
    <w:p w14:paraId="683AFEC5">
      <w:pPr>
        <w:spacing w:line="360" w:lineRule="auto"/>
        <w:rPr>
          <w:rFonts w:ascii="Times New Roman" w:hAnsi="Times New Roman" w:eastAsia="宋体" w:cs="宋体"/>
          <w:spacing w:val="-12"/>
          <w:sz w:val="28"/>
          <w:szCs w:val="28"/>
        </w:rPr>
      </w:pPr>
    </w:p>
    <w:p w14:paraId="3A4CACF9">
      <w:pPr>
        <w:spacing w:line="360" w:lineRule="auto"/>
        <w:rPr>
          <w:rFonts w:ascii="Times New Roman" w:hAnsi="Times New Roman" w:eastAsia="宋体" w:cs="宋体"/>
          <w:spacing w:val="-12"/>
          <w:sz w:val="28"/>
          <w:szCs w:val="28"/>
        </w:rPr>
      </w:pPr>
    </w:p>
    <w:p w14:paraId="2A94AB65">
      <w:pPr>
        <w:spacing w:line="360" w:lineRule="auto"/>
        <w:rPr>
          <w:rFonts w:ascii="Times New Roman" w:hAnsi="Times New Roman" w:eastAsia="宋体" w:cs="宋体"/>
          <w:spacing w:val="-12"/>
          <w:sz w:val="28"/>
          <w:szCs w:val="28"/>
        </w:rPr>
      </w:pPr>
    </w:p>
    <w:p w14:paraId="247FFA7D">
      <w:pPr>
        <w:spacing w:line="360" w:lineRule="auto"/>
        <w:rPr>
          <w:rFonts w:ascii="Times New Roman" w:hAnsi="Times New Roman" w:eastAsia="宋体" w:cs="宋体"/>
          <w:spacing w:val="-12"/>
          <w:sz w:val="28"/>
          <w:szCs w:val="28"/>
        </w:rPr>
      </w:pPr>
    </w:p>
    <w:p w14:paraId="5CB95B1C">
      <w:pPr>
        <w:spacing w:line="360" w:lineRule="auto"/>
        <w:rPr>
          <w:rFonts w:ascii="Times New Roman" w:hAnsi="Times New Roman" w:eastAsia="宋体" w:cs="宋体"/>
          <w:spacing w:val="-12"/>
          <w:sz w:val="28"/>
          <w:szCs w:val="28"/>
        </w:rPr>
      </w:pPr>
    </w:p>
    <w:p w14:paraId="4DE928DF">
      <w:pPr>
        <w:spacing w:line="360" w:lineRule="auto"/>
        <w:rPr>
          <w:rFonts w:ascii="Times New Roman" w:hAnsi="Times New Roman" w:eastAsia="宋体" w:cs="宋体"/>
          <w:spacing w:val="-12"/>
          <w:sz w:val="28"/>
          <w:szCs w:val="28"/>
        </w:rPr>
      </w:pPr>
    </w:p>
    <w:p w14:paraId="04D1DBD7">
      <w:pPr>
        <w:spacing w:line="360" w:lineRule="auto"/>
        <w:rPr>
          <w:rFonts w:ascii="Times New Roman" w:hAnsi="Times New Roman" w:eastAsia="宋体" w:cs="宋体"/>
          <w:spacing w:val="-12"/>
          <w:sz w:val="28"/>
          <w:szCs w:val="28"/>
        </w:rPr>
      </w:pPr>
    </w:p>
    <w:p w14:paraId="4274102C">
      <w:pPr>
        <w:spacing w:before="249" w:beforeLines="80" w:line="360" w:lineRule="auto"/>
        <w:rPr>
          <w:rFonts w:ascii="Times New Roman" w:hAnsi="Times New Roman" w:eastAsia="宋体" w:cs="宋体"/>
          <w:spacing w:val="-12"/>
          <w:sz w:val="28"/>
          <w:szCs w:val="28"/>
        </w:rPr>
      </w:pPr>
      <w:r>
        <w:rPr>
          <w:rFonts w:hint="eastAsia" w:ascii="Times New Roman" w:hAnsi="Times New Roman" w:eastAsia="宋体" w:cs="宋体"/>
          <w:spacing w:val="-12"/>
          <w:sz w:val="28"/>
          <w:szCs w:val="28"/>
        </w:rPr>
        <w:t>15</w:t>
      </w:r>
      <w:r>
        <w:rPr>
          <w:rFonts w:hint="eastAsia" w:ascii="宋体" w:hAnsi="宋体" w:eastAsia="宋体" w:cs="宋体"/>
          <w:spacing w:val="-4"/>
          <w:sz w:val="28"/>
          <w:szCs w:val="28"/>
        </w:rPr>
        <w:t>．</w:t>
      </w:r>
      <w:r>
        <w:rPr>
          <w:rFonts w:hint="eastAsia" w:ascii="Times New Roman" w:hAnsi="Times New Roman" w:eastAsia="宋体" w:cs="宋体"/>
          <w:spacing w:val="-12"/>
          <w:sz w:val="28"/>
          <w:szCs w:val="28"/>
        </w:rPr>
        <w:t>综合交通体系规划图</w:t>
      </w:r>
    </w:p>
    <w:p w14:paraId="799D3469">
      <w:pPr>
        <w:spacing w:line="360" w:lineRule="auto"/>
        <w:rPr>
          <w:rFonts w:ascii="Times New Roman" w:hAnsi="Times New Roman" w:eastAsia="宋体" w:cs="宋体"/>
          <w:spacing w:val="-12"/>
          <w:sz w:val="28"/>
          <w:szCs w:val="28"/>
        </w:rPr>
      </w:pPr>
      <w:r>
        <w:rPr>
          <w:rFonts w:hint="eastAsia" w:ascii="Times New Roman" w:hAnsi="Times New Roman" w:eastAsia="宋体" w:cs="宋体"/>
          <w:spacing w:val="-12"/>
          <w:sz w:val="28"/>
          <w:szCs w:val="28"/>
        </w:rPr>
        <w:t>16</w:t>
      </w:r>
      <w:r>
        <w:rPr>
          <w:rFonts w:hint="eastAsia" w:ascii="宋体" w:hAnsi="宋体" w:eastAsia="宋体" w:cs="宋体"/>
          <w:spacing w:val="-4"/>
          <w:sz w:val="28"/>
          <w:szCs w:val="28"/>
        </w:rPr>
        <w:t>．</w:t>
      </w:r>
      <w:r>
        <w:rPr>
          <w:rFonts w:hint="eastAsia" w:ascii="Times New Roman" w:hAnsi="Times New Roman" w:eastAsia="宋体" w:cs="宋体"/>
          <w:spacing w:val="-12"/>
          <w:sz w:val="28"/>
          <w:szCs w:val="28"/>
        </w:rPr>
        <w:t>城市路网体系规划图</w:t>
      </w:r>
    </w:p>
    <w:p w14:paraId="1EF09B7B">
      <w:pPr>
        <w:spacing w:line="360" w:lineRule="auto"/>
        <w:rPr>
          <w:rFonts w:ascii="Times New Roman" w:hAnsi="Times New Roman" w:eastAsia="宋体" w:cs="宋体"/>
          <w:spacing w:val="-12"/>
          <w:sz w:val="28"/>
          <w:szCs w:val="28"/>
        </w:rPr>
      </w:pPr>
      <w:r>
        <w:rPr>
          <w:rFonts w:hint="eastAsia" w:ascii="Times New Roman" w:hAnsi="Times New Roman" w:eastAsia="宋体" w:cs="宋体"/>
          <w:spacing w:val="-12"/>
          <w:sz w:val="28"/>
          <w:szCs w:val="28"/>
        </w:rPr>
        <w:t>17</w:t>
      </w:r>
      <w:r>
        <w:rPr>
          <w:rFonts w:hint="eastAsia" w:ascii="宋体" w:hAnsi="宋体" w:eastAsia="宋体" w:cs="宋体"/>
          <w:spacing w:val="-4"/>
          <w:sz w:val="28"/>
          <w:szCs w:val="28"/>
        </w:rPr>
        <w:t>．</w:t>
      </w:r>
      <w:r>
        <w:rPr>
          <w:rFonts w:hint="eastAsia" w:ascii="Times New Roman" w:hAnsi="Times New Roman" w:eastAsia="宋体" w:cs="宋体"/>
          <w:spacing w:val="-12"/>
          <w:sz w:val="28"/>
          <w:szCs w:val="28"/>
        </w:rPr>
        <w:t>重大市政设施规划图*</w:t>
      </w:r>
    </w:p>
    <w:p w14:paraId="0F897090">
      <w:pPr>
        <w:spacing w:line="360" w:lineRule="auto"/>
        <w:rPr>
          <w:rFonts w:ascii="Times New Roman" w:hAnsi="Times New Roman" w:eastAsia="宋体" w:cs="宋体"/>
          <w:spacing w:val="-12"/>
          <w:sz w:val="28"/>
          <w:szCs w:val="28"/>
        </w:rPr>
      </w:pPr>
      <w:r>
        <w:rPr>
          <w:rFonts w:hint="eastAsia" w:ascii="Times New Roman" w:hAnsi="Times New Roman" w:eastAsia="宋体" w:cs="宋体"/>
          <w:spacing w:val="-12"/>
          <w:sz w:val="28"/>
          <w:szCs w:val="28"/>
        </w:rPr>
        <w:t>18</w:t>
      </w:r>
      <w:r>
        <w:rPr>
          <w:rFonts w:hint="eastAsia" w:ascii="宋体" w:hAnsi="宋体" w:eastAsia="宋体" w:cs="宋体"/>
          <w:spacing w:val="-4"/>
          <w:sz w:val="28"/>
          <w:szCs w:val="28"/>
        </w:rPr>
        <w:t>．</w:t>
      </w:r>
      <w:r>
        <w:rPr>
          <w:rFonts w:hint="eastAsia" w:ascii="Times New Roman" w:hAnsi="Times New Roman" w:eastAsia="宋体" w:cs="宋体"/>
          <w:spacing w:val="-12"/>
          <w:sz w:val="28"/>
          <w:szCs w:val="28"/>
        </w:rPr>
        <w:t>综合防灾减灾规划图</w:t>
      </w:r>
    </w:p>
    <w:p w14:paraId="26B0049A">
      <w:pPr>
        <w:spacing w:line="360" w:lineRule="auto"/>
        <w:rPr>
          <w:rFonts w:ascii="Times New Roman" w:hAnsi="Times New Roman" w:eastAsia="宋体" w:cs="宋体"/>
          <w:spacing w:val="-12"/>
          <w:sz w:val="28"/>
          <w:szCs w:val="28"/>
        </w:rPr>
      </w:pPr>
      <w:r>
        <w:rPr>
          <w:rFonts w:hint="eastAsia" w:ascii="Times New Roman" w:hAnsi="Times New Roman" w:eastAsia="宋体" w:cs="宋体"/>
          <w:spacing w:val="-12"/>
          <w:sz w:val="28"/>
          <w:szCs w:val="28"/>
        </w:rPr>
        <w:t>19</w:t>
      </w:r>
      <w:r>
        <w:rPr>
          <w:rFonts w:hint="eastAsia" w:ascii="宋体" w:hAnsi="宋体" w:eastAsia="宋体" w:cs="宋体"/>
          <w:spacing w:val="-4"/>
          <w:sz w:val="28"/>
          <w:szCs w:val="28"/>
        </w:rPr>
        <w:t>．</w:t>
      </w:r>
      <w:r>
        <w:rPr>
          <w:rFonts w:hint="eastAsia" w:ascii="Times New Roman" w:hAnsi="Times New Roman" w:eastAsia="宋体" w:cs="宋体"/>
          <w:spacing w:val="-12"/>
          <w:sz w:val="28"/>
          <w:szCs w:val="28"/>
        </w:rPr>
        <w:t>国土综合整治规划图</w:t>
      </w:r>
    </w:p>
    <w:p w14:paraId="49AD5BF1">
      <w:pPr>
        <w:spacing w:line="360" w:lineRule="auto"/>
        <w:rPr>
          <w:rFonts w:ascii="Times New Roman" w:hAnsi="Times New Roman" w:eastAsia="宋体" w:cs="宋体"/>
          <w:spacing w:val="-12"/>
          <w:sz w:val="28"/>
          <w:szCs w:val="28"/>
        </w:rPr>
      </w:pPr>
      <w:r>
        <w:rPr>
          <w:rFonts w:hint="eastAsia" w:ascii="Times New Roman" w:hAnsi="Times New Roman" w:eastAsia="宋体" w:cs="宋体"/>
          <w:spacing w:val="-12"/>
          <w:sz w:val="28"/>
          <w:szCs w:val="28"/>
        </w:rPr>
        <w:t>20</w:t>
      </w:r>
      <w:r>
        <w:rPr>
          <w:rFonts w:hint="eastAsia" w:ascii="宋体" w:hAnsi="宋体" w:eastAsia="宋体" w:cs="宋体"/>
          <w:spacing w:val="-4"/>
          <w:sz w:val="28"/>
          <w:szCs w:val="28"/>
        </w:rPr>
        <w:t>．</w:t>
      </w:r>
      <w:r>
        <w:rPr>
          <w:rFonts w:hint="eastAsia" w:ascii="Times New Roman" w:hAnsi="Times New Roman" w:eastAsia="宋体" w:cs="宋体"/>
          <w:spacing w:val="-12"/>
          <w:sz w:val="28"/>
          <w:szCs w:val="28"/>
        </w:rPr>
        <w:t>大型产业集聚区布局规划图</w:t>
      </w:r>
    </w:p>
    <w:p w14:paraId="1AACF7C8">
      <w:pPr>
        <w:spacing w:line="360" w:lineRule="auto"/>
        <w:rPr>
          <w:rFonts w:ascii="Times New Roman" w:hAnsi="Times New Roman" w:eastAsia="宋体" w:cs="宋体"/>
          <w:spacing w:val="-12"/>
          <w:sz w:val="28"/>
          <w:szCs w:val="28"/>
        </w:rPr>
      </w:pPr>
      <w:r>
        <w:rPr>
          <w:rFonts w:hint="eastAsia" w:ascii="Times New Roman" w:hAnsi="Times New Roman" w:eastAsia="宋体" w:cs="宋体"/>
          <w:spacing w:val="-12"/>
          <w:sz w:val="28"/>
          <w:szCs w:val="28"/>
        </w:rPr>
        <w:t>21</w:t>
      </w:r>
      <w:r>
        <w:rPr>
          <w:rFonts w:hint="eastAsia" w:ascii="宋体" w:hAnsi="宋体" w:eastAsia="宋体" w:cs="宋体"/>
          <w:spacing w:val="-4"/>
          <w:sz w:val="28"/>
          <w:szCs w:val="28"/>
        </w:rPr>
        <w:t>．</w:t>
      </w:r>
      <w:r>
        <w:rPr>
          <w:rFonts w:hint="eastAsia" w:ascii="Times New Roman" w:hAnsi="Times New Roman" w:eastAsia="宋体" w:cs="宋体"/>
          <w:spacing w:val="-12"/>
          <w:sz w:val="28"/>
          <w:szCs w:val="28"/>
        </w:rPr>
        <w:t>起步区总体城市设计平面图</w:t>
      </w:r>
    </w:p>
    <w:p w14:paraId="78AA7537">
      <w:pPr>
        <w:spacing w:line="360" w:lineRule="auto"/>
        <w:rPr>
          <w:rFonts w:ascii="Times New Roman" w:hAnsi="Times New Roman" w:eastAsia="宋体" w:cs="宋体"/>
          <w:spacing w:val="-12"/>
          <w:sz w:val="28"/>
          <w:szCs w:val="28"/>
        </w:rPr>
      </w:pPr>
      <w:r>
        <w:rPr>
          <w:rFonts w:hint="eastAsia" w:ascii="Times New Roman" w:hAnsi="Times New Roman" w:eastAsia="宋体" w:cs="宋体"/>
          <w:spacing w:val="-12"/>
          <w:sz w:val="28"/>
          <w:szCs w:val="28"/>
        </w:rPr>
        <w:t>22</w:t>
      </w:r>
      <w:r>
        <w:rPr>
          <w:rFonts w:hint="eastAsia" w:ascii="宋体" w:hAnsi="宋体" w:eastAsia="宋体" w:cs="宋体"/>
          <w:spacing w:val="-4"/>
          <w:sz w:val="28"/>
          <w:szCs w:val="28"/>
        </w:rPr>
        <w:t>．</w:t>
      </w:r>
      <w:r>
        <w:rPr>
          <w:rFonts w:hint="eastAsia" w:ascii="Times New Roman" w:hAnsi="Times New Roman" w:eastAsia="宋体" w:cs="宋体"/>
          <w:spacing w:val="-12"/>
          <w:sz w:val="28"/>
          <w:szCs w:val="28"/>
        </w:rPr>
        <w:t>起步区总体城市设计意向图</w:t>
      </w:r>
    </w:p>
    <w:p w14:paraId="3E5FBCB6">
      <w:pPr>
        <w:spacing w:line="360" w:lineRule="auto"/>
        <w:rPr>
          <w:rFonts w:ascii="Times New Roman" w:hAnsi="Times New Roman" w:eastAsia="宋体" w:cs="宋体"/>
          <w:spacing w:val="-12"/>
          <w:sz w:val="28"/>
          <w:szCs w:val="28"/>
        </w:rPr>
      </w:pPr>
    </w:p>
    <w:p w14:paraId="79D76429">
      <w:pPr>
        <w:spacing w:line="360" w:lineRule="auto"/>
        <w:ind w:firstLine="512" w:firstLineChars="200"/>
        <w:rPr>
          <w:rFonts w:ascii="Times New Roman" w:hAnsi="Times New Roman" w:eastAsia="宋体" w:cs="宋体"/>
          <w:spacing w:val="-12"/>
          <w:sz w:val="28"/>
          <w:szCs w:val="28"/>
        </w:rPr>
        <w:sectPr>
          <w:pgSz w:w="11906" w:h="16838"/>
          <w:pgMar w:top="1440" w:right="1800" w:bottom="1440" w:left="1800" w:header="851" w:footer="992" w:gutter="0"/>
          <w:cols w:equalWidth="0" w:num="2">
            <w:col w:w="3940" w:space="425"/>
            <w:col w:w="3940"/>
          </w:cols>
          <w:docGrid w:type="lines" w:linePitch="312" w:charSpace="0"/>
        </w:sectPr>
      </w:pPr>
    </w:p>
    <w:p w14:paraId="572A7520">
      <w:pPr>
        <w:pStyle w:val="3"/>
        <w:keepNext w:val="0"/>
        <w:keepLines w:val="0"/>
        <w:spacing w:before="0" w:after="0" w:line="360" w:lineRule="auto"/>
        <w:ind w:firstLine="752" w:firstLineChars="200"/>
        <w:rPr>
          <w:rFonts w:ascii="Times New Roman" w:hAnsi="Times New Roman" w:eastAsia="黑体" w:cs="宋体"/>
          <w:spacing w:val="-12"/>
          <w:sz w:val="40"/>
          <w:szCs w:val="40"/>
        </w:rPr>
      </w:pPr>
      <w:bookmarkStart w:id="232" w:name="_Toc198247287"/>
      <w:r>
        <w:rPr>
          <w:rFonts w:hint="eastAsia" w:ascii="Times New Roman" w:hAnsi="Times New Roman" w:eastAsia="黑体" w:cs="宋体"/>
          <w:b w:val="0"/>
          <w:bCs w:val="0"/>
          <w:spacing w:val="-12"/>
          <w:sz w:val="40"/>
          <w:szCs w:val="40"/>
        </w:rPr>
        <w:t>附件</w:t>
      </w:r>
      <w:bookmarkEnd w:id="232"/>
    </w:p>
    <w:p w14:paraId="12DC2CC3">
      <w:pPr>
        <w:pStyle w:val="4"/>
        <w:keepNext w:val="0"/>
        <w:keepLines w:val="0"/>
        <w:numPr>
          <w:ilvl w:val="255"/>
          <w:numId w:val="0"/>
        </w:numPr>
        <w:spacing w:before="0" w:after="0" w:line="360" w:lineRule="auto"/>
        <w:jc w:val="center"/>
        <w:rPr>
          <w:rFonts w:ascii="Times New Roman" w:hAnsi="Times New Roman" w:eastAsia="黑体"/>
          <w:b w:val="0"/>
          <w:bCs w:val="0"/>
        </w:rPr>
      </w:pPr>
      <w:bookmarkStart w:id="233" w:name="_Toc198247288"/>
      <w:r>
        <w:rPr>
          <w:rFonts w:hint="eastAsia" w:ascii="Times New Roman" w:hAnsi="Times New Roman" w:eastAsia="黑体"/>
          <w:b w:val="0"/>
          <w:bCs w:val="0"/>
        </w:rPr>
        <w:t>附件一 部门意见征询及采纳情况表</w:t>
      </w:r>
      <w:bookmarkEnd w:id="208"/>
      <w:bookmarkEnd w:id="233"/>
    </w:p>
    <w:tbl>
      <w:tblPr>
        <w:tblStyle w:val="20"/>
        <w:tblW w:w="93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6"/>
        <w:gridCol w:w="1084"/>
        <w:gridCol w:w="5728"/>
        <w:gridCol w:w="1902"/>
      </w:tblGrid>
      <w:tr w14:paraId="1CDAE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636" w:type="dxa"/>
            <w:vAlign w:val="center"/>
          </w:tcPr>
          <w:p w14:paraId="23ADEA0A">
            <w:pPr>
              <w:jc w:val="center"/>
              <w:rPr>
                <w:rFonts w:hint="eastAsia" w:ascii="宋体" w:hAnsi="宋体" w:eastAsia="宋体" w:cs="宋体"/>
                <w:b/>
                <w:color w:val="000000"/>
                <w:szCs w:val="21"/>
              </w:rPr>
            </w:pPr>
            <w:r>
              <w:rPr>
                <w:rFonts w:hint="eastAsia" w:ascii="宋体" w:hAnsi="宋体" w:eastAsia="宋体" w:cs="宋体"/>
                <w:b/>
                <w:color w:val="000000"/>
                <w:szCs w:val="21"/>
              </w:rPr>
              <w:t>序号</w:t>
            </w:r>
          </w:p>
        </w:tc>
        <w:tc>
          <w:tcPr>
            <w:tcW w:w="1084" w:type="dxa"/>
            <w:vAlign w:val="center"/>
          </w:tcPr>
          <w:p w14:paraId="61F85A1F">
            <w:pPr>
              <w:jc w:val="center"/>
              <w:rPr>
                <w:rFonts w:hint="eastAsia" w:ascii="宋体" w:hAnsi="宋体" w:eastAsia="宋体" w:cs="宋体"/>
                <w:b/>
                <w:color w:val="000000"/>
                <w:szCs w:val="21"/>
              </w:rPr>
            </w:pPr>
            <w:r>
              <w:rPr>
                <w:rFonts w:hint="eastAsia" w:ascii="宋体" w:hAnsi="宋体" w:eastAsia="宋体" w:cs="宋体"/>
                <w:b/>
                <w:color w:val="000000"/>
                <w:szCs w:val="21"/>
              </w:rPr>
              <w:t>征求意见单位</w:t>
            </w:r>
          </w:p>
        </w:tc>
        <w:tc>
          <w:tcPr>
            <w:tcW w:w="5728" w:type="dxa"/>
            <w:vAlign w:val="center"/>
          </w:tcPr>
          <w:p w14:paraId="0FA644F6">
            <w:pPr>
              <w:jc w:val="center"/>
              <w:rPr>
                <w:rFonts w:hint="eastAsia" w:ascii="宋体" w:hAnsi="宋体" w:eastAsia="宋体" w:cs="宋体"/>
                <w:b/>
                <w:color w:val="000000"/>
                <w:szCs w:val="21"/>
              </w:rPr>
            </w:pPr>
            <w:r>
              <w:rPr>
                <w:rFonts w:hint="eastAsia" w:ascii="宋体" w:hAnsi="宋体" w:eastAsia="宋体" w:cs="宋体"/>
                <w:b/>
                <w:color w:val="000000"/>
                <w:szCs w:val="21"/>
              </w:rPr>
              <w:t>修改意见</w:t>
            </w:r>
          </w:p>
        </w:tc>
        <w:tc>
          <w:tcPr>
            <w:tcW w:w="1902" w:type="dxa"/>
            <w:vAlign w:val="center"/>
          </w:tcPr>
          <w:p w14:paraId="78B041D8">
            <w:pPr>
              <w:jc w:val="center"/>
              <w:rPr>
                <w:rFonts w:hint="eastAsia" w:ascii="宋体" w:hAnsi="宋体" w:eastAsia="宋体" w:cs="宋体"/>
                <w:b/>
                <w:color w:val="000000"/>
                <w:szCs w:val="21"/>
              </w:rPr>
            </w:pPr>
            <w:r>
              <w:rPr>
                <w:rFonts w:hint="eastAsia" w:ascii="宋体" w:hAnsi="宋体" w:eastAsia="宋体" w:cs="宋体"/>
                <w:b/>
                <w:color w:val="000000"/>
                <w:szCs w:val="21"/>
              </w:rPr>
              <w:t>意见采纳情况</w:t>
            </w:r>
          </w:p>
        </w:tc>
      </w:tr>
      <w:tr w14:paraId="6334E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14:paraId="153586FE">
            <w:pPr>
              <w:jc w:val="center"/>
              <w:rPr>
                <w:rFonts w:hint="eastAsia" w:ascii="宋体" w:hAnsi="宋体" w:eastAsia="宋体" w:cs="宋体"/>
                <w:color w:val="000000"/>
                <w:szCs w:val="21"/>
              </w:rPr>
            </w:pPr>
            <w:r>
              <w:rPr>
                <w:rFonts w:hint="eastAsia" w:ascii="宋体" w:hAnsi="宋体" w:eastAsia="宋体" w:cs="宋体"/>
                <w:color w:val="000000"/>
                <w:szCs w:val="21"/>
              </w:rPr>
              <w:t>1</w:t>
            </w:r>
          </w:p>
        </w:tc>
        <w:tc>
          <w:tcPr>
            <w:tcW w:w="1084" w:type="dxa"/>
            <w:vAlign w:val="center"/>
          </w:tcPr>
          <w:p w14:paraId="41888B73">
            <w:pPr>
              <w:jc w:val="center"/>
              <w:rPr>
                <w:rFonts w:hint="eastAsia" w:ascii="宋体" w:hAnsi="宋体" w:eastAsia="宋体" w:cs="宋体"/>
                <w:color w:val="000000"/>
                <w:szCs w:val="21"/>
              </w:rPr>
            </w:pPr>
            <w:r>
              <w:rPr>
                <w:rFonts w:hint="eastAsia" w:ascii="宋体" w:hAnsi="宋体" w:eastAsia="宋体" w:cs="宋体"/>
                <w:color w:val="000000"/>
                <w:szCs w:val="21"/>
              </w:rPr>
              <w:t>市生态环境局博罗分局</w:t>
            </w:r>
          </w:p>
        </w:tc>
        <w:tc>
          <w:tcPr>
            <w:tcW w:w="5728" w:type="dxa"/>
            <w:vAlign w:val="center"/>
          </w:tcPr>
          <w:p w14:paraId="2E5A9811">
            <w:pPr>
              <w:rPr>
                <w:rFonts w:hint="eastAsia" w:ascii="宋体" w:hAnsi="宋体" w:eastAsia="宋体" w:cs="宋体"/>
                <w:color w:val="000000"/>
                <w:szCs w:val="21"/>
              </w:rPr>
            </w:pPr>
            <w:r>
              <w:rPr>
                <w:rFonts w:hint="eastAsia" w:ascii="宋体" w:hAnsi="宋体" w:eastAsia="宋体" w:cs="宋体"/>
                <w:color w:val="000000"/>
                <w:szCs w:val="21"/>
              </w:rPr>
              <w:t>征求意见稿涉及的部分区域属于博罗智能装备产业园起步区控制性详细规划范围内，建设充分考虑智能装备产业园的布局和发展，尽可能地预留工业地块发展工业;同时预留工业与住宅、商业、旅游项目地块的距离，确保环境安全。</w:t>
            </w:r>
          </w:p>
        </w:tc>
        <w:tc>
          <w:tcPr>
            <w:tcW w:w="1902" w:type="dxa"/>
            <w:vAlign w:val="center"/>
          </w:tcPr>
          <w:p w14:paraId="64887D1F">
            <w:pPr>
              <w:rPr>
                <w:rFonts w:hint="eastAsia" w:ascii="宋体" w:hAnsi="宋体" w:eastAsia="宋体" w:cs="宋体"/>
                <w:color w:val="000000"/>
                <w:szCs w:val="21"/>
              </w:rPr>
            </w:pPr>
            <w:r>
              <w:rPr>
                <w:rFonts w:hint="eastAsia" w:ascii="宋体" w:hAnsi="宋体" w:eastAsia="宋体" w:cs="宋体"/>
                <w:color w:val="000000"/>
                <w:szCs w:val="21"/>
              </w:rPr>
              <w:t>采纳。已在文本第62页“第三十五节　集聚区功能布局”进行修改落实。</w:t>
            </w:r>
          </w:p>
        </w:tc>
      </w:tr>
      <w:tr w14:paraId="23529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36" w:type="dxa"/>
            <w:vAlign w:val="center"/>
          </w:tcPr>
          <w:p w14:paraId="7FFDFC02">
            <w:pPr>
              <w:jc w:val="center"/>
              <w:rPr>
                <w:rFonts w:hint="eastAsia" w:ascii="宋体" w:hAnsi="宋体" w:eastAsia="宋体" w:cs="宋体"/>
                <w:color w:val="000000"/>
                <w:szCs w:val="21"/>
              </w:rPr>
            </w:pPr>
            <w:r>
              <w:rPr>
                <w:rFonts w:hint="eastAsia" w:ascii="宋体" w:hAnsi="宋体" w:eastAsia="宋体" w:cs="宋体"/>
                <w:color w:val="000000"/>
                <w:szCs w:val="21"/>
              </w:rPr>
              <w:t>2</w:t>
            </w:r>
          </w:p>
        </w:tc>
        <w:tc>
          <w:tcPr>
            <w:tcW w:w="1084" w:type="dxa"/>
            <w:vAlign w:val="center"/>
          </w:tcPr>
          <w:p w14:paraId="4DB9E8AA">
            <w:pPr>
              <w:jc w:val="center"/>
              <w:rPr>
                <w:rFonts w:hint="eastAsia" w:ascii="宋体" w:hAnsi="宋体" w:eastAsia="宋体" w:cs="宋体"/>
                <w:color w:val="000000"/>
                <w:szCs w:val="21"/>
              </w:rPr>
            </w:pPr>
            <w:r>
              <w:rPr>
                <w:rFonts w:hint="eastAsia" w:ascii="宋体" w:hAnsi="宋体" w:eastAsia="宋体" w:cs="宋体"/>
                <w:color w:val="000000"/>
                <w:szCs w:val="21"/>
              </w:rPr>
              <w:t>县水利局</w:t>
            </w:r>
          </w:p>
        </w:tc>
        <w:tc>
          <w:tcPr>
            <w:tcW w:w="5728" w:type="dxa"/>
            <w:vAlign w:val="center"/>
          </w:tcPr>
          <w:p w14:paraId="701F990C">
            <w:pPr>
              <w:rPr>
                <w:rFonts w:hint="eastAsia" w:ascii="宋体" w:hAnsi="宋体" w:eastAsia="宋体" w:cs="宋体"/>
                <w:color w:val="000000"/>
                <w:szCs w:val="21"/>
              </w:rPr>
            </w:pPr>
            <w:r>
              <w:rPr>
                <w:rFonts w:hint="eastAsia" w:ascii="宋体" w:hAnsi="宋体" w:eastAsia="宋体" w:cs="宋体"/>
                <w:color w:val="000000"/>
                <w:szCs w:val="21"/>
              </w:rPr>
              <w:t>该规划所涉及的建设项目建议尽量避让河湖水利工程管理范围建设。若无法避让河湖水利工程管理范围又确需建设的项目，其建设方案需报我局审查同意。</w:t>
            </w:r>
          </w:p>
        </w:tc>
        <w:tc>
          <w:tcPr>
            <w:tcW w:w="1902" w:type="dxa"/>
            <w:vAlign w:val="center"/>
          </w:tcPr>
          <w:p w14:paraId="073F52A8">
            <w:pPr>
              <w:rPr>
                <w:rFonts w:hint="eastAsia" w:ascii="宋体" w:hAnsi="宋体" w:eastAsia="宋体" w:cs="宋体"/>
                <w:color w:val="000000"/>
                <w:szCs w:val="21"/>
              </w:rPr>
            </w:pPr>
            <w:r>
              <w:rPr>
                <w:rFonts w:hint="eastAsia" w:ascii="宋体" w:hAnsi="宋体" w:eastAsia="宋体" w:cs="宋体"/>
                <w:color w:val="000000"/>
                <w:szCs w:val="21"/>
              </w:rPr>
              <w:t>采纳。已与河湖水利工程管理范围进行衔接。涉及景观绿化、市政设施、道路设施等建设项目的建设方案报建环节报请你局审查确认。</w:t>
            </w:r>
          </w:p>
        </w:tc>
      </w:tr>
      <w:tr w14:paraId="6211F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restart"/>
            <w:vAlign w:val="center"/>
          </w:tcPr>
          <w:p w14:paraId="335326B2">
            <w:pPr>
              <w:jc w:val="center"/>
              <w:rPr>
                <w:rFonts w:hint="eastAsia" w:ascii="宋体" w:hAnsi="宋体" w:eastAsia="宋体" w:cs="宋体"/>
                <w:color w:val="000000"/>
                <w:szCs w:val="21"/>
              </w:rPr>
            </w:pPr>
            <w:r>
              <w:rPr>
                <w:rFonts w:hint="eastAsia" w:ascii="宋体" w:hAnsi="宋体" w:eastAsia="宋体" w:cs="宋体"/>
                <w:color w:val="000000"/>
                <w:szCs w:val="21"/>
              </w:rPr>
              <w:t>3</w:t>
            </w:r>
          </w:p>
        </w:tc>
        <w:tc>
          <w:tcPr>
            <w:tcW w:w="1084" w:type="dxa"/>
            <w:vMerge w:val="restart"/>
            <w:vAlign w:val="center"/>
          </w:tcPr>
          <w:p w14:paraId="18004B11">
            <w:pPr>
              <w:jc w:val="center"/>
              <w:rPr>
                <w:rFonts w:hint="eastAsia" w:ascii="宋体" w:hAnsi="宋体" w:eastAsia="宋体" w:cs="宋体"/>
                <w:color w:val="000000"/>
                <w:szCs w:val="21"/>
              </w:rPr>
            </w:pPr>
            <w:r>
              <w:rPr>
                <w:rFonts w:hint="eastAsia" w:ascii="宋体" w:hAnsi="宋体" w:eastAsia="宋体" w:cs="宋体"/>
                <w:color w:val="000000"/>
                <w:szCs w:val="21"/>
              </w:rPr>
              <w:t>县卫健局</w:t>
            </w:r>
          </w:p>
        </w:tc>
        <w:tc>
          <w:tcPr>
            <w:tcW w:w="5728" w:type="dxa"/>
          </w:tcPr>
          <w:p w14:paraId="5E4C7AD4">
            <w:pPr>
              <w:rPr>
                <w:rFonts w:hint="eastAsia" w:ascii="宋体" w:hAnsi="宋体" w:eastAsia="宋体" w:cs="宋体"/>
                <w:color w:val="000000"/>
                <w:szCs w:val="21"/>
              </w:rPr>
            </w:pPr>
            <w:r>
              <w:rPr>
                <w:rFonts w:hint="eastAsia" w:ascii="宋体" w:hAnsi="宋体" w:eastAsia="宋体" w:cs="宋体"/>
                <w:color w:val="000000"/>
                <w:szCs w:val="21"/>
              </w:rPr>
              <w:t>一、第38页“4.提高公共卫生事件应对能力”原文“建立以新建三甲医院为主导，博罗县第三人民医院、惠博中医医院、惠博医院、博罗东江医院为支撑的应急医疗救治体系。”建议“删除东江医院并增加园洲卫生院(含九潭)和石湾镇铁场卫生院为支撑的应急医疗救治体系”，修改为“建立以新建三甲医院为主导，博罗县第三人民医院、惠博中医医院惠博医院、园洲镇卫生院、园洲镇九潭卫生院和石湾镇铁场卫生院为支撑的应急医疗救治体系”。</w:t>
            </w:r>
          </w:p>
        </w:tc>
        <w:tc>
          <w:tcPr>
            <w:tcW w:w="1902" w:type="dxa"/>
            <w:vAlign w:val="center"/>
          </w:tcPr>
          <w:p w14:paraId="000F3286">
            <w:pPr>
              <w:rPr>
                <w:rFonts w:hint="eastAsia" w:ascii="宋体" w:hAnsi="宋体" w:eastAsia="宋体" w:cs="宋体"/>
                <w:color w:val="000000"/>
                <w:szCs w:val="21"/>
              </w:rPr>
            </w:pPr>
            <w:r>
              <w:rPr>
                <w:rFonts w:hint="eastAsia" w:ascii="宋体" w:hAnsi="宋体" w:eastAsia="宋体" w:cs="宋体"/>
                <w:color w:val="000000"/>
                <w:szCs w:val="21"/>
              </w:rPr>
              <w:t>采纳。已在文本第38页“4．提高公共卫生事件应对能力”进行修改落实。</w:t>
            </w:r>
          </w:p>
        </w:tc>
      </w:tr>
      <w:tr w14:paraId="758F9C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continue"/>
            <w:vAlign w:val="center"/>
          </w:tcPr>
          <w:p w14:paraId="67528562">
            <w:pPr>
              <w:jc w:val="center"/>
              <w:rPr>
                <w:rFonts w:hint="eastAsia" w:ascii="宋体" w:hAnsi="宋体" w:eastAsia="宋体" w:cs="宋体"/>
                <w:color w:val="000000"/>
                <w:szCs w:val="21"/>
              </w:rPr>
            </w:pPr>
          </w:p>
        </w:tc>
        <w:tc>
          <w:tcPr>
            <w:tcW w:w="1084" w:type="dxa"/>
            <w:vMerge w:val="continue"/>
            <w:vAlign w:val="center"/>
          </w:tcPr>
          <w:p w14:paraId="63D3DC50">
            <w:pPr>
              <w:jc w:val="center"/>
              <w:rPr>
                <w:rFonts w:hint="eastAsia" w:ascii="宋体" w:hAnsi="宋体" w:eastAsia="宋体" w:cs="宋体"/>
                <w:color w:val="000000"/>
                <w:szCs w:val="21"/>
              </w:rPr>
            </w:pPr>
          </w:p>
        </w:tc>
        <w:tc>
          <w:tcPr>
            <w:tcW w:w="5728" w:type="dxa"/>
          </w:tcPr>
          <w:p w14:paraId="51B7CF7D">
            <w:pPr>
              <w:rPr>
                <w:rFonts w:hint="eastAsia" w:ascii="宋体" w:hAnsi="宋体" w:eastAsia="宋体" w:cs="宋体"/>
                <w:color w:val="000000"/>
                <w:szCs w:val="21"/>
              </w:rPr>
            </w:pPr>
            <w:r>
              <w:rPr>
                <w:rFonts w:hint="eastAsia" w:ascii="宋体" w:hAnsi="宋体" w:eastAsia="宋体" w:cs="宋体"/>
                <w:color w:val="000000"/>
                <w:szCs w:val="21"/>
              </w:rPr>
              <w:t>二、第25页：“第二十三节 建设全龄友好、触手可及的幸福城市”，建议增加“托育服务设施规划”相关内容作为配套公共服务模块，以满足群众育儿需求。指标内容建议为：“到2025年，60%以上社区要开设普惠托育服务，50%以上公办幼儿园要开设托班招收2-3岁适龄婴幼儿，实现每千常住人口托位数达到5.5个（2035年前达到6个）”。</w:t>
            </w:r>
          </w:p>
        </w:tc>
        <w:tc>
          <w:tcPr>
            <w:tcW w:w="1902" w:type="dxa"/>
            <w:vAlign w:val="center"/>
          </w:tcPr>
          <w:p w14:paraId="139FD3DE">
            <w:pPr>
              <w:rPr>
                <w:rFonts w:hint="eastAsia" w:ascii="宋体" w:hAnsi="宋体" w:eastAsia="宋体" w:cs="宋体"/>
                <w:color w:val="000000"/>
                <w:szCs w:val="21"/>
              </w:rPr>
            </w:pPr>
            <w:r>
              <w:rPr>
                <w:rFonts w:hint="eastAsia" w:ascii="宋体" w:hAnsi="宋体" w:eastAsia="宋体" w:cs="宋体"/>
                <w:color w:val="000000"/>
                <w:szCs w:val="21"/>
              </w:rPr>
              <w:t>采纳。已在文本第32页“托育服务设施”进行修改落实。</w:t>
            </w:r>
          </w:p>
        </w:tc>
      </w:tr>
      <w:tr w14:paraId="77F1E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continue"/>
            <w:vAlign w:val="center"/>
          </w:tcPr>
          <w:p w14:paraId="2182242E">
            <w:pPr>
              <w:jc w:val="center"/>
              <w:rPr>
                <w:rFonts w:hint="eastAsia" w:ascii="宋体" w:hAnsi="宋体" w:eastAsia="宋体" w:cs="宋体"/>
                <w:color w:val="000000"/>
                <w:szCs w:val="21"/>
              </w:rPr>
            </w:pPr>
          </w:p>
        </w:tc>
        <w:tc>
          <w:tcPr>
            <w:tcW w:w="1084" w:type="dxa"/>
            <w:vMerge w:val="continue"/>
            <w:vAlign w:val="center"/>
          </w:tcPr>
          <w:p w14:paraId="18B2B448">
            <w:pPr>
              <w:jc w:val="center"/>
              <w:rPr>
                <w:rFonts w:hint="eastAsia" w:ascii="宋体" w:hAnsi="宋体" w:eastAsia="宋体" w:cs="宋体"/>
                <w:color w:val="000000"/>
                <w:szCs w:val="21"/>
              </w:rPr>
            </w:pPr>
          </w:p>
        </w:tc>
        <w:tc>
          <w:tcPr>
            <w:tcW w:w="5728" w:type="dxa"/>
          </w:tcPr>
          <w:p w14:paraId="1ABAF125">
            <w:pPr>
              <w:rPr>
                <w:rFonts w:hint="eastAsia" w:ascii="宋体" w:hAnsi="宋体" w:eastAsia="宋体" w:cs="宋体"/>
                <w:color w:val="000000"/>
                <w:szCs w:val="21"/>
              </w:rPr>
            </w:pPr>
            <w:r>
              <w:rPr>
                <w:rFonts w:hint="eastAsia" w:ascii="宋体" w:hAnsi="宋体" w:eastAsia="宋体" w:cs="宋体"/>
                <w:color w:val="000000"/>
                <w:szCs w:val="21"/>
              </w:rPr>
              <w:t>三、第27页，根据“医疗卫生设施”相关内容所述，其规划的三家医院占地面积偏小。根据相关规范要求测算，占地6.6公顷仅可增加600张床位。建议参照博罗县人民医院规模，扩大规划面积至11公顷，设置床位1000张。另外，建议删除“至2035年，千人医疗卫生机构床位数不少于7.5床”所述内容（原因：未来规划床位总规模7.5张，是包含县域内省、市、县和基层各级公立医院卫生机构的床位数，以及民营医院床位数的总和，如果只针对县域副中心达不到如此高的要求）。</w:t>
            </w:r>
          </w:p>
        </w:tc>
        <w:tc>
          <w:tcPr>
            <w:tcW w:w="1902" w:type="dxa"/>
            <w:vAlign w:val="center"/>
          </w:tcPr>
          <w:p w14:paraId="10C1DAC2">
            <w:pPr>
              <w:rPr>
                <w:rFonts w:hint="eastAsia" w:ascii="宋体" w:hAnsi="宋体" w:eastAsia="宋体" w:cs="宋体"/>
                <w:color w:val="000000"/>
                <w:szCs w:val="21"/>
              </w:rPr>
            </w:pPr>
            <w:r>
              <w:rPr>
                <w:rFonts w:hint="eastAsia" w:ascii="宋体" w:hAnsi="宋体" w:eastAsia="宋体" w:cs="宋体"/>
                <w:color w:val="000000"/>
                <w:szCs w:val="21"/>
              </w:rPr>
              <w:t>采纳。已在文本第32页“医疗卫生设施”进行修改落实。并删除“7.5张”指标设置。</w:t>
            </w:r>
          </w:p>
        </w:tc>
      </w:tr>
      <w:tr w14:paraId="5DFE8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restart"/>
            <w:vAlign w:val="center"/>
          </w:tcPr>
          <w:p w14:paraId="17550DBD">
            <w:pPr>
              <w:jc w:val="center"/>
              <w:rPr>
                <w:rFonts w:hint="eastAsia" w:ascii="宋体" w:hAnsi="宋体" w:eastAsia="宋体" w:cs="宋体"/>
                <w:color w:val="000000"/>
                <w:szCs w:val="21"/>
              </w:rPr>
            </w:pPr>
            <w:r>
              <w:rPr>
                <w:rFonts w:hint="eastAsia" w:ascii="宋体" w:hAnsi="宋体" w:eastAsia="宋体" w:cs="宋体"/>
                <w:color w:val="000000"/>
                <w:szCs w:val="21"/>
              </w:rPr>
              <w:t>4</w:t>
            </w:r>
          </w:p>
        </w:tc>
        <w:tc>
          <w:tcPr>
            <w:tcW w:w="1084" w:type="dxa"/>
            <w:vMerge w:val="restart"/>
            <w:vAlign w:val="center"/>
          </w:tcPr>
          <w:p w14:paraId="34FCD76A">
            <w:pPr>
              <w:jc w:val="center"/>
              <w:rPr>
                <w:rFonts w:hint="eastAsia" w:ascii="宋体" w:hAnsi="宋体" w:eastAsia="宋体" w:cs="宋体"/>
                <w:color w:val="000000"/>
                <w:szCs w:val="21"/>
              </w:rPr>
            </w:pPr>
            <w:r>
              <w:rPr>
                <w:rFonts w:hint="eastAsia" w:ascii="宋体" w:hAnsi="宋体" w:eastAsia="宋体" w:cs="宋体"/>
                <w:color w:val="000000"/>
                <w:szCs w:val="21"/>
              </w:rPr>
              <w:t>县科工信局</w:t>
            </w:r>
          </w:p>
        </w:tc>
        <w:tc>
          <w:tcPr>
            <w:tcW w:w="5728" w:type="dxa"/>
          </w:tcPr>
          <w:p w14:paraId="62E0C97C">
            <w:pPr>
              <w:rPr>
                <w:rFonts w:hint="eastAsia" w:ascii="宋体" w:hAnsi="宋体" w:eastAsia="宋体" w:cs="宋体"/>
                <w:color w:val="000000"/>
                <w:szCs w:val="21"/>
              </w:rPr>
            </w:pPr>
            <w:r>
              <w:rPr>
                <w:rFonts w:hint="eastAsia" w:ascii="宋体" w:hAnsi="宋体" w:eastAsia="宋体" w:cs="宋体"/>
                <w:color w:val="000000"/>
                <w:szCs w:val="21"/>
              </w:rPr>
              <w:t>一、关于规划方面</w:t>
            </w:r>
          </w:p>
          <w:p w14:paraId="649E7AED">
            <w:pPr>
              <w:rPr>
                <w:rFonts w:hint="eastAsia" w:ascii="宋体" w:hAnsi="宋体" w:eastAsia="宋体" w:cs="宋体"/>
                <w:color w:val="000000"/>
                <w:szCs w:val="21"/>
              </w:rPr>
            </w:pPr>
            <w:r>
              <w:rPr>
                <w:rFonts w:hint="eastAsia" w:ascii="宋体" w:hAnsi="宋体" w:eastAsia="宋体" w:cs="宋体"/>
                <w:color w:val="000000"/>
                <w:szCs w:val="21"/>
              </w:rPr>
              <w:t>博罗县域副中心发展总体规划，缺乏通信基础设施（含通信路由、基站分布的规划图），建议增加通信规划在图集里，或体现在国土空间规划里。根据《广东省通信设施建设与保护规定》第一章　总　则  第六条　县级以上人民政府应当将通信设施建设纳入国民经济和社会发展规划，统筹协调通信设施建设与保护工作，制定落实支持通信设施建设与保护、促进信息通信业发展的政策措施。第二章　规划建设  第十条　省通信管理部门应当根据国家信息通信行业发展规划、本省国民经济和社会发展规划，组织编制本省信息通信行业发展规划，并与本省信息基础设施建设规划相衔接。</w:t>
            </w:r>
          </w:p>
          <w:p w14:paraId="2EDED0FB">
            <w:pPr>
              <w:rPr>
                <w:rFonts w:hint="eastAsia" w:ascii="宋体" w:hAnsi="宋体" w:eastAsia="宋体" w:cs="宋体"/>
                <w:color w:val="000000"/>
                <w:szCs w:val="21"/>
              </w:rPr>
            </w:pPr>
            <w:r>
              <w:rPr>
                <w:rFonts w:hint="eastAsia" w:ascii="宋体" w:hAnsi="宋体" w:eastAsia="宋体" w:cs="宋体"/>
                <w:color w:val="000000"/>
                <w:szCs w:val="21"/>
              </w:rPr>
              <w:t>各级人民政府和县级以上人民政府有关部门编制的城乡规划及近期建设规划、土地利用总体规划，应当包含通信设施建设的相关内容。第十二条　县级以上人民政府城乡规划主管部门组织编制控制性详细规划时，应当满足本区域通信设施专项规划确定的设施位置、空间布局等需求，明确建设项目配建通信设施用地位置、规模和通信设施配套供电、通信管线控制等要求，并将通信设施纳入城市黄线管理。</w:t>
            </w:r>
          </w:p>
          <w:p w14:paraId="350402D4">
            <w:pPr>
              <w:rPr>
                <w:rFonts w:hint="eastAsia" w:ascii="宋体" w:hAnsi="宋体" w:eastAsia="宋体" w:cs="宋体"/>
                <w:color w:val="000000"/>
                <w:szCs w:val="21"/>
              </w:rPr>
            </w:pPr>
            <w:r>
              <w:rPr>
                <w:rFonts w:hint="eastAsia" w:ascii="宋体" w:hAnsi="宋体" w:eastAsia="宋体" w:cs="宋体"/>
                <w:color w:val="000000"/>
                <w:szCs w:val="21"/>
              </w:rPr>
              <w:t>城乡规划主管部门应当根据控制性详细规划，将通信设施专项规划有关内容列入土地出让的规划设计条件中。</w:t>
            </w:r>
          </w:p>
        </w:tc>
        <w:tc>
          <w:tcPr>
            <w:tcW w:w="1902" w:type="dxa"/>
            <w:vAlign w:val="center"/>
          </w:tcPr>
          <w:p w14:paraId="75ED4A17">
            <w:pPr>
              <w:rPr>
                <w:rFonts w:hint="eastAsia" w:ascii="宋体" w:hAnsi="宋体" w:eastAsia="宋体" w:cs="宋体"/>
                <w:color w:val="000000"/>
                <w:szCs w:val="21"/>
              </w:rPr>
            </w:pPr>
            <w:r>
              <w:rPr>
                <w:rFonts w:hint="eastAsia" w:ascii="宋体" w:hAnsi="宋体" w:eastAsia="宋体" w:cs="宋体"/>
                <w:color w:val="000000"/>
                <w:szCs w:val="21"/>
              </w:rPr>
              <w:t>采纳。已在文本第二十五节“3．打造高效协同的信息基础设施”补充相关内容。</w:t>
            </w:r>
          </w:p>
          <w:p w14:paraId="2B4054B6">
            <w:pPr>
              <w:rPr>
                <w:rFonts w:hint="eastAsia" w:ascii="宋体" w:hAnsi="宋体" w:eastAsia="宋体" w:cs="宋体"/>
                <w:color w:val="000000"/>
                <w:szCs w:val="21"/>
              </w:rPr>
            </w:pPr>
          </w:p>
        </w:tc>
      </w:tr>
      <w:tr w14:paraId="00035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continue"/>
            <w:vAlign w:val="center"/>
          </w:tcPr>
          <w:p w14:paraId="080537CF">
            <w:pPr>
              <w:jc w:val="center"/>
              <w:rPr>
                <w:rFonts w:hint="eastAsia" w:ascii="宋体" w:hAnsi="宋体" w:eastAsia="宋体" w:cs="宋体"/>
                <w:color w:val="000000"/>
                <w:szCs w:val="21"/>
              </w:rPr>
            </w:pPr>
          </w:p>
        </w:tc>
        <w:tc>
          <w:tcPr>
            <w:tcW w:w="1084" w:type="dxa"/>
            <w:vMerge w:val="continue"/>
            <w:vAlign w:val="center"/>
          </w:tcPr>
          <w:p w14:paraId="4B3AA4B0">
            <w:pPr>
              <w:jc w:val="center"/>
              <w:rPr>
                <w:rFonts w:hint="eastAsia" w:ascii="宋体" w:hAnsi="宋体" w:eastAsia="宋体" w:cs="宋体"/>
                <w:color w:val="000000"/>
                <w:szCs w:val="21"/>
              </w:rPr>
            </w:pPr>
          </w:p>
        </w:tc>
        <w:tc>
          <w:tcPr>
            <w:tcW w:w="5728" w:type="dxa"/>
          </w:tcPr>
          <w:p w14:paraId="23CCDF63">
            <w:pPr>
              <w:rPr>
                <w:rFonts w:hint="eastAsia" w:ascii="宋体" w:hAnsi="宋体" w:eastAsia="宋体" w:cs="宋体"/>
                <w:color w:val="000000"/>
                <w:szCs w:val="21"/>
              </w:rPr>
            </w:pPr>
            <w:r>
              <w:rPr>
                <w:rFonts w:hint="eastAsia" w:ascii="宋体" w:hAnsi="宋体" w:eastAsia="宋体" w:cs="宋体"/>
                <w:color w:val="000000"/>
                <w:szCs w:val="21"/>
              </w:rPr>
              <w:t>二、关于文件内容方面</w:t>
            </w:r>
          </w:p>
          <w:p w14:paraId="05A29E94">
            <w:pPr>
              <w:rPr>
                <w:rFonts w:hint="eastAsia" w:ascii="宋体" w:hAnsi="宋体" w:eastAsia="宋体" w:cs="宋体"/>
                <w:color w:val="000000"/>
                <w:szCs w:val="21"/>
              </w:rPr>
            </w:pPr>
            <w:r>
              <w:rPr>
                <w:rFonts w:hint="eastAsia" w:ascii="宋体" w:hAnsi="宋体" w:eastAsia="宋体" w:cs="宋体"/>
                <w:color w:val="000000"/>
                <w:szCs w:val="21"/>
              </w:rPr>
              <w:t>第6页，第二章 发展基础与形势第二点，关于县域副中心2023年的工业企业数及规模以上工业增加值两项数据，经核实数据为522家、156.85亿元。</w:t>
            </w:r>
          </w:p>
        </w:tc>
        <w:tc>
          <w:tcPr>
            <w:tcW w:w="1902" w:type="dxa"/>
            <w:vAlign w:val="center"/>
          </w:tcPr>
          <w:p w14:paraId="4AAA3D6D">
            <w:pPr>
              <w:rPr>
                <w:rFonts w:hint="eastAsia" w:ascii="宋体" w:hAnsi="宋体" w:eastAsia="宋体" w:cs="宋体"/>
                <w:color w:val="000000"/>
                <w:szCs w:val="21"/>
              </w:rPr>
            </w:pPr>
            <w:r>
              <w:rPr>
                <w:rFonts w:hint="eastAsia" w:ascii="宋体" w:hAnsi="宋体" w:eastAsia="宋体" w:cs="宋体"/>
                <w:color w:val="000000"/>
                <w:szCs w:val="21"/>
              </w:rPr>
              <w:t>采纳。已在文本第二章第五节第2点修改相关内容。</w:t>
            </w:r>
          </w:p>
        </w:tc>
      </w:tr>
      <w:tr w14:paraId="39AEC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continue"/>
            <w:vAlign w:val="center"/>
          </w:tcPr>
          <w:p w14:paraId="1B5912E1">
            <w:pPr>
              <w:jc w:val="center"/>
              <w:rPr>
                <w:rFonts w:hint="eastAsia" w:ascii="宋体" w:hAnsi="宋体" w:eastAsia="宋体" w:cs="宋体"/>
                <w:color w:val="000000"/>
                <w:szCs w:val="21"/>
              </w:rPr>
            </w:pPr>
          </w:p>
        </w:tc>
        <w:tc>
          <w:tcPr>
            <w:tcW w:w="1084" w:type="dxa"/>
            <w:vMerge w:val="continue"/>
            <w:vAlign w:val="center"/>
          </w:tcPr>
          <w:p w14:paraId="43360540">
            <w:pPr>
              <w:jc w:val="center"/>
              <w:rPr>
                <w:rFonts w:hint="eastAsia" w:ascii="宋体" w:hAnsi="宋体" w:eastAsia="宋体" w:cs="宋体"/>
                <w:color w:val="000000"/>
                <w:szCs w:val="21"/>
              </w:rPr>
            </w:pPr>
          </w:p>
        </w:tc>
        <w:tc>
          <w:tcPr>
            <w:tcW w:w="5728" w:type="dxa"/>
          </w:tcPr>
          <w:p w14:paraId="0A7442CE">
            <w:pPr>
              <w:rPr>
                <w:rFonts w:hint="eastAsia" w:ascii="宋体" w:hAnsi="宋体" w:eastAsia="宋体" w:cs="宋体"/>
                <w:color w:val="000000"/>
                <w:szCs w:val="21"/>
              </w:rPr>
            </w:pPr>
            <w:r>
              <w:rPr>
                <w:rFonts w:hint="eastAsia" w:ascii="宋体" w:hAnsi="宋体" w:eastAsia="宋体" w:cs="宋体"/>
                <w:color w:val="000000"/>
                <w:szCs w:val="21"/>
              </w:rPr>
              <w:t>第19页，第五章 打造珠江东岸创新产业新高地高标准培育智能装备制造、新一代电子信息、新能源新材料、汽车整车生产、新型储能和中医药健康制造等6个百亿产业集群的表述，“汽车整车生产”，在早期规划中，博罗产业转移工业园博西片区计划引进整车生产项目，但目前博罗县没有整车生产资质，也没有连片工业用地可承接大型整车生产项目落地条件，建议汽车整车生产集群表述进行修改。</w:t>
            </w:r>
          </w:p>
        </w:tc>
        <w:tc>
          <w:tcPr>
            <w:tcW w:w="1902" w:type="dxa"/>
            <w:vAlign w:val="center"/>
          </w:tcPr>
          <w:p w14:paraId="29338CD7">
            <w:pPr>
              <w:rPr>
                <w:rFonts w:hint="eastAsia" w:ascii="宋体" w:hAnsi="宋体" w:eastAsia="宋体" w:cs="宋体"/>
                <w:color w:val="000000"/>
                <w:szCs w:val="21"/>
              </w:rPr>
            </w:pPr>
            <w:r>
              <w:rPr>
                <w:rFonts w:hint="eastAsia" w:ascii="宋体" w:hAnsi="宋体" w:eastAsia="宋体" w:cs="宋体"/>
                <w:color w:val="000000"/>
                <w:szCs w:val="21"/>
              </w:rPr>
              <w:t>采纳。已结合博罗县产业基础，将第五章中“汽车整车生产集群”表述修改为“汽车零部件生产集群”。</w:t>
            </w:r>
          </w:p>
        </w:tc>
      </w:tr>
      <w:tr w14:paraId="18B5C9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continue"/>
            <w:vAlign w:val="center"/>
          </w:tcPr>
          <w:p w14:paraId="0181ACED">
            <w:pPr>
              <w:jc w:val="center"/>
              <w:rPr>
                <w:rFonts w:hint="eastAsia" w:ascii="宋体" w:hAnsi="宋体" w:eastAsia="宋体" w:cs="宋体"/>
                <w:color w:val="000000"/>
                <w:szCs w:val="21"/>
              </w:rPr>
            </w:pPr>
          </w:p>
        </w:tc>
        <w:tc>
          <w:tcPr>
            <w:tcW w:w="1084" w:type="dxa"/>
            <w:vMerge w:val="continue"/>
            <w:vAlign w:val="center"/>
          </w:tcPr>
          <w:p w14:paraId="66D3AA94">
            <w:pPr>
              <w:jc w:val="center"/>
              <w:rPr>
                <w:rFonts w:hint="eastAsia" w:ascii="宋体" w:hAnsi="宋体" w:eastAsia="宋体" w:cs="宋体"/>
                <w:color w:val="000000"/>
                <w:szCs w:val="21"/>
              </w:rPr>
            </w:pPr>
          </w:p>
        </w:tc>
        <w:tc>
          <w:tcPr>
            <w:tcW w:w="5728" w:type="dxa"/>
          </w:tcPr>
          <w:p w14:paraId="6143EF98">
            <w:pPr>
              <w:rPr>
                <w:rFonts w:hint="eastAsia" w:ascii="宋体" w:hAnsi="宋体" w:eastAsia="宋体" w:cs="宋体"/>
                <w:color w:val="000000"/>
                <w:szCs w:val="21"/>
              </w:rPr>
            </w:pPr>
            <w:r>
              <w:rPr>
                <w:rFonts w:hint="eastAsia" w:ascii="宋体" w:hAnsi="宋体" w:eastAsia="宋体" w:cs="宋体"/>
                <w:color w:val="000000"/>
                <w:szCs w:val="21"/>
              </w:rPr>
              <w:t>第50页，第九章 打造高能级大型产业集聚区的相关表述，与国家发展改革 自然资源部关于开展《中国开发区审核公告目录 （2018年版）》修订工作的通知里的“本轮《目录》修订后，只保留国家级和省级开发区，由省级人民政府下辖单位设立的各类具有开发区性质的产业园区均不再保留（不挂牌子、不设机构、不得以园区名义招商），不同开发区的管理范围不得交叉重叠，主导产业原则上不超过3个（以《国民经济行业分类》（GB/T4754-2017）中的“大类”计）”有所冲突，建议进行优化。</w:t>
            </w:r>
          </w:p>
        </w:tc>
        <w:tc>
          <w:tcPr>
            <w:tcW w:w="1902" w:type="dxa"/>
            <w:vAlign w:val="center"/>
          </w:tcPr>
          <w:p w14:paraId="064B7AE1">
            <w:pPr>
              <w:rPr>
                <w:rFonts w:hint="eastAsia" w:ascii="宋体" w:hAnsi="宋体" w:eastAsia="宋体" w:cs="宋体"/>
                <w:color w:val="000000"/>
                <w:szCs w:val="21"/>
              </w:rPr>
            </w:pPr>
            <w:r>
              <w:rPr>
                <w:rFonts w:hint="eastAsia" w:ascii="宋体" w:hAnsi="宋体" w:eastAsia="宋体" w:cs="宋体"/>
                <w:color w:val="000000"/>
                <w:szCs w:val="21"/>
              </w:rPr>
              <w:t>采纳。集聚区主导产业1个。</w:t>
            </w:r>
          </w:p>
        </w:tc>
      </w:tr>
      <w:tr w14:paraId="17AE9B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14:paraId="10FA63B4">
            <w:pPr>
              <w:jc w:val="center"/>
              <w:rPr>
                <w:rFonts w:hint="eastAsia" w:ascii="宋体" w:hAnsi="宋体" w:eastAsia="宋体" w:cs="宋体"/>
                <w:color w:val="000000"/>
                <w:szCs w:val="21"/>
              </w:rPr>
            </w:pPr>
            <w:r>
              <w:rPr>
                <w:rFonts w:hint="eastAsia" w:ascii="宋体" w:hAnsi="宋体" w:eastAsia="宋体" w:cs="宋体"/>
                <w:color w:val="000000"/>
                <w:szCs w:val="21"/>
              </w:rPr>
              <w:t>5</w:t>
            </w:r>
          </w:p>
        </w:tc>
        <w:tc>
          <w:tcPr>
            <w:tcW w:w="1084" w:type="dxa"/>
            <w:vAlign w:val="center"/>
          </w:tcPr>
          <w:p w14:paraId="70CFBA58">
            <w:pPr>
              <w:jc w:val="center"/>
              <w:rPr>
                <w:rFonts w:hint="eastAsia" w:ascii="宋体" w:hAnsi="宋体" w:eastAsia="宋体" w:cs="宋体"/>
                <w:color w:val="000000"/>
                <w:szCs w:val="21"/>
              </w:rPr>
            </w:pPr>
            <w:r>
              <w:rPr>
                <w:rFonts w:hint="eastAsia" w:ascii="宋体" w:hAnsi="宋体" w:eastAsia="宋体" w:cs="宋体"/>
                <w:color w:val="000000"/>
                <w:szCs w:val="21"/>
              </w:rPr>
              <w:t>县自然资源局</w:t>
            </w:r>
          </w:p>
        </w:tc>
        <w:tc>
          <w:tcPr>
            <w:tcW w:w="5728" w:type="dxa"/>
            <w:vAlign w:val="center"/>
          </w:tcPr>
          <w:p w14:paraId="6C2CA685">
            <w:pPr>
              <w:jc w:val="center"/>
              <w:rPr>
                <w:rFonts w:hint="eastAsia" w:ascii="宋体" w:hAnsi="宋体" w:eastAsia="宋体" w:cs="宋体"/>
                <w:color w:val="000000"/>
                <w:szCs w:val="21"/>
              </w:rPr>
            </w:pPr>
            <w:r>
              <w:rPr>
                <w:rFonts w:hint="eastAsia" w:ascii="宋体" w:hAnsi="宋体" w:eastAsia="宋体" w:cs="宋体"/>
                <w:color w:val="000000"/>
                <w:szCs w:val="21"/>
              </w:rPr>
              <w:t>无意见。</w:t>
            </w:r>
          </w:p>
        </w:tc>
        <w:tc>
          <w:tcPr>
            <w:tcW w:w="1902" w:type="dxa"/>
            <w:vAlign w:val="center"/>
          </w:tcPr>
          <w:p w14:paraId="07FD3388">
            <w:pPr>
              <w:jc w:val="center"/>
              <w:rPr>
                <w:rFonts w:hint="eastAsia" w:ascii="宋体" w:hAnsi="宋体" w:eastAsia="宋体" w:cs="宋体"/>
                <w:color w:val="000000"/>
                <w:szCs w:val="21"/>
              </w:rPr>
            </w:pPr>
            <w:r>
              <w:rPr>
                <w:rFonts w:hint="eastAsia" w:ascii="宋体" w:hAnsi="宋体" w:eastAsia="宋体" w:cs="宋体"/>
                <w:color w:val="000000"/>
                <w:szCs w:val="21"/>
              </w:rPr>
              <w:t>——</w:t>
            </w:r>
          </w:p>
        </w:tc>
      </w:tr>
      <w:tr w14:paraId="387F3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restart"/>
            <w:shd w:val="clear" w:color="auto" w:fill="auto"/>
            <w:vAlign w:val="center"/>
          </w:tcPr>
          <w:p w14:paraId="20937F4B">
            <w:pPr>
              <w:jc w:val="center"/>
              <w:rPr>
                <w:rFonts w:hint="eastAsia" w:ascii="宋体" w:hAnsi="宋体" w:eastAsia="宋体" w:cs="宋体"/>
                <w:color w:val="000000"/>
                <w:szCs w:val="21"/>
              </w:rPr>
            </w:pPr>
            <w:r>
              <w:rPr>
                <w:rFonts w:hint="eastAsia" w:ascii="宋体" w:hAnsi="宋体" w:eastAsia="宋体" w:cs="宋体"/>
                <w:color w:val="000000"/>
                <w:szCs w:val="21"/>
              </w:rPr>
              <w:t>6</w:t>
            </w:r>
          </w:p>
        </w:tc>
        <w:tc>
          <w:tcPr>
            <w:tcW w:w="1084" w:type="dxa"/>
            <w:vMerge w:val="restart"/>
            <w:shd w:val="clear" w:color="auto" w:fill="auto"/>
            <w:vAlign w:val="center"/>
          </w:tcPr>
          <w:p w14:paraId="558723C1">
            <w:pPr>
              <w:jc w:val="center"/>
              <w:rPr>
                <w:rFonts w:hint="eastAsia" w:ascii="宋体" w:hAnsi="宋体" w:eastAsia="宋体" w:cs="宋体"/>
                <w:color w:val="000000"/>
                <w:szCs w:val="21"/>
              </w:rPr>
            </w:pPr>
            <w:r>
              <w:rPr>
                <w:rFonts w:hint="eastAsia" w:ascii="宋体" w:hAnsi="宋体" w:eastAsia="宋体" w:cs="宋体"/>
                <w:color w:val="000000"/>
                <w:szCs w:val="21"/>
              </w:rPr>
              <w:t>园洲镇人民政府</w:t>
            </w:r>
          </w:p>
        </w:tc>
        <w:tc>
          <w:tcPr>
            <w:tcW w:w="5728" w:type="dxa"/>
            <w:shd w:val="clear" w:color="auto" w:fill="auto"/>
            <w:vAlign w:val="center"/>
          </w:tcPr>
          <w:p w14:paraId="3C739634">
            <w:pPr>
              <w:jc w:val="left"/>
              <w:rPr>
                <w:rFonts w:hint="eastAsia" w:ascii="宋体" w:hAnsi="宋体" w:eastAsia="宋体" w:cs="宋体"/>
                <w:color w:val="000000"/>
                <w:szCs w:val="21"/>
              </w:rPr>
            </w:pPr>
            <w:r>
              <w:rPr>
                <w:rFonts w:hint="eastAsia" w:ascii="宋体" w:hAnsi="宋体" w:eastAsia="宋体" w:cs="宋体"/>
                <w:color w:val="000000"/>
                <w:szCs w:val="21"/>
              </w:rPr>
              <w:t>一、在第六章第二十五节（P35），近期启动的污水处理厂扩建工程中，建议增加园洲第五污水处理厂；远期按需实施的污水处理厂提质扩容工程中，建议删除园洲第三污水处理厂、园洲第五污水处理厂。</w:t>
            </w:r>
          </w:p>
        </w:tc>
        <w:tc>
          <w:tcPr>
            <w:tcW w:w="1902" w:type="dxa"/>
            <w:shd w:val="clear" w:color="auto" w:fill="auto"/>
            <w:vAlign w:val="center"/>
          </w:tcPr>
          <w:p w14:paraId="395622BB">
            <w:pPr>
              <w:rPr>
                <w:rFonts w:hint="eastAsia" w:ascii="宋体" w:hAnsi="宋体" w:eastAsia="宋体" w:cs="宋体"/>
                <w:color w:val="000000"/>
                <w:szCs w:val="21"/>
              </w:rPr>
            </w:pPr>
            <w:r>
              <w:rPr>
                <w:rFonts w:hint="eastAsia" w:ascii="宋体" w:hAnsi="宋体" w:eastAsia="宋体" w:cs="宋体"/>
                <w:color w:val="000000"/>
                <w:szCs w:val="21"/>
              </w:rPr>
              <w:t>采纳。增加园洲第五污水处理厂，删除园洲第三污水处理厂、园洲第五污水处理厂。</w:t>
            </w:r>
          </w:p>
        </w:tc>
      </w:tr>
      <w:tr w14:paraId="540DD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continue"/>
            <w:shd w:val="clear" w:color="auto" w:fill="auto"/>
            <w:vAlign w:val="center"/>
          </w:tcPr>
          <w:p w14:paraId="029EE0B4">
            <w:pPr>
              <w:jc w:val="center"/>
              <w:rPr>
                <w:rFonts w:hint="eastAsia" w:ascii="宋体" w:hAnsi="宋体" w:eastAsia="宋体" w:cs="宋体"/>
                <w:color w:val="000000"/>
                <w:szCs w:val="21"/>
              </w:rPr>
            </w:pPr>
          </w:p>
        </w:tc>
        <w:tc>
          <w:tcPr>
            <w:tcW w:w="1084" w:type="dxa"/>
            <w:vMerge w:val="continue"/>
            <w:shd w:val="clear" w:color="auto" w:fill="auto"/>
            <w:vAlign w:val="center"/>
          </w:tcPr>
          <w:p w14:paraId="241F0141">
            <w:pPr>
              <w:jc w:val="center"/>
              <w:rPr>
                <w:rFonts w:hint="eastAsia" w:ascii="宋体" w:hAnsi="宋体" w:eastAsia="宋体" w:cs="宋体"/>
                <w:color w:val="000000"/>
                <w:szCs w:val="21"/>
              </w:rPr>
            </w:pPr>
          </w:p>
        </w:tc>
        <w:tc>
          <w:tcPr>
            <w:tcW w:w="5728" w:type="dxa"/>
            <w:shd w:val="clear" w:color="auto" w:fill="auto"/>
            <w:vAlign w:val="center"/>
          </w:tcPr>
          <w:p w14:paraId="547FE65E">
            <w:pPr>
              <w:jc w:val="left"/>
              <w:rPr>
                <w:rFonts w:hint="eastAsia" w:ascii="宋体" w:hAnsi="宋体" w:eastAsia="宋体" w:cs="宋体"/>
                <w:color w:val="000000"/>
                <w:szCs w:val="21"/>
              </w:rPr>
            </w:pPr>
            <w:r>
              <w:rPr>
                <w:rFonts w:hint="eastAsia" w:ascii="宋体" w:hAnsi="宋体" w:eastAsia="宋体" w:cs="宋体"/>
                <w:color w:val="000000"/>
                <w:szCs w:val="21"/>
              </w:rPr>
              <w:t>二、在起步区总体城市设计平面图中，为方便园洲镇白马围、李屋、寮仔等村居民前往县域副中心，建议将绿兰大道与黄巢墩大道连通。</w:t>
            </w:r>
          </w:p>
        </w:tc>
        <w:tc>
          <w:tcPr>
            <w:tcW w:w="1902" w:type="dxa"/>
            <w:shd w:val="clear" w:color="auto" w:fill="auto"/>
            <w:vAlign w:val="center"/>
          </w:tcPr>
          <w:p w14:paraId="49B58721">
            <w:pPr>
              <w:rPr>
                <w:rFonts w:hint="eastAsia" w:ascii="宋体" w:hAnsi="宋体" w:eastAsia="宋体" w:cs="宋体"/>
                <w:color w:val="000000"/>
                <w:szCs w:val="21"/>
              </w:rPr>
            </w:pPr>
            <w:r>
              <w:rPr>
                <w:rFonts w:hint="eastAsia" w:ascii="宋体" w:hAnsi="宋体" w:eastAsia="宋体" w:cs="宋体"/>
                <w:color w:val="000000"/>
                <w:szCs w:val="21"/>
              </w:rPr>
              <w:t>采纳。增加绿兰大道与石园快速（黄巢墩大道）跨沙河通道连通。</w:t>
            </w:r>
          </w:p>
        </w:tc>
      </w:tr>
      <w:tr w14:paraId="0D3E78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0" w:hRule="atLeast"/>
          <w:jc w:val="center"/>
        </w:trPr>
        <w:tc>
          <w:tcPr>
            <w:tcW w:w="636" w:type="dxa"/>
            <w:vMerge w:val="continue"/>
            <w:shd w:val="clear" w:color="auto" w:fill="auto"/>
            <w:vAlign w:val="center"/>
          </w:tcPr>
          <w:p w14:paraId="31A9B82E">
            <w:pPr>
              <w:jc w:val="center"/>
              <w:rPr>
                <w:rFonts w:hint="eastAsia" w:ascii="宋体" w:hAnsi="宋体" w:eastAsia="宋体" w:cs="宋体"/>
                <w:color w:val="000000"/>
                <w:szCs w:val="21"/>
              </w:rPr>
            </w:pPr>
          </w:p>
        </w:tc>
        <w:tc>
          <w:tcPr>
            <w:tcW w:w="1084" w:type="dxa"/>
            <w:vMerge w:val="continue"/>
            <w:shd w:val="clear" w:color="auto" w:fill="auto"/>
            <w:vAlign w:val="center"/>
          </w:tcPr>
          <w:p w14:paraId="570B9247">
            <w:pPr>
              <w:jc w:val="center"/>
              <w:rPr>
                <w:rFonts w:hint="eastAsia" w:ascii="宋体" w:hAnsi="宋体" w:eastAsia="宋体" w:cs="宋体"/>
                <w:color w:val="000000"/>
                <w:szCs w:val="21"/>
              </w:rPr>
            </w:pPr>
          </w:p>
        </w:tc>
        <w:tc>
          <w:tcPr>
            <w:tcW w:w="5728" w:type="dxa"/>
            <w:shd w:val="clear" w:color="auto" w:fill="auto"/>
            <w:vAlign w:val="center"/>
          </w:tcPr>
          <w:p w14:paraId="71F79843">
            <w:pPr>
              <w:jc w:val="left"/>
              <w:rPr>
                <w:rFonts w:hint="eastAsia" w:ascii="宋体" w:hAnsi="宋体" w:eastAsia="宋体" w:cs="宋体"/>
                <w:color w:val="000000"/>
                <w:szCs w:val="21"/>
              </w:rPr>
            </w:pPr>
            <w:r>
              <w:rPr>
                <w:rFonts w:hint="eastAsia" w:ascii="宋体" w:hAnsi="宋体" w:eastAsia="宋体" w:cs="宋体"/>
                <w:color w:val="000000"/>
                <w:szCs w:val="21"/>
              </w:rPr>
              <w:t>三、在起步区总体城市设计平面图中，高级中学选址位于园洲镇阵村莫屋小组，该片区已建成居民房，征拆难度大、成本高，建议重新考虑高级中学选址。</w:t>
            </w:r>
          </w:p>
        </w:tc>
        <w:tc>
          <w:tcPr>
            <w:tcW w:w="1902" w:type="dxa"/>
            <w:shd w:val="clear" w:color="auto" w:fill="auto"/>
            <w:vAlign w:val="center"/>
          </w:tcPr>
          <w:p w14:paraId="429946D0">
            <w:pPr>
              <w:rPr>
                <w:rFonts w:hint="eastAsia" w:ascii="宋体" w:hAnsi="宋体" w:eastAsia="宋体" w:cs="宋体"/>
                <w:color w:val="000000"/>
                <w:szCs w:val="21"/>
              </w:rPr>
            </w:pPr>
            <w:r>
              <w:rPr>
                <w:rFonts w:hint="eastAsia" w:ascii="宋体" w:hAnsi="宋体" w:eastAsia="宋体" w:cs="宋体"/>
                <w:color w:val="000000"/>
                <w:szCs w:val="21"/>
              </w:rPr>
              <w:t>采纳。本规划选址为预选址，具体以镇总体规划和详细规划落实用地为主。</w:t>
            </w:r>
          </w:p>
        </w:tc>
      </w:tr>
      <w:tr w14:paraId="70B14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continue"/>
            <w:shd w:val="clear" w:color="auto" w:fill="auto"/>
            <w:vAlign w:val="center"/>
          </w:tcPr>
          <w:p w14:paraId="30ACFEC8">
            <w:pPr>
              <w:jc w:val="center"/>
              <w:rPr>
                <w:rFonts w:hint="eastAsia" w:ascii="宋体" w:hAnsi="宋体" w:eastAsia="宋体" w:cs="宋体"/>
                <w:color w:val="000000"/>
                <w:szCs w:val="21"/>
              </w:rPr>
            </w:pPr>
          </w:p>
        </w:tc>
        <w:tc>
          <w:tcPr>
            <w:tcW w:w="1084" w:type="dxa"/>
            <w:vMerge w:val="continue"/>
            <w:shd w:val="clear" w:color="auto" w:fill="auto"/>
            <w:vAlign w:val="center"/>
          </w:tcPr>
          <w:p w14:paraId="77B6FBDF">
            <w:pPr>
              <w:jc w:val="center"/>
              <w:rPr>
                <w:rFonts w:hint="eastAsia" w:ascii="宋体" w:hAnsi="宋体" w:eastAsia="宋体" w:cs="宋体"/>
                <w:color w:val="000000"/>
                <w:szCs w:val="21"/>
              </w:rPr>
            </w:pPr>
          </w:p>
        </w:tc>
        <w:tc>
          <w:tcPr>
            <w:tcW w:w="5728" w:type="dxa"/>
            <w:shd w:val="clear" w:color="auto" w:fill="auto"/>
            <w:vAlign w:val="center"/>
          </w:tcPr>
          <w:p w14:paraId="41E98336">
            <w:pPr>
              <w:jc w:val="left"/>
              <w:rPr>
                <w:rFonts w:hint="eastAsia" w:ascii="宋体" w:hAnsi="宋体" w:eastAsia="宋体" w:cs="宋体"/>
                <w:color w:val="000000"/>
                <w:szCs w:val="21"/>
              </w:rPr>
            </w:pPr>
            <w:r>
              <w:rPr>
                <w:rFonts w:hint="eastAsia" w:ascii="宋体" w:hAnsi="宋体" w:eastAsia="宋体" w:cs="宋体"/>
                <w:color w:val="000000"/>
                <w:szCs w:val="21"/>
              </w:rPr>
              <w:t>四、在综合交通体系规划图中，水电路规划建设桥梁连通黄巢墩大道，该规划桥梁与现有沙河大桥仅距离600米，距离较近，建议重新考虑建设该桥梁的必要性。</w:t>
            </w:r>
          </w:p>
        </w:tc>
        <w:tc>
          <w:tcPr>
            <w:tcW w:w="1902" w:type="dxa"/>
            <w:shd w:val="clear" w:color="auto" w:fill="auto"/>
            <w:vAlign w:val="center"/>
          </w:tcPr>
          <w:p w14:paraId="365B895B">
            <w:pPr>
              <w:rPr>
                <w:rFonts w:hint="eastAsia" w:ascii="宋体" w:hAnsi="宋体" w:eastAsia="宋体" w:cs="宋体"/>
                <w:color w:val="000000"/>
                <w:szCs w:val="21"/>
              </w:rPr>
            </w:pPr>
            <w:r>
              <w:rPr>
                <w:rFonts w:hint="eastAsia" w:ascii="宋体" w:hAnsi="宋体" w:eastAsia="宋体" w:cs="宋体"/>
                <w:color w:val="000000"/>
                <w:szCs w:val="21"/>
              </w:rPr>
              <w:t>采纳。降低规划建设标准，以慢行及休闲观光为主。</w:t>
            </w:r>
          </w:p>
        </w:tc>
      </w:tr>
      <w:tr w14:paraId="42B0B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continue"/>
            <w:shd w:val="clear" w:color="auto" w:fill="auto"/>
            <w:vAlign w:val="center"/>
          </w:tcPr>
          <w:p w14:paraId="5B09086C">
            <w:pPr>
              <w:jc w:val="center"/>
              <w:rPr>
                <w:rFonts w:hint="eastAsia" w:ascii="宋体" w:hAnsi="宋体" w:eastAsia="宋体" w:cs="宋体"/>
                <w:color w:val="000000"/>
                <w:szCs w:val="21"/>
              </w:rPr>
            </w:pPr>
          </w:p>
        </w:tc>
        <w:tc>
          <w:tcPr>
            <w:tcW w:w="1084" w:type="dxa"/>
            <w:vMerge w:val="continue"/>
            <w:shd w:val="clear" w:color="auto" w:fill="auto"/>
            <w:vAlign w:val="center"/>
          </w:tcPr>
          <w:p w14:paraId="04951066">
            <w:pPr>
              <w:jc w:val="center"/>
              <w:rPr>
                <w:rFonts w:hint="eastAsia" w:ascii="宋体" w:hAnsi="宋体" w:eastAsia="宋体" w:cs="宋体"/>
                <w:color w:val="000000"/>
                <w:szCs w:val="21"/>
              </w:rPr>
            </w:pPr>
          </w:p>
        </w:tc>
        <w:tc>
          <w:tcPr>
            <w:tcW w:w="5728" w:type="dxa"/>
            <w:shd w:val="clear" w:color="auto" w:fill="auto"/>
            <w:vAlign w:val="center"/>
          </w:tcPr>
          <w:p w14:paraId="65A2C184">
            <w:pPr>
              <w:jc w:val="left"/>
              <w:rPr>
                <w:rFonts w:hint="eastAsia" w:ascii="宋体" w:hAnsi="宋体" w:eastAsia="宋体" w:cs="宋体"/>
                <w:color w:val="000000"/>
                <w:szCs w:val="21"/>
              </w:rPr>
            </w:pPr>
            <w:r>
              <w:rPr>
                <w:rFonts w:hint="eastAsia" w:ascii="宋体" w:hAnsi="宋体" w:eastAsia="宋体" w:cs="宋体"/>
                <w:color w:val="000000"/>
                <w:szCs w:val="21"/>
              </w:rPr>
              <w:t>五、在综合交通体系规划图中，博罗智能装备产业园东片区城市次干路路网与中规院规划路网不符，建议与中规院规划进行核对。</w:t>
            </w:r>
          </w:p>
        </w:tc>
        <w:tc>
          <w:tcPr>
            <w:tcW w:w="1902" w:type="dxa"/>
            <w:shd w:val="clear" w:color="auto" w:fill="auto"/>
            <w:vAlign w:val="center"/>
          </w:tcPr>
          <w:p w14:paraId="2FE6C217">
            <w:pPr>
              <w:rPr>
                <w:rFonts w:hint="eastAsia" w:ascii="宋体" w:hAnsi="宋体" w:eastAsia="宋体" w:cs="宋体"/>
                <w:color w:val="000000"/>
                <w:szCs w:val="21"/>
              </w:rPr>
            </w:pPr>
            <w:r>
              <w:rPr>
                <w:rFonts w:hint="eastAsia" w:ascii="宋体" w:hAnsi="宋体" w:eastAsia="宋体" w:cs="宋体"/>
                <w:color w:val="000000"/>
                <w:szCs w:val="21"/>
              </w:rPr>
              <w:t>采纳。已与园洲东片区详细规划路网进行核实对接。</w:t>
            </w:r>
          </w:p>
        </w:tc>
      </w:tr>
      <w:tr w14:paraId="5F68A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continue"/>
            <w:shd w:val="clear" w:color="auto" w:fill="auto"/>
            <w:vAlign w:val="center"/>
          </w:tcPr>
          <w:p w14:paraId="116B6C74">
            <w:pPr>
              <w:jc w:val="center"/>
              <w:rPr>
                <w:rFonts w:hint="eastAsia" w:ascii="宋体" w:hAnsi="宋体" w:eastAsia="宋体" w:cs="宋体"/>
                <w:color w:val="000000"/>
                <w:szCs w:val="21"/>
              </w:rPr>
            </w:pPr>
          </w:p>
        </w:tc>
        <w:tc>
          <w:tcPr>
            <w:tcW w:w="1084" w:type="dxa"/>
            <w:vMerge w:val="continue"/>
            <w:shd w:val="clear" w:color="auto" w:fill="auto"/>
            <w:vAlign w:val="center"/>
          </w:tcPr>
          <w:p w14:paraId="612C567C">
            <w:pPr>
              <w:jc w:val="center"/>
              <w:rPr>
                <w:rFonts w:hint="eastAsia" w:ascii="宋体" w:hAnsi="宋体" w:eastAsia="宋体" w:cs="宋体"/>
                <w:color w:val="000000"/>
                <w:szCs w:val="21"/>
              </w:rPr>
            </w:pPr>
          </w:p>
        </w:tc>
        <w:tc>
          <w:tcPr>
            <w:tcW w:w="5728" w:type="dxa"/>
            <w:shd w:val="clear" w:color="auto" w:fill="auto"/>
            <w:vAlign w:val="center"/>
          </w:tcPr>
          <w:p w14:paraId="7CFEC3A9">
            <w:pPr>
              <w:jc w:val="left"/>
              <w:rPr>
                <w:rFonts w:hint="eastAsia" w:ascii="宋体" w:hAnsi="宋体" w:eastAsia="宋体" w:cs="宋体"/>
                <w:color w:val="000000"/>
                <w:szCs w:val="21"/>
              </w:rPr>
            </w:pPr>
            <w:r>
              <w:rPr>
                <w:rFonts w:hint="eastAsia" w:ascii="宋体" w:hAnsi="宋体" w:eastAsia="宋体" w:cs="宋体"/>
                <w:color w:val="000000"/>
                <w:szCs w:val="21"/>
              </w:rPr>
              <w:t>六、在城市路网体系规划图中，时尚大道有误，建议修改。</w:t>
            </w:r>
          </w:p>
        </w:tc>
        <w:tc>
          <w:tcPr>
            <w:tcW w:w="1902" w:type="dxa"/>
            <w:shd w:val="clear" w:color="auto" w:fill="auto"/>
            <w:vAlign w:val="center"/>
          </w:tcPr>
          <w:p w14:paraId="54A52AD2">
            <w:pPr>
              <w:rPr>
                <w:rFonts w:hint="eastAsia" w:ascii="宋体" w:hAnsi="宋体" w:eastAsia="宋体" w:cs="宋体"/>
                <w:color w:val="000000"/>
                <w:szCs w:val="21"/>
              </w:rPr>
            </w:pPr>
            <w:r>
              <w:rPr>
                <w:rFonts w:hint="eastAsia" w:ascii="宋体" w:hAnsi="宋体" w:eastAsia="宋体" w:cs="宋体"/>
                <w:color w:val="000000"/>
                <w:szCs w:val="21"/>
              </w:rPr>
              <w:t>采纳。已更正。</w:t>
            </w:r>
          </w:p>
        </w:tc>
      </w:tr>
      <w:tr w14:paraId="32184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continue"/>
            <w:shd w:val="clear" w:color="auto" w:fill="auto"/>
            <w:vAlign w:val="center"/>
          </w:tcPr>
          <w:p w14:paraId="4BF5F16A">
            <w:pPr>
              <w:jc w:val="center"/>
              <w:rPr>
                <w:rFonts w:hint="eastAsia" w:ascii="宋体" w:hAnsi="宋体" w:eastAsia="宋体" w:cs="宋体"/>
                <w:color w:val="000000"/>
                <w:szCs w:val="21"/>
              </w:rPr>
            </w:pPr>
          </w:p>
        </w:tc>
        <w:tc>
          <w:tcPr>
            <w:tcW w:w="1084" w:type="dxa"/>
            <w:vMerge w:val="continue"/>
            <w:shd w:val="clear" w:color="auto" w:fill="auto"/>
            <w:vAlign w:val="center"/>
          </w:tcPr>
          <w:p w14:paraId="353B5CFB">
            <w:pPr>
              <w:jc w:val="center"/>
              <w:rPr>
                <w:rFonts w:hint="eastAsia" w:ascii="宋体" w:hAnsi="宋体" w:eastAsia="宋体" w:cs="宋体"/>
                <w:color w:val="000000"/>
                <w:szCs w:val="21"/>
              </w:rPr>
            </w:pPr>
          </w:p>
        </w:tc>
        <w:tc>
          <w:tcPr>
            <w:tcW w:w="5728" w:type="dxa"/>
            <w:shd w:val="clear" w:color="auto" w:fill="auto"/>
            <w:vAlign w:val="center"/>
          </w:tcPr>
          <w:p w14:paraId="416ACB1F">
            <w:pPr>
              <w:jc w:val="left"/>
              <w:rPr>
                <w:rFonts w:hint="eastAsia" w:ascii="宋体" w:hAnsi="宋体" w:eastAsia="宋体" w:cs="宋体"/>
                <w:color w:val="000000"/>
                <w:szCs w:val="21"/>
              </w:rPr>
            </w:pPr>
            <w:r>
              <w:rPr>
                <w:rFonts w:hint="eastAsia" w:ascii="宋体" w:hAnsi="宋体" w:eastAsia="宋体" w:cs="宋体"/>
                <w:color w:val="000000"/>
                <w:szCs w:val="21"/>
              </w:rPr>
              <w:t>七、在重大市政设施规划图中，我镇无建设园洲镇第三水厂规划，建议删除该标注。</w:t>
            </w:r>
          </w:p>
        </w:tc>
        <w:tc>
          <w:tcPr>
            <w:tcW w:w="1902" w:type="dxa"/>
            <w:shd w:val="clear" w:color="auto" w:fill="auto"/>
            <w:vAlign w:val="center"/>
          </w:tcPr>
          <w:p w14:paraId="38FF381B">
            <w:pPr>
              <w:rPr>
                <w:rFonts w:hint="eastAsia" w:ascii="宋体" w:hAnsi="宋体" w:eastAsia="宋体" w:cs="宋体"/>
                <w:color w:val="000000"/>
                <w:szCs w:val="21"/>
              </w:rPr>
            </w:pPr>
            <w:r>
              <w:rPr>
                <w:rFonts w:hint="eastAsia" w:ascii="宋体" w:hAnsi="宋体" w:eastAsia="宋体" w:cs="宋体"/>
                <w:color w:val="000000"/>
                <w:szCs w:val="21"/>
              </w:rPr>
              <w:t>采纳。已删除。</w:t>
            </w:r>
          </w:p>
        </w:tc>
      </w:tr>
      <w:tr w14:paraId="243B2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continue"/>
            <w:shd w:val="clear" w:color="auto" w:fill="auto"/>
            <w:vAlign w:val="center"/>
          </w:tcPr>
          <w:p w14:paraId="687A6A08">
            <w:pPr>
              <w:jc w:val="center"/>
              <w:rPr>
                <w:rFonts w:hint="eastAsia" w:ascii="宋体" w:hAnsi="宋体" w:eastAsia="宋体" w:cs="宋体"/>
                <w:color w:val="000000"/>
                <w:szCs w:val="21"/>
              </w:rPr>
            </w:pPr>
          </w:p>
        </w:tc>
        <w:tc>
          <w:tcPr>
            <w:tcW w:w="1084" w:type="dxa"/>
            <w:vMerge w:val="continue"/>
            <w:shd w:val="clear" w:color="auto" w:fill="auto"/>
            <w:vAlign w:val="center"/>
          </w:tcPr>
          <w:p w14:paraId="3B42B1E3">
            <w:pPr>
              <w:jc w:val="center"/>
              <w:rPr>
                <w:rFonts w:hint="eastAsia" w:ascii="宋体" w:hAnsi="宋体" w:eastAsia="宋体" w:cs="宋体"/>
                <w:color w:val="000000"/>
                <w:szCs w:val="21"/>
              </w:rPr>
            </w:pPr>
          </w:p>
        </w:tc>
        <w:tc>
          <w:tcPr>
            <w:tcW w:w="5728" w:type="dxa"/>
            <w:shd w:val="clear" w:color="auto" w:fill="auto"/>
            <w:vAlign w:val="center"/>
          </w:tcPr>
          <w:p w14:paraId="08AF2A69">
            <w:pPr>
              <w:jc w:val="left"/>
              <w:rPr>
                <w:rFonts w:hint="eastAsia" w:ascii="宋体" w:hAnsi="宋体" w:eastAsia="宋体" w:cs="宋体"/>
                <w:color w:val="000000"/>
                <w:szCs w:val="21"/>
              </w:rPr>
            </w:pPr>
            <w:r>
              <w:rPr>
                <w:rFonts w:hint="eastAsia" w:ascii="宋体" w:hAnsi="宋体" w:eastAsia="宋体" w:cs="宋体"/>
                <w:color w:val="000000"/>
                <w:szCs w:val="21"/>
              </w:rPr>
              <w:t>八、在综合防灾减灾规划图中，博罗智能装备产业园东片区、小海片区现状变化较大，建议防灾减灾规划结合现状变化，与相关部门进行核对、调整。</w:t>
            </w:r>
          </w:p>
        </w:tc>
        <w:tc>
          <w:tcPr>
            <w:tcW w:w="1902" w:type="dxa"/>
            <w:shd w:val="clear" w:color="auto" w:fill="auto"/>
            <w:vAlign w:val="center"/>
          </w:tcPr>
          <w:p w14:paraId="42FAA28F">
            <w:pPr>
              <w:rPr>
                <w:rFonts w:hint="eastAsia" w:ascii="宋体" w:hAnsi="宋体" w:eastAsia="宋体" w:cs="宋体"/>
                <w:color w:val="000000"/>
                <w:szCs w:val="21"/>
              </w:rPr>
            </w:pPr>
            <w:r>
              <w:rPr>
                <w:rFonts w:hint="eastAsia" w:ascii="宋体" w:hAnsi="宋体" w:eastAsia="宋体" w:cs="宋体"/>
                <w:color w:val="000000"/>
                <w:szCs w:val="21"/>
              </w:rPr>
              <w:t>采纳。已调整。</w:t>
            </w:r>
          </w:p>
        </w:tc>
      </w:tr>
      <w:tr w14:paraId="0C820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restart"/>
            <w:shd w:val="clear" w:color="auto" w:fill="auto"/>
            <w:vAlign w:val="center"/>
          </w:tcPr>
          <w:p w14:paraId="0D2441B2">
            <w:pPr>
              <w:jc w:val="center"/>
              <w:rPr>
                <w:rFonts w:hint="eastAsia" w:ascii="宋体" w:hAnsi="宋体" w:eastAsia="宋体" w:cs="宋体"/>
                <w:color w:val="000000"/>
                <w:szCs w:val="21"/>
              </w:rPr>
            </w:pPr>
            <w:r>
              <w:rPr>
                <w:rFonts w:hint="eastAsia" w:ascii="宋体" w:hAnsi="宋体" w:eastAsia="宋体" w:cs="宋体"/>
                <w:color w:val="000000"/>
                <w:szCs w:val="21"/>
              </w:rPr>
              <w:t>7</w:t>
            </w:r>
          </w:p>
        </w:tc>
        <w:tc>
          <w:tcPr>
            <w:tcW w:w="1084" w:type="dxa"/>
            <w:vMerge w:val="restart"/>
            <w:shd w:val="clear" w:color="auto" w:fill="auto"/>
            <w:vAlign w:val="center"/>
          </w:tcPr>
          <w:p w14:paraId="42F8F2F3">
            <w:pPr>
              <w:jc w:val="center"/>
              <w:rPr>
                <w:rFonts w:hint="eastAsia" w:ascii="宋体" w:hAnsi="宋体" w:eastAsia="宋体" w:cs="宋体"/>
                <w:color w:val="000000"/>
                <w:szCs w:val="21"/>
              </w:rPr>
            </w:pPr>
            <w:r>
              <w:rPr>
                <w:rFonts w:hint="eastAsia" w:ascii="宋体" w:hAnsi="宋体" w:eastAsia="宋体" w:cs="宋体"/>
                <w:color w:val="000000"/>
                <w:szCs w:val="21"/>
              </w:rPr>
              <w:t>石湾镇人民政府</w:t>
            </w:r>
          </w:p>
        </w:tc>
        <w:tc>
          <w:tcPr>
            <w:tcW w:w="5728" w:type="dxa"/>
            <w:shd w:val="clear" w:color="auto" w:fill="auto"/>
            <w:vAlign w:val="center"/>
          </w:tcPr>
          <w:p w14:paraId="638D3156">
            <w:pPr>
              <w:rPr>
                <w:rFonts w:hint="eastAsia" w:ascii="宋体" w:hAnsi="宋体" w:eastAsia="宋体" w:cs="宋体"/>
                <w:color w:val="000000"/>
                <w:szCs w:val="21"/>
              </w:rPr>
            </w:pPr>
            <w:r>
              <w:rPr>
                <w:rFonts w:hint="eastAsia" w:ascii="宋体" w:hAnsi="宋体" w:eastAsia="宋体" w:cs="宋体"/>
                <w:color w:val="000000"/>
                <w:szCs w:val="21"/>
              </w:rPr>
              <w:t>一、文本第二十五节 完善智慧高效、环境永续的绿色城市 2.构建绿色低碳的能源供应系统应补充虹岗110千伏变电站。</w:t>
            </w:r>
          </w:p>
        </w:tc>
        <w:tc>
          <w:tcPr>
            <w:tcW w:w="1902" w:type="dxa"/>
            <w:shd w:val="clear" w:color="auto" w:fill="auto"/>
            <w:vAlign w:val="center"/>
          </w:tcPr>
          <w:p w14:paraId="3EEFB1BA">
            <w:pPr>
              <w:rPr>
                <w:rFonts w:hint="eastAsia" w:ascii="宋体" w:hAnsi="宋体" w:eastAsia="宋体" w:cs="宋体"/>
                <w:color w:val="000000"/>
                <w:szCs w:val="21"/>
              </w:rPr>
            </w:pPr>
            <w:r>
              <w:rPr>
                <w:rFonts w:hint="eastAsia" w:ascii="宋体" w:hAnsi="宋体" w:eastAsia="宋体" w:cs="宋体"/>
                <w:color w:val="000000"/>
                <w:szCs w:val="21"/>
              </w:rPr>
              <w:t>采纳。已补充。</w:t>
            </w:r>
          </w:p>
        </w:tc>
      </w:tr>
      <w:tr w14:paraId="590D1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continue"/>
            <w:shd w:val="clear" w:color="auto" w:fill="auto"/>
            <w:vAlign w:val="center"/>
          </w:tcPr>
          <w:p w14:paraId="73E9340E">
            <w:pPr>
              <w:jc w:val="center"/>
              <w:rPr>
                <w:rFonts w:hint="eastAsia" w:ascii="宋体" w:hAnsi="宋体" w:eastAsia="宋体" w:cs="宋体"/>
                <w:color w:val="000000"/>
                <w:szCs w:val="21"/>
              </w:rPr>
            </w:pPr>
          </w:p>
        </w:tc>
        <w:tc>
          <w:tcPr>
            <w:tcW w:w="1084" w:type="dxa"/>
            <w:vMerge w:val="continue"/>
            <w:shd w:val="clear" w:color="auto" w:fill="auto"/>
            <w:vAlign w:val="center"/>
          </w:tcPr>
          <w:p w14:paraId="547EEBC1">
            <w:pPr>
              <w:jc w:val="center"/>
              <w:rPr>
                <w:rFonts w:hint="eastAsia" w:ascii="宋体" w:hAnsi="宋体" w:eastAsia="宋体" w:cs="宋体"/>
                <w:color w:val="000000"/>
                <w:szCs w:val="21"/>
              </w:rPr>
            </w:pPr>
          </w:p>
        </w:tc>
        <w:tc>
          <w:tcPr>
            <w:tcW w:w="5728" w:type="dxa"/>
            <w:shd w:val="clear" w:color="auto" w:fill="auto"/>
            <w:vAlign w:val="center"/>
          </w:tcPr>
          <w:p w14:paraId="24272FE5">
            <w:pPr>
              <w:rPr>
                <w:rFonts w:hint="eastAsia" w:ascii="宋体" w:hAnsi="宋体" w:eastAsia="宋体" w:cs="宋体"/>
                <w:color w:val="000000"/>
                <w:szCs w:val="21"/>
              </w:rPr>
            </w:pPr>
            <w:r>
              <w:rPr>
                <w:rFonts w:hint="eastAsia" w:ascii="宋体" w:hAnsi="宋体" w:eastAsia="宋体" w:cs="宋体"/>
                <w:color w:val="000000"/>
                <w:szCs w:val="21"/>
              </w:rPr>
              <w:t>二、附件2 博罗县域副中心近期重大项目计划表应补充广东省2023年重点建设前期预备项目罗浮山大桥改建项目。</w:t>
            </w:r>
          </w:p>
        </w:tc>
        <w:tc>
          <w:tcPr>
            <w:tcW w:w="1902" w:type="dxa"/>
            <w:shd w:val="clear" w:color="auto" w:fill="auto"/>
            <w:vAlign w:val="center"/>
          </w:tcPr>
          <w:p w14:paraId="0E65236F">
            <w:pPr>
              <w:rPr>
                <w:rFonts w:hint="eastAsia" w:ascii="宋体" w:hAnsi="宋体" w:eastAsia="宋体" w:cs="宋体"/>
                <w:color w:val="000000"/>
                <w:szCs w:val="21"/>
              </w:rPr>
            </w:pPr>
            <w:r>
              <w:rPr>
                <w:rFonts w:hint="eastAsia" w:ascii="宋体" w:hAnsi="宋体" w:eastAsia="宋体" w:cs="宋体"/>
                <w:color w:val="000000"/>
                <w:szCs w:val="21"/>
              </w:rPr>
              <w:t>采纳。已补充。</w:t>
            </w:r>
          </w:p>
        </w:tc>
      </w:tr>
      <w:tr w14:paraId="7BF29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Merge w:val="continue"/>
            <w:shd w:val="clear" w:color="auto" w:fill="auto"/>
            <w:vAlign w:val="center"/>
          </w:tcPr>
          <w:p w14:paraId="667151F8">
            <w:pPr>
              <w:jc w:val="center"/>
              <w:rPr>
                <w:rFonts w:hint="eastAsia" w:ascii="宋体" w:hAnsi="宋体" w:eastAsia="宋体" w:cs="宋体"/>
                <w:color w:val="000000"/>
                <w:szCs w:val="21"/>
              </w:rPr>
            </w:pPr>
          </w:p>
        </w:tc>
        <w:tc>
          <w:tcPr>
            <w:tcW w:w="1084" w:type="dxa"/>
            <w:vMerge w:val="continue"/>
            <w:shd w:val="clear" w:color="auto" w:fill="auto"/>
            <w:vAlign w:val="center"/>
          </w:tcPr>
          <w:p w14:paraId="246279C7">
            <w:pPr>
              <w:jc w:val="left"/>
              <w:rPr>
                <w:rFonts w:hint="eastAsia" w:ascii="宋体" w:hAnsi="宋体" w:eastAsia="宋体" w:cs="宋体"/>
                <w:color w:val="000000"/>
                <w:szCs w:val="21"/>
              </w:rPr>
            </w:pPr>
          </w:p>
        </w:tc>
        <w:tc>
          <w:tcPr>
            <w:tcW w:w="5728" w:type="dxa"/>
            <w:shd w:val="clear" w:color="auto" w:fill="auto"/>
            <w:vAlign w:val="center"/>
          </w:tcPr>
          <w:p w14:paraId="70E6833C">
            <w:pPr>
              <w:jc w:val="left"/>
              <w:rPr>
                <w:rFonts w:hint="eastAsia" w:ascii="宋体" w:hAnsi="宋体" w:eastAsia="宋体" w:cs="宋体"/>
                <w:color w:val="000000"/>
                <w:szCs w:val="21"/>
              </w:rPr>
            </w:pPr>
            <w:r>
              <w:rPr>
                <w:rFonts w:hint="eastAsia" w:ascii="宋体" w:hAnsi="宋体" w:eastAsia="宋体" w:cs="宋体"/>
                <w:color w:val="000000"/>
                <w:szCs w:val="21"/>
              </w:rPr>
              <w:t>三、文本博罗县域副中心发展总体规划（2024—2035年）起步区城市总体设计平面图其中标识是否有以下错误：</w:t>
            </w:r>
          </w:p>
          <w:p w14:paraId="56457AA0">
            <w:pPr>
              <w:pStyle w:val="18"/>
              <w:jc w:val="left"/>
              <w:rPr>
                <w:rFonts w:hint="eastAsia" w:ascii="宋体" w:hAnsi="宋体" w:eastAsia="宋体" w:cs="宋体"/>
                <w:color w:val="000000"/>
                <w:sz w:val="21"/>
                <w:szCs w:val="21"/>
              </w:rPr>
            </w:pPr>
            <w:r>
              <w:rPr>
                <w:rFonts w:hint="eastAsia" w:ascii="宋体" w:hAnsi="宋体" w:eastAsia="宋体" w:cs="宋体"/>
                <w:color w:val="000000"/>
                <w:sz w:val="21"/>
                <w:szCs w:val="21"/>
              </w:rPr>
              <w:t>1.文本第26页教育设施：规划建设1处高级中学、1处完全中学和1处大学，但平面图中标识两处完全中学。</w:t>
            </w:r>
          </w:p>
          <w:p w14:paraId="427E2045">
            <w:pPr>
              <w:pStyle w:val="18"/>
              <w:jc w:val="left"/>
              <w:rPr>
                <w:rFonts w:hint="eastAsia" w:ascii="宋体" w:hAnsi="宋体" w:eastAsia="宋体" w:cs="宋体"/>
                <w:color w:val="000000"/>
                <w:sz w:val="21"/>
                <w:szCs w:val="21"/>
              </w:rPr>
            </w:pPr>
            <w:r>
              <w:rPr>
                <w:rFonts w:hint="eastAsia" w:ascii="宋体" w:hAnsi="宋体" w:eastAsia="宋体" w:cs="宋体"/>
                <w:color w:val="000000"/>
                <w:sz w:val="21"/>
                <w:szCs w:val="21"/>
              </w:rPr>
              <w:t>2.平面图中8号（紫色）标识为中等职业教育学校，实际该用地为惠州立兴金属制品厂有限公司二、三期用地，其中二期用地面积18.1125亩已于2024年11月21日摘牌。</w:t>
            </w:r>
          </w:p>
          <w:p w14:paraId="7BA8D03A">
            <w:pPr>
              <w:pStyle w:val="18"/>
              <w:jc w:val="left"/>
              <w:rPr>
                <w:rFonts w:hint="eastAsia" w:ascii="宋体" w:hAnsi="宋体" w:eastAsia="宋体" w:cs="宋体"/>
                <w:color w:val="000000"/>
                <w:sz w:val="21"/>
                <w:szCs w:val="21"/>
              </w:rPr>
            </w:pPr>
            <w:r>
              <w:rPr>
                <w:rFonts w:hint="eastAsia" w:ascii="宋体" w:hAnsi="宋体" w:eastAsia="宋体" w:cs="宋体"/>
                <w:color w:val="000000"/>
                <w:sz w:val="21"/>
                <w:szCs w:val="21"/>
              </w:rPr>
              <w:t>3.平面图中5号（紫色）标识为大学，目前该地块为</w:t>
            </w:r>
            <w:bookmarkStart w:id="234" w:name="OLE_LINK1"/>
            <w:r>
              <w:rPr>
                <w:rFonts w:hint="eastAsia" w:ascii="宋体" w:hAnsi="宋体" w:eastAsia="宋体" w:cs="宋体"/>
                <w:color w:val="000000"/>
                <w:sz w:val="21"/>
                <w:szCs w:val="21"/>
              </w:rPr>
              <w:t>惠州优胜盈创新材料有限公司项目用地</w:t>
            </w:r>
            <w:bookmarkEnd w:id="234"/>
            <w:r>
              <w:rPr>
                <w:rFonts w:hint="eastAsia" w:ascii="宋体" w:hAnsi="宋体" w:eastAsia="宋体" w:cs="宋体"/>
                <w:color w:val="000000"/>
                <w:sz w:val="21"/>
                <w:szCs w:val="21"/>
              </w:rPr>
              <w:t>，于2022年7月竣工投产。博罗县华海纺织有限公司项目用地增资扩产项目于2021年7月竣工投产。</w:t>
            </w:r>
          </w:p>
          <w:p w14:paraId="1649471F">
            <w:pPr>
              <w:pStyle w:val="18"/>
              <w:jc w:val="left"/>
              <w:rPr>
                <w:rFonts w:hint="eastAsia" w:ascii="宋体" w:hAnsi="宋体" w:eastAsia="宋体" w:cs="宋体"/>
                <w:color w:val="000000"/>
                <w:sz w:val="21"/>
                <w:szCs w:val="21"/>
              </w:rPr>
            </w:pPr>
            <w:r>
              <w:rPr>
                <w:rFonts w:hint="eastAsia" w:ascii="宋体" w:hAnsi="宋体" w:eastAsia="宋体" w:cs="宋体"/>
                <w:color w:val="000000"/>
                <w:sz w:val="21"/>
                <w:szCs w:val="21"/>
              </w:rPr>
              <w:t>4.平面图中11号（橙色）标识为园洲花园，是否标识位置错误？</w:t>
            </w:r>
          </w:p>
          <w:p w14:paraId="143A2218">
            <w:pPr>
              <w:pStyle w:val="18"/>
              <w:jc w:val="left"/>
              <w:rPr>
                <w:rFonts w:hint="eastAsia" w:ascii="宋体" w:hAnsi="宋体" w:eastAsia="宋体" w:cs="宋体"/>
                <w:color w:val="000000"/>
                <w:szCs w:val="21"/>
              </w:rPr>
            </w:pPr>
            <w:r>
              <w:rPr>
                <w:rFonts w:hint="eastAsia" w:ascii="宋体" w:hAnsi="宋体" w:eastAsia="宋体" w:cs="宋体"/>
                <w:color w:val="000000"/>
                <w:sz w:val="21"/>
                <w:szCs w:val="21"/>
              </w:rPr>
              <w:t>5.现状石湾镇滘源路南侧大牛垒污水处理厂一期及规划二期为标识。</w:t>
            </w:r>
          </w:p>
        </w:tc>
        <w:tc>
          <w:tcPr>
            <w:tcW w:w="1902" w:type="dxa"/>
            <w:shd w:val="clear" w:color="auto" w:fill="auto"/>
            <w:vAlign w:val="center"/>
          </w:tcPr>
          <w:p w14:paraId="153A9E2E">
            <w:pPr>
              <w:rPr>
                <w:rFonts w:hint="eastAsia" w:ascii="宋体" w:hAnsi="宋体" w:eastAsia="宋体" w:cs="宋体"/>
                <w:color w:val="000000"/>
                <w:szCs w:val="21"/>
              </w:rPr>
            </w:pPr>
            <w:r>
              <w:rPr>
                <w:rFonts w:hint="eastAsia" w:ascii="宋体" w:hAnsi="宋体" w:eastAsia="宋体" w:cs="宋体"/>
                <w:color w:val="000000"/>
                <w:szCs w:val="21"/>
              </w:rPr>
              <w:t>采纳。1.已核实完善高级中学、完全中学和大学预选址标识。</w:t>
            </w:r>
          </w:p>
          <w:p w14:paraId="04D30BAD">
            <w:pPr>
              <w:rPr>
                <w:rFonts w:hint="eastAsia" w:ascii="宋体" w:hAnsi="宋体" w:eastAsia="宋体" w:cs="宋体"/>
                <w:color w:val="000000"/>
                <w:szCs w:val="21"/>
              </w:rPr>
            </w:pPr>
            <w:r>
              <w:rPr>
                <w:rFonts w:hint="eastAsia" w:ascii="宋体" w:hAnsi="宋体" w:eastAsia="宋体" w:cs="宋体"/>
                <w:color w:val="000000"/>
                <w:szCs w:val="21"/>
              </w:rPr>
              <w:t>2.已按照用地权属进行修改。</w:t>
            </w:r>
          </w:p>
          <w:p w14:paraId="2F73B1D5">
            <w:pPr>
              <w:rPr>
                <w:rFonts w:hint="eastAsia" w:ascii="宋体" w:hAnsi="宋体" w:eastAsia="宋体" w:cs="宋体"/>
                <w:color w:val="000000"/>
                <w:szCs w:val="21"/>
              </w:rPr>
            </w:pPr>
            <w:r>
              <w:rPr>
                <w:rFonts w:hint="eastAsia" w:ascii="宋体" w:hAnsi="宋体" w:eastAsia="宋体" w:cs="宋体"/>
                <w:color w:val="000000"/>
                <w:szCs w:val="21"/>
              </w:rPr>
              <w:t>3.已按照用地权属进行修改。</w:t>
            </w:r>
          </w:p>
          <w:p w14:paraId="047A04E2">
            <w:pPr>
              <w:rPr>
                <w:rFonts w:hint="eastAsia" w:ascii="宋体" w:hAnsi="宋体" w:eastAsia="宋体" w:cs="宋体"/>
                <w:color w:val="000000"/>
                <w:szCs w:val="21"/>
              </w:rPr>
            </w:pPr>
            <w:r>
              <w:rPr>
                <w:rFonts w:hint="eastAsia" w:ascii="宋体" w:hAnsi="宋体" w:eastAsia="宋体" w:cs="宋体"/>
                <w:color w:val="000000"/>
                <w:szCs w:val="21"/>
              </w:rPr>
              <w:t>4.已核实更正标识位置。</w:t>
            </w:r>
          </w:p>
          <w:p w14:paraId="581A1709">
            <w:r>
              <w:rPr>
                <w:rFonts w:hint="eastAsia" w:ascii="宋体" w:hAnsi="宋体" w:eastAsia="宋体" w:cs="宋体"/>
                <w:color w:val="000000"/>
                <w:szCs w:val="21"/>
              </w:rPr>
              <w:t>5</w:t>
            </w:r>
            <w:r>
              <w:rPr>
                <w:rFonts w:ascii="宋体" w:hAnsi="宋体" w:eastAsia="宋体" w:cs="宋体"/>
                <w:color w:val="000000"/>
                <w:szCs w:val="21"/>
              </w:rPr>
              <w:t>.</w:t>
            </w:r>
            <w:r>
              <w:rPr>
                <w:rFonts w:hint="eastAsia" w:ascii="宋体" w:hAnsi="宋体" w:eastAsia="宋体" w:cs="宋体"/>
                <w:color w:val="000000"/>
                <w:szCs w:val="21"/>
              </w:rPr>
              <w:t>已对一期及二期分别标识。</w:t>
            </w:r>
          </w:p>
        </w:tc>
      </w:tr>
      <w:tr w14:paraId="0EC5C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shd w:val="clear" w:color="auto" w:fill="auto"/>
            <w:vAlign w:val="center"/>
          </w:tcPr>
          <w:p w14:paraId="54DE3426">
            <w:pPr>
              <w:jc w:val="center"/>
              <w:rPr>
                <w:rFonts w:hint="eastAsia" w:ascii="宋体" w:hAnsi="宋体" w:eastAsia="宋体" w:cs="宋体"/>
                <w:color w:val="000000"/>
                <w:szCs w:val="21"/>
              </w:rPr>
            </w:pPr>
            <w:r>
              <w:rPr>
                <w:rFonts w:hint="eastAsia" w:ascii="宋体" w:hAnsi="宋体" w:eastAsia="宋体" w:cs="宋体"/>
                <w:color w:val="000000"/>
                <w:szCs w:val="21"/>
              </w:rPr>
              <w:t>8</w:t>
            </w:r>
          </w:p>
        </w:tc>
        <w:tc>
          <w:tcPr>
            <w:tcW w:w="1084" w:type="dxa"/>
            <w:vAlign w:val="center"/>
          </w:tcPr>
          <w:p w14:paraId="6B83739D">
            <w:pPr>
              <w:jc w:val="center"/>
              <w:rPr>
                <w:rFonts w:hint="eastAsia" w:ascii="宋体" w:hAnsi="宋体" w:eastAsia="宋体" w:cs="宋体"/>
                <w:color w:val="000000"/>
                <w:szCs w:val="21"/>
              </w:rPr>
            </w:pPr>
            <w:r>
              <w:rPr>
                <w:rFonts w:hint="eastAsia" w:ascii="宋体" w:hAnsi="宋体" w:eastAsia="宋体" w:cs="宋体"/>
                <w:color w:val="000000"/>
                <w:szCs w:val="21"/>
              </w:rPr>
              <w:t>县住建局</w:t>
            </w:r>
          </w:p>
        </w:tc>
        <w:tc>
          <w:tcPr>
            <w:tcW w:w="5728" w:type="dxa"/>
            <w:vAlign w:val="center"/>
          </w:tcPr>
          <w:p w14:paraId="2CF737C3">
            <w:pPr>
              <w:jc w:val="center"/>
              <w:rPr>
                <w:rFonts w:hint="eastAsia" w:ascii="宋体" w:hAnsi="宋体" w:eastAsia="宋体" w:cs="宋体"/>
                <w:color w:val="000000"/>
                <w:szCs w:val="21"/>
              </w:rPr>
            </w:pPr>
            <w:r>
              <w:rPr>
                <w:rFonts w:hint="eastAsia" w:ascii="宋体" w:hAnsi="宋体" w:eastAsia="宋体" w:cs="宋体"/>
                <w:color w:val="000000"/>
                <w:szCs w:val="21"/>
              </w:rPr>
              <w:t>无意见。</w:t>
            </w:r>
          </w:p>
        </w:tc>
        <w:tc>
          <w:tcPr>
            <w:tcW w:w="1902" w:type="dxa"/>
            <w:vAlign w:val="center"/>
          </w:tcPr>
          <w:p w14:paraId="2322F2B5">
            <w:pPr>
              <w:jc w:val="center"/>
              <w:rPr>
                <w:rFonts w:hint="eastAsia" w:ascii="宋体" w:hAnsi="宋体" w:eastAsia="宋体" w:cs="宋体"/>
                <w:color w:val="000000"/>
                <w:szCs w:val="21"/>
              </w:rPr>
            </w:pPr>
            <w:r>
              <w:rPr>
                <w:rFonts w:hint="eastAsia" w:ascii="宋体" w:hAnsi="宋体" w:eastAsia="宋体" w:cs="宋体"/>
                <w:color w:val="000000"/>
                <w:szCs w:val="21"/>
              </w:rPr>
              <w:t>——</w:t>
            </w:r>
          </w:p>
        </w:tc>
      </w:tr>
      <w:tr w14:paraId="43948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shd w:val="clear" w:color="auto" w:fill="auto"/>
            <w:vAlign w:val="center"/>
          </w:tcPr>
          <w:p w14:paraId="5540D7DA">
            <w:pPr>
              <w:jc w:val="center"/>
              <w:rPr>
                <w:rFonts w:hint="eastAsia" w:ascii="宋体" w:hAnsi="宋体" w:eastAsia="宋体" w:cs="宋体"/>
                <w:color w:val="000000"/>
                <w:szCs w:val="21"/>
              </w:rPr>
            </w:pPr>
            <w:r>
              <w:rPr>
                <w:rFonts w:hint="eastAsia" w:ascii="宋体" w:hAnsi="宋体" w:eastAsia="宋体" w:cs="宋体"/>
                <w:color w:val="000000"/>
                <w:szCs w:val="21"/>
              </w:rPr>
              <w:t>9</w:t>
            </w:r>
          </w:p>
        </w:tc>
        <w:tc>
          <w:tcPr>
            <w:tcW w:w="1084" w:type="dxa"/>
            <w:vAlign w:val="center"/>
          </w:tcPr>
          <w:p w14:paraId="33A5A701">
            <w:pPr>
              <w:jc w:val="center"/>
              <w:rPr>
                <w:rFonts w:hint="eastAsia" w:ascii="宋体" w:hAnsi="宋体" w:eastAsia="宋体" w:cs="宋体"/>
                <w:color w:val="000000"/>
                <w:szCs w:val="21"/>
              </w:rPr>
            </w:pPr>
            <w:r>
              <w:rPr>
                <w:rFonts w:hint="eastAsia" w:ascii="宋体" w:hAnsi="宋体" w:eastAsia="宋体" w:cs="宋体"/>
                <w:color w:val="000000"/>
                <w:szCs w:val="21"/>
              </w:rPr>
              <w:t>县文广旅体局</w:t>
            </w:r>
          </w:p>
        </w:tc>
        <w:tc>
          <w:tcPr>
            <w:tcW w:w="5728" w:type="dxa"/>
            <w:vAlign w:val="center"/>
          </w:tcPr>
          <w:p w14:paraId="75049EE9">
            <w:pPr>
              <w:jc w:val="center"/>
              <w:rPr>
                <w:rFonts w:hint="eastAsia" w:ascii="宋体" w:hAnsi="宋体" w:eastAsia="宋体" w:cs="宋体"/>
                <w:color w:val="000000"/>
                <w:szCs w:val="21"/>
              </w:rPr>
            </w:pPr>
            <w:r>
              <w:rPr>
                <w:rFonts w:hint="eastAsia" w:ascii="宋体" w:hAnsi="宋体" w:eastAsia="宋体" w:cs="宋体"/>
                <w:color w:val="000000"/>
                <w:szCs w:val="21"/>
              </w:rPr>
              <w:t>无意见。</w:t>
            </w:r>
          </w:p>
        </w:tc>
        <w:tc>
          <w:tcPr>
            <w:tcW w:w="1902" w:type="dxa"/>
            <w:vAlign w:val="center"/>
          </w:tcPr>
          <w:p w14:paraId="4D5150C5">
            <w:pPr>
              <w:jc w:val="center"/>
              <w:rPr>
                <w:rFonts w:hint="eastAsia" w:ascii="宋体" w:hAnsi="宋体" w:eastAsia="宋体" w:cs="宋体"/>
                <w:color w:val="000000"/>
                <w:szCs w:val="21"/>
              </w:rPr>
            </w:pPr>
            <w:r>
              <w:rPr>
                <w:rFonts w:hint="eastAsia" w:ascii="宋体" w:hAnsi="宋体" w:eastAsia="宋体" w:cs="宋体"/>
                <w:color w:val="000000"/>
                <w:szCs w:val="21"/>
              </w:rPr>
              <w:t>——</w:t>
            </w:r>
          </w:p>
        </w:tc>
      </w:tr>
      <w:tr w14:paraId="4CE90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shd w:val="clear" w:color="auto" w:fill="auto"/>
            <w:vAlign w:val="center"/>
          </w:tcPr>
          <w:p w14:paraId="3403921B">
            <w:pPr>
              <w:jc w:val="center"/>
              <w:rPr>
                <w:rFonts w:hint="eastAsia" w:ascii="宋体" w:hAnsi="宋体" w:eastAsia="宋体" w:cs="宋体"/>
                <w:color w:val="000000"/>
                <w:szCs w:val="21"/>
              </w:rPr>
            </w:pPr>
            <w:r>
              <w:rPr>
                <w:rFonts w:hint="eastAsia" w:ascii="宋体" w:hAnsi="宋体" w:eastAsia="宋体" w:cs="宋体"/>
                <w:color w:val="000000"/>
                <w:szCs w:val="21"/>
              </w:rPr>
              <w:t>10</w:t>
            </w:r>
          </w:p>
        </w:tc>
        <w:tc>
          <w:tcPr>
            <w:tcW w:w="1084" w:type="dxa"/>
            <w:vAlign w:val="center"/>
          </w:tcPr>
          <w:p w14:paraId="0808DB6C">
            <w:pPr>
              <w:jc w:val="center"/>
              <w:rPr>
                <w:rFonts w:hint="eastAsia" w:ascii="宋体" w:hAnsi="宋体" w:eastAsia="宋体" w:cs="宋体"/>
                <w:color w:val="000000"/>
                <w:szCs w:val="21"/>
              </w:rPr>
            </w:pPr>
            <w:r>
              <w:rPr>
                <w:rFonts w:hint="eastAsia" w:ascii="宋体" w:hAnsi="宋体" w:eastAsia="宋体" w:cs="宋体"/>
                <w:color w:val="000000"/>
                <w:szCs w:val="21"/>
              </w:rPr>
              <w:t>县市场监督局</w:t>
            </w:r>
          </w:p>
        </w:tc>
        <w:tc>
          <w:tcPr>
            <w:tcW w:w="5728" w:type="dxa"/>
            <w:vAlign w:val="center"/>
          </w:tcPr>
          <w:p w14:paraId="56D667E5">
            <w:pPr>
              <w:jc w:val="center"/>
              <w:rPr>
                <w:rFonts w:hint="eastAsia" w:ascii="宋体" w:hAnsi="宋体" w:eastAsia="宋体" w:cs="宋体"/>
                <w:color w:val="000000"/>
                <w:szCs w:val="21"/>
              </w:rPr>
            </w:pPr>
            <w:r>
              <w:rPr>
                <w:rFonts w:hint="eastAsia" w:ascii="宋体" w:hAnsi="宋体" w:eastAsia="宋体" w:cs="宋体"/>
                <w:color w:val="000000"/>
                <w:szCs w:val="21"/>
              </w:rPr>
              <w:t>无意见。</w:t>
            </w:r>
          </w:p>
        </w:tc>
        <w:tc>
          <w:tcPr>
            <w:tcW w:w="1902" w:type="dxa"/>
            <w:vAlign w:val="center"/>
          </w:tcPr>
          <w:p w14:paraId="7A5C95BA">
            <w:pPr>
              <w:jc w:val="center"/>
              <w:rPr>
                <w:rFonts w:hint="eastAsia" w:ascii="宋体" w:hAnsi="宋体" w:eastAsia="宋体" w:cs="宋体"/>
                <w:color w:val="000000"/>
                <w:szCs w:val="21"/>
              </w:rPr>
            </w:pPr>
            <w:r>
              <w:rPr>
                <w:rFonts w:hint="eastAsia" w:ascii="宋体" w:hAnsi="宋体" w:eastAsia="宋体" w:cs="宋体"/>
                <w:color w:val="000000"/>
                <w:szCs w:val="21"/>
              </w:rPr>
              <w:t>——</w:t>
            </w:r>
          </w:p>
        </w:tc>
      </w:tr>
      <w:tr w14:paraId="4BDAD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jc w:val="center"/>
        </w:trPr>
        <w:tc>
          <w:tcPr>
            <w:tcW w:w="636" w:type="dxa"/>
            <w:shd w:val="clear" w:color="auto" w:fill="auto"/>
            <w:vAlign w:val="center"/>
          </w:tcPr>
          <w:p w14:paraId="222899BF">
            <w:pPr>
              <w:jc w:val="center"/>
              <w:rPr>
                <w:rFonts w:hint="eastAsia" w:ascii="宋体" w:hAnsi="宋体" w:eastAsia="宋体" w:cs="宋体"/>
                <w:color w:val="000000"/>
                <w:szCs w:val="21"/>
              </w:rPr>
            </w:pPr>
            <w:r>
              <w:rPr>
                <w:rFonts w:hint="eastAsia" w:ascii="宋体" w:hAnsi="宋体" w:eastAsia="宋体" w:cs="宋体"/>
                <w:color w:val="000000"/>
                <w:szCs w:val="21"/>
              </w:rPr>
              <w:t>11</w:t>
            </w:r>
          </w:p>
        </w:tc>
        <w:tc>
          <w:tcPr>
            <w:tcW w:w="1084" w:type="dxa"/>
            <w:vAlign w:val="center"/>
          </w:tcPr>
          <w:p w14:paraId="0A9EE8B1">
            <w:pPr>
              <w:jc w:val="center"/>
              <w:rPr>
                <w:rFonts w:hint="eastAsia" w:ascii="宋体" w:hAnsi="宋体" w:eastAsia="宋体" w:cs="宋体"/>
                <w:color w:val="000000"/>
                <w:szCs w:val="21"/>
              </w:rPr>
            </w:pPr>
            <w:r>
              <w:rPr>
                <w:rFonts w:hint="eastAsia" w:ascii="宋体" w:hAnsi="宋体" w:eastAsia="宋体" w:cs="宋体"/>
                <w:color w:val="000000"/>
                <w:szCs w:val="21"/>
              </w:rPr>
              <w:t>县农业农村局</w:t>
            </w:r>
          </w:p>
        </w:tc>
        <w:tc>
          <w:tcPr>
            <w:tcW w:w="5728" w:type="dxa"/>
            <w:vAlign w:val="center"/>
          </w:tcPr>
          <w:p w14:paraId="0D51798A">
            <w:pPr>
              <w:jc w:val="center"/>
              <w:rPr>
                <w:rFonts w:hint="eastAsia" w:ascii="宋体" w:hAnsi="宋体" w:eastAsia="宋体" w:cs="宋体"/>
                <w:color w:val="000000"/>
                <w:szCs w:val="21"/>
              </w:rPr>
            </w:pPr>
            <w:r>
              <w:rPr>
                <w:rFonts w:hint="eastAsia" w:ascii="宋体" w:hAnsi="宋体" w:eastAsia="宋体" w:cs="宋体"/>
                <w:color w:val="000000"/>
                <w:szCs w:val="21"/>
              </w:rPr>
              <w:t>无意见。</w:t>
            </w:r>
          </w:p>
        </w:tc>
        <w:tc>
          <w:tcPr>
            <w:tcW w:w="1902" w:type="dxa"/>
            <w:vAlign w:val="center"/>
          </w:tcPr>
          <w:p w14:paraId="09B04F32">
            <w:pPr>
              <w:jc w:val="center"/>
              <w:rPr>
                <w:rFonts w:hint="eastAsia" w:ascii="宋体" w:hAnsi="宋体" w:eastAsia="宋体" w:cs="宋体"/>
                <w:color w:val="000000"/>
                <w:szCs w:val="21"/>
              </w:rPr>
            </w:pPr>
            <w:r>
              <w:rPr>
                <w:rFonts w:hint="eastAsia" w:ascii="宋体" w:hAnsi="宋体" w:eastAsia="宋体" w:cs="宋体"/>
                <w:color w:val="000000"/>
                <w:szCs w:val="21"/>
              </w:rPr>
              <w:t>——</w:t>
            </w:r>
          </w:p>
        </w:tc>
      </w:tr>
      <w:tr w14:paraId="1A6FE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shd w:val="clear" w:color="auto" w:fill="auto"/>
            <w:vAlign w:val="center"/>
          </w:tcPr>
          <w:p w14:paraId="2662C62F">
            <w:pPr>
              <w:jc w:val="center"/>
              <w:rPr>
                <w:rFonts w:hint="eastAsia" w:ascii="宋体" w:hAnsi="宋体" w:eastAsia="宋体" w:cs="宋体"/>
                <w:color w:val="000000"/>
                <w:szCs w:val="21"/>
              </w:rPr>
            </w:pPr>
            <w:r>
              <w:rPr>
                <w:rFonts w:hint="eastAsia" w:ascii="宋体" w:hAnsi="宋体" w:eastAsia="宋体" w:cs="宋体"/>
                <w:color w:val="000000"/>
                <w:szCs w:val="21"/>
              </w:rPr>
              <w:t>12</w:t>
            </w:r>
          </w:p>
        </w:tc>
        <w:tc>
          <w:tcPr>
            <w:tcW w:w="1084" w:type="dxa"/>
            <w:shd w:val="clear" w:color="auto" w:fill="auto"/>
            <w:vAlign w:val="center"/>
          </w:tcPr>
          <w:p w14:paraId="3659C893">
            <w:pPr>
              <w:jc w:val="center"/>
              <w:rPr>
                <w:rFonts w:hint="eastAsia" w:ascii="宋体" w:hAnsi="宋体" w:eastAsia="宋体" w:cs="宋体"/>
                <w:color w:val="000000"/>
                <w:szCs w:val="21"/>
              </w:rPr>
            </w:pPr>
            <w:r>
              <w:rPr>
                <w:rFonts w:hint="eastAsia" w:ascii="宋体" w:hAnsi="宋体" w:eastAsia="宋体" w:cs="宋体"/>
                <w:color w:val="000000"/>
                <w:szCs w:val="21"/>
              </w:rPr>
              <w:t>县民政局</w:t>
            </w:r>
          </w:p>
        </w:tc>
        <w:tc>
          <w:tcPr>
            <w:tcW w:w="5728" w:type="dxa"/>
            <w:vAlign w:val="center"/>
          </w:tcPr>
          <w:p w14:paraId="2D707E87">
            <w:pPr>
              <w:jc w:val="center"/>
              <w:rPr>
                <w:rFonts w:hint="eastAsia" w:ascii="宋体" w:hAnsi="宋体" w:eastAsia="宋体" w:cs="宋体"/>
                <w:color w:val="000000"/>
                <w:szCs w:val="21"/>
              </w:rPr>
            </w:pPr>
            <w:r>
              <w:rPr>
                <w:rFonts w:hint="eastAsia" w:ascii="宋体" w:hAnsi="宋体" w:eastAsia="宋体" w:cs="宋体"/>
                <w:color w:val="000000"/>
                <w:szCs w:val="21"/>
              </w:rPr>
              <w:t>无意见。</w:t>
            </w:r>
          </w:p>
        </w:tc>
        <w:tc>
          <w:tcPr>
            <w:tcW w:w="1902" w:type="dxa"/>
            <w:vAlign w:val="center"/>
          </w:tcPr>
          <w:p w14:paraId="4FB2D3B0">
            <w:pPr>
              <w:jc w:val="center"/>
              <w:rPr>
                <w:rFonts w:hint="eastAsia" w:ascii="宋体" w:hAnsi="宋体" w:eastAsia="宋体" w:cs="宋体"/>
                <w:color w:val="000000"/>
                <w:szCs w:val="21"/>
              </w:rPr>
            </w:pPr>
            <w:r>
              <w:rPr>
                <w:rFonts w:hint="eastAsia" w:ascii="宋体" w:hAnsi="宋体" w:eastAsia="宋体" w:cs="宋体"/>
                <w:color w:val="000000"/>
                <w:szCs w:val="21"/>
              </w:rPr>
              <w:t>——</w:t>
            </w:r>
          </w:p>
        </w:tc>
      </w:tr>
      <w:tr w14:paraId="6DC3F9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shd w:val="clear" w:color="auto" w:fill="auto"/>
            <w:vAlign w:val="center"/>
          </w:tcPr>
          <w:p w14:paraId="53118CD1">
            <w:pPr>
              <w:jc w:val="center"/>
              <w:rPr>
                <w:rFonts w:hint="eastAsia" w:ascii="宋体" w:hAnsi="宋体" w:eastAsia="宋体" w:cs="宋体"/>
                <w:color w:val="000000"/>
                <w:szCs w:val="21"/>
              </w:rPr>
            </w:pPr>
            <w:r>
              <w:rPr>
                <w:rFonts w:hint="eastAsia" w:ascii="宋体" w:hAnsi="宋体" w:eastAsia="宋体" w:cs="宋体"/>
                <w:color w:val="000000"/>
                <w:szCs w:val="21"/>
              </w:rPr>
              <w:t>13</w:t>
            </w:r>
          </w:p>
        </w:tc>
        <w:tc>
          <w:tcPr>
            <w:tcW w:w="1084" w:type="dxa"/>
            <w:shd w:val="clear" w:color="auto" w:fill="auto"/>
            <w:vAlign w:val="center"/>
          </w:tcPr>
          <w:p w14:paraId="6353FE8C">
            <w:pPr>
              <w:jc w:val="center"/>
              <w:rPr>
                <w:rFonts w:hint="eastAsia" w:ascii="宋体" w:hAnsi="宋体" w:eastAsia="宋体" w:cs="宋体"/>
                <w:color w:val="000000"/>
                <w:szCs w:val="21"/>
              </w:rPr>
            </w:pPr>
            <w:r>
              <w:rPr>
                <w:rFonts w:hint="eastAsia" w:ascii="宋体" w:hAnsi="宋体" w:eastAsia="宋体" w:cs="宋体"/>
                <w:color w:val="000000"/>
                <w:szCs w:val="21"/>
              </w:rPr>
              <w:t>县林业局</w:t>
            </w:r>
          </w:p>
        </w:tc>
        <w:tc>
          <w:tcPr>
            <w:tcW w:w="5728" w:type="dxa"/>
            <w:vAlign w:val="center"/>
          </w:tcPr>
          <w:p w14:paraId="28592BC9">
            <w:pPr>
              <w:jc w:val="center"/>
              <w:rPr>
                <w:rFonts w:hint="eastAsia" w:ascii="宋体" w:hAnsi="宋体" w:eastAsia="宋体" w:cs="宋体"/>
                <w:color w:val="000000"/>
                <w:szCs w:val="21"/>
              </w:rPr>
            </w:pPr>
            <w:r>
              <w:rPr>
                <w:rFonts w:hint="eastAsia" w:ascii="宋体" w:hAnsi="宋体" w:eastAsia="宋体" w:cs="宋体"/>
                <w:color w:val="000000"/>
                <w:szCs w:val="21"/>
              </w:rPr>
              <w:t>无意见。</w:t>
            </w:r>
          </w:p>
        </w:tc>
        <w:tc>
          <w:tcPr>
            <w:tcW w:w="1902" w:type="dxa"/>
            <w:vAlign w:val="center"/>
          </w:tcPr>
          <w:p w14:paraId="7FF17936">
            <w:pPr>
              <w:jc w:val="center"/>
              <w:rPr>
                <w:rFonts w:hint="eastAsia" w:ascii="宋体" w:hAnsi="宋体" w:eastAsia="宋体" w:cs="宋体"/>
                <w:color w:val="000000"/>
                <w:szCs w:val="21"/>
              </w:rPr>
            </w:pPr>
            <w:r>
              <w:rPr>
                <w:rFonts w:hint="eastAsia" w:ascii="宋体" w:hAnsi="宋体" w:eastAsia="宋体" w:cs="宋体"/>
                <w:color w:val="000000"/>
                <w:szCs w:val="21"/>
              </w:rPr>
              <w:t>——</w:t>
            </w:r>
          </w:p>
        </w:tc>
      </w:tr>
      <w:tr w14:paraId="10DFC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shd w:val="clear" w:color="auto" w:fill="auto"/>
            <w:vAlign w:val="center"/>
          </w:tcPr>
          <w:p w14:paraId="12470768">
            <w:pPr>
              <w:jc w:val="center"/>
              <w:rPr>
                <w:rFonts w:hint="eastAsia" w:ascii="宋体" w:hAnsi="宋体" w:eastAsia="宋体" w:cs="宋体"/>
                <w:color w:val="000000"/>
                <w:szCs w:val="21"/>
              </w:rPr>
            </w:pPr>
            <w:r>
              <w:rPr>
                <w:rFonts w:hint="eastAsia" w:ascii="宋体" w:hAnsi="宋体" w:eastAsia="宋体" w:cs="宋体"/>
                <w:color w:val="000000"/>
                <w:szCs w:val="21"/>
              </w:rPr>
              <w:t>14</w:t>
            </w:r>
          </w:p>
        </w:tc>
        <w:tc>
          <w:tcPr>
            <w:tcW w:w="1084" w:type="dxa"/>
            <w:shd w:val="clear" w:color="auto" w:fill="auto"/>
            <w:vAlign w:val="center"/>
          </w:tcPr>
          <w:p w14:paraId="49F3CFE9">
            <w:pPr>
              <w:jc w:val="center"/>
              <w:rPr>
                <w:rFonts w:hint="eastAsia" w:ascii="宋体" w:hAnsi="宋体" w:eastAsia="宋体" w:cs="宋体"/>
                <w:color w:val="000000"/>
                <w:szCs w:val="21"/>
              </w:rPr>
            </w:pPr>
            <w:r>
              <w:rPr>
                <w:rFonts w:hint="eastAsia" w:ascii="宋体" w:hAnsi="宋体" w:eastAsia="宋体" w:cs="宋体"/>
                <w:color w:val="000000"/>
                <w:szCs w:val="21"/>
              </w:rPr>
              <w:t>县教育局</w:t>
            </w:r>
          </w:p>
        </w:tc>
        <w:tc>
          <w:tcPr>
            <w:tcW w:w="5728" w:type="dxa"/>
            <w:vAlign w:val="center"/>
          </w:tcPr>
          <w:p w14:paraId="297C0127">
            <w:pPr>
              <w:jc w:val="center"/>
              <w:rPr>
                <w:rFonts w:hint="eastAsia" w:ascii="宋体" w:hAnsi="宋体" w:eastAsia="宋体" w:cs="宋体"/>
                <w:color w:val="000000"/>
                <w:szCs w:val="21"/>
              </w:rPr>
            </w:pPr>
            <w:r>
              <w:rPr>
                <w:rFonts w:hint="eastAsia" w:ascii="宋体" w:hAnsi="宋体" w:eastAsia="宋体" w:cs="宋体"/>
                <w:color w:val="000000"/>
                <w:szCs w:val="21"/>
              </w:rPr>
              <w:t>无意见。</w:t>
            </w:r>
          </w:p>
        </w:tc>
        <w:tc>
          <w:tcPr>
            <w:tcW w:w="1902" w:type="dxa"/>
            <w:vAlign w:val="center"/>
          </w:tcPr>
          <w:p w14:paraId="1544F10A">
            <w:pPr>
              <w:jc w:val="center"/>
              <w:rPr>
                <w:rFonts w:hint="eastAsia" w:ascii="宋体" w:hAnsi="宋体" w:eastAsia="宋体" w:cs="宋体"/>
                <w:color w:val="000000"/>
                <w:szCs w:val="21"/>
              </w:rPr>
            </w:pPr>
            <w:r>
              <w:rPr>
                <w:rFonts w:hint="eastAsia" w:ascii="宋体" w:hAnsi="宋体" w:eastAsia="宋体" w:cs="宋体"/>
                <w:color w:val="000000"/>
                <w:szCs w:val="21"/>
              </w:rPr>
              <w:t>——</w:t>
            </w:r>
          </w:p>
        </w:tc>
      </w:tr>
      <w:tr w14:paraId="6F60E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shd w:val="clear" w:color="auto" w:fill="auto"/>
            <w:vAlign w:val="center"/>
          </w:tcPr>
          <w:p w14:paraId="739A5B2D">
            <w:pPr>
              <w:jc w:val="center"/>
              <w:rPr>
                <w:rFonts w:hint="eastAsia" w:ascii="宋体" w:hAnsi="宋体" w:eastAsia="宋体" w:cs="宋体"/>
                <w:color w:val="000000"/>
                <w:szCs w:val="21"/>
              </w:rPr>
            </w:pPr>
            <w:r>
              <w:rPr>
                <w:rFonts w:hint="eastAsia" w:ascii="宋体" w:hAnsi="宋体" w:eastAsia="宋体" w:cs="宋体"/>
                <w:color w:val="000000"/>
                <w:szCs w:val="21"/>
              </w:rPr>
              <w:t>15</w:t>
            </w:r>
          </w:p>
        </w:tc>
        <w:tc>
          <w:tcPr>
            <w:tcW w:w="1084" w:type="dxa"/>
            <w:vAlign w:val="center"/>
          </w:tcPr>
          <w:p w14:paraId="03A8C589">
            <w:pPr>
              <w:jc w:val="center"/>
              <w:rPr>
                <w:rFonts w:hint="eastAsia" w:ascii="宋体" w:hAnsi="宋体" w:eastAsia="宋体" w:cs="宋体"/>
                <w:color w:val="000000"/>
                <w:szCs w:val="21"/>
              </w:rPr>
            </w:pPr>
            <w:r>
              <w:rPr>
                <w:rFonts w:hint="eastAsia" w:ascii="宋体" w:hAnsi="宋体" w:eastAsia="宋体" w:cs="宋体"/>
                <w:color w:val="000000"/>
                <w:szCs w:val="21"/>
              </w:rPr>
              <w:t>罗浮山管委会</w:t>
            </w:r>
          </w:p>
        </w:tc>
        <w:tc>
          <w:tcPr>
            <w:tcW w:w="5728" w:type="dxa"/>
            <w:vAlign w:val="center"/>
          </w:tcPr>
          <w:p w14:paraId="7CAED9BB">
            <w:pPr>
              <w:jc w:val="center"/>
              <w:rPr>
                <w:rFonts w:hint="eastAsia" w:ascii="宋体" w:hAnsi="宋体" w:eastAsia="宋体" w:cs="宋体"/>
                <w:color w:val="000000"/>
                <w:szCs w:val="21"/>
              </w:rPr>
            </w:pPr>
            <w:r>
              <w:rPr>
                <w:rFonts w:hint="eastAsia" w:ascii="宋体" w:hAnsi="宋体" w:eastAsia="宋体" w:cs="宋体"/>
                <w:color w:val="000000"/>
                <w:szCs w:val="21"/>
              </w:rPr>
              <w:t>无意见。</w:t>
            </w:r>
          </w:p>
        </w:tc>
        <w:tc>
          <w:tcPr>
            <w:tcW w:w="1902" w:type="dxa"/>
            <w:vAlign w:val="center"/>
          </w:tcPr>
          <w:p w14:paraId="5AE3C747">
            <w:pPr>
              <w:jc w:val="center"/>
              <w:rPr>
                <w:rFonts w:hint="eastAsia" w:ascii="宋体" w:hAnsi="宋体" w:eastAsia="宋体" w:cs="宋体"/>
                <w:color w:val="000000"/>
                <w:szCs w:val="21"/>
              </w:rPr>
            </w:pPr>
            <w:r>
              <w:rPr>
                <w:rFonts w:hint="eastAsia" w:ascii="宋体" w:hAnsi="宋体" w:eastAsia="宋体" w:cs="宋体"/>
                <w:color w:val="000000"/>
                <w:szCs w:val="21"/>
              </w:rPr>
              <w:t>——</w:t>
            </w:r>
          </w:p>
        </w:tc>
      </w:tr>
      <w:tr w14:paraId="4725A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14:paraId="1F3E72E8">
            <w:pPr>
              <w:jc w:val="center"/>
              <w:rPr>
                <w:rFonts w:hint="eastAsia" w:ascii="宋体" w:hAnsi="宋体" w:eastAsia="宋体" w:cs="宋体"/>
                <w:color w:val="000000"/>
                <w:szCs w:val="21"/>
              </w:rPr>
            </w:pPr>
            <w:r>
              <w:rPr>
                <w:rFonts w:hint="eastAsia" w:ascii="宋体" w:hAnsi="宋体" w:eastAsia="宋体" w:cs="宋体"/>
                <w:color w:val="000000"/>
                <w:szCs w:val="21"/>
              </w:rPr>
              <w:t>16</w:t>
            </w:r>
          </w:p>
        </w:tc>
        <w:tc>
          <w:tcPr>
            <w:tcW w:w="1084" w:type="dxa"/>
            <w:vAlign w:val="center"/>
          </w:tcPr>
          <w:p w14:paraId="39CAF40A">
            <w:pPr>
              <w:jc w:val="center"/>
              <w:rPr>
                <w:rFonts w:hint="eastAsia" w:ascii="宋体" w:hAnsi="宋体" w:eastAsia="宋体" w:cs="宋体"/>
                <w:color w:val="000000"/>
                <w:szCs w:val="21"/>
              </w:rPr>
            </w:pPr>
            <w:r>
              <w:rPr>
                <w:rFonts w:hint="eastAsia" w:ascii="宋体" w:hAnsi="宋体" w:eastAsia="宋体" w:cs="宋体"/>
                <w:color w:val="000000"/>
                <w:szCs w:val="21"/>
              </w:rPr>
              <w:t>泰美镇人民政府</w:t>
            </w:r>
          </w:p>
        </w:tc>
        <w:tc>
          <w:tcPr>
            <w:tcW w:w="5728" w:type="dxa"/>
            <w:vAlign w:val="center"/>
          </w:tcPr>
          <w:p w14:paraId="3A010198">
            <w:pPr>
              <w:jc w:val="center"/>
              <w:rPr>
                <w:rFonts w:hint="eastAsia" w:ascii="宋体" w:hAnsi="宋体" w:eastAsia="宋体" w:cs="宋体"/>
                <w:color w:val="000000"/>
                <w:szCs w:val="21"/>
              </w:rPr>
            </w:pPr>
            <w:r>
              <w:rPr>
                <w:rFonts w:hint="eastAsia" w:ascii="宋体" w:hAnsi="宋体" w:eastAsia="宋体" w:cs="宋体"/>
                <w:color w:val="000000"/>
                <w:szCs w:val="21"/>
              </w:rPr>
              <w:t>无意见。</w:t>
            </w:r>
          </w:p>
        </w:tc>
        <w:tc>
          <w:tcPr>
            <w:tcW w:w="1902" w:type="dxa"/>
            <w:vAlign w:val="center"/>
          </w:tcPr>
          <w:p w14:paraId="53A6F584">
            <w:pPr>
              <w:jc w:val="center"/>
              <w:rPr>
                <w:rFonts w:hint="eastAsia" w:ascii="宋体" w:hAnsi="宋体" w:eastAsia="宋体" w:cs="宋体"/>
                <w:color w:val="000000"/>
                <w:szCs w:val="21"/>
              </w:rPr>
            </w:pPr>
            <w:r>
              <w:rPr>
                <w:rFonts w:hint="eastAsia" w:ascii="宋体" w:hAnsi="宋体" w:eastAsia="宋体" w:cs="宋体"/>
                <w:color w:val="000000"/>
                <w:szCs w:val="21"/>
              </w:rPr>
              <w:t>——</w:t>
            </w:r>
          </w:p>
        </w:tc>
      </w:tr>
      <w:tr w14:paraId="515B0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14:paraId="408EA467">
            <w:pPr>
              <w:jc w:val="center"/>
              <w:rPr>
                <w:rFonts w:hint="eastAsia" w:ascii="宋体" w:hAnsi="宋体" w:eastAsia="宋体" w:cs="宋体"/>
                <w:color w:val="000000"/>
                <w:szCs w:val="21"/>
              </w:rPr>
            </w:pPr>
            <w:r>
              <w:rPr>
                <w:rFonts w:hint="eastAsia" w:ascii="宋体" w:hAnsi="宋体" w:eastAsia="宋体" w:cs="宋体"/>
                <w:color w:val="000000"/>
                <w:szCs w:val="21"/>
              </w:rPr>
              <w:t>17</w:t>
            </w:r>
          </w:p>
        </w:tc>
        <w:tc>
          <w:tcPr>
            <w:tcW w:w="1084" w:type="dxa"/>
            <w:vAlign w:val="center"/>
          </w:tcPr>
          <w:p w14:paraId="3B45DEE8">
            <w:pPr>
              <w:jc w:val="center"/>
              <w:rPr>
                <w:rFonts w:hint="eastAsia" w:ascii="宋体" w:hAnsi="宋体" w:eastAsia="宋体" w:cs="宋体"/>
                <w:color w:val="000000"/>
                <w:szCs w:val="21"/>
              </w:rPr>
            </w:pPr>
            <w:r>
              <w:rPr>
                <w:rFonts w:hint="eastAsia" w:ascii="宋体" w:hAnsi="宋体" w:eastAsia="宋体" w:cs="宋体"/>
                <w:color w:val="000000"/>
                <w:szCs w:val="21"/>
              </w:rPr>
              <w:t>长宁镇人民政府</w:t>
            </w:r>
          </w:p>
        </w:tc>
        <w:tc>
          <w:tcPr>
            <w:tcW w:w="5728" w:type="dxa"/>
            <w:vAlign w:val="center"/>
          </w:tcPr>
          <w:p w14:paraId="02853BCF">
            <w:pPr>
              <w:jc w:val="center"/>
              <w:rPr>
                <w:rFonts w:hint="eastAsia" w:ascii="宋体" w:hAnsi="宋体" w:eastAsia="宋体" w:cs="宋体"/>
                <w:color w:val="000000"/>
                <w:szCs w:val="21"/>
              </w:rPr>
            </w:pPr>
            <w:r>
              <w:rPr>
                <w:rFonts w:hint="eastAsia" w:ascii="宋体" w:hAnsi="宋体" w:eastAsia="宋体" w:cs="宋体"/>
                <w:color w:val="000000"/>
                <w:szCs w:val="21"/>
              </w:rPr>
              <w:t>无意见。</w:t>
            </w:r>
          </w:p>
        </w:tc>
        <w:tc>
          <w:tcPr>
            <w:tcW w:w="1902" w:type="dxa"/>
            <w:vAlign w:val="center"/>
          </w:tcPr>
          <w:p w14:paraId="4C54194A">
            <w:pPr>
              <w:jc w:val="center"/>
              <w:rPr>
                <w:rFonts w:hint="eastAsia" w:ascii="宋体" w:hAnsi="宋体" w:eastAsia="宋体" w:cs="宋体"/>
                <w:color w:val="000000"/>
                <w:szCs w:val="21"/>
              </w:rPr>
            </w:pPr>
            <w:r>
              <w:rPr>
                <w:rFonts w:hint="eastAsia" w:ascii="宋体" w:hAnsi="宋体" w:eastAsia="宋体" w:cs="宋体"/>
                <w:color w:val="000000"/>
                <w:szCs w:val="21"/>
              </w:rPr>
              <w:t>——</w:t>
            </w:r>
          </w:p>
        </w:tc>
      </w:tr>
      <w:tr w14:paraId="1C806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14:paraId="2B7618B4">
            <w:pPr>
              <w:jc w:val="center"/>
              <w:rPr>
                <w:rFonts w:hint="eastAsia" w:ascii="宋体" w:hAnsi="宋体" w:eastAsia="宋体" w:cs="宋体"/>
                <w:color w:val="000000"/>
                <w:szCs w:val="21"/>
              </w:rPr>
            </w:pPr>
            <w:r>
              <w:rPr>
                <w:rFonts w:hint="eastAsia" w:ascii="宋体" w:hAnsi="宋体" w:eastAsia="宋体" w:cs="宋体"/>
                <w:color w:val="000000"/>
                <w:szCs w:val="21"/>
              </w:rPr>
              <w:t>18</w:t>
            </w:r>
          </w:p>
        </w:tc>
        <w:tc>
          <w:tcPr>
            <w:tcW w:w="1084" w:type="dxa"/>
            <w:vAlign w:val="center"/>
          </w:tcPr>
          <w:p w14:paraId="6C9E7B58">
            <w:pPr>
              <w:jc w:val="center"/>
              <w:rPr>
                <w:rFonts w:hint="eastAsia" w:ascii="宋体" w:hAnsi="宋体" w:eastAsia="宋体" w:cs="宋体"/>
                <w:color w:val="000000"/>
                <w:szCs w:val="21"/>
              </w:rPr>
            </w:pPr>
            <w:r>
              <w:rPr>
                <w:rFonts w:hint="eastAsia" w:ascii="宋体" w:hAnsi="宋体" w:eastAsia="宋体" w:cs="宋体"/>
                <w:color w:val="000000"/>
                <w:szCs w:val="21"/>
              </w:rPr>
              <w:t>麻陂镇人民政府</w:t>
            </w:r>
          </w:p>
        </w:tc>
        <w:tc>
          <w:tcPr>
            <w:tcW w:w="5728" w:type="dxa"/>
            <w:vAlign w:val="center"/>
          </w:tcPr>
          <w:p w14:paraId="16EEC386">
            <w:pPr>
              <w:jc w:val="center"/>
              <w:rPr>
                <w:rFonts w:hint="eastAsia" w:ascii="宋体" w:hAnsi="宋体" w:eastAsia="宋体" w:cs="宋体"/>
                <w:color w:val="000000"/>
                <w:szCs w:val="21"/>
              </w:rPr>
            </w:pPr>
            <w:r>
              <w:rPr>
                <w:rFonts w:hint="eastAsia" w:ascii="宋体" w:hAnsi="宋体" w:eastAsia="宋体" w:cs="宋体"/>
                <w:color w:val="000000"/>
                <w:szCs w:val="21"/>
              </w:rPr>
              <w:t>无意见。</w:t>
            </w:r>
          </w:p>
        </w:tc>
        <w:tc>
          <w:tcPr>
            <w:tcW w:w="1902" w:type="dxa"/>
            <w:vAlign w:val="center"/>
          </w:tcPr>
          <w:p w14:paraId="60CFBC87">
            <w:pPr>
              <w:jc w:val="center"/>
              <w:rPr>
                <w:rFonts w:hint="eastAsia" w:ascii="宋体" w:hAnsi="宋体" w:eastAsia="宋体" w:cs="宋体"/>
                <w:color w:val="000000"/>
                <w:szCs w:val="21"/>
              </w:rPr>
            </w:pPr>
            <w:r>
              <w:rPr>
                <w:rFonts w:hint="eastAsia" w:ascii="宋体" w:hAnsi="宋体" w:eastAsia="宋体" w:cs="宋体"/>
                <w:color w:val="000000"/>
                <w:szCs w:val="21"/>
              </w:rPr>
              <w:t>——</w:t>
            </w:r>
          </w:p>
        </w:tc>
      </w:tr>
      <w:tr w14:paraId="58F84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14:paraId="0403306D">
            <w:pPr>
              <w:jc w:val="center"/>
              <w:rPr>
                <w:rFonts w:hint="eastAsia" w:ascii="宋体" w:hAnsi="宋体" w:eastAsia="宋体" w:cs="宋体"/>
                <w:color w:val="000000"/>
                <w:szCs w:val="21"/>
              </w:rPr>
            </w:pPr>
            <w:r>
              <w:rPr>
                <w:rFonts w:hint="eastAsia" w:ascii="宋体" w:hAnsi="宋体" w:eastAsia="宋体" w:cs="宋体"/>
                <w:color w:val="000000"/>
                <w:szCs w:val="21"/>
              </w:rPr>
              <w:t>19</w:t>
            </w:r>
          </w:p>
        </w:tc>
        <w:tc>
          <w:tcPr>
            <w:tcW w:w="1084" w:type="dxa"/>
            <w:vAlign w:val="center"/>
          </w:tcPr>
          <w:p w14:paraId="096566DF">
            <w:pPr>
              <w:jc w:val="center"/>
              <w:rPr>
                <w:rFonts w:hint="eastAsia" w:ascii="宋体" w:hAnsi="宋体" w:eastAsia="宋体" w:cs="宋体"/>
                <w:color w:val="000000"/>
                <w:szCs w:val="21"/>
              </w:rPr>
            </w:pPr>
            <w:r>
              <w:rPr>
                <w:rFonts w:hint="eastAsia" w:ascii="宋体" w:hAnsi="宋体" w:eastAsia="宋体" w:cs="宋体"/>
                <w:color w:val="000000"/>
                <w:szCs w:val="21"/>
              </w:rPr>
              <w:t>横河镇人民政府</w:t>
            </w:r>
          </w:p>
        </w:tc>
        <w:tc>
          <w:tcPr>
            <w:tcW w:w="5728" w:type="dxa"/>
            <w:vAlign w:val="center"/>
          </w:tcPr>
          <w:p w14:paraId="12281F01">
            <w:pPr>
              <w:jc w:val="center"/>
              <w:rPr>
                <w:rFonts w:hint="eastAsia" w:ascii="宋体" w:hAnsi="宋体" w:eastAsia="宋体" w:cs="宋体"/>
                <w:color w:val="000000"/>
                <w:szCs w:val="21"/>
              </w:rPr>
            </w:pPr>
            <w:r>
              <w:rPr>
                <w:rFonts w:hint="eastAsia" w:ascii="宋体" w:hAnsi="宋体" w:eastAsia="宋体" w:cs="宋体"/>
                <w:color w:val="000000"/>
                <w:szCs w:val="21"/>
              </w:rPr>
              <w:t>无意见。</w:t>
            </w:r>
          </w:p>
        </w:tc>
        <w:tc>
          <w:tcPr>
            <w:tcW w:w="1902" w:type="dxa"/>
            <w:vAlign w:val="center"/>
          </w:tcPr>
          <w:p w14:paraId="283A205D">
            <w:pPr>
              <w:jc w:val="center"/>
              <w:rPr>
                <w:rFonts w:hint="eastAsia" w:ascii="宋体" w:hAnsi="宋体" w:eastAsia="宋体" w:cs="宋体"/>
                <w:color w:val="000000"/>
                <w:szCs w:val="21"/>
              </w:rPr>
            </w:pPr>
            <w:r>
              <w:rPr>
                <w:rFonts w:hint="eastAsia" w:ascii="宋体" w:hAnsi="宋体" w:eastAsia="宋体" w:cs="宋体"/>
                <w:color w:val="000000"/>
                <w:szCs w:val="21"/>
              </w:rPr>
              <w:t>——</w:t>
            </w:r>
          </w:p>
        </w:tc>
      </w:tr>
      <w:tr w14:paraId="397690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14:paraId="49165D8B">
            <w:pPr>
              <w:jc w:val="center"/>
              <w:rPr>
                <w:rFonts w:hint="eastAsia" w:ascii="宋体" w:hAnsi="宋体" w:eastAsia="宋体" w:cs="宋体"/>
                <w:color w:val="000000"/>
                <w:szCs w:val="21"/>
              </w:rPr>
            </w:pPr>
            <w:r>
              <w:rPr>
                <w:rFonts w:hint="eastAsia" w:ascii="宋体" w:hAnsi="宋体" w:eastAsia="宋体" w:cs="宋体"/>
                <w:color w:val="000000"/>
                <w:szCs w:val="21"/>
              </w:rPr>
              <w:t>20</w:t>
            </w:r>
          </w:p>
        </w:tc>
        <w:tc>
          <w:tcPr>
            <w:tcW w:w="1084" w:type="dxa"/>
            <w:vAlign w:val="center"/>
          </w:tcPr>
          <w:p w14:paraId="7A0F7D53">
            <w:pPr>
              <w:jc w:val="center"/>
              <w:rPr>
                <w:rFonts w:hint="eastAsia" w:ascii="宋体" w:hAnsi="宋体" w:eastAsia="宋体" w:cs="宋体"/>
                <w:color w:val="000000"/>
                <w:szCs w:val="21"/>
              </w:rPr>
            </w:pPr>
            <w:r>
              <w:rPr>
                <w:rFonts w:hint="eastAsia" w:ascii="宋体" w:hAnsi="宋体" w:eastAsia="宋体" w:cs="宋体"/>
                <w:color w:val="000000"/>
                <w:szCs w:val="21"/>
              </w:rPr>
              <w:t>观音阁镇人民政府</w:t>
            </w:r>
          </w:p>
        </w:tc>
        <w:tc>
          <w:tcPr>
            <w:tcW w:w="5728" w:type="dxa"/>
            <w:vAlign w:val="center"/>
          </w:tcPr>
          <w:p w14:paraId="3F47E591">
            <w:pPr>
              <w:jc w:val="center"/>
              <w:rPr>
                <w:rFonts w:hint="eastAsia" w:ascii="宋体" w:hAnsi="宋体" w:eastAsia="宋体" w:cs="宋体"/>
                <w:color w:val="000000"/>
                <w:szCs w:val="21"/>
              </w:rPr>
            </w:pPr>
            <w:r>
              <w:rPr>
                <w:rFonts w:hint="eastAsia" w:ascii="宋体" w:hAnsi="宋体" w:eastAsia="宋体" w:cs="宋体"/>
                <w:color w:val="000000"/>
                <w:szCs w:val="21"/>
              </w:rPr>
              <w:t>无意见。</w:t>
            </w:r>
          </w:p>
        </w:tc>
        <w:tc>
          <w:tcPr>
            <w:tcW w:w="1902" w:type="dxa"/>
            <w:vAlign w:val="center"/>
          </w:tcPr>
          <w:p w14:paraId="443ED4CD">
            <w:pPr>
              <w:jc w:val="center"/>
              <w:rPr>
                <w:rFonts w:hint="eastAsia" w:ascii="宋体" w:hAnsi="宋体" w:eastAsia="宋体" w:cs="宋体"/>
                <w:color w:val="000000"/>
                <w:szCs w:val="21"/>
              </w:rPr>
            </w:pPr>
            <w:r>
              <w:rPr>
                <w:rFonts w:hint="eastAsia" w:ascii="宋体" w:hAnsi="宋体" w:eastAsia="宋体" w:cs="宋体"/>
                <w:color w:val="000000"/>
                <w:szCs w:val="21"/>
              </w:rPr>
              <w:t>——</w:t>
            </w:r>
          </w:p>
        </w:tc>
      </w:tr>
      <w:tr w14:paraId="388CB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6" w:type="dxa"/>
            <w:vAlign w:val="center"/>
          </w:tcPr>
          <w:p w14:paraId="14887736">
            <w:pPr>
              <w:jc w:val="center"/>
              <w:rPr>
                <w:rFonts w:hint="eastAsia" w:ascii="宋体" w:hAnsi="宋体" w:eastAsia="宋体" w:cs="宋体"/>
                <w:color w:val="000000"/>
                <w:szCs w:val="21"/>
              </w:rPr>
            </w:pPr>
            <w:r>
              <w:rPr>
                <w:rFonts w:hint="eastAsia" w:ascii="宋体" w:hAnsi="宋体" w:eastAsia="宋体" w:cs="宋体"/>
                <w:color w:val="000000"/>
                <w:szCs w:val="21"/>
              </w:rPr>
              <w:t>21</w:t>
            </w:r>
          </w:p>
        </w:tc>
        <w:tc>
          <w:tcPr>
            <w:tcW w:w="1084" w:type="dxa"/>
            <w:vAlign w:val="center"/>
          </w:tcPr>
          <w:p w14:paraId="5252208B">
            <w:pPr>
              <w:jc w:val="center"/>
              <w:rPr>
                <w:rFonts w:hint="eastAsia" w:ascii="宋体" w:hAnsi="宋体" w:eastAsia="宋体" w:cs="宋体"/>
                <w:color w:val="000000"/>
                <w:szCs w:val="21"/>
              </w:rPr>
            </w:pPr>
            <w:r>
              <w:rPr>
                <w:rFonts w:hint="eastAsia" w:ascii="宋体" w:hAnsi="宋体" w:eastAsia="宋体" w:cs="宋体"/>
                <w:color w:val="000000"/>
                <w:szCs w:val="21"/>
              </w:rPr>
              <w:t>杨侨镇人民政府</w:t>
            </w:r>
          </w:p>
        </w:tc>
        <w:tc>
          <w:tcPr>
            <w:tcW w:w="5728" w:type="dxa"/>
            <w:vAlign w:val="center"/>
          </w:tcPr>
          <w:p w14:paraId="33B74ABD">
            <w:pPr>
              <w:jc w:val="center"/>
              <w:rPr>
                <w:rFonts w:hint="eastAsia" w:ascii="宋体" w:hAnsi="宋体" w:eastAsia="宋体" w:cs="宋体"/>
                <w:color w:val="000000"/>
                <w:szCs w:val="21"/>
              </w:rPr>
            </w:pPr>
            <w:r>
              <w:rPr>
                <w:rFonts w:hint="eastAsia" w:ascii="宋体" w:hAnsi="宋体" w:eastAsia="宋体" w:cs="宋体"/>
                <w:color w:val="000000"/>
                <w:szCs w:val="21"/>
              </w:rPr>
              <w:t>无意见。</w:t>
            </w:r>
          </w:p>
        </w:tc>
        <w:tc>
          <w:tcPr>
            <w:tcW w:w="1902" w:type="dxa"/>
            <w:vAlign w:val="center"/>
          </w:tcPr>
          <w:p w14:paraId="19BB1120">
            <w:pPr>
              <w:jc w:val="center"/>
              <w:rPr>
                <w:rFonts w:hint="eastAsia" w:ascii="宋体" w:hAnsi="宋体" w:eastAsia="宋体" w:cs="宋体"/>
                <w:color w:val="000000"/>
                <w:szCs w:val="21"/>
              </w:rPr>
            </w:pPr>
            <w:r>
              <w:rPr>
                <w:rFonts w:hint="eastAsia" w:ascii="宋体" w:hAnsi="宋体" w:eastAsia="宋体" w:cs="宋体"/>
                <w:color w:val="000000"/>
                <w:szCs w:val="21"/>
              </w:rPr>
              <w:t>——</w:t>
            </w:r>
          </w:p>
        </w:tc>
      </w:tr>
    </w:tbl>
    <w:p w14:paraId="0887E98D">
      <w:pPr>
        <w:rPr>
          <w:rFonts w:hint="eastAsia"/>
        </w:rPr>
        <w:sectPr>
          <w:pgSz w:w="11906" w:h="16838"/>
          <w:pgMar w:top="1440" w:right="1800" w:bottom="1440" w:left="1800" w:header="851" w:footer="992" w:gutter="0"/>
          <w:cols w:space="425" w:num="1"/>
          <w:docGrid w:type="lines" w:linePitch="312" w:charSpace="0"/>
        </w:sectPr>
      </w:pPr>
    </w:p>
    <w:p w14:paraId="61177B32">
      <w:pPr>
        <w:pStyle w:val="4"/>
        <w:keepNext w:val="0"/>
        <w:keepLines w:val="0"/>
        <w:numPr>
          <w:ilvl w:val="255"/>
          <w:numId w:val="0"/>
        </w:numPr>
        <w:spacing w:before="0" w:after="0" w:line="360" w:lineRule="auto"/>
        <w:jc w:val="center"/>
        <w:rPr>
          <w:rFonts w:ascii="Times New Roman" w:hAnsi="Times New Roman" w:eastAsia="黑体"/>
          <w:b w:val="0"/>
          <w:bCs w:val="0"/>
        </w:rPr>
      </w:pPr>
      <w:bookmarkStart w:id="235" w:name="_Toc198247289"/>
      <w:r>
        <w:rPr>
          <w:rFonts w:hint="eastAsia" w:ascii="Times New Roman" w:hAnsi="Times New Roman" w:eastAsia="黑体"/>
          <w:b w:val="0"/>
          <w:bCs w:val="0"/>
        </w:rPr>
        <w:t>附件二 专家评审意见建议采纳情况表</w:t>
      </w:r>
      <w:bookmarkEnd w:id="235"/>
    </w:p>
    <w:p w14:paraId="5CDE171C">
      <w:pPr>
        <w:widowControl/>
        <w:spacing w:line="360" w:lineRule="auto"/>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2025年3月21日，博罗县发展和改革局组织召开了《博罗县域副中心发展总体规划（2024—2035年）》（以下简称《规划》）专家评审会。会议邀请了五位专家组成专家组，园洲镇政府、石湾镇政府，县科工信局、自然资源局、住建局、水利局、教育局、卫健局、交通运输局、市生态环境局博罗分局、惠州博罗产业园管委会等部门代表参加了会议。专家组听取了规划编制单位关于《规划》的汇报后，结合各部门代表意见进行了充分讨论，专家一致同意《规划》通过评审。具体意见建议及采纳情况如下：</w:t>
      </w:r>
    </w:p>
    <w:p w14:paraId="4F29873B">
      <w:pPr>
        <w:widowControl/>
        <w:jc w:val="center"/>
        <w:rPr>
          <w:rFonts w:hint="eastAsia" w:ascii="Times New Roman" w:hAnsi="Times New Roman" w:eastAsia="楷体_GB2312" w:cs="楷体_GB2312"/>
          <w:b/>
          <w:bCs/>
          <w:kern w:val="0"/>
          <w:sz w:val="28"/>
          <w:szCs w:val="28"/>
        </w:rPr>
      </w:pPr>
      <w:r>
        <w:rPr>
          <w:rFonts w:hint="eastAsia" w:ascii="Times New Roman" w:hAnsi="Times New Roman" w:eastAsia="楷体_GB2312" w:cs="楷体_GB2312"/>
          <w:b/>
          <w:bCs/>
          <w:kern w:val="0"/>
          <w:sz w:val="28"/>
          <w:szCs w:val="28"/>
        </w:rPr>
        <w:t>表3-14 专家评审意见落实情况</w:t>
      </w:r>
    </w:p>
    <w:tbl>
      <w:tblPr>
        <w:tblStyle w:val="19"/>
        <w:tblW w:w="9263" w:type="dxa"/>
        <w:jc w:val="center"/>
        <w:tblLayout w:type="fixed"/>
        <w:tblCellMar>
          <w:top w:w="0" w:type="dxa"/>
          <w:left w:w="108" w:type="dxa"/>
          <w:bottom w:w="0" w:type="dxa"/>
          <w:right w:w="108" w:type="dxa"/>
        </w:tblCellMar>
      </w:tblPr>
      <w:tblGrid>
        <w:gridCol w:w="715"/>
        <w:gridCol w:w="2966"/>
        <w:gridCol w:w="5582"/>
      </w:tblGrid>
      <w:tr w14:paraId="359D5DD1">
        <w:tblPrEx>
          <w:tblCellMar>
            <w:top w:w="0" w:type="dxa"/>
            <w:left w:w="108" w:type="dxa"/>
            <w:bottom w:w="0" w:type="dxa"/>
            <w:right w:w="108" w:type="dxa"/>
          </w:tblCellMar>
        </w:tblPrEx>
        <w:trPr>
          <w:trHeight w:val="452" w:hRule="atLeast"/>
          <w:jc w:val="center"/>
        </w:trPr>
        <w:tc>
          <w:tcPr>
            <w:tcW w:w="715" w:type="dxa"/>
            <w:tcBorders>
              <w:top w:val="single" w:color="000000" w:sz="4" w:space="0"/>
              <w:left w:val="single" w:color="000000" w:sz="4" w:space="0"/>
              <w:bottom w:val="single" w:color="000000" w:sz="4" w:space="0"/>
              <w:right w:val="single" w:color="000000" w:sz="4" w:space="0"/>
            </w:tcBorders>
            <w:vAlign w:val="center"/>
          </w:tcPr>
          <w:p w14:paraId="0735B828">
            <w:pPr>
              <w:widowControl/>
              <w:jc w:val="center"/>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序号</w:t>
            </w:r>
          </w:p>
        </w:tc>
        <w:tc>
          <w:tcPr>
            <w:tcW w:w="2966" w:type="dxa"/>
            <w:tcBorders>
              <w:top w:val="single" w:color="000000" w:sz="4" w:space="0"/>
              <w:left w:val="single" w:color="000000" w:sz="4" w:space="0"/>
              <w:bottom w:val="single" w:color="000000" w:sz="4" w:space="0"/>
              <w:right w:val="single" w:color="000000" w:sz="4" w:space="0"/>
            </w:tcBorders>
            <w:vAlign w:val="center"/>
          </w:tcPr>
          <w:p w14:paraId="32E68237">
            <w:pPr>
              <w:widowControl/>
              <w:jc w:val="center"/>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专家评审意见</w:t>
            </w:r>
          </w:p>
        </w:tc>
        <w:tc>
          <w:tcPr>
            <w:tcW w:w="5582" w:type="dxa"/>
            <w:tcBorders>
              <w:top w:val="single" w:color="000000" w:sz="4" w:space="0"/>
              <w:left w:val="single" w:color="000000" w:sz="4" w:space="0"/>
              <w:bottom w:val="single" w:color="000000" w:sz="4" w:space="0"/>
              <w:right w:val="single" w:color="000000" w:sz="4" w:space="0"/>
            </w:tcBorders>
            <w:noWrap/>
            <w:vAlign w:val="center"/>
          </w:tcPr>
          <w:p w14:paraId="501E4DD9">
            <w:pPr>
              <w:widowControl/>
              <w:jc w:val="center"/>
              <w:rPr>
                <w:rFonts w:hint="eastAsia" w:ascii="仿宋_GB2312" w:hAnsi="仿宋_GB2312" w:eastAsia="仿宋_GB2312" w:cs="仿宋_GB2312"/>
                <w:b/>
                <w:kern w:val="0"/>
                <w:sz w:val="24"/>
                <w:szCs w:val="24"/>
              </w:rPr>
            </w:pPr>
            <w:r>
              <w:rPr>
                <w:rFonts w:hint="eastAsia" w:ascii="仿宋_GB2312" w:hAnsi="仿宋_GB2312" w:eastAsia="仿宋_GB2312" w:cs="仿宋_GB2312"/>
                <w:b/>
                <w:kern w:val="0"/>
                <w:sz w:val="24"/>
                <w:szCs w:val="24"/>
              </w:rPr>
              <w:t>落实情况</w:t>
            </w:r>
          </w:p>
        </w:tc>
      </w:tr>
      <w:tr w14:paraId="3F16F240">
        <w:tblPrEx>
          <w:tblCellMar>
            <w:top w:w="0" w:type="dxa"/>
            <w:left w:w="108" w:type="dxa"/>
            <w:bottom w:w="0" w:type="dxa"/>
            <w:right w:w="108" w:type="dxa"/>
          </w:tblCellMar>
        </w:tblPrEx>
        <w:trPr>
          <w:trHeight w:val="288" w:hRule="atLeast"/>
          <w:jc w:val="center"/>
        </w:trPr>
        <w:tc>
          <w:tcPr>
            <w:tcW w:w="715" w:type="dxa"/>
            <w:tcBorders>
              <w:top w:val="single" w:color="000000" w:sz="4" w:space="0"/>
              <w:left w:val="single" w:color="000000" w:sz="4" w:space="0"/>
              <w:bottom w:val="single" w:color="000000" w:sz="4" w:space="0"/>
              <w:right w:val="single" w:color="000000" w:sz="4" w:space="0"/>
            </w:tcBorders>
            <w:vAlign w:val="center"/>
          </w:tcPr>
          <w:p w14:paraId="7124E88C">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1</w:t>
            </w:r>
          </w:p>
        </w:tc>
        <w:tc>
          <w:tcPr>
            <w:tcW w:w="2966" w:type="dxa"/>
            <w:tcBorders>
              <w:top w:val="single" w:color="000000" w:sz="4" w:space="0"/>
              <w:left w:val="single" w:color="000000" w:sz="4" w:space="0"/>
              <w:bottom w:val="single" w:color="000000" w:sz="4" w:space="0"/>
              <w:right w:val="single" w:color="000000" w:sz="4" w:space="0"/>
            </w:tcBorders>
            <w:vAlign w:val="center"/>
          </w:tcPr>
          <w:p w14:paraId="2FFA49F5">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加强与上位规划及其他相关规划的衔接。</w:t>
            </w:r>
          </w:p>
        </w:tc>
        <w:tc>
          <w:tcPr>
            <w:tcW w:w="5582" w:type="dxa"/>
            <w:tcBorders>
              <w:top w:val="single" w:color="000000" w:sz="4" w:space="0"/>
              <w:left w:val="single" w:color="000000" w:sz="4" w:space="0"/>
              <w:bottom w:val="single" w:color="000000" w:sz="4" w:space="0"/>
              <w:right w:val="single" w:color="000000" w:sz="4" w:space="0"/>
            </w:tcBorders>
            <w:noWrap/>
            <w:vAlign w:val="center"/>
          </w:tcPr>
          <w:p w14:paraId="2FF402AA">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已采纳。已与环南昆山—罗浮山县镇村高质量发展引领区总体规划，博罗县、镇两级国土空间总体规划，博罗县综合交通运输体系规划等上位规划及相关规划主要内容进行衔接，增加县域副中心区域职能和重大设施、重大项目内容。</w:t>
            </w:r>
          </w:p>
        </w:tc>
      </w:tr>
      <w:tr w14:paraId="4CEBE5ED">
        <w:tblPrEx>
          <w:tblCellMar>
            <w:top w:w="0" w:type="dxa"/>
            <w:left w:w="108" w:type="dxa"/>
            <w:bottom w:w="0" w:type="dxa"/>
            <w:right w:w="108" w:type="dxa"/>
          </w:tblCellMar>
        </w:tblPrEx>
        <w:trPr>
          <w:trHeight w:val="288" w:hRule="atLeast"/>
          <w:jc w:val="center"/>
        </w:trPr>
        <w:tc>
          <w:tcPr>
            <w:tcW w:w="715" w:type="dxa"/>
            <w:tcBorders>
              <w:top w:val="single" w:color="000000" w:sz="4" w:space="0"/>
              <w:left w:val="single" w:color="000000" w:sz="4" w:space="0"/>
              <w:bottom w:val="single" w:color="000000" w:sz="4" w:space="0"/>
              <w:right w:val="single" w:color="000000" w:sz="4" w:space="0"/>
            </w:tcBorders>
            <w:vAlign w:val="center"/>
          </w:tcPr>
          <w:p w14:paraId="6E584775">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2</w:t>
            </w:r>
          </w:p>
        </w:tc>
        <w:tc>
          <w:tcPr>
            <w:tcW w:w="2966" w:type="dxa"/>
            <w:tcBorders>
              <w:top w:val="single" w:color="000000" w:sz="4" w:space="0"/>
              <w:left w:val="single" w:color="000000" w:sz="4" w:space="0"/>
              <w:bottom w:val="single" w:color="000000" w:sz="4" w:space="0"/>
              <w:right w:val="single" w:color="000000" w:sz="4" w:space="0"/>
            </w:tcBorders>
            <w:vAlign w:val="center"/>
          </w:tcPr>
          <w:p w14:paraId="4BBA34E9">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深化商贸物流和休闲消费产业研究，明确近期产业发展重点。</w:t>
            </w:r>
          </w:p>
        </w:tc>
        <w:tc>
          <w:tcPr>
            <w:tcW w:w="5582" w:type="dxa"/>
            <w:tcBorders>
              <w:top w:val="single" w:color="000000" w:sz="4" w:space="0"/>
              <w:left w:val="single" w:color="000000" w:sz="4" w:space="0"/>
              <w:bottom w:val="single" w:color="000000" w:sz="4" w:space="0"/>
              <w:right w:val="single" w:color="000000" w:sz="4" w:space="0"/>
            </w:tcBorders>
            <w:noWrap/>
            <w:vAlign w:val="center"/>
          </w:tcPr>
          <w:p w14:paraId="418CAD94">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已采纳。一是商贸物流方面，在“第七章 构建要素畅通多向衔接开放新通道”中增加物流园区、物流网络和物流通道等内容论述。二是休闲消费产业方面，在“第二十节　构建独具特色的区域性消费中心”中增加相关内容论述，并增补近期产业发展重点内容及项目论述。</w:t>
            </w:r>
          </w:p>
        </w:tc>
      </w:tr>
      <w:tr w14:paraId="13C0C571">
        <w:tblPrEx>
          <w:tblCellMar>
            <w:top w:w="0" w:type="dxa"/>
            <w:left w:w="108" w:type="dxa"/>
            <w:bottom w:w="0" w:type="dxa"/>
            <w:right w:w="108" w:type="dxa"/>
          </w:tblCellMar>
        </w:tblPrEx>
        <w:trPr>
          <w:trHeight w:val="288" w:hRule="atLeast"/>
          <w:jc w:val="center"/>
        </w:trPr>
        <w:tc>
          <w:tcPr>
            <w:tcW w:w="715" w:type="dxa"/>
            <w:tcBorders>
              <w:top w:val="single" w:color="000000" w:sz="4" w:space="0"/>
              <w:left w:val="single" w:color="000000" w:sz="4" w:space="0"/>
              <w:bottom w:val="single" w:color="000000" w:sz="4" w:space="0"/>
              <w:right w:val="single" w:color="000000" w:sz="4" w:space="0"/>
            </w:tcBorders>
            <w:vAlign w:val="center"/>
          </w:tcPr>
          <w:p w14:paraId="10E082CD">
            <w:pPr>
              <w:widowControl/>
              <w:jc w:val="center"/>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3</w:t>
            </w:r>
          </w:p>
        </w:tc>
        <w:tc>
          <w:tcPr>
            <w:tcW w:w="2966" w:type="dxa"/>
            <w:tcBorders>
              <w:top w:val="single" w:color="000000" w:sz="4" w:space="0"/>
              <w:left w:val="single" w:color="000000" w:sz="4" w:space="0"/>
              <w:bottom w:val="single" w:color="000000" w:sz="4" w:space="0"/>
              <w:right w:val="single" w:color="000000" w:sz="4" w:space="0"/>
            </w:tcBorders>
            <w:vAlign w:val="center"/>
          </w:tcPr>
          <w:p w14:paraId="1006B3D0">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强化以水生态为特色的环境营造，完善交通路网等设施布局。</w:t>
            </w:r>
          </w:p>
        </w:tc>
        <w:tc>
          <w:tcPr>
            <w:tcW w:w="5582" w:type="dxa"/>
            <w:tcBorders>
              <w:top w:val="single" w:color="000000" w:sz="4" w:space="0"/>
              <w:left w:val="single" w:color="000000" w:sz="4" w:space="0"/>
              <w:bottom w:val="single" w:color="000000" w:sz="4" w:space="0"/>
              <w:right w:val="single" w:color="000000" w:sz="4" w:space="0"/>
            </w:tcBorders>
            <w:noWrap/>
            <w:vAlign w:val="center"/>
          </w:tcPr>
          <w:p w14:paraId="6C2CF506">
            <w:pPr>
              <w:widowControl/>
              <w:rPr>
                <w:rFonts w:hint="eastAsia" w:ascii="仿宋_GB2312" w:hAnsi="仿宋_GB2312" w:eastAsia="仿宋_GB2312" w:cs="仿宋_GB2312"/>
                <w:kern w:val="0"/>
                <w:sz w:val="24"/>
                <w:szCs w:val="24"/>
              </w:rPr>
            </w:pPr>
            <w:r>
              <w:rPr>
                <w:rFonts w:hint="eastAsia" w:ascii="仿宋_GB2312" w:hAnsi="仿宋_GB2312" w:eastAsia="仿宋_GB2312" w:cs="仿宋_GB2312"/>
                <w:kern w:val="0"/>
                <w:sz w:val="24"/>
                <w:szCs w:val="24"/>
              </w:rPr>
              <w:t>已采纳。一是以水生态为特色的环境营造，强调以沙河为中心，分别从滨水生态廊道、水网水乡场景和沙河创新湾等方面进行论述；二是完善交通路网等设施 布局方面，增加“构建要素畅通多向衔接开放新通道”专章内容，结合部门意见建议完善公共服务设施、市政公用设施规划等内容。</w:t>
            </w:r>
          </w:p>
        </w:tc>
      </w:tr>
    </w:tbl>
    <w:p w14:paraId="65634702">
      <w:pPr>
        <w:rPr>
          <w:rFonts w:hint="eastAsia"/>
        </w:rPr>
      </w:pPr>
    </w:p>
    <w:p w14:paraId="2CA7F217">
      <w:pPr>
        <w:pStyle w:val="18"/>
        <w:ind w:firstLine="0" w:firstLineChars="0"/>
        <w:jc w:val="center"/>
        <w:rPr>
          <w:rFonts w:hint="eastAsia"/>
        </w:rPr>
      </w:pPr>
      <w:r>
        <w:rPr>
          <w:rFonts w:hint="eastAsia"/>
        </w:rPr>
        <w:drawing>
          <wp:inline distT="0" distB="0" distL="114300" distR="114300">
            <wp:extent cx="5268595" cy="7448550"/>
            <wp:effectExtent l="0" t="0" r="8255" b="0"/>
            <wp:docPr id="1" name="图片 1" descr="评审意见及签到表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评审意见及签到表_00"/>
                    <pic:cNvPicPr>
                      <a:picLocks noChangeAspect="1"/>
                    </pic:cNvPicPr>
                  </pic:nvPicPr>
                  <pic:blipFill>
                    <a:blip r:embed="rId8"/>
                    <a:stretch>
                      <a:fillRect/>
                    </a:stretch>
                  </pic:blipFill>
                  <pic:spPr>
                    <a:xfrm>
                      <a:off x="0" y="0"/>
                      <a:ext cx="5268595" cy="7448550"/>
                    </a:xfrm>
                    <a:prstGeom prst="rect">
                      <a:avLst/>
                    </a:prstGeom>
                  </pic:spPr>
                </pic:pic>
              </a:graphicData>
            </a:graphic>
          </wp:inline>
        </w:drawing>
      </w:r>
    </w:p>
    <w:p w14:paraId="67AD846E">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798B1B9-C4AB-4C0F-A503-49BEABC854B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embedRegular r:id="rId2" w:fontKey="{479B453F-B625-4FB5-BAF7-3B4F1907EAA1}"/>
  </w:font>
  <w:font w:name="楷体_GB2312">
    <w:panose1 w:val="02010609030101010101"/>
    <w:charset w:val="86"/>
    <w:family w:val="modern"/>
    <w:pitch w:val="default"/>
    <w:sig w:usb0="00000001" w:usb1="080E0000" w:usb2="00000000" w:usb3="00000000" w:csb0="00040000" w:csb1="00000000"/>
    <w:embedRegular r:id="rId3" w:fontKey="{4DDC03E5-BA54-42D4-B8A6-8BC1DF1637DD}"/>
  </w:font>
  <w:font w:name="方正小标宋_GBK">
    <w:panose1 w:val="03000502000000000000"/>
    <w:charset w:val="86"/>
    <w:family w:val="script"/>
    <w:pitch w:val="default"/>
    <w:sig w:usb0="00000001" w:usb1="080E0000" w:usb2="00000000" w:usb3="00000000" w:csb0="00040000" w:csb1="00000000"/>
    <w:embedRegular r:id="rId4" w:fontKey="{D30B3E94-7E03-4B55-95C9-D2FF4E924EDE}"/>
  </w:font>
  <w:font w:name="方正公文小标宋">
    <w:panose1 w:val="02000500000000000000"/>
    <w:charset w:val="86"/>
    <w:family w:val="auto"/>
    <w:pitch w:val="default"/>
    <w:sig w:usb0="A00002BF" w:usb1="38CF7CFA" w:usb2="00000016" w:usb3="00000000" w:csb0="00040001" w:csb1="00000000"/>
    <w:embedRegular r:id="rId5" w:fontKey="{58F8E32E-E4A8-423B-805C-A20491142017}"/>
  </w:font>
  <w:font w:name="微软雅黑">
    <w:panose1 w:val="020B0503020204020204"/>
    <w:charset w:val="86"/>
    <w:family w:val="swiss"/>
    <w:pitch w:val="default"/>
    <w:sig w:usb0="80000287" w:usb1="2ACF3C50" w:usb2="00000016" w:usb3="00000000" w:csb0="0004001F" w:csb1="00000000"/>
    <w:embedRegular r:id="rId6" w:fontKey="{0663050F-FBD0-4B2F-9AD1-6E4D037A80DD}"/>
  </w:font>
  <w:font w:name="方正仿宋_GBK">
    <w:panose1 w:val="03000509000000000000"/>
    <w:charset w:val="86"/>
    <w:family w:val="script"/>
    <w:pitch w:val="default"/>
    <w:sig w:usb0="00000001" w:usb1="080E0000" w:usb2="00000000" w:usb3="00000000" w:csb0="00040000" w:csb1="00000000"/>
    <w:embedRegular r:id="rId7" w:fontKey="{0A8044E3-E3E3-47DD-9C35-FC681667F2A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272B34">
    <w:pPr>
      <w:pStyle w:val="12"/>
      <w:jc w:val="center"/>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78074759"/>
    </w:sdtPr>
    <w:sdtEndPr>
      <w:rPr>
        <w:rFonts w:hint="eastAsia" w:ascii="宋体" w:hAnsi="宋体" w:eastAsia="宋体"/>
        <w:sz w:val="24"/>
        <w:szCs w:val="24"/>
      </w:rPr>
    </w:sdtEndPr>
    <w:sdtContent>
      <w:p w14:paraId="16DBD373">
        <w:pPr>
          <w:pStyle w:val="12"/>
          <w:jc w:val="center"/>
          <w:rPr>
            <w:rFonts w:hint="eastAsia" w:ascii="仿宋_GB2312" w:eastAsia="仿宋_GB2312"/>
            <w:sz w:val="24"/>
            <w:szCs w:val="24"/>
          </w:rPr>
        </w:pPr>
        <w:r>
          <w:rPr>
            <w:rFonts w:hint="eastAsia" w:ascii="宋体" w:hAnsi="宋体" w:eastAsia="宋体"/>
            <w:sz w:val="24"/>
            <w:szCs w:val="24"/>
          </w:rPr>
          <w:fldChar w:fldCharType="begin"/>
        </w:r>
        <w:r>
          <w:rPr>
            <w:rFonts w:hint="eastAsia" w:ascii="宋体" w:hAnsi="宋体" w:eastAsia="宋体"/>
            <w:sz w:val="24"/>
            <w:szCs w:val="24"/>
          </w:rPr>
          <w:instrText xml:space="preserve">PAGE   \* MERGEFORMAT</w:instrText>
        </w:r>
        <w:r>
          <w:rPr>
            <w:rFonts w:hint="eastAsia" w:ascii="宋体" w:hAnsi="宋体" w:eastAsia="宋体"/>
            <w:sz w:val="24"/>
            <w:szCs w:val="24"/>
          </w:rPr>
          <w:fldChar w:fldCharType="separate"/>
        </w:r>
        <w:r>
          <w:rPr>
            <w:rFonts w:ascii="宋体" w:hAnsi="宋体" w:eastAsia="宋体"/>
            <w:sz w:val="24"/>
            <w:szCs w:val="24"/>
            <w:lang w:val="zh-CN"/>
          </w:rPr>
          <w:t>II</w:t>
        </w:r>
        <w:r>
          <w:rPr>
            <w:rFonts w:hint="eastAsia" w:ascii="宋体" w:hAnsi="宋体" w:eastAsia="宋体"/>
            <w:sz w:val="24"/>
            <w:szCs w:val="24"/>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857533760"/>
    </w:sdtPr>
    <w:sdtEndPr>
      <w:rPr>
        <w:rFonts w:ascii="宋体" w:hAnsi="宋体" w:eastAsia="宋体"/>
        <w:sz w:val="24"/>
        <w:szCs w:val="24"/>
      </w:rPr>
    </w:sdtEndPr>
    <w:sdtContent>
      <w:p w14:paraId="134870D6">
        <w:pPr>
          <w:pStyle w:val="12"/>
          <w:jc w:val="center"/>
          <w:rPr>
            <w:rFonts w:hint="eastAsia"/>
          </w:rPr>
        </w:pPr>
        <w:r>
          <w:rPr>
            <w:rFonts w:ascii="宋体" w:hAnsi="宋体" w:eastAsia="宋体"/>
            <w:sz w:val="24"/>
            <w:szCs w:val="24"/>
          </w:rPr>
          <w:fldChar w:fldCharType="begin"/>
        </w:r>
        <w:r>
          <w:rPr>
            <w:rFonts w:ascii="宋体" w:hAnsi="宋体" w:eastAsia="宋体"/>
            <w:sz w:val="24"/>
            <w:szCs w:val="24"/>
          </w:rPr>
          <w:instrText xml:space="preserve">PAGE   \* MERGEFORMAT</w:instrText>
        </w:r>
        <w:r>
          <w:rPr>
            <w:rFonts w:ascii="宋体" w:hAnsi="宋体" w:eastAsia="宋体"/>
            <w:sz w:val="24"/>
            <w:szCs w:val="24"/>
          </w:rPr>
          <w:fldChar w:fldCharType="separate"/>
        </w:r>
        <w:r>
          <w:rPr>
            <w:rFonts w:ascii="宋体" w:hAnsi="宋体" w:eastAsia="宋体"/>
            <w:sz w:val="24"/>
            <w:szCs w:val="24"/>
            <w:lang w:val="zh-CN"/>
          </w:rPr>
          <w:t>48</w:t>
        </w:r>
        <w:r>
          <w:rPr>
            <w:rFonts w:ascii="宋体" w:hAnsi="宋体" w:eastAsia="宋体"/>
            <w:sz w:val="24"/>
            <w:szCs w:val="24"/>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
    <w:p>
      <w:r>
        <w:separator/>
      </w:r>
    </w:p>
  </w:footnote>
  <w:footnote w:type="continuationSeparator" w:id="3">
    <w:p>
      <w:r>
        <w:continuationSeparator/>
      </w:r>
    </w:p>
  </w:footnote>
  <w:footnote w:id="0">
    <w:p w14:paraId="245735F2">
      <w:pPr>
        <w:pStyle w:val="15"/>
        <w:rPr>
          <w:rFonts w:hint="eastAsia" w:eastAsia="仿宋_GB2312"/>
        </w:rPr>
      </w:pPr>
      <w:r>
        <w:rPr>
          <w:rStyle w:val="25"/>
        </w:rPr>
        <w:footnoteRef/>
      </w:r>
      <w:r>
        <w:t xml:space="preserve"> </w:t>
      </w:r>
      <w:r>
        <w:rPr>
          <w:rFonts w:hint="eastAsia"/>
        </w:rPr>
        <w:t>产业类型来源于《博罗县国民经济 和社会发展第十四个五年规划和 2035 年 远景目标纲要》《博罗县制造业高质量发展三年行动方案（2023—2025年）》《广东省制造业高质量发展“十四五”规划》。</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4C94F5"/>
    <w:multiLevelType w:val="multilevel"/>
    <w:tmpl w:val="E64C94F5"/>
    <w:lvl w:ilvl="0" w:tentative="0">
      <w:start w:val="1"/>
      <w:numFmt w:val="chineseCounting"/>
      <w:suff w:val="nothing"/>
      <w:lvlText w:val="第%1章　"/>
      <w:lvlJc w:val="left"/>
      <w:pPr>
        <w:ind w:left="0" w:firstLine="402"/>
      </w:pPr>
      <w:rPr>
        <w:rFonts w:hint="eastAsia"/>
      </w:rPr>
    </w:lvl>
    <w:lvl w:ilvl="1" w:tentative="0">
      <w:start w:val="1"/>
      <w:numFmt w:val="chineseCounting"/>
      <w:suff w:val="nothing"/>
      <w:lvlText w:val="第%2节　"/>
      <w:lvlJc w:val="left"/>
      <w:pPr>
        <w:ind w:left="0" w:firstLine="402"/>
      </w:pPr>
      <w:rPr>
        <w:rFonts w:hint="eastAsia"/>
        <w:b w:val="0"/>
        <w:bCs/>
      </w:rPr>
    </w:lvl>
    <w:lvl w:ilvl="2" w:tentative="0">
      <w:start w:val="1"/>
      <w:numFmt w:val="chineseCounting"/>
      <w:suff w:val="nothing"/>
      <w:lvlText w:val="第%3条　"/>
      <w:lvlJc w:val="left"/>
      <w:pPr>
        <w:ind w:left="0" w:firstLine="402"/>
      </w:pPr>
      <w:rPr>
        <w:rFonts w:hint="eastAsia"/>
      </w:rPr>
    </w:lvl>
    <w:lvl w:ilvl="3" w:tentative="0">
      <w:start w:val="1"/>
      <w:numFmt w:val="chineseCounting"/>
      <w:suff w:val="nothing"/>
      <w:lvlText w:val="（%4）"/>
      <w:lvlJc w:val="left"/>
      <w:pPr>
        <w:ind w:left="0" w:firstLine="402"/>
      </w:pPr>
      <w:rPr>
        <w:rFonts w:hint="eastAsia"/>
      </w:rPr>
    </w:lvl>
    <w:lvl w:ilvl="4" w:tentative="0">
      <w:start w:val="1"/>
      <w:numFmt w:val="decimal"/>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decimalEnclosedCircleChinese"/>
      <w:suff w:val="nothing"/>
      <w:lvlText w:val="%7 "/>
      <w:lvlJc w:val="left"/>
      <w:pPr>
        <w:ind w:left="0" w:firstLine="402"/>
      </w:pPr>
      <w:rPr>
        <w:rFonts w:hint="eastAsia"/>
      </w:rPr>
    </w:lvl>
    <w:lvl w:ilvl="7" w:tentative="0">
      <w:start w:val="1"/>
      <w:numFmt w:val="decimal"/>
      <w:suff w:val="nothing"/>
      <w:lvlText w:val="%8）"/>
      <w:lvlJc w:val="left"/>
      <w:pPr>
        <w:ind w:left="0" w:firstLine="402"/>
      </w:pPr>
      <w:rPr>
        <w:rFonts w:hint="eastAsia"/>
      </w:rPr>
    </w:lvl>
    <w:lvl w:ilvl="8" w:tentative="0">
      <w:start w:val="1"/>
      <w:numFmt w:val="lowerLetter"/>
      <w:suff w:val="nothing"/>
      <w:lvlText w:val="%9．"/>
      <w:lvlJc w:val="left"/>
      <w:pPr>
        <w:ind w:left="0" w:firstLine="402"/>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TrueTypeFonts/>
  <w:saveSubsetFonts/>
  <w:bordersDoNotSurroundHeader w:val="1"/>
  <w:bordersDoNotSurroundFooter w:val="1"/>
  <w:documentProtection w:enforcement="0"/>
  <w:defaultTabStop w:val="420"/>
  <w:drawingGridHorizontalSpacing w:val="105"/>
  <w:drawingGridVerticalSpacing w:val="156"/>
  <w:noPunctuationKerning w:val="1"/>
  <w:characterSpacingControl w:val="doNotCompress"/>
  <w:footnotePr>
    <w:footnote w:id="2"/>
    <w:footnote w:id="3"/>
  </w:foot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JmNTAxYTA0NTllZTU0OWY5NWY0MWNlMzBjNGU2OTYifQ=="/>
  </w:docVars>
  <w:rsids>
    <w:rsidRoot w:val="00CD2618"/>
    <w:rsid w:val="00002AA5"/>
    <w:rsid w:val="00007986"/>
    <w:rsid w:val="0001088E"/>
    <w:rsid w:val="000165A8"/>
    <w:rsid w:val="000301C8"/>
    <w:rsid w:val="00031A5E"/>
    <w:rsid w:val="00032EC7"/>
    <w:rsid w:val="00035C7E"/>
    <w:rsid w:val="0003671E"/>
    <w:rsid w:val="00046DD9"/>
    <w:rsid w:val="00055E65"/>
    <w:rsid w:val="00057740"/>
    <w:rsid w:val="0006168F"/>
    <w:rsid w:val="00067405"/>
    <w:rsid w:val="00071A2C"/>
    <w:rsid w:val="000754BA"/>
    <w:rsid w:val="000762ED"/>
    <w:rsid w:val="0007744D"/>
    <w:rsid w:val="000812AC"/>
    <w:rsid w:val="00091B96"/>
    <w:rsid w:val="000B11B7"/>
    <w:rsid w:val="000B1C9F"/>
    <w:rsid w:val="000B527A"/>
    <w:rsid w:val="000C0DB5"/>
    <w:rsid w:val="000C3A1F"/>
    <w:rsid w:val="000C4544"/>
    <w:rsid w:val="000C49B6"/>
    <w:rsid w:val="000D0170"/>
    <w:rsid w:val="000D03C8"/>
    <w:rsid w:val="000D0B5E"/>
    <w:rsid w:val="000D1BD3"/>
    <w:rsid w:val="000E6950"/>
    <w:rsid w:val="000E7251"/>
    <w:rsid w:val="000F4C82"/>
    <w:rsid w:val="000F7D0A"/>
    <w:rsid w:val="0010709F"/>
    <w:rsid w:val="00113FA8"/>
    <w:rsid w:val="00113FFD"/>
    <w:rsid w:val="001153F8"/>
    <w:rsid w:val="001319A9"/>
    <w:rsid w:val="00133C17"/>
    <w:rsid w:val="00133C9E"/>
    <w:rsid w:val="00133DD5"/>
    <w:rsid w:val="00135D80"/>
    <w:rsid w:val="00137747"/>
    <w:rsid w:val="00137836"/>
    <w:rsid w:val="0014527A"/>
    <w:rsid w:val="00170924"/>
    <w:rsid w:val="00183894"/>
    <w:rsid w:val="00185BD2"/>
    <w:rsid w:val="001A3B32"/>
    <w:rsid w:val="001A61D8"/>
    <w:rsid w:val="001A624A"/>
    <w:rsid w:val="001A69CA"/>
    <w:rsid w:val="001C1727"/>
    <w:rsid w:val="001D13CB"/>
    <w:rsid w:val="001D14E0"/>
    <w:rsid w:val="001D78F2"/>
    <w:rsid w:val="001E5905"/>
    <w:rsid w:val="001F4717"/>
    <w:rsid w:val="001F4BA2"/>
    <w:rsid w:val="00200592"/>
    <w:rsid w:val="00206855"/>
    <w:rsid w:val="0022040B"/>
    <w:rsid w:val="0022063F"/>
    <w:rsid w:val="00222790"/>
    <w:rsid w:val="00231C76"/>
    <w:rsid w:val="00232429"/>
    <w:rsid w:val="00235FC5"/>
    <w:rsid w:val="00237C54"/>
    <w:rsid w:val="00244BBE"/>
    <w:rsid w:val="00245EC8"/>
    <w:rsid w:val="00253656"/>
    <w:rsid w:val="00254918"/>
    <w:rsid w:val="00254D1D"/>
    <w:rsid w:val="002600E1"/>
    <w:rsid w:val="0027315E"/>
    <w:rsid w:val="00282B3B"/>
    <w:rsid w:val="0028329E"/>
    <w:rsid w:val="00285403"/>
    <w:rsid w:val="0028680A"/>
    <w:rsid w:val="0029176D"/>
    <w:rsid w:val="002917C5"/>
    <w:rsid w:val="00293D03"/>
    <w:rsid w:val="002A3586"/>
    <w:rsid w:val="002B4CC9"/>
    <w:rsid w:val="002C6876"/>
    <w:rsid w:val="002D332D"/>
    <w:rsid w:val="002D42EF"/>
    <w:rsid w:val="002D5D86"/>
    <w:rsid w:val="002E01F2"/>
    <w:rsid w:val="002E4C60"/>
    <w:rsid w:val="002F6452"/>
    <w:rsid w:val="00300961"/>
    <w:rsid w:val="003036CA"/>
    <w:rsid w:val="00310E6F"/>
    <w:rsid w:val="00314C4D"/>
    <w:rsid w:val="00315E08"/>
    <w:rsid w:val="00325AA0"/>
    <w:rsid w:val="0032603B"/>
    <w:rsid w:val="00335A21"/>
    <w:rsid w:val="003363D0"/>
    <w:rsid w:val="00336DAE"/>
    <w:rsid w:val="003439ED"/>
    <w:rsid w:val="00350882"/>
    <w:rsid w:val="00351479"/>
    <w:rsid w:val="00351EAF"/>
    <w:rsid w:val="00361B9C"/>
    <w:rsid w:val="00366DE8"/>
    <w:rsid w:val="00366FAC"/>
    <w:rsid w:val="00376C64"/>
    <w:rsid w:val="00381306"/>
    <w:rsid w:val="00381AC9"/>
    <w:rsid w:val="003918D9"/>
    <w:rsid w:val="003929BA"/>
    <w:rsid w:val="00394F6C"/>
    <w:rsid w:val="003969A0"/>
    <w:rsid w:val="003A141B"/>
    <w:rsid w:val="003B2B98"/>
    <w:rsid w:val="003B3FBB"/>
    <w:rsid w:val="003B62BF"/>
    <w:rsid w:val="003B6F38"/>
    <w:rsid w:val="003C4704"/>
    <w:rsid w:val="003C4B72"/>
    <w:rsid w:val="003C4CA1"/>
    <w:rsid w:val="003C50D3"/>
    <w:rsid w:val="003D557A"/>
    <w:rsid w:val="003D5D2E"/>
    <w:rsid w:val="003D7F84"/>
    <w:rsid w:val="003E03F8"/>
    <w:rsid w:val="003E2D66"/>
    <w:rsid w:val="003E61DC"/>
    <w:rsid w:val="003F1AC0"/>
    <w:rsid w:val="003F7731"/>
    <w:rsid w:val="00403021"/>
    <w:rsid w:val="00404502"/>
    <w:rsid w:val="004242E5"/>
    <w:rsid w:val="0043333C"/>
    <w:rsid w:val="00440D9C"/>
    <w:rsid w:val="004424D7"/>
    <w:rsid w:val="00442695"/>
    <w:rsid w:val="004449F7"/>
    <w:rsid w:val="00446731"/>
    <w:rsid w:val="004521D5"/>
    <w:rsid w:val="0045384A"/>
    <w:rsid w:val="0045448F"/>
    <w:rsid w:val="0045560E"/>
    <w:rsid w:val="00462E67"/>
    <w:rsid w:val="0046705F"/>
    <w:rsid w:val="004719B8"/>
    <w:rsid w:val="004733CC"/>
    <w:rsid w:val="00475AB9"/>
    <w:rsid w:val="004766C3"/>
    <w:rsid w:val="00482EE8"/>
    <w:rsid w:val="004901F4"/>
    <w:rsid w:val="00492582"/>
    <w:rsid w:val="0049560E"/>
    <w:rsid w:val="004A791B"/>
    <w:rsid w:val="004B6710"/>
    <w:rsid w:val="004B68BA"/>
    <w:rsid w:val="004B6D54"/>
    <w:rsid w:val="004D1E40"/>
    <w:rsid w:val="004D380B"/>
    <w:rsid w:val="004D4DA4"/>
    <w:rsid w:val="004E06A8"/>
    <w:rsid w:val="004E242A"/>
    <w:rsid w:val="004E41ED"/>
    <w:rsid w:val="004E42E1"/>
    <w:rsid w:val="004F08A7"/>
    <w:rsid w:val="004F6033"/>
    <w:rsid w:val="004F71B4"/>
    <w:rsid w:val="004F7733"/>
    <w:rsid w:val="004F7C5A"/>
    <w:rsid w:val="00501198"/>
    <w:rsid w:val="00503DB1"/>
    <w:rsid w:val="005051C1"/>
    <w:rsid w:val="00505D15"/>
    <w:rsid w:val="00525250"/>
    <w:rsid w:val="0054059C"/>
    <w:rsid w:val="00550C40"/>
    <w:rsid w:val="005537DA"/>
    <w:rsid w:val="00555F5C"/>
    <w:rsid w:val="00557BE5"/>
    <w:rsid w:val="00561C46"/>
    <w:rsid w:val="00566CE9"/>
    <w:rsid w:val="00573EAF"/>
    <w:rsid w:val="00573FB4"/>
    <w:rsid w:val="005758AF"/>
    <w:rsid w:val="00582307"/>
    <w:rsid w:val="0059269E"/>
    <w:rsid w:val="005A3DDE"/>
    <w:rsid w:val="005B28FC"/>
    <w:rsid w:val="005B4637"/>
    <w:rsid w:val="005B6345"/>
    <w:rsid w:val="005B777F"/>
    <w:rsid w:val="005C0C58"/>
    <w:rsid w:val="005C2707"/>
    <w:rsid w:val="005D0F8B"/>
    <w:rsid w:val="005D15D0"/>
    <w:rsid w:val="005D1F76"/>
    <w:rsid w:val="005E3F9A"/>
    <w:rsid w:val="005E7F8A"/>
    <w:rsid w:val="005F15F3"/>
    <w:rsid w:val="005F5765"/>
    <w:rsid w:val="00601294"/>
    <w:rsid w:val="00601711"/>
    <w:rsid w:val="006023A3"/>
    <w:rsid w:val="00605665"/>
    <w:rsid w:val="006113EE"/>
    <w:rsid w:val="006272B7"/>
    <w:rsid w:val="00634E61"/>
    <w:rsid w:val="00636BF5"/>
    <w:rsid w:val="00641D3C"/>
    <w:rsid w:val="006459F5"/>
    <w:rsid w:val="00650410"/>
    <w:rsid w:val="00656963"/>
    <w:rsid w:val="006616FA"/>
    <w:rsid w:val="006620FA"/>
    <w:rsid w:val="00667103"/>
    <w:rsid w:val="006677AC"/>
    <w:rsid w:val="00670777"/>
    <w:rsid w:val="00675769"/>
    <w:rsid w:val="00681BBE"/>
    <w:rsid w:val="006842E4"/>
    <w:rsid w:val="0069326B"/>
    <w:rsid w:val="006A3A86"/>
    <w:rsid w:val="006B3ADA"/>
    <w:rsid w:val="006B536A"/>
    <w:rsid w:val="006C2946"/>
    <w:rsid w:val="006D25F8"/>
    <w:rsid w:val="006D6901"/>
    <w:rsid w:val="006E0320"/>
    <w:rsid w:val="006E5002"/>
    <w:rsid w:val="006E5BEB"/>
    <w:rsid w:val="006E5C35"/>
    <w:rsid w:val="006F4B41"/>
    <w:rsid w:val="0070553D"/>
    <w:rsid w:val="00714602"/>
    <w:rsid w:val="0072034C"/>
    <w:rsid w:val="00720A42"/>
    <w:rsid w:val="00722F3A"/>
    <w:rsid w:val="007325A4"/>
    <w:rsid w:val="0074048C"/>
    <w:rsid w:val="0074437C"/>
    <w:rsid w:val="00746680"/>
    <w:rsid w:val="00750A8C"/>
    <w:rsid w:val="00754883"/>
    <w:rsid w:val="00754C7E"/>
    <w:rsid w:val="007615EC"/>
    <w:rsid w:val="00762795"/>
    <w:rsid w:val="00771475"/>
    <w:rsid w:val="00786D53"/>
    <w:rsid w:val="007917E8"/>
    <w:rsid w:val="007945D0"/>
    <w:rsid w:val="007A4644"/>
    <w:rsid w:val="007A6645"/>
    <w:rsid w:val="007A66B6"/>
    <w:rsid w:val="007A7366"/>
    <w:rsid w:val="007B5475"/>
    <w:rsid w:val="007B7F99"/>
    <w:rsid w:val="007C2EEC"/>
    <w:rsid w:val="007C3ADD"/>
    <w:rsid w:val="007C65EF"/>
    <w:rsid w:val="007D6C6D"/>
    <w:rsid w:val="007E126E"/>
    <w:rsid w:val="0081568E"/>
    <w:rsid w:val="00817B3F"/>
    <w:rsid w:val="00834BA0"/>
    <w:rsid w:val="00836A3D"/>
    <w:rsid w:val="00845994"/>
    <w:rsid w:val="008534E7"/>
    <w:rsid w:val="00857808"/>
    <w:rsid w:val="00867906"/>
    <w:rsid w:val="00871490"/>
    <w:rsid w:val="00872273"/>
    <w:rsid w:val="00873B16"/>
    <w:rsid w:val="0087713A"/>
    <w:rsid w:val="00882B84"/>
    <w:rsid w:val="00890852"/>
    <w:rsid w:val="008945AE"/>
    <w:rsid w:val="00896912"/>
    <w:rsid w:val="00896F2E"/>
    <w:rsid w:val="008A28BF"/>
    <w:rsid w:val="008A2FCC"/>
    <w:rsid w:val="008A66DF"/>
    <w:rsid w:val="008A787D"/>
    <w:rsid w:val="008B16CE"/>
    <w:rsid w:val="008B4214"/>
    <w:rsid w:val="008C2024"/>
    <w:rsid w:val="008C4BDA"/>
    <w:rsid w:val="008D70BF"/>
    <w:rsid w:val="008E06E4"/>
    <w:rsid w:val="008F0C5F"/>
    <w:rsid w:val="008F46C9"/>
    <w:rsid w:val="008F6B03"/>
    <w:rsid w:val="008F7D62"/>
    <w:rsid w:val="009031FB"/>
    <w:rsid w:val="0090420A"/>
    <w:rsid w:val="00907920"/>
    <w:rsid w:val="0091093D"/>
    <w:rsid w:val="00917BB4"/>
    <w:rsid w:val="00926B34"/>
    <w:rsid w:val="009367F0"/>
    <w:rsid w:val="0094040F"/>
    <w:rsid w:val="00940CA8"/>
    <w:rsid w:val="00941FA2"/>
    <w:rsid w:val="009511F9"/>
    <w:rsid w:val="00953991"/>
    <w:rsid w:val="00955B59"/>
    <w:rsid w:val="0095700F"/>
    <w:rsid w:val="00971BAC"/>
    <w:rsid w:val="009751DE"/>
    <w:rsid w:val="00980FF5"/>
    <w:rsid w:val="00982889"/>
    <w:rsid w:val="00982E5B"/>
    <w:rsid w:val="0098640A"/>
    <w:rsid w:val="00996240"/>
    <w:rsid w:val="009969E4"/>
    <w:rsid w:val="009A535E"/>
    <w:rsid w:val="009B2A8E"/>
    <w:rsid w:val="009B4A7C"/>
    <w:rsid w:val="009B534B"/>
    <w:rsid w:val="009B587A"/>
    <w:rsid w:val="009B5BFF"/>
    <w:rsid w:val="009C1CF4"/>
    <w:rsid w:val="009D0317"/>
    <w:rsid w:val="009D0FA5"/>
    <w:rsid w:val="009D7717"/>
    <w:rsid w:val="00A0137C"/>
    <w:rsid w:val="00A02D48"/>
    <w:rsid w:val="00A06617"/>
    <w:rsid w:val="00A07664"/>
    <w:rsid w:val="00A10438"/>
    <w:rsid w:val="00A144C7"/>
    <w:rsid w:val="00A1644C"/>
    <w:rsid w:val="00A16D05"/>
    <w:rsid w:val="00A205DD"/>
    <w:rsid w:val="00A3324D"/>
    <w:rsid w:val="00A36127"/>
    <w:rsid w:val="00A36DEE"/>
    <w:rsid w:val="00A436EA"/>
    <w:rsid w:val="00A46C1D"/>
    <w:rsid w:val="00A51293"/>
    <w:rsid w:val="00A52B7C"/>
    <w:rsid w:val="00A63C27"/>
    <w:rsid w:val="00A64EDA"/>
    <w:rsid w:val="00A64F9F"/>
    <w:rsid w:val="00A71391"/>
    <w:rsid w:val="00A717D4"/>
    <w:rsid w:val="00A73EBC"/>
    <w:rsid w:val="00A80C9B"/>
    <w:rsid w:val="00A85CE2"/>
    <w:rsid w:val="00A86748"/>
    <w:rsid w:val="00A86E2B"/>
    <w:rsid w:val="00A92090"/>
    <w:rsid w:val="00A935FF"/>
    <w:rsid w:val="00A96766"/>
    <w:rsid w:val="00A97D37"/>
    <w:rsid w:val="00AA1687"/>
    <w:rsid w:val="00AA71C3"/>
    <w:rsid w:val="00AD04A0"/>
    <w:rsid w:val="00AD21B3"/>
    <w:rsid w:val="00AD641C"/>
    <w:rsid w:val="00AE05B3"/>
    <w:rsid w:val="00AE0E9E"/>
    <w:rsid w:val="00AE1A8E"/>
    <w:rsid w:val="00AF2C8E"/>
    <w:rsid w:val="00AF30FA"/>
    <w:rsid w:val="00AF4611"/>
    <w:rsid w:val="00B02B73"/>
    <w:rsid w:val="00B03724"/>
    <w:rsid w:val="00B057E0"/>
    <w:rsid w:val="00B31964"/>
    <w:rsid w:val="00B340FE"/>
    <w:rsid w:val="00B34A3A"/>
    <w:rsid w:val="00B4030F"/>
    <w:rsid w:val="00B422F9"/>
    <w:rsid w:val="00B43AD1"/>
    <w:rsid w:val="00B43CFF"/>
    <w:rsid w:val="00B4736A"/>
    <w:rsid w:val="00B47537"/>
    <w:rsid w:val="00B62059"/>
    <w:rsid w:val="00B67893"/>
    <w:rsid w:val="00B67CA3"/>
    <w:rsid w:val="00B771E9"/>
    <w:rsid w:val="00B844BF"/>
    <w:rsid w:val="00B853FC"/>
    <w:rsid w:val="00B9151F"/>
    <w:rsid w:val="00B92FD8"/>
    <w:rsid w:val="00B932AE"/>
    <w:rsid w:val="00B96495"/>
    <w:rsid w:val="00BA054C"/>
    <w:rsid w:val="00BA06F4"/>
    <w:rsid w:val="00BA0DDD"/>
    <w:rsid w:val="00BA2C7E"/>
    <w:rsid w:val="00BA3714"/>
    <w:rsid w:val="00BB6D2E"/>
    <w:rsid w:val="00BD262B"/>
    <w:rsid w:val="00BD7AF1"/>
    <w:rsid w:val="00BF089E"/>
    <w:rsid w:val="00BF473A"/>
    <w:rsid w:val="00BF54B8"/>
    <w:rsid w:val="00C05544"/>
    <w:rsid w:val="00C071A4"/>
    <w:rsid w:val="00C11C7A"/>
    <w:rsid w:val="00C13482"/>
    <w:rsid w:val="00C16DEF"/>
    <w:rsid w:val="00C21449"/>
    <w:rsid w:val="00C22891"/>
    <w:rsid w:val="00C33C29"/>
    <w:rsid w:val="00C34273"/>
    <w:rsid w:val="00C347EB"/>
    <w:rsid w:val="00C35C3A"/>
    <w:rsid w:val="00C412A4"/>
    <w:rsid w:val="00C41FE6"/>
    <w:rsid w:val="00C438D5"/>
    <w:rsid w:val="00C442E1"/>
    <w:rsid w:val="00C520FF"/>
    <w:rsid w:val="00C529AE"/>
    <w:rsid w:val="00C645E8"/>
    <w:rsid w:val="00C712FF"/>
    <w:rsid w:val="00C72980"/>
    <w:rsid w:val="00CB166B"/>
    <w:rsid w:val="00CB2167"/>
    <w:rsid w:val="00CB3DB8"/>
    <w:rsid w:val="00CB4CE4"/>
    <w:rsid w:val="00CC022A"/>
    <w:rsid w:val="00CC2007"/>
    <w:rsid w:val="00CD2618"/>
    <w:rsid w:val="00CD3A3F"/>
    <w:rsid w:val="00CE75D7"/>
    <w:rsid w:val="00CF42F5"/>
    <w:rsid w:val="00D21F56"/>
    <w:rsid w:val="00D23A76"/>
    <w:rsid w:val="00D30FF4"/>
    <w:rsid w:val="00D311A7"/>
    <w:rsid w:val="00D32708"/>
    <w:rsid w:val="00D37FB3"/>
    <w:rsid w:val="00D42AC5"/>
    <w:rsid w:val="00D4358E"/>
    <w:rsid w:val="00D52C44"/>
    <w:rsid w:val="00D6059D"/>
    <w:rsid w:val="00D609E3"/>
    <w:rsid w:val="00D61BE2"/>
    <w:rsid w:val="00D6421C"/>
    <w:rsid w:val="00D768CB"/>
    <w:rsid w:val="00D803B7"/>
    <w:rsid w:val="00D864B4"/>
    <w:rsid w:val="00D90050"/>
    <w:rsid w:val="00D946B7"/>
    <w:rsid w:val="00D95378"/>
    <w:rsid w:val="00DA486B"/>
    <w:rsid w:val="00DA5056"/>
    <w:rsid w:val="00DA7303"/>
    <w:rsid w:val="00DC21AC"/>
    <w:rsid w:val="00DC50E5"/>
    <w:rsid w:val="00DD64D1"/>
    <w:rsid w:val="00DE0CA2"/>
    <w:rsid w:val="00DE5554"/>
    <w:rsid w:val="00DE7351"/>
    <w:rsid w:val="00E07345"/>
    <w:rsid w:val="00E10DAD"/>
    <w:rsid w:val="00E161B0"/>
    <w:rsid w:val="00E175CC"/>
    <w:rsid w:val="00E2076E"/>
    <w:rsid w:val="00E2171C"/>
    <w:rsid w:val="00E255EC"/>
    <w:rsid w:val="00E31C62"/>
    <w:rsid w:val="00E4067F"/>
    <w:rsid w:val="00E4108B"/>
    <w:rsid w:val="00E444CE"/>
    <w:rsid w:val="00E46E8B"/>
    <w:rsid w:val="00E50403"/>
    <w:rsid w:val="00E50A66"/>
    <w:rsid w:val="00E50F43"/>
    <w:rsid w:val="00E54436"/>
    <w:rsid w:val="00E56706"/>
    <w:rsid w:val="00E607C8"/>
    <w:rsid w:val="00E61012"/>
    <w:rsid w:val="00E725CE"/>
    <w:rsid w:val="00E830F7"/>
    <w:rsid w:val="00E86BA8"/>
    <w:rsid w:val="00E91DC4"/>
    <w:rsid w:val="00E92BD2"/>
    <w:rsid w:val="00E94776"/>
    <w:rsid w:val="00E96D5E"/>
    <w:rsid w:val="00EA1335"/>
    <w:rsid w:val="00EA3180"/>
    <w:rsid w:val="00EA31AE"/>
    <w:rsid w:val="00EA468A"/>
    <w:rsid w:val="00EB1E3C"/>
    <w:rsid w:val="00EB422F"/>
    <w:rsid w:val="00EB579D"/>
    <w:rsid w:val="00EC3DA8"/>
    <w:rsid w:val="00ED1876"/>
    <w:rsid w:val="00ED62EA"/>
    <w:rsid w:val="00EE4588"/>
    <w:rsid w:val="00EF13EC"/>
    <w:rsid w:val="00EF462C"/>
    <w:rsid w:val="00F00822"/>
    <w:rsid w:val="00F03C0C"/>
    <w:rsid w:val="00F22BE9"/>
    <w:rsid w:val="00F323DB"/>
    <w:rsid w:val="00F35208"/>
    <w:rsid w:val="00F4788C"/>
    <w:rsid w:val="00F51278"/>
    <w:rsid w:val="00F518DA"/>
    <w:rsid w:val="00F5578A"/>
    <w:rsid w:val="00F6691D"/>
    <w:rsid w:val="00F67486"/>
    <w:rsid w:val="00F70513"/>
    <w:rsid w:val="00F76BCA"/>
    <w:rsid w:val="00F807A1"/>
    <w:rsid w:val="00F90057"/>
    <w:rsid w:val="00F91CA5"/>
    <w:rsid w:val="00F92CDA"/>
    <w:rsid w:val="00F96C28"/>
    <w:rsid w:val="00FA4295"/>
    <w:rsid w:val="00FB230E"/>
    <w:rsid w:val="00FB69AD"/>
    <w:rsid w:val="00FC1D45"/>
    <w:rsid w:val="00FC451A"/>
    <w:rsid w:val="00FC608B"/>
    <w:rsid w:val="00FC69AD"/>
    <w:rsid w:val="00FC796E"/>
    <w:rsid w:val="00FD01C2"/>
    <w:rsid w:val="00FD2504"/>
    <w:rsid w:val="00FE45DD"/>
    <w:rsid w:val="00FE573B"/>
    <w:rsid w:val="00FF0424"/>
    <w:rsid w:val="00FF2DDE"/>
    <w:rsid w:val="00FF4850"/>
    <w:rsid w:val="00FF4FC0"/>
    <w:rsid w:val="01404C13"/>
    <w:rsid w:val="01536CDF"/>
    <w:rsid w:val="028E0452"/>
    <w:rsid w:val="02A23A37"/>
    <w:rsid w:val="032C4E8C"/>
    <w:rsid w:val="03FC1FF2"/>
    <w:rsid w:val="041670E4"/>
    <w:rsid w:val="044C330C"/>
    <w:rsid w:val="04842AA6"/>
    <w:rsid w:val="04AC4FE5"/>
    <w:rsid w:val="04BB394A"/>
    <w:rsid w:val="04F927BE"/>
    <w:rsid w:val="05003405"/>
    <w:rsid w:val="051554AC"/>
    <w:rsid w:val="054E7457"/>
    <w:rsid w:val="06754E53"/>
    <w:rsid w:val="06CF5FB6"/>
    <w:rsid w:val="06F82C62"/>
    <w:rsid w:val="06FC3007"/>
    <w:rsid w:val="079818EE"/>
    <w:rsid w:val="07D1412F"/>
    <w:rsid w:val="08414C9F"/>
    <w:rsid w:val="084F7874"/>
    <w:rsid w:val="09772139"/>
    <w:rsid w:val="09B02608"/>
    <w:rsid w:val="09BB09B1"/>
    <w:rsid w:val="09D73678"/>
    <w:rsid w:val="09EB0617"/>
    <w:rsid w:val="0A9D70DF"/>
    <w:rsid w:val="0AE40A75"/>
    <w:rsid w:val="0B792C38"/>
    <w:rsid w:val="0B7F3FC7"/>
    <w:rsid w:val="0B8213C1"/>
    <w:rsid w:val="0CB8153E"/>
    <w:rsid w:val="0CEE15E8"/>
    <w:rsid w:val="0D0559BE"/>
    <w:rsid w:val="0D3861DB"/>
    <w:rsid w:val="0D3E1C15"/>
    <w:rsid w:val="0D8C046F"/>
    <w:rsid w:val="0DEB14A0"/>
    <w:rsid w:val="0DFF4D7F"/>
    <w:rsid w:val="0E107158"/>
    <w:rsid w:val="0E533501"/>
    <w:rsid w:val="0E7C47EE"/>
    <w:rsid w:val="0F1D7D7F"/>
    <w:rsid w:val="10855BDB"/>
    <w:rsid w:val="10B04406"/>
    <w:rsid w:val="10B77D5F"/>
    <w:rsid w:val="117D4B05"/>
    <w:rsid w:val="11C24C0D"/>
    <w:rsid w:val="12214015"/>
    <w:rsid w:val="123C648F"/>
    <w:rsid w:val="12DA1CFA"/>
    <w:rsid w:val="13AB64C8"/>
    <w:rsid w:val="14D06D89"/>
    <w:rsid w:val="153674A4"/>
    <w:rsid w:val="157E0E4B"/>
    <w:rsid w:val="15A479CA"/>
    <w:rsid w:val="18052D2B"/>
    <w:rsid w:val="1902153F"/>
    <w:rsid w:val="19BA3986"/>
    <w:rsid w:val="1A3E7564"/>
    <w:rsid w:val="1B60288D"/>
    <w:rsid w:val="1BDE27AD"/>
    <w:rsid w:val="1C8256C5"/>
    <w:rsid w:val="1CB24F67"/>
    <w:rsid w:val="1CE44DDA"/>
    <w:rsid w:val="1D98037D"/>
    <w:rsid w:val="1DFC0D3B"/>
    <w:rsid w:val="1DFF93F0"/>
    <w:rsid w:val="1E6F3F54"/>
    <w:rsid w:val="1F3872EF"/>
    <w:rsid w:val="1F846837"/>
    <w:rsid w:val="1F876E54"/>
    <w:rsid w:val="1FA55546"/>
    <w:rsid w:val="1FBB33C8"/>
    <w:rsid w:val="1FDC3EDB"/>
    <w:rsid w:val="2059498F"/>
    <w:rsid w:val="206C46C2"/>
    <w:rsid w:val="206F6BC9"/>
    <w:rsid w:val="20AE2995"/>
    <w:rsid w:val="20C21926"/>
    <w:rsid w:val="21AF6723"/>
    <w:rsid w:val="22372AAE"/>
    <w:rsid w:val="224637FC"/>
    <w:rsid w:val="228A686B"/>
    <w:rsid w:val="22B122F7"/>
    <w:rsid w:val="23144489"/>
    <w:rsid w:val="237C011B"/>
    <w:rsid w:val="23977CA8"/>
    <w:rsid w:val="23A808CF"/>
    <w:rsid w:val="23F32D07"/>
    <w:rsid w:val="24287B3E"/>
    <w:rsid w:val="250F7D12"/>
    <w:rsid w:val="25AD020E"/>
    <w:rsid w:val="261B217C"/>
    <w:rsid w:val="26315310"/>
    <w:rsid w:val="26B42F19"/>
    <w:rsid w:val="27084C7D"/>
    <w:rsid w:val="27B07A0A"/>
    <w:rsid w:val="27C40FAD"/>
    <w:rsid w:val="27C53B20"/>
    <w:rsid w:val="27DA63B5"/>
    <w:rsid w:val="27F03740"/>
    <w:rsid w:val="280610EA"/>
    <w:rsid w:val="282E59EC"/>
    <w:rsid w:val="2903193C"/>
    <w:rsid w:val="29AD788C"/>
    <w:rsid w:val="29B71BE3"/>
    <w:rsid w:val="29DE126E"/>
    <w:rsid w:val="2A337FFE"/>
    <w:rsid w:val="2AED4651"/>
    <w:rsid w:val="2AFC6642"/>
    <w:rsid w:val="2B180C5A"/>
    <w:rsid w:val="2B374EFC"/>
    <w:rsid w:val="2B7A34A4"/>
    <w:rsid w:val="2BE45A54"/>
    <w:rsid w:val="2C1C474D"/>
    <w:rsid w:val="2C3D6F12"/>
    <w:rsid w:val="2C494B84"/>
    <w:rsid w:val="2CC969F8"/>
    <w:rsid w:val="2D392926"/>
    <w:rsid w:val="2D832A39"/>
    <w:rsid w:val="2E045F3A"/>
    <w:rsid w:val="2E37196A"/>
    <w:rsid w:val="2EB3170E"/>
    <w:rsid w:val="2F4A2072"/>
    <w:rsid w:val="30301857"/>
    <w:rsid w:val="305D37B9"/>
    <w:rsid w:val="307355F9"/>
    <w:rsid w:val="30980970"/>
    <w:rsid w:val="30E346C5"/>
    <w:rsid w:val="30F93EA5"/>
    <w:rsid w:val="31106A89"/>
    <w:rsid w:val="311F0C66"/>
    <w:rsid w:val="312A6D89"/>
    <w:rsid w:val="31351FE3"/>
    <w:rsid w:val="316F14DA"/>
    <w:rsid w:val="31FB7654"/>
    <w:rsid w:val="32A01FA9"/>
    <w:rsid w:val="32E90EF7"/>
    <w:rsid w:val="330E503D"/>
    <w:rsid w:val="333927B2"/>
    <w:rsid w:val="33A31ADE"/>
    <w:rsid w:val="34367069"/>
    <w:rsid w:val="344D418F"/>
    <w:rsid w:val="34826FA4"/>
    <w:rsid w:val="35012DD0"/>
    <w:rsid w:val="353801AD"/>
    <w:rsid w:val="354B50DA"/>
    <w:rsid w:val="357F7A6E"/>
    <w:rsid w:val="359273CC"/>
    <w:rsid w:val="359C73A0"/>
    <w:rsid w:val="35D46B3A"/>
    <w:rsid w:val="35EE3740"/>
    <w:rsid w:val="36414BEC"/>
    <w:rsid w:val="368360EE"/>
    <w:rsid w:val="36971C9C"/>
    <w:rsid w:val="371A52BA"/>
    <w:rsid w:val="37381864"/>
    <w:rsid w:val="377063EE"/>
    <w:rsid w:val="37795ADB"/>
    <w:rsid w:val="377D0B0B"/>
    <w:rsid w:val="37C833A8"/>
    <w:rsid w:val="382602C5"/>
    <w:rsid w:val="38AF13ED"/>
    <w:rsid w:val="390E72C1"/>
    <w:rsid w:val="39735E99"/>
    <w:rsid w:val="39F94833"/>
    <w:rsid w:val="39FC040D"/>
    <w:rsid w:val="3A620D1D"/>
    <w:rsid w:val="3A7730BC"/>
    <w:rsid w:val="3A9A39D6"/>
    <w:rsid w:val="3AFD1BAE"/>
    <w:rsid w:val="3B3F1EBB"/>
    <w:rsid w:val="3BB47FB3"/>
    <w:rsid w:val="3C2E2894"/>
    <w:rsid w:val="3C545955"/>
    <w:rsid w:val="3C793F97"/>
    <w:rsid w:val="3C7E63FA"/>
    <w:rsid w:val="3CA8662A"/>
    <w:rsid w:val="3CB075DE"/>
    <w:rsid w:val="3CCA7F3E"/>
    <w:rsid w:val="3D060521"/>
    <w:rsid w:val="3DBF32FA"/>
    <w:rsid w:val="3DCC4A10"/>
    <w:rsid w:val="3DED1589"/>
    <w:rsid w:val="3E184953"/>
    <w:rsid w:val="3E461FBF"/>
    <w:rsid w:val="3E6F668D"/>
    <w:rsid w:val="3E815B29"/>
    <w:rsid w:val="3F0B7D3C"/>
    <w:rsid w:val="3F340649"/>
    <w:rsid w:val="3F3D2ECB"/>
    <w:rsid w:val="3F6B0347"/>
    <w:rsid w:val="3FCE6284"/>
    <w:rsid w:val="3FFEABDE"/>
    <w:rsid w:val="4024421A"/>
    <w:rsid w:val="40CA2C90"/>
    <w:rsid w:val="40EB60F4"/>
    <w:rsid w:val="41460291"/>
    <w:rsid w:val="417116E0"/>
    <w:rsid w:val="41B42B1F"/>
    <w:rsid w:val="42083EAC"/>
    <w:rsid w:val="421834E4"/>
    <w:rsid w:val="4251316C"/>
    <w:rsid w:val="425C1C28"/>
    <w:rsid w:val="434C5C43"/>
    <w:rsid w:val="4359067E"/>
    <w:rsid w:val="440D5744"/>
    <w:rsid w:val="44753A38"/>
    <w:rsid w:val="44BE1B9E"/>
    <w:rsid w:val="45085EB8"/>
    <w:rsid w:val="45097E82"/>
    <w:rsid w:val="450E477D"/>
    <w:rsid w:val="452442CD"/>
    <w:rsid w:val="45470B38"/>
    <w:rsid w:val="455F1FFE"/>
    <w:rsid w:val="458F7371"/>
    <w:rsid w:val="45E87B13"/>
    <w:rsid w:val="461C4FB0"/>
    <w:rsid w:val="464D78CD"/>
    <w:rsid w:val="46CD6C84"/>
    <w:rsid w:val="46ED2216"/>
    <w:rsid w:val="475D16AD"/>
    <w:rsid w:val="478923B1"/>
    <w:rsid w:val="493C2436"/>
    <w:rsid w:val="49417BEA"/>
    <w:rsid w:val="494C13ED"/>
    <w:rsid w:val="4950725C"/>
    <w:rsid w:val="49816239"/>
    <w:rsid w:val="4A804F8F"/>
    <w:rsid w:val="4A995995"/>
    <w:rsid w:val="4AC44108"/>
    <w:rsid w:val="4ACB1BE9"/>
    <w:rsid w:val="4B0C4098"/>
    <w:rsid w:val="4B417016"/>
    <w:rsid w:val="4B9238A2"/>
    <w:rsid w:val="4BA87B8E"/>
    <w:rsid w:val="4BD9790F"/>
    <w:rsid w:val="4BEC5453"/>
    <w:rsid w:val="4C153088"/>
    <w:rsid w:val="4CD60E35"/>
    <w:rsid w:val="4D904369"/>
    <w:rsid w:val="4E0062C6"/>
    <w:rsid w:val="4E2D320E"/>
    <w:rsid w:val="4E793ACC"/>
    <w:rsid w:val="4E8D3C05"/>
    <w:rsid w:val="4E9F2411"/>
    <w:rsid w:val="4EDB238D"/>
    <w:rsid w:val="4FDE5E79"/>
    <w:rsid w:val="4FF05F2B"/>
    <w:rsid w:val="50214B92"/>
    <w:rsid w:val="50744D49"/>
    <w:rsid w:val="50D10AF8"/>
    <w:rsid w:val="50FC0752"/>
    <w:rsid w:val="51374388"/>
    <w:rsid w:val="521C7645"/>
    <w:rsid w:val="525B361D"/>
    <w:rsid w:val="528B546F"/>
    <w:rsid w:val="52BC54B9"/>
    <w:rsid w:val="52C7471E"/>
    <w:rsid w:val="52D76D4F"/>
    <w:rsid w:val="53B206C6"/>
    <w:rsid w:val="53C47FC8"/>
    <w:rsid w:val="54352CB4"/>
    <w:rsid w:val="54857525"/>
    <w:rsid w:val="54967452"/>
    <w:rsid w:val="54A70240"/>
    <w:rsid w:val="55683FFB"/>
    <w:rsid w:val="565132B8"/>
    <w:rsid w:val="56552F27"/>
    <w:rsid w:val="56561D45"/>
    <w:rsid w:val="56D47F14"/>
    <w:rsid w:val="576D604E"/>
    <w:rsid w:val="57BFF439"/>
    <w:rsid w:val="57D9507E"/>
    <w:rsid w:val="57DA1F6B"/>
    <w:rsid w:val="585E4BCC"/>
    <w:rsid w:val="5872386E"/>
    <w:rsid w:val="58E01809"/>
    <w:rsid w:val="595E0345"/>
    <w:rsid w:val="598743E6"/>
    <w:rsid w:val="59D2663D"/>
    <w:rsid w:val="5A352ACD"/>
    <w:rsid w:val="5AC129BE"/>
    <w:rsid w:val="5ACF6823"/>
    <w:rsid w:val="5AF01A59"/>
    <w:rsid w:val="5B661732"/>
    <w:rsid w:val="5B943407"/>
    <w:rsid w:val="5BDC435A"/>
    <w:rsid w:val="5BF21E51"/>
    <w:rsid w:val="5BF97CBF"/>
    <w:rsid w:val="5D443CF5"/>
    <w:rsid w:val="5D7C523D"/>
    <w:rsid w:val="5DB805CB"/>
    <w:rsid w:val="5DDB01B6"/>
    <w:rsid w:val="5E3A0162"/>
    <w:rsid w:val="5E6C3504"/>
    <w:rsid w:val="5EA11F28"/>
    <w:rsid w:val="5F4F6822"/>
    <w:rsid w:val="5F567979"/>
    <w:rsid w:val="5F653F7F"/>
    <w:rsid w:val="5FF17AF7"/>
    <w:rsid w:val="5FFF888F"/>
    <w:rsid w:val="603C6677"/>
    <w:rsid w:val="609B1172"/>
    <w:rsid w:val="62DD677E"/>
    <w:rsid w:val="62FE0362"/>
    <w:rsid w:val="63582BD7"/>
    <w:rsid w:val="63BC4128"/>
    <w:rsid w:val="64236257"/>
    <w:rsid w:val="64CC1F2F"/>
    <w:rsid w:val="65AC1F26"/>
    <w:rsid w:val="65BF62EE"/>
    <w:rsid w:val="66B07D06"/>
    <w:rsid w:val="66F14533"/>
    <w:rsid w:val="67A249C8"/>
    <w:rsid w:val="67B929A6"/>
    <w:rsid w:val="683C7AA3"/>
    <w:rsid w:val="68783C73"/>
    <w:rsid w:val="68EB0D11"/>
    <w:rsid w:val="691A22AE"/>
    <w:rsid w:val="694C3980"/>
    <w:rsid w:val="69CE2572"/>
    <w:rsid w:val="69F43BF8"/>
    <w:rsid w:val="6A3053E5"/>
    <w:rsid w:val="6A753740"/>
    <w:rsid w:val="6A912687"/>
    <w:rsid w:val="6AF01018"/>
    <w:rsid w:val="6BD265AA"/>
    <w:rsid w:val="6C452B3F"/>
    <w:rsid w:val="6C655A35"/>
    <w:rsid w:val="6CC11607"/>
    <w:rsid w:val="6CD70AF6"/>
    <w:rsid w:val="6D5B09CB"/>
    <w:rsid w:val="6E8645EF"/>
    <w:rsid w:val="6EAC46CA"/>
    <w:rsid w:val="6EFB0594"/>
    <w:rsid w:val="6EFE3AE1"/>
    <w:rsid w:val="6F081D86"/>
    <w:rsid w:val="6F4A70B8"/>
    <w:rsid w:val="6FEF5F41"/>
    <w:rsid w:val="70163629"/>
    <w:rsid w:val="701D6DBA"/>
    <w:rsid w:val="703D3F3E"/>
    <w:rsid w:val="70860771"/>
    <w:rsid w:val="71B006DC"/>
    <w:rsid w:val="71EC078C"/>
    <w:rsid w:val="724F2AC9"/>
    <w:rsid w:val="72695938"/>
    <w:rsid w:val="72D21C4B"/>
    <w:rsid w:val="73685BF0"/>
    <w:rsid w:val="73AF658B"/>
    <w:rsid w:val="73E552A4"/>
    <w:rsid w:val="74110B13"/>
    <w:rsid w:val="74176F1D"/>
    <w:rsid w:val="746540FB"/>
    <w:rsid w:val="748144EC"/>
    <w:rsid w:val="749957C2"/>
    <w:rsid w:val="74ED2B0F"/>
    <w:rsid w:val="74FC0CE6"/>
    <w:rsid w:val="754A2084"/>
    <w:rsid w:val="755739A5"/>
    <w:rsid w:val="7578460B"/>
    <w:rsid w:val="7586016E"/>
    <w:rsid w:val="75904BF1"/>
    <w:rsid w:val="759AB26E"/>
    <w:rsid w:val="75F04E81"/>
    <w:rsid w:val="75F06371"/>
    <w:rsid w:val="76190BFE"/>
    <w:rsid w:val="767445B6"/>
    <w:rsid w:val="76DE31B9"/>
    <w:rsid w:val="77252CB1"/>
    <w:rsid w:val="782B7F92"/>
    <w:rsid w:val="7859644F"/>
    <w:rsid w:val="78804DC8"/>
    <w:rsid w:val="78FB6259"/>
    <w:rsid w:val="79C16FE3"/>
    <w:rsid w:val="79D272E4"/>
    <w:rsid w:val="7A0D3EE9"/>
    <w:rsid w:val="7A2C4D5E"/>
    <w:rsid w:val="7A5B11FD"/>
    <w:rsid w:val="7A763626"/>
    <w:rsid w:val="7AC70C66"/>
    <w:rsid w:val="7B0A71ED"/>
    <w:rsid w:val="7B18439F"/>
    <w:rsid w:val="7B44486C"/>
    <w:rsid w:val="7C005B66"/>
    <w:rsid w:val="7C3535A4"/>
    <w:rsid w:val="7C5E5DE2"/>
    <w:rsid w:val="7CA03887"/>
    <w:rsid w:val="7CD6378E"/>
    <w:rsid w:val="7D311748"/>
    <w:rsid w:val="7D6D75EF"/>
    <w:rsid w:val="7DC9372F"/>
    <w:rsid w:val="7E63125C"/>
    <w:rsid w:val="7E870A02"/>
    <w:rsid w:val="7EA61CC2"/>
    <w:rsid w:val="7EB458C3"/>
    <w:rsid w:val="7EBF4B32"/>
    <w:rsid w:val="7EEBF190"/>
    <w:rsid w:val="7EFF73EA"/>
    <w:rsid w:val="7F3379FA"/>
    <w:rsid w:val="7FEF9D90"/>
    <w:rsid w:val="7FFFD075"/>
    <w:rsid w:val="BF7799AC"/>
    <w:rsid w:val="CBDB9347"/>
    <w:rsid w:val="CD792384"/>
    <w:rsid w:val="DFFE0100"/>
    <w:rsid w:val="DFFF1FFB"/>
    <w:rsid w:val="EA6B9036"/>
    <w:rsid w:val="EFF26187"/>
    <w:rsid w:val="FBBBA3F4"/>
    <w:rsid w:val="FFBFB820"/>
    <w:rsid w:val="FFE9BC04"/>
    <w:rsid w:val="FFEB79D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qFormat="1" w:uiPriority="39" w:semiHidden="0" w:name="toc 5"/>
    <w:lsdException w:uiPriority="39" w:name="toc 6"/>
    <w:lsdException w:uiPriority="39" w:name="toc 7"/>
    <w:lsdException w:uiPriority="39" w:name="toc 8"/>
    <w:lsdException w:uiPriority="39" w:name="toc 9"/>
    <w:lsdException w:uiPriority="99" w:name="Normal Indent"/>
    <w:lsdException w:qFormat="1" w:uiPriority="99" w:name="footnote text"/>
    <w:lsdException w:qFormat="1" w:unhideWhenUsed="0"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3">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32"/>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3"/>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34"/>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1">
    <w:name w:val="Default Paragraph Font"/>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semiHidden/>
    <w:qFormat/>
    <w:uiPriority w:val="0"/>
    <w:rPr>
      <w:rFonts w:ascii="Times New Roman" w:hAnsi="Times New Roman" w:eastAsia="Times New Roman" w:cs="Times New Roman"/>
      <w:sz w:val="20"/>
      <w:szCs w:val="20"/>
    </w:rPr>
  </w:style>
  <w:style w:type="paragraph" w:styleId="7">
    <w:name w:val="annotation text"/>
    <w:basedOn w:val="1"/>
    <w:qFormat/>
    <w:uiPriority w:val="0"/>
    <w:pPr>
      <w:jc w:val="left"/>
    </w:pPr>
  </w:style>
  <w:style w:type="paragraph" w:styleId="8">
    <w:name w:val="Body Text Indent"/>
    <w:basedOn w:val="1"/>
    <w:qFormat/>
    <w:uiPriority w:val="0"/>
    <w:pPr>
      <w:ind w:firstLine="628" w:firstLineChars="200"/>
    </w:pPr>
    <w:rPr>
      <w:rFonts w:eastAsia="仿宋_GB2312"/>
      <w:sz w:val="30"/>
    </w:rPr>
  </w:style>
  <w:style w:type="paragraph" w:styleId="9">
    <w:name w:val="toc 5"/>
    <w:basedOn w:val="1"/>
    <w:next w:val="1"/>
    <w:unhideWhenUsed/>
    <w:qFormat/>
    <w:uiPriority w:val="39"/>
    <w:pPr>
      <w:ind w:left="1680" w:leftChars="800"/>
    </w:pPr>
  </w:style>
  <w:style w:type="paragraph" w:styleId="10">
    <w:name w:val="Body Text Indent 2"/>
    <w:basedOn w:val="1"/>
    <w:next w:val="2"/>
    <w:qFormat/>
    <w:uiPriority w:val="0"/>
    <w:pPr>
      <w:ind w:firstLine="664" w:firstLineChars="200"/>
    </w:pPr>
    <w:rPr>
      <w:rFonts w:ascii="Calibri" w:hAnsi="Calibri" w:eastAsia="楷体_GB2312"/>
      <w:color w:val="000000"/>
      <w:szCs w:val="24"/>
    </w:rPr>
  </w:style>
  <w:style w:type="paragraph" w:styleId="11">
    <w:name w:val="Balloon Text"/>
    <w:basedOn w:val="1"/>
    <w:link w:val="41"/>
    <w:semiHidden/>
    <w:unhideWhenUsed/>
    <w:qFormat/>
    <w:uiPriority w:val="99"/>
    <w:rPr>
      <w:sz w:val="18"/>
      <w:szCs w:val="18"/>
    </w:rPr>
  </w:style>
  <w:style w:type="paragraph" w:styleId="12">
    <w:name w:val="footer"/>
    <w:basedOn w:val="1"/>
    <w:link w:val="29"/>
    <w:unhideWhenUsed/>
    <w:qFormat/>
    <w:uiPriority w:val="99"/>
    <w:pPr>
      <w:tabs>
        <w:tab w:val="center" w:pos="4153"/>
        <w:tab w:val="right" w:pos="8306"/>
      </w:tabs>
      <w:snapToGrid w:val="0"/>
      <w:jc w:val="left"/>
    </w:pPr>
    <w:rPr>
      <w:sz w:val="18"/>
      <w:szCs w:val="18"/>
    </w:rPr>
  </w:style>
  <w:style w:type="paragraph" w:styleId="13">
    <w:name w:val="header"/>
    <w:basedOn w:val="1"/>
    <w:link w:val="28"/>
    <w:unhideWhenUsed/>
    <w:qFormat/>
    <w:uiPriority w:val="99"/>
    <w:pPr>
      <w:tabs>
        <w:tab w:val="center" w:pos="4153"/>
        <w:tab w:val="right" w:pos="8306"/>
      </w:tabs>
      <w:snapToGrid w:val="0"/>
      <w:jc w:val="center"/>
    </w:pPr>
    <w:rPr>
      <w:sz w:val="18"/>
      <w:szCs w:val="18"/>
    </w:rPr>
  </w:style>
  <w:style w:type="paragraph" w:styleId="14">
    <w:name w:val="toc 1"/>
    <w:basedOn w:val="1"/>
    <w:next w:val="1"/>
    <w:unhideWhenUsed/>
    <w:qFormat/>
    <w:uiPriority w:val="39"/>
  </w:style>
  <w:style w:type="paragraph" w:styleId="15">
    <w:name w:val="footnote text"/>
    <w:basedOn w:val="1"/>
    <w:semiHidden/>
    <w:unhideWhenUsed/>
    <w:qFormat/>
    <w:uiPriority w:val="99"/>
    <w:pPr>
      <w:snapToGrid w:val="0"/>
      <w:jc w:val="left"/>
    </w:pPr>
    <w:rPr>
      <w:sz w:val="18"/>
    </w:rPr>
  </w:style>
  <w:style w:type="paragraph" w:styleId="16">
    <w:name w:val="toc 2"/>
    <w:basedOn w:val="1"/>
    <w:next w:val="1"/>
    <w:unhideWhenUsed/>
    <w:qFormat/>
    <w:uiPriority w:val="39"/>
    <w:pPr>
      <w:ind w:left="420" w:leftChars="200"/>
    </w:pPr>
  </w:style>
  <w:style w:type="paragraph" w:styleId="1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14:ligatures w14:val="none"/>
    </w:rPr>
  </w:style>
  <w:style w:type="paragraph" w:styleId="18">
    <w:name w:val="Body Text First Indent 2"/>
    <w:basedOn w:val="8"/>
    <w:unhideWhenUsed/>
    <w:qFormat/>
    <w:uiPriority w:val="99"/>
    <w:pPr>
      <w:ind w:firstLine="420"/>
    </w:p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Emphasis"/>
    <w:basedOn w:val="21"/>
    <w:qFormat/>
    <w:uiPriority w:val="20"/>
    <w:rPr>
      <w:color w:val="F73131"/>
    </w:rPr>
  </w:style>
  <w:style w:type="character" w:styleId="24">
    <w:name w:val="Hyperlink"/>
    <w:basedOn w:val="21"/>
    <w:unhideWhenUsed/>
    <w:qFormat/>
    <w:uiPriority w:val="99"/>
    <w:rPr>
      <w:color w:val="0000FF"/>
      <w:u w:val="single"/>
    </w:rPr>
  </w:style>
  <w:style w:type="character" w:styleId="25">
    <w:name w:val="footnote reference"/>
    <w:basedOn w:val="21"/>
    <w:semiHidden/>
    <w:unhideWhenUsed/>
    <w:qFormat/>
    <w:uiPriority w:val="99"/>
    <w:rPr>
      <w:vertAlign w:val="superscript"/>
    </w:rPr>
  </w:style>
  <w:style w:type="paragraph" w:customStyle="1" w:styleId="26">
    <w:name w:val="正文首行缩进 21"/>
    <w:basedOn w:val="27"/>
    <w:qFormat/>
    <w:uiPriority w:val="0"/>
    <w:pPr>
      <w:spacing w:line="360" w:lineRule="auto"/>
    </w:pPr>
    <w:rPr>
      <w:rFonts w:eastAsia="宋体"/>
      <w:sz w:val="24"/>
    </w:rPr>
  </w:style>
  <w:style w:type="paragraph" w:customStyle="1" w:styleId="27">
    <w:name w:val="正文文本缩进1"/>
    <w:basedOn w:val="1"/>
    <w:qFormat/>
    <w:uiPriority w:val="0"/>
    <w:pPr>
      <w:spacing w:line="150" w:lineRule="atLeast"/>
      <w:ind w:firstLine="420" w:firstLineChars="200"/>
      <w:textAlignment w:val="baseline"/>
    </w:pPr>
    <w:rPr>
      <w:rFonts w:ascii="Times New Roman" w:hAnsi="Times New Roman" w:cs="Times New Roman"/>
      <w:szCs w:val="24"/>
    </w:rPr>
  </w:style>
  <w:style w:type="character" w:customStyle="1" w:styleId="28">
    <w:name w:val="页眉 字符"/>
    <w:basedOn w:val="21"/>
    <w:link w:val="13"/>
    <w:qFormat/>
    <w:uiPriority w:val="99"/>
    <w:rPr>
      <w:sz w:val="18"/>
      <w:szCs w:val="18"/>
    </w:rPr>
  </w:style>
  <w:style w:type="character" w:customStyle="1" w:styleId="29">
    <w:name w:val="页脚 字符"/>
    <w:basedOn w:val="21"/>
    <w:link w:val="12"/>
    <w:qFormat/>
    <w:uiPriority w:val="99"/>
    <w:rPr>
      <w:sz w:val="18"/>
      <w:szCs w:val="18"/>
    </w:rPr>
  </w:style>
  <w:style w:type="paragraph" w:styleId="30">
    <w:name w:val="List Paragraph"/>
    <w:basedOn w:val="1"/>
    <w:qFormat/>
    <w:uiPriority w:val="34"/>
    <w:pPr>
      <w:ind w:firstLine="420" w:firstLineChars="200"/>
    </w:pPr>
  </w:style>
  <w:style w:type="character" w:customStyle="1" w:styleId="31">
    <w:name w:val="标题 1 字符"/>
    <w:basedOn w:val="21"/>
    <w:link w:val="3"/>
    <w:qFormat/>
    <w:uiPriority w:val="9"/>
    <w:rPr>
      <w:b/>
      <w:bCs/>
      <w:kern w:val="44"/>
      <w:sz w:val="44"/>
      <w:szCs w:val="44"/>
    </w:rPr>
  </w:style>
  <w:style w:type="character" w:customStyle="1" w:styleId="32">
    <w:name w:val="标题 2 字符"/>
    <w:basedOn w:val="21"/>
    <w:link w:val="4"/>
    <w:qFormat/>
    <w:uiPriority w:val="9"/>
    <w:rPr>
      <w:rFonts w:asciiTheme="majorHAnsi" w:hAnsiTheme="majorHAnsi" w:eastAsiaTheme="majorEastAsia" w:cstheme="majorBidi"/>
      <w:b/>
      <w:bCs/>
      <w:sz w:val="32"/>
      <w:szCs w:val="32"/>
    </w:rPr>
  </w:style>
  <w:style w:type="character" w:customStyle="1" w:styleId="33">
    <w:name w:val="标题 3 字符"/>
    <w:basedOn w:val="21"/>
    <w:link w:val="5"/>
    <w:qFormat/>
    <w:uiPriority w:val="9"/>
    <w:rPr>
      <w:b/>
      <w:bCs/>
      <w:sz w:val="32"/>
      <w:szCs w:val="32"/>
    </w:rPr>
  </w:style>
  <w:style w:type="character" w:customStyle="1" w:styleId="34">
    <w:name w:val="标题 4 字符"/>
    <w:basedOn w:val="21"/>
    <w:link w:val="6"/>
    <w:qFormat/>
    <w:uiPriority w:val="9"/>
    <w:rPr>
      <w:rFonts w:asciiTheme="majorHAnsi" w:hAnsiTheme="majorHAnsi" w:eastAsiaTheme="majorEastAsia" w:cstheme="majorBidi"/>
      <w:b/>
      <w:bCs/>
      <w:sz w:val="28"/>
      <w:szCs w:val="28"/>
    </w:rPr>
  </w:style>
  <w:style w:type="character" w:customStyle="1" w:styleId="35">
    <w:name w:val="content-right_1thtn1"/>
    <w:basedOn w:val="21"/>
    <w:qFormat/>
    <w:uiPriority w:val="0"/>
  </w:style>
  <w:style w:type="paragraph" w:customStyle="1" w:styleId="36">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 w:type="paragraph" w:customStyle="1" w:styleId="37">
    <w:name w:val="WPSOffice手动目录 1"/>
    <w:qFormat/>
    <w:uiPriority w:val="0"/>
    <w:rPr>
      <w:rFonts w:ascii="Times New Roman" w:hAnsi="Times New Roman" w:eastAsia="宋体" w:cs="Times New Roman"/>
      <w:lang w:val="en-US" w:eastAsia="zh-CN" w:bidi="ar-SA"/>
    </w:rPr>
  </w:style>
  <w:style w:type="paragraph" w:customStyle="1" w:styleId="38">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39">
    <w:name w:val="15"/>
    <w:basedOn w:val="21"/>
    <w:qFormat/>
    <w:uiPriority w:val="0"/>
    <w:rPr>
      <w:rFonts w:hint="default" w:ascii="Times New Roman" w:hAnsi="Times New Roman" w:eastAsia="宋体" w:cs="Times New Roman"/>
    </w:rPr>
  </w:style>
  <w:style w:type="character" w:customStyle="1" w:styleId="40">
    <w:name w:val="10"/>
    <w:basedOn w:val="21"/>
    <w:qFormat/>
    <w:uiPriority w:val="0"/>
    <w:rPr>
      <w:rFonts w:hint="default" w:ascii="Times New Roman" w:hAnsi="Times New Roman" w:eastAsia="宋体" w:cs="Times New Roman"/>
    </w:rPr>
  </w:style>
  <w:style w:type="character" w:customStyle="1" w:styleId="41">
    <w:name w:val="批注框文本 字符"/>
    <w:basedOn w:val="21"/>
    <w:link w:val="11"/>
    <w:semiHidden/>
    <w:qFormat/>
    <w:uiPriority w:val="99"/>
    <w:rPr>
      <w:rFonts w:asciiTheme="minorHAnsi" w:hAnsiTheme="minorHAnsi" w:eastAsiaTheme="minorEastAsia" w:cstheme="minorBidi"/>
      <w:kern w:val="2"/>
      <w:sz w:val="18"/>
      <w:szCs w:val="18"/>
      <w14:ligatures w14:val="standardContextual"/>
    </w:rPr>
  </w:style>
  <w:style w:type="paragraph" w:customStyle="1" w:styleId="42">
    <w:name w:val="修订1"/>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 w:type="paragraph" w:customStyle="1" w:styleId="43">
    <w:name w:val="修订2"/>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 w:type="character" w:customStyle="1" w:styleId="44">
    <w:name w:val="未处理的提及1"/>
    <w:basedOn w:val="21"/>
    <w:semiHidden/>
    <w:unhideWhenUsed/>
    <w:qFormat/>
    <w:uiPriority w:val="99"/>
    <w:rPr>
      <w:color w:val="605E5C"/>
      <w:shd w:val="clear" w:color="auto" w:fill="E1DFDD"/>
    </w:rPr>
  </w:style>
  <w:style w:type="paragraph" w:customStyle="1" w:styleId="45">
    <w:name w:val="Revision"/>
    <w:hidden/>
    <w:unhideWhenUsed/>
    <w:qFormat/>
    <w:uiPriority w:val="99"/>
    <w:rPr>
      <w:rFonts w:asciiTheme="minorHAnsi" w:hAnsiTheme="minorHAnsi" w:eastAsiaTheme="minorEastAsia" w:cstheme="minorBidi"/>
      <w:kern w:val="2"/>
      <w:sz w:val="21"/>
      <w:szCs w:val="22"/>
      <w:lang w:val="en-US" w:eastAsia="zh-CN" w:bidi="ar-SA"/>
      <w14:ligatures w14:val="standardContextual"/>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StyleName="APA" SelectedStyle="\APASixthEditionOfficeOnline.xsl" Version="6"/>
</file>

<file path=customXml/itemProps1.xml><?xml version="1.0" encoding="utf-8"?>
<ds:datastoreItem xmlns:ds="http://schemas.openxmlformats.org/officeDocument/2006/customXml" ds:itemID="{D4DE7D77-99D1-49E7-A5AD-76C32951EF43}">
  <ds:schemaRefs/>
</ds:datastoreItem>
</file>

<file path=docProps/app.xml><?xml version="1.0" encoding="utf-8"?>
<Properties xmlns="http://schemas.openxmlformats.org/officeDocument/2006/extended-properties" xmlns:vt="http://schemas.openxmlformats.org/officeDocument/2006/docPropsVTypes">
  <Template>Normal.dotm</Template>
  <Pages>107</Pages>
  <Words>1225</Words>
  <Characters>1290</Characters>
  <Lines>444</Lines>
  <Paragraphs>125</Paragraphs>
  <TotalTime>10</TotalTime>
  <ScaleCrop>false</ScaleCrop>
  <LinksUpToDate>false</LinksUpToDate>
  <CharactersWithSpaces>1558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2025-05-16T01:05:00Z</dcterms:created>
  <dc:creator>曹海涛</dc:creator>
  <cp:lastModifiedBy>诗语清歌</cp:lastModifiedBy>
  <cp:lastPrinted>2025-05-16T01:07:00Z</cp:lastPrinted>
  <dcterms:modified xsi:type="dcterms:W3CDTF">2025-06-12T03:50:57Z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8FE23A7D526CBEE02BCD216844E1310C_43</vt:lpwstr>
  </property>
  <property fmtid="{D5CDD505-2E9C-101B-9397-08002B2CF9AE}" pid="4" name="KSOTemplateDocerSaveRecord">
    <vt:lpwstr>eyJoZGlkIjoiMGQ1YWFiMDFiYzExMzhmNjlmZDZkNjBiYTQ1M2YxOWEiLCJ1c2VySWQiOiIzNjg1Mjc0NDgifQ==</vt:lpwstr>
  </property>
</Properties>
</file>